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EBD8F" w14:textId="77777777" w:rsidR="000B1A98" w:rsidRPr="000B1A98" w:rsidRDefault="000B1A98" w:rsidP="000B1A98">
      <w:pPr>
        <w:jc w:val="center"/>
        <w:rPr>
          <w:rFonts w:ascii="Arial" w:hAnsi="Arial"/>
          <w:b/>
          <w:color w:val="1F3864"/>
          <w:sz w:val="56"/>
        </w:rPr>
      </w:pPr>
    </w:p>
    <w:p w14:paraId="405ABF69" w14:textId="77777777" w:rsidR="000B1A98" w:rsidRPr="000B1A98" w:rsidRDefault="000B1A98" w:rsidP="000B1A98">
      <w:pPr>
        <w:jc w:val="center"/>
        <w:rPr>
          <w:rFonts w:ascii="Arial" w:hAnsi="Arial"/>
          <w:b/>
          <w:color w:val="1F3864"/>
          <w:sz w:val="56"/>
        </w:rPr>
      </w:pPr>
    </w:p>
    <w:p w14:paraId="746DFC47" w14:textId="77777777" w:rsidR="000B1A98" w:rsidRPr="000B1A98" w:rsidRDefault="000B1A98" w:rsidP="000B1A98">
      <w:pPr>
        <w:jc w:val="center"/>
        <w:rPr>
          <w:rFonts w:ascii="Arial" w:hAnsi="Arial"/>
          <w:b/>
          <w:color w:val="1F3864"/>
          <w:sz w:val="56"/>
        </w:rPr>
      </w:pPr>
      <w:r w:rsidRPr="000B1A98">
        <w:rPr>
          <w:rFonts w:ascii="Arial" w:hAnsi="Arial"/>
          <w:b/>
          <w:color w:val="1F3864"/>
          <w:sz w:val="56"/>
        </w:rPr>
        <w:t>AUDIT IT</w:t>
      </w:r>
    </w:p>
    <w:p w14:paraId="3A742787" w14:textId="77777777" w:rsidR="000B1A98" w:rsidRDefault="000B1A98" w:rsidP="000B1A98">
      <w:pPr>
        <w:jc w:val="center"/>
        <w:rPr>
          <w:rFonts w:ascii="Arial" w:hAnsi="Arial"/>
          <w:b/>
          <w:color w:val="1F3864"/>
          <w:sz w:val="56"/>
        </w:rPr>
      </w:pPr>
    </w:p>
    <w:p w14:paraId="2B04D4D4" w14:textId="73659930" w:rsidR="000B1A98" w:rsidRDefault="000B1A98" w:rsidP="000B1A98">
      <w:pPr>
        <w:jc w:val="center"/>
        <w:rPr>
          <w:rFonts w:ascii="Arial" w:hAnsi="Arial" w:cs="Arial"/>
          <w:color w:val="2E75B6"/>
          <w:sz w:val="32"/>
        </w:rPr>
      </w:pPr>
      <w:r w:rsidRPr="000B1A98">
        <w:rPr>
          <w:rFonts w:ascii="Arial" w:hAnsi="Arial" w:cs="Arial"/>
          <w:color w:val="2E75B6"/>
          <w:sz w:val="32"/>
        </w:rPr>
        <w:t>Rapport de mission à Conformité NIS2 / DORA</w:t>
      </w:r>
    </w:p>
    <w:p w14:paraId="22EE43C8" w14:textId="77777777" w:rsidR="000B1A98" w:rsidRPr="000B1A98" w:rsidRDefault="000B1A98" w:rsidP="000B1A98">
      <w:pPr>
        <w:jc w:val="center"/>
        <w:rPr>
          <w:rFonts w:ascii="Arial" w:hAnsi="Arial" w:cs="Arial"/>
          <w:b/>
          <w:color w:val="C00000"/>
          <w:sz w:val="18"/>
        </w:rPr>
      </w:pPr>
    </w:p>
    <w:p w14:paraId="30C6BE01" w14:textId="29AB2706" w:rsidR="000B1A98" w:rsidRDefault="000B1A98" w:rsidP="000B1A98">
      <w:pPr>
        <w:jc w:val="center"/>
        <w:rPr>
          <w:rFonts w:ascii="Arial" w:hAnsi="Arial" w:cs="Arial"/>
          <w:b/>
          <w:color w:val="C00000"/>
          <w:sz w:val="18"/>
        </w:rPr>
      </w:pPr>
      <w:r w:rsidRPr="000B1A98">
        <w:rPr>
          <w:rFonts w:ascii="Arial" w:hAnsi="Arial" w:cs="Arial"/>
          <w:b/>
          <w:color w:val="C00000"/>
          <w:sz w:val="18"/>
        </w:rPr>
        <w:t>CONFIDENTIEL à USAGE RESTREINT</w:t>
      </w:r>
    </w:p>
    <w:p w14:paraId="7F678533" w14:textId="77777777" w:rsidR="000B1A98" w:rsidRPr="000B1A98" w:rsidRDefault="000B1A98" w:rsidP="000B1A98">
      <w:pPr>
        <w:jc w:val="center"/>
        <w:rPr>
          <w:rFonts w:ascii="Arial" w:hAnsi="Arial" w:cs="Arial"/>
          <w:color w:val="1F3864"/>
          <w:sz w:val="20"/>
        </w:rPr>
      </w:pPr>
    </w:p>
    <w:tbl>
      <w:tblPr>
        <w:tblStyle w:val="Grillemoyenne2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0B1A98" w14:paraId="3A00F434" w14:textId="77777777" w:rsidTr="000B1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6" w:type="dxa"/>
            <w:shd w:val="clear" w:color="auto" w:fill="D6E4F0"/>
          </w:tcPr>
          <w:p w14:paraId="00465B3C" w14:textId="4A7ADE50" w:rsidR="000B1A98" w:rsidRPr="000B1A98" w:rsidRDefault="000B1A98" w:rsidP="000B1A98">
            <w:pPr>
              <w:jc w:val="center"/>
              <w:rPr>
                <w:rFonts w:ascii="Arial" w:hAnsi="Arial" w:cs="Arial"/>
                <w:color w:val="1F3864"/>
                <w:sz w:val="20"/>
              </w:rPr>
            </w:pPr>
            <w:r w:rsidRPr="000B1A98">
              <w:rPr>
                <w:rFonts w:ascii="Arial" w:hAnsi="Arial" w:cs="Arial"/>
                <w:color w:val="1F3864"/>
                <w:sz w:val="20"/>
              </w:rPr>
              <w:t>Entité auditée</w:t>
            </w:r>
          </w:p>
        </w:tc>
        <w:tc>
          <w:tcPr>
            <w:tcW w:w="4536" w:type="dxa"/>
          </w:tcPr>
          <w:p w14:paraId="2626CFDC" w14:textId="66AF7BDA" w:rsidR="000B1A98" w:rsidRPr="000B1A98" w:rsidRDefault="000B1A98" w:rsidP="000B1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1F3864"/>
                <w:sz w:val="20"/>
              </w:rPr>
            </w:pPr>
            <w:r w:rsidRPr="000B1A98">
              <w:rPr>
                <w:rFonts w:ascii="Arial" w:hAnsi="Arial" w:cs="Arial"/>
                <w:b w:val="0"/>
                <w:color w:val="1F3864"/>
                <w:sz w:val="20"/>
              </w:rPr>
              <w:t>ENTREPRSE</w:t>
            </w:r>
          </w:p>
        </w:tc>
      </w:tr>
      <w:tr w:rsidR="000B1A98" w14:paraId="3091D99B" w14:textId="77777777" w:rsidTr="000B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D6E4F0"/>
          </w:tcPr>
          <w:p w14:paraId="51A5497A" w14:textId="752F3D66" w:rsidR="000B1A98" w:rsidRPr="000B1A98" w:rsidRDefault="000B1A98" w:rsidP="000B1A98">
            <w:pPr>
              <w:jc w:val="center"/>
              <w:rPr>
                <w:rFonts w:ascii="Arial" w:hAnsi="Arial" w:cs="Arial"/>
                <w:color w:val="1F3864"/>
                <w:sz w:val="20"/>
              </w:rPr>
            </w:pPr>
            <w:r w:rsidRPr="000B1A98">
              <w:rPr>
                <w:rFonts w:ascii="Arial" w:hAnsi="Arial" w:cs="Arial"/>
                <w:color w:val="1F3864"/>
                <w:sz w:val="20"/>
              </w:rPr>
              <w:t>Responsable</w:t>
            </w:r>
          </w:p>
        </w:tc>
        <w:tc>
          <w:tcPr>
            <w:tcW w:w="4536" w:type="dxa"/>
          </w:tcPr>
          <w:p w14:paraId="4D00BE50" w14:textId="30535EC7" w:rsidR="000B1A98" w:rsidRPr="000B1A98" w:rsidRDefault="000B1A98" w:rsidP="000B1A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1F3864"/>
                <w:sz w:val="20"/>
              </w:rPr>
            </w:pPr>
            <w:r w:rsidRPr="000B1A98">
              <w:rPr>
                <w:rFonts w:ascii="Arial" w:hAnsi="Arial" w:cs="Arial"/>
                <w:b/>
                <w:color w:val="1F3864"/>
                <w:sz w:val="20"/>
              </w:rPr>
              <w:t>N.NDOUDI</w:t>
            </w:r>
          </w:p>
        </w:tc>
      </w:tr>
      <w:tr w:rsidR="000B1A98" w14:paraId="12E23B31" w14:textId="77777777" w:rsidTr="000B1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D6E4F0"/>
          </w:tcPr>
          <w:p w14:paraId="6655E147" w14:textId="0967C15A" w:rsidR="000B1A98" w:rsidRPr="000B1A98" w:rsidRDefault="000B1A98" w:rsidP="000B1A98">
            <w:pPr>
              <w:jc w:val="center"/>
              <w:rPr>
                <w:rFonts w:ascii="Arial" w:hAnsi="Arial" w:cs="Arial"/>
                <w:color w:val="1F3864"/>
                <w:sz w:val="20"/>
              </w:rPr>
            </w:pPr>
            <w:r w:rsidRPr="000B1A98">
              <w:rPr>
                <w:rFonts w:ascii="Arial" w:hAnsi="Arial" w:cs="Arial"/>
                <w:color w:val="1F3864"/>
                <w:sz w:val="20"/>
              </w:rPr>
              <w:t>Date de début</w:t>
            </w:r>
          </w:p>
        </w:tc>
        <w:tc>
          <w:tcPr>
            <w:tcW w:w="4536" w:type="dxa"/>
          </w:tcPr>
          <w:p w14:paraId="07B0560F" w14:textId="6C7150FD" w:rsidR="000B1A98" w:rsidRPr="000B1A98" w:rsidRDefault="000B1A98" w:rsidP="000B1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1F3864"/>
                <w:sz w:val="20"/>
              </w:rPr>
            </w:pPr>
            <w:r w:rsidRPr="000B1A98">
              <w:rPr>
                <w:rFonts w:ascii="Arial" w:hAnsi="Arial" w:cs="Arial"/>
                <w:b/>
                <w:color w:val="1F3864"/>
                <w:sz w:val="20"/>
              </w:rPr>
              <w:t>T1 2026</w:t>
            </w:r>
          </w:p>
        </w:tc>
      </w:tr>
      <w:tr w:rsidR="000B1A98" w14:paraId="1DFF4403" w14:textId="77777777" w:rsidTr="000B1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D6E4F0"/>
          </w:tcPr>
          <w:p w14:paraId="0C05940E" w14:textId="523CFC0F" w:rsidR="000B1A98" w:rsidRPr="000B1A98" w:rsidRDefault="000B1A98" w:rsidP="000B1A98">
            <w:pPr>
              <w:jc w:val="center"/>
              <w:rPr>
                <w:rFonts w:ascii="Arial" w:hAnsi="Arial" w:cs="Arial"/>
                <w:color w:val="1F3864"/>
                <w:sz w:val="20"/>
              </w:rPr>
            </w:pPr>
            <w:r w:rsidRPr="000B1A98">
              <w:rPr>
                <w:rFonts w:ascii="Arial" w:hAnsi="Arial" w:cs="Arial"/>
                <w:color w:val="1F3864"/>
                <w:sz w:val="20"/>
              </w:rPr>
              <w:t>Date de fin</w:t>
            </w:r>
          </w:p>
        </w:tc>
        <w:tc>
          <w:tcPr>
            <w:tcW w:w="4536" w:type="dxa"/>
          </w:tcPr>
          <w:p w14:paraId="4D0D9AFA" w14:textId="089EB8EC" w:rsidR="000B1A98" w:rsidRPr="000B1A98" w:rsidRDefault="000B1A98" w:rsidP="000B1A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1F3864"/>
                <w:sz w:val="20"/>
              </w:rPr>
            </w:pPr>
            <w:r w:rsidRPr="000B1A98">
              <w:rPr>
                <w:rFonts w:ascii="Arial" w:hAnsi="Arial" w:cs="Arial"/>
                <w:b/>
                <w:color w:val="1F3864"/>
                <w:sz w:val="20"/>
              </w:rPr>
              <w:t>T2 2026</w:t>
            </w:r>
          </w:p>
        </w:tc>
      </w:tr>
      <w:tr w:rsidR="000B1A98" w14:paraId="70E6348C" w14:textId="77777777" w:rsidTr="000B1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D6E4F0"/>
          </w:tcPr>
          <w:p w14:paraId="64E0DCBD" w14:textId="4C28F7AC" w:rsidR="000B1A98" w:rsidRPr="000B1A98" w:rsidRDefault="000B1A98" w:rsidP="000B1A98">
            <w:pPr>
              <w:jc w:val="center"/>
              <w:rPr>
                <w:rFonts w:ascii="Arial" w:hAnsi="Arial" w:cs="Arial"/>
                <w:color w:val="1F3864"/>
                <w:sz w:val="20"/>
              </w:rPr>
            </w:pPr>
            <w:r w:rsidRPr="000B1A98">
              <w:rPr>
                <w:rFonts w:ascii="Arial" w:hAnsi="Arial" w:cs="Arial"/>
                <w:color w:val="1F3864"/>
                <w:sz w:val="20"/>
              </w:rPr>
              <w:t>Périmètre</w:t>
            </w:r>
          </w:p>
        </w:tc>
        <w:tc>
          <w:tcPr>
            <w:tcW w:w="4536" w:type="dxa"/>
          </w:tcPr>
          <w:p w14:paraId="21811A99" w14:textId="5AB25554" w:rsidR="000B1A98" w:rsidRPr="000B1A98" w:rsidRDefault="000B1A98" w:rsidP="000B1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1F3864"/>
                <w:sz w:val="20"/>
              </w:rPr>
            </w:pPr>
            <w:r w:rsidRPr="000B1A98">
              <w:rPr>
                <w:rFonts w:ascii="Arial" w:hAnsi="Arial" w:cs="Arial"/>
                <w:b/>
                <w:color w:val="1F3864"/>
                <w:sz w:val="20"/>
              </w:rPr>
              <w:t>APPLICATION</w:t>
            </w:r>
          </w:p>
        </w:tc>
      </w:tr>
    </w:tbl>
    <w:p w14:paraId="24883E33" w14:textId="1491CC01" w:rsidR="000B1A98" w:rsidRDefault="000B1A98" w:rsidP="000B1A98">
      <w:pPr>
        <w:jc w:val="center"/>
        <w:rPr>
          <w:rFonts w:ascii="Arial" w:hAnsi="Arial"/>
          <w:b/>
          <w:color w:val="1F3864"/>
          <w:sz w:val="56"/>
        </w:rPr>
      </w:pPr>
    </w:p>
    <w:p w14:paraId="384BF4F1" w14:textId="77777777" w:rsidR="000B1A98" w:rsidRDefault="000B1A98">
      <w:pPr>
        <w:rPr>
          <w:rFonts w:ascii="Arial" w:hAnsi="Arial"/>
          <w:b/>
          <w:color w:val="1F3864"/>
          <w:sz w:val="56"/>
        </w:rPr>
      </w:pPr>
      <w:r>
        <w:rPr>
          <w:rFonts w:ascii="Arial" w:hAnsi="Arial"/>
          <w:b/>
          <w:color w:val="1F3864"/>
          <w:sz w:val="56"/>
        </w:rPr>
        <w:br w:type="page"/>
      </w:r>
    </w:p>
    <w:p w14:paraId="053670CB" w14:textId="77777777" w:rsidR="000B1A98" w:rsidRDefault="000B1A98" w:rsidP="000B1A98">
      <w:pPr>
        <w:jc w:val="center"/>
        <w:rPr>
          <w:rFonts w:ascii="Arial" w:hAnsi="Arial"/>
          <w:b/>
          <w:color w:val="1F3864"/>
          <w:sz w:val="56"/>
        </w:rPr>
      </w:pPr>
    </w:p>
    <w:p w14:paraId="111456FF" w14:textId="545A3E5E" w:rsidR="000B1A98" w:rsidRDefault="000B1A98" w:rsidP="000B1A98">
      <w:pPr>
        <w:pStyle w:val="Titre1"/>
      </w:pPr>
      <w:r>
        <w:t>Sommaire</w:t>
      </w:r>
    </w:p>
    <w:p w14:paraId="0E8F4E2C" w14:textId="2AB6B864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1.  Contexte et objectifs de la mission</w:t>
      </w:r>
    </w:p>
    <w:p w14:paraId="49A20311" w14:textId="675C70F3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2.  Executive Summary</w:t>
      </w:r>
    </w:p>
    <w:p w14:paraId="4572109E" w14:textId="43F45C08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3.  Synthèse des résultats par domaine</w:t>
      </w:r>
    </w:p>
    <w:p w14:paraId="6E328DC5" w14:textId="2475A4C5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4.  Fiches de contrôles à Access Management</w:t>
      </w:r>
    </w:p>
    <w:p w14:paraId="18A83E7E" w14:textId="09722717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5.  Fiches de contrôles à Sécurité Opérationnelle</w:t>
      </w:r>
    </w:p>
    <w:p w14:paraId="22BF8CDA" w14:textId="298B43F7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6.  Fiches de contrôles à CyberSécurité</w:t>
      </w:r>
    </w:p>
    <w:p w14:paraId="4AE5E45D" w14:textId="03837612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7.  Plan d'actions recommandées</w:t>
      </w:r>
    </w:p>
    <w:p w14:paraId="65553DDE" w14:textId="77777777" w:rsidR="000B1A98" w:rsidRDefault="000B1A98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14:paraId="30C7FEB7" w14:textId="77777777" w:rsidR="000B1A98" w:rsidRDefault="000B1A98" w:rsidP="000B1A98"/>
    <w:p w14:paraId="596BFCFB" w14:textId="1ED4FF0E" w:rsidR="000B1A98" w:rsidRDefault="000B1A98" w:rsidP="000B1A98">
      <w:pPr>
        <w:pStyle w:val="Titre1"/>
      </w:pPr>
      <w:r>
        <w:t>1.  Contexte et objectifs de la mission</w:t>
      </w:r>
    </w:p>
    <w:p w14:paraId="59356E61" w14:textId="14E69A0B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La présente mission d'audit IT a été conduite conformément aux référentiels NIS2 (Directive (UE) 2022/2555) et DORA (Règlement (UE) 2022/2554). Elle vise à évaluer le niveau de maturité de l'entité ENTREPRSE sur trois domaines : gestion des accès, Sécurité Opérationnelle et cyberSécurité.</w:t>
      </w:r>
    </w:p>
    <w:p w14:paraId="1FED2B64" w14:textId="4333F331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Mission conduite par N.NDOUDI, du T1 2026 au T2 2026. Périmètre : APPLICATION.</w:t>
      </w:r>
    </w:p>
    <w:p w14:paraId="3B056E73" w14:textId="77777777" w:rsidR="000B1A98" w:rsidRDefault="000B1A98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14:paraId="6EFB8BED" w14:textId="77777777" w:rsidR="000B1A98" w:rsidRDefault="000B1A98" w:rsidP="000B1A98"/>
    <w:p w14:paraId="58251882" w14:textId="222A1B3B" w:rsidR="000B1A98" w:rsidRDefault="000B1A98" w:rsidP="000B1A98">
      <w:pPr>
        <w:pStyle w:val="Titre1"/>
      </w:pPr>
      <w:r>
        <w:t>2.  Executive Summary</w:t>
      </w:r>
    </w:p>
    <w:p w14:paraId="3329898F" w14:textId="5B8EFB41" w:rsidR="000B1A98" w:rsidRDefault="000B1A98" w:rsidP="000B1A98">
      <w:pPr>
        <w:rPr>
          <w:rFonts w:ascii="Arial" w:hAnsi="Arial" w:cs="Arial"/>
          <w:b/>
          <w:color w:val="1F3864"/>
        </w:rPr>
      </w:pPr>
      <w:r w:rsidRPr="000B1A98">
        <w:rPr>
          <w:rFonts w:ascii="Arial" w:hAnsi="Arial" w:cs="Arial"/>
          <w:b/>
          <w:color w:val="1F3864"/>
        </w:rPr>
        <w:t>20 contrôles évalués à Taux de conformité : 55%</w:t>
      </w:r>
    </w:p>
    <w:p w14:paraId="05EFEF10" w14:textId="77777777" w:rsidR="000B1A98" w:rsidRDefault="000B1A98" w:rsidP="000B1A98"/>
    <w:p w14:paraId="4D7E2944" w14:textId="7C01FBE7" w:rsidR="000B1A98" w:rsidRDefault="000B1A98" w:rsidP="000B1A98">
      <w:pPr>
        <w:rPr>
          <w:rFonts w:ascii="Arial" w:hAnsi="Arial" w:cs="Arial"/>
          <w:color w:val="00A000"/>
          <w:sz w:val="20"/>
        </w:rPr>
      </w:pPr>
      <w:r w:rsidRPr="000B1A98">
        <w:rPr>
          <w:rFonts w:ascii="Arial" w:hAnsi="Arial" w:cs="Arial"/>
          <w:color w:val="00A000"/>
          <w:sz w:val="20"/>
        </w:rPr>
        <w:t>Conformes        : 11</w:t>
      </w:r>
    </w:p>
    <w:p w14:paraId="244A800C" w14:textId="591F12B7" w:rsidR="000B1A98" w:rsidRDefault="000B1A98" w:rsidP="000B1A98">
      <w:pPr>
        <w:rPr>
          <w:rFonts w:ascii="Arial" w:hAnsi="Arial" w:cs="Arial"/>
          <w:color w:val="C80000"/>
          <w:sz w:val="20"/>
        </w:rPr>
      </w:pPr>
      <w:r w:rsidRPr="000B1A98">
        <w:rPr>
          <w:rFonts w:ascii="Arial" w:hAnsi="Arial" w:cs="Arial"/>
          <w:color w:val="C80000"/>
          <w:sz w:val="20"/>
        </w:rPr>
        <w:t>Non-Conformes  : 3</w:t>
      </w:r>
    </w:p>
    <w:p w14:paraId="4E06A658" w14:textId="70285DE0" w:rsidR="000B1A98" w:rsidRDefault="000B1A98" w:rsidP="000B1A98">
      <w:pPr>
        <w:rPr>
          <w:rFonts w:ascii="Arial" w:hAnsi="Arial" w:cs="Arial"/>
          <w:color w:val="C88200"/>
          <w:sz w:val="20"/>
        </w:rPr>
      </w:pPr>
      <w:r w:rsidRPr="000B1A98">
        <w:rPr>
          <w:rFonts w:ascii="Arial" w:hAnsi="Arial" w:cs="Arial"/>
          <w:color w:val="C88200"/>
          <w:sz w:val="20"/>
        </w:rPr>
        <w:t>Observations     : 3</w:t>
      </w:r>
    </w:p>
    <w:p w14:paraId="210DD29F" w14:textId="2A55EAF1" w:rsidR="000B1A98" w:rsidRDefault="000B1A98" w:rsidP="000B1A98">
      <w:pPr>
        <w:rPr>
          <w:rFonts w:ascii="Arial" w:hAnsi="Arial" w:cs="Arial"/>
          <w:color w:val="646464"/>
          <w:sz w:val="20"/>
        </w:rPr>
      </w:pPr>
      <w:r w:rsidRPr="000B1A98">
        <w:rPr>
          <w:rFonts w:ascii="Arial" w:hAnsi="Arial" w:cs="Arial"/>
          <w:color w:val="646464"/>
          <w:sz w:val="20"/>
        </w:rPr>
        <w:t>Non Applicables : 3</w:t>
      </w:r>
    </w:p>
    <w:p w14:paraId="17343C24" w14:textId="77777777" w:rsidR="000B1A98" w:rsidRPr="000B1A98" w:rsidRDefault="000B1A98" w:rsidP="000B1A98">
      <w:pPr>
        <w:rPr>
          <w:rFonts w:ascii="Arial" w:hAnsi="Arial" w:cs="Arial"/>
          <w:color w:val="C00000"/>
          <w:sz w:val="20"/>
        </w:rPr>
      </w:pPr>
    </w:p>
    <w:p w14:paraId="7C8ABF43" w14:textId="4628E004" w:rsidR="000B1A98" w:rsidRDefault="000B1A98" w:rsidP="000B1A98">
      <w:pPr>
        <w:rPr>
          <w:rFonts w:ascii="Arial" w:hAnsi="Arial" w:cs="Arial"/>
          <w:color w:val="C00000"/>
          <w:sz w:val="20"/>
        </w:rPr>
      </w:pPr>
      <w:r w:rsidRPr="000B1A98">
        <w:rPr>
          <w:rFonts w:ascii="Arial" w:hAnsi="Arial" w:cs="Arial"/>
          <w:color w:val="C00000"/>
          <w:sz w:val="20"/>
        </w:rPr>
        <w:t>Des non-conformités ont été identifiées. Des recommandations sont formulées en section 7.</w:t>
      </w:r>
    </w:p>
    <w:p w14:paraId="2926C8CE" w14:textId="77777777" w:rsidR="000B1A98" w:rsidRDefault="000B1A98">
      <w:pPr>
        <w:rPr>
          <w:rFonts w:ascii="Arial" w:hAnsi="Arial" w:cs="Arial"/>
          <w:color w:val="C00000"/>
          <w:sz w:val="20"/>
        </w:rPr>
      </w:pPr>
      <w:r>
        <w:rPr>
          <w:rFonts w:ascii="Arial" w:hAnsi="Arial" w:cs="Arial"/>
          <w:color w:val="C00000"/>
          <w:sz w:val="20"/>
        </w:rPr>
        <w:br w:type="page"/>
      </w:r>
    </w:p>
    <w:p w14:paraId="359F9521" w14:textId="77777777" w:rsidR="000B1A98" w:rsidRDefault="000B1A98" w:rsidP="000B1A98"/>
    <w:p w14:paraId="09860E8A" w14:textId="77777777" w:rsidR="000B1A98" w:rsidRPr="000B1A98" w:rsidRDefault="000B1A98" w:rsidP="000B1A98">
      <w:pPr>
        <w:pStyle w:val="Titre1"/>
      </w:pPr>
      <w:r>
        <w:t>3.  Synthèse des résultats par domaine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0B1A98" w14:paraId="2B24F486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2E75B6"/>
          </w:tcPr>
          <w:p w14:paraId="3231F1D8" w14:textId="5EC69046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Domaine</w:t>
            </w:r>
          </w:p>
        </w:tc>
        <w:tc>
          <w:tcPr>
            <w:tcW w:w="1512" w:type="dxa"/>
            <w:shd w:val="clear" w:color="auto" w:fill="2E75B6"/>
          </w:tcPr>
          <w:p w14:paraId="4117C768" w14:textId="0299A39A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Conforme</w:t>
            </w:r>
          </w:p>
        </w:tc>
        <w:tc>
          <w:tcPr>
            <w:tcW w:w="1512" w:type="dxa"/>
            <w:shd w:val="clear" w:color="auto" w:fill="2E75B6"/>
          </w:tcPr>
          <w:p w14:paraId="4849B5C0" w14:textId="5B25FA13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Non-Conforme</w:t>
            </w:r>
          </w:p>
        </w:tc>
        <w:tc>
          <w:tcPr>
            <w:tcW w:w="1512" w:type="dxa"/>
            <w:shd w:val="clear" w:color="auto" w:fill="2E75B6"/>
          </w:tcPr>
          <w:p w14:paraId="4ECE5FD7" w14:textId="5AF78E68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Observation</w:t>
            </w:r>
          </w:p>
        </w:tc>
        <w:tc>
          <w:tcPr>
            <w:tcW w:w="1512" w:type="dxa"/>
            <w:shd w:val="clear" w:color="auto" w:fill="2E75B6"/>
          </w:tcPr>
          <w:p w14:paraId="5E3F93D2" w14:textId="661F2503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N/A</w:t>
            </w:r>
          </w:p>
        </w:tc>
        <w:tc>
          <w:tcPr>
            <w:tcW w:w="1512" w:type="dxa"/>
            <w:shd w:val="clear" w:color="auto" w:fill="2E75B6"/>
          </w:tcPr>
          <w:p w14:paraId="4816BB87" w14:textId="53DBE03F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Total</w:t>
            </w:r>
          </w:p>
        </w:tc>
      </w:tr>
      <w:tr w:rsidR="000B1A98" w14:paraId="579EC3B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D6E4F0"/>
          </w:tcPr>
          <w:p w14:paraId="43C58149" w14:textId="3536A9E7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Access Management</w:t>
            </w:r>
          </w:p>
        </w:tc>
        <w:tc>
          <w:tcPr>
            <w:tcW w:w="1512" w:type="dxa"/>
            <w:shd w:val="clear" w:color="auto" w:fill="D6E4F0"/>
          </w:tcPr>
          <w:p w14:paraId="0AFDA7BD" w14:textId="0D20D4AB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512" w:type="dxa"/>
            <w:shd w:val="clear" w:color="auto" w:fill="D6E4F0"/>
          </w:tcPr>
          <w:p w14:paraId="4018A573" w14:textId="3F8B5E1E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1512" w:type="dxa"/>
            <w:shd w:val="clear" w:color="auto" w:fill="D6E4F0"/>
          </w:tcPr>
          <w:p w14:paraId="0C8FF191" w14:textId="60A66F00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512" w:type="dxa"/>
            <w:shd w:val="clear" w:color="auto" w:fill="D6E4F0"/>
          </w:tcPr>
          <w:p w14:paraId="0932F16A" w14:textId="6BFD457D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512" w:type="dxa"/>
            <w:shd w:val="clear" w:color="auto" w:fill="D6E4F0"/>
          </w:tcPr>
          <w:p w14:paraId="026429A8" w14:textId="6E5FBB3A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6</w:t>
            </w:r>
          </w:p>
        </w:tc>
      </w:tr>
      <w:tr w:rsidR="000B1A98" w14:paraId="5DAF743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00C6E102" w14:textId="699E92C9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Sécurité Opérationnelle</w:t>
            </w:r>
          </w:p>
        </w:tc>
        <w:tc>
          <w:tcPr>
            <w:tcW w:w="1512" w:type="dxa"/>
          </w:tcPr>
          <w:p w14:paraId="68B2C392" w14:textId="03720676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1512" w:type="dxa"/>
          </w:tcPr>
          <w:p w14:paraId="2D059A93" w14:textId="486E7D63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512" w:type="dxa"/>
          </w:tcPr>
          <w:p w14:paraId="4B07B2DF" w14:textId="51CD125C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512" w:type="dxa"/>
          </w:tcPr>
          <w:p w14:paraId="0165FB11" w14:textId="434633A1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1512" w:type="dxa"/>
          </w:tcPr>
          <w:p w14:paraId="405D7DCA" w14:textId="77378A04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7</w:t>
            </w:r>
          </w:p>
        </w:tc>
      </w:tr>
      <w:tr w:rsidR="000B1A98" w14:paraId="37ED6E3F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D6E4F0"/>
          </w:tcPr>
          <w:p w14:paraId="2F0A5260" w14:textId="28B6B630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Cybersécurité</w:t>
            </w:r>
          </w:p>
        </w:tc>
        <w:tc>
          <w:tcPr>
            <w:tcW w:w="1512" w:type="dxa"/>
            <w:shd w:val="clear" w:color="auto" w:fill="D6E4F0"/>
          </w:tcPr>
          <w:p w14:paraId="3A06F209" w14:textId="0478174C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512" w:type="dxa"/>
            <w:shd w:val="clear" w:color="auto" w:fill="D6E4F0"/>
          </w:tcPr>
          <w:p w14:paraId="37800FD9" w14:textId="0E227982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512" w:type="dxa"/>
            <w:shd w:val="clear" w:color="auto" w:fill="D6E4F0"/>
          </w:tcPr>
          <w:p w14:paraId="46ECC3BC" w14:textId="5B9C1ADC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1512" w:type="dxa"/>
            <w:shd w:val="clear" w:color="auto" w:fill="D6E4F0"/>
          </w:tcPr>
          <w:p w14:paraId="041DDD37" w14:textId="0EBF5154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512" w:type="dxa"/>
            <w:shd w:val="clear" w:color="auto" w:fill="D6E4F0"/>
          </w:tcPr>
          <w:p w14:paraId="08BC3943" w14:textId="5C9FAA1A" w:rsidR="000B1A98" w:rsidRPr="000B1A98" w:rsidRDefault="000B1A98" w:rsidP="000B1A98">
            <w:pPr>
              <w:pStyle w:val="Titre1"/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7</w:t>
            </w:r>
          </w:p>
        </w:tc>
      </w:tr>
      <w:tr w:rsidR="000B1A98" w14:paraId="359CE33E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1F3864"/>
          </w:tcPr>
          <w:p w14:paraId="2AAB357D" w14:textId="744D9630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TOTAL</w:t>
            </w:r>
          </w:p>
        </w:tc>
        <w:tc>
          <w:tcPr>
            <w:tcW w:w="1512" w:type="dxa"/>
            <w:shd w:val="clear" w:color="auto" w:fill="1F3864"/>
          </w:tcPr>
          <w:p w14:paraId="052FC4A5" w14:textId="5F879B1C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11</w:t>
            </w:r>
          </w:p>
        </w:tc>
        <w:tc>
          <w:tcPr>
            <w:tcW w:w="1512" w:type="dxa"/>
            <w:shd w:val="clear" w:color="auto" w:fill="1F3864"/>
          </w:tcPr>
          <w:p w14:paraId="1497A551" w14:textId="70565BC2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3</w:t>
            </w:r>
          </w:p>
        </w:tc>
        <w:tc>
          <w:tcPr>
            <w:tcW w:w="1512" w:type="dxa"/>
            <w:shd w:val="clear" w:color="auto" w:fill="1F3864"/>
          </w:tcPr>
          <w:p w14:paraId="18ADD0D2" w14:textId="3C0B1278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3</w:t>
            </w:r>
          </w:p>
        </w:tc>
        <w:tc>
          <w:tcPr>
            <w:tcW w:w="1512" w:type="dxa"/>
            <w:shd w:val="clear" w:color="auto" w:fill="1F3864"/>
          </w:tcPr>
          <w:p w14:paraId="5F30CB33" w14:textId="0FD05C24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3</w:t>
            </w:r>
          </w:p>
        </w:tc>
        <w:tc>
          <w:tcPr>
            <w:tcW w:w="1512" w:type="dxa"/>
            <w:shd w:val="clear" w:color="auto" w:fill="1F3864"/>
          </w:tcPr>
          <w:p w14:paraId="6DF0453B" w14:textId="476B7CB0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20</w:t>
            </w:r>
          </w:p>
        </w:tc>
      </w:tr>
    </w:tbl>
    <w:p w14:paraId="1CC1E912" w14:textId="4992DD16" w:rsidR="000B1A98" w:rsidRDefault="000B1A98" w:rsidP="000B1A98">
      <w:pPr>
        <w:pStyle w:val="Titre1"/>
      </w:pPr>
    </w:p>
    <w:p w14:paraId="22385E59" w14:textId="77777777" w:rsidR="000B1A98" w:rsidRDefault="000B1A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2D07D9" w14:textId="77777777" w:rsidR="000B1A98" w:rsidRDefault="000B1A98" w:rsidP="000B1A98">
      <w:pPr>
        <w:pStyle w:val="Titre1"/>
      </w:pPr>
    </w:p>
    <w:p w14:paraId="2EE37CC8" w14:textId="77777777" w:rsidR="000B1A98" w:rsidRPr="000B1A98" w:rsidRDefault="000B1A98" w:rsidP="000B1A98">
      <w:pPr>
        <w:pStyle w:val="Titre1"/>
      </w:pPr>
      <w:r>
        <w:t>4.  Fiches de contrôles à Access Management</w:t>
      </w:r>
    </w:p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585471FF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647E3216" w14:textId="7D1865EC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NIS2-AM-01  à  Gestion des accès privilégiés</w:t>
            </w:r>
          </w:p>
        </w:tc>
      </w:tr>
      <w:tr w:rsidR="000B1A98" w14:paraId="16AF0F3A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AA63514" w14:textId="2C0B14DC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154F1A42" w14:textId="402BF4CB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Art.21(2)(i) – Politiques relatives au contrôle d'accès</w:t>
            </w:r>
          </w:p>
        </w:tc>
      </w:tr>
      <w:tr w:rsidR="000B1A98" w14:paraId="3F8B2A7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4E7CEDA" w14:textId="715AE46A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5BF77688" w14:textId="46F99A16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que les accès à privilèges (admin, root, DBA) font l'objet d'une revue trimestrielle et d'une approbation formelle.</w:t>
            </w:r>
          </w:p>
        </w:tc>
      </w:tr>
      <w:tr w:rsidR="000B1A98" w14:paraId="791B007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8E979D0" w14:textId="70992744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0FF30532" w14:textId="77777777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</w:p>
        </w:tc>
      </w:tr>
      <w:tr w:rsidR="000B1A98" w14:paraId="4B4E32C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BEDC301" w14:textId="3E843D69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0B5EB4E4" w14:textId="7234B996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16169D2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1FF76C8" w14:textId="6BC0A487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107C92C1" w14:textId="77777777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</w:p>
        </w:tc>
      </w:tr>
    </w:tbl>
    <w:p w14:paraId="735ED32A" w14:textId="4FE5686A" w:rsidR="000B1A98" w:rsidRDefault="000B1A98" w:rsidP="000B1A98">
      <w:pPr>
        <w:pStyle w:val="Titre1"/>
      </w:pPr>
    </w:p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1066A2AF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543856CC" w14:textId="6757128E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NIS2-AM-02  à  Authentification multifacteur (MFA)</w:t>
            </w:r>
          </w:p>
        </w:tc>
      </w:tr>
      <w:tr w:rsidR="000B1A98" w14:paraId="145301AE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C7BCD7E" w14:textId="126FB684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44874446" w14:textId="62B9B321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Art.21(2)(j) – Utilisation de l'authentification à plusieurs facteurs</w:t>
            </w:r>
          </w:p>
        </w:tc>
      </w:tr>
      <w:tr w:rsidR="000B1A98" w14:paraId="7C5141FE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F74384B" w14:textId="0919D647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38A0650C" w14:textId="3F3E1ABD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Contrôler la mise en œuvre du MFA pour tous les accès distants, VPN et interfaces d'administration.</w:t>
            </w:r>
          </w:p>
        </w:tc>
      </w:tr>
      <w:tr w:rsidR="000B1A98" w14:paraId="6D92FE1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45D95CC" w14:textId="4C94A04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25489BF0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4ED047C1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B2A58CD" w14:textId="7CD6631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629D7CF9" w14:textId="47A36CC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5BC2AA5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75D9526" w14:textId="638FD90A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4C2FAB12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12AD07BE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6BEBD26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57FBA4BD" w14:textId="1EF37BCD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NIS2-AM-03  à  Revue périodique des droits d'accès</w:t>
            </w:r>
          </w:p>
        </w:tc>
      </w:tr>
      <w:tr w:rsidR="000B1A98" w14:paraId="5DEDBE6E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0F3C143" w14:textId="7DE1395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324A0D52" w14:textId="4462B971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Art.21(2)(i) – Politiques relatives au contrôle d'accès</w:t>
            </w:r>
          </w:p>
        </w:tc>
      </w:tr>
      <w:tr w:rsidR="000B1A98" w14:paraId="33C1110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4AF7248" w14:textId="1A710C47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59BFF258" w14:textId="7DF0CCAA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S'assurer qu'une revue semestrielle des droits d'accès applicatifs et systèmes est formalisée et tracée.</w:t>
            </w:r>
          </w:p>
        </w:tc>
      </w:tr>
      <w:tr w:rsidR="000B1A98" w14:paraId="454AE5B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0B72B70" w14:textId="19E8A3E6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5E0A1EC2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1FEAC3B3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55BBD9A" w14:textId="0CE4781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0B859D28" w14:textId="33DEB88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1116CA2A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C627E66" w14:textId="025B0904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3997D6C3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5A356126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397E0CA3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385F4244" w14:textId="00338155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NIS2-AM-04  à  Gestion du cycle de vie des comptes</w:t>
            </w:r>
          </w:p>
        </w:tc>
      </w:tr>
      <w:tr w:rsidR="000B1A98" w14:paraId="0FF2C03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3B78C34" w14:textId="52F5488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238A6934" w14:textId="26ED7603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Art.21(2)(i) – Politiques relatives au contrôle d'accès</w:t>
            </w:r>
          </w:p>
        </w:tc>
      </w:tr>
      <w:tr w:rsidR="000B1A98" w14:paraId="39CA7AA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EC4CD07" w14:textId="7ED50DB4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0EFA7796" w14:textId="4E7BB092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que les procédures de création, modification et suppression de comptes sont documentées et appliquées (offboarding &lt; 24h).</w:t>
            </w:r>
          </w:p>
        </w:tc>
      </w:tr>
      <w:tr w:rsidR="000B1A98" w14:paraId="47E4F84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7D0253F" w14:textId="7A31A66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7731ADC9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65D9ECEA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6165440" w14:textId="5DC8D32B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DCDCDC"/>
          </w:tcPr>
          <w:p w14:paraId="11AAF086" w14:textId="7C5A033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N/A</w:t>
            </w:r>
          </w:p>
        </w:tc>
      </w:tr>
      <w:tr w:rsidR="000B1A98" w14:paraId="178F560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462BB99" w14:textId="243B4D92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0AC3E0AF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2BF0E5B8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63A863A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2EA74FAD" w14:textId="51888421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DORA-AM-01  à  Accès aux systèmes TIC critiques</w:t>
            </w:r>
          </w:p>
        </w:tc>
      </w:tr>
      <w:tr w:rsidR="000B1A98" w14:paraId="29F5006D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E040CA1" w14:textId="7D41CB4A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0C656C36" w14:textId="6020C5E6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Art.9(4)(a) – Gestion des accès et contrôle des droits</w:t>
            </w:r>
          </w:p>
        </w:tc>
      </w:tr>
      <w:tr w:rsidR="000B1A98" w14:paraId="68C13D0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71E20E7" w14:textId="6454F7A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19E10674" w14:textId="2AAE69A3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Contrôler que l'accès aux systèmes TIC critiques est restreint selon le principe du moindre privilège et documenté dans le registre des actifs.</w:t>
            </w:r>
          </w:p>
        </w:tc>
      </w:tr>
      <w:tr w:rsidR="000B1A98" w14:paraId="5FC56BD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84EE173" w14:textId="0017582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652BE38C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2796F516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3C70C38" w14:textId="1A9C892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FFEB9C"/>
          </w:tcPr>
          <w:p w14:paraId="762C9682" w14:textId="0246B2F5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Observation</w:t>
            </w:r>
          </w:p>
        </w:tc>
      </w:tr>
      <w:tr w:rsidR="000B1A98" w14:paraId="7BA448E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5450A35" w14:textId="6D4BFF97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24A57C75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4B691511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7203778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0A6F7C62" w14:textId="0EBC04C4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DORA-AM-02  à  Journalisation des accès administrateurs</w:t>
            </w:r>
          </w:p>
        </w:tc>
      </w:tr>
      <w:tr w:rsidR="000B1A98" w14:paraId="31344DC6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A0DF554" w14:textId="5E0F89D3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5489454C" w14:textId="15274D74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Art.9(4)(c) – Politiques et mesures de sécurité des TIC</w:t>
            </w:r>
          </w:p>
        </w:tc>
      </w:tr>
      <w:tr w:rsidR="000B1A98" w14:paraId="1896CA06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E98849D" w14:textId="1FD320E7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7C245326" w14:textId="01A1F585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que tous les accès administrateurs aux systèmes critiques sont journalisés, horodatés et conservés selon la politique de rétention.</w:t>
            </w:r>
          </w:p>
        </w:tc>
      </w:tr>
      <w:tr w:rsidR="000B1A98" w14:paraId="79F6CA2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BD10D56" w14:textId="3D549A4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4DF98F2F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1FB85D9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BB5157B" w14:textId="71AE662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FFEB9C"/>
          </w:tcPr>
          <w:p w14:paraId="3D05B9DE" w14:textId="4A92213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Observation</w:t>
            </w:r>
          </w:p>
        </w:tc>
      </w:tr>
      <w:tr w:rsidR="000B1A98" w14:paraId="5F45D06A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EEBC29F" w14:textId="631016A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35963A42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6D48BA8F" w14:textId="77777777" w:rsidR="000B1A98" w:rsidRDefault="000B1A98" w:rsidP="000B1A98"/>
    <w:p w14:paraId="384FE2A1" w14:textId="6BB603FE" w:rsidR="000B1A98" w:rsidRDefault="000B1A98">
      <w:r>
        <w:br w:type="page"/>
      </w:r>
    </w:p>
    <w:p w14:paraId="40C40861" w14:textId="77777777" w:rsidR="000B1A98" w:rsidRDefault="000B1A98" w:rsidP="000B1A98"/>
    <w:p w14:paraId="5117A2C7" w14:textId="77777777" w:rsidR="000B1A98" w:rsidRPr="000B1A98" w:rsidRDefault="000B1A98" w:rsidP="000B1A98">
      <w:pPr>
        <w:pStyle w:val="Titre1"/>
      </w:pPr>
      <w:r>
        <w:t>5.  Fiches de contrôles à Sécurité Opérationnelle</w:t>
      </w:r>
    </w:p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38C3005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1BC391F4" w14:textId="78D059C9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NIS2-SO-01  à  Gestion des correctifs (Patch Management)</w:t>
            </w:r>
          </w:p>
        </w:tc>
      </w:tr>
      <w:tr w:rsidR="000B1A98" w14:paraId="7F98FA5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BF06352" w14:textId="6C1176D8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401EFB3C" w14:textId="75091C00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Art.21(2)(e) – Sécurité dans l'acquisition, le développement et la maintenance</w:t>
            </w:r>
          </w:p>
        </w:tc>
      </w:tr>
      <w:tr w:rsidR="000B1A98" w14:paraId="60D5134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AC90219" w14:textId="79841C9D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7C6243EF" w14:textId="5C4AB389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Contrôler l'existence d'une procédure de gestion des correctifs avec SLA définis (critique &lt; 72h, haut &lt; 30j) et traçabilité des déploiements.</w:t>
            </w:r>
          </w:p>
        </w:tc>
      </w:tr>
      <w:tr w:rsidR="000B1A98" w14:paraId="5E5B875A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9512A30" w14:textId="38D67C64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69CC5165" w14:textId="77777777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</w:p>
        </w:tc>
      </w:tr>
      <w:tr w:rsidR="000B1A98" w14:paraId="14253C0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864649A" w14:textId="176ED834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3E747124" w14:textId="12690E7F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39B5E44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37CE375" w14:textId="635DDC2D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192EF691" w14:textId="77777777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</w:p>
        </w:tc>
      </w:tr>
    </w:tbl>
    <w:p w14:paraId="12DCF50A" w14:textId="49DD7D2A" w:rsidR="000B1A98" w:rsidRDefault="000B1A98" w:rsidP="000B1A98">
      <w:pPr>
        <w:pStyle w:val="Titre1"/>
      </w:pPr>
    </w:p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3F74109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674AE65B" w14:textId="0B38EAAA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NIS2-SO-02  à  Détection et réponse aux incidents</w:t>
            </w:r>
          </w:p>
        </w:tc>
      </w:tr>
      <w:tr w:rsidR="000B1A98" w14:paraId="7A2EF18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2AD6165" w14:textId="218F41AB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307E5927" w14:textId="0FD702A8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Art.21(2)(b) – Gestion des incidents</w:t>
            </w:r>
          </w:p>
        </w:tc>
      </w:tr>
      <w:tr w:rsidR="000B1A98" w14:paraId="22ACE46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5F3AE83" w14:textId="468DB016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207AD0E7" w14:textId="44A919A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que des procédures de détection, classification et notification des incidents sont en place et testées annuellement.</w:t>
            </w:r>
          </w:p>
        </w:tc>
      </w:tr>
      <w:tr w:rsidR="000B1A98" w14:paraId="19D012B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DC2AC30" w14:textId="2649F775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1054A1CE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568E214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E699BEA" w14:textId="7EA70A88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148F3FC5" w14:textId="694C0B1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14CB4E03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59FDA9E" w14:textId="2552BC7D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0092A4DC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502A5CBA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451AF19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0CCA39E0" w14:textId="07CC48EA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NIS2-SO-03  à  Sauvegardes et restauration</w:t>
            </w:r>
          </w:p>
        </w:tc>
      </w:tr>
      <w:tr w:rsidR="000B1A98" w14:paraId="7EC9F68D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5B3C018" w14:textId="4315E344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4BDD2B11" w14:textId="39BC92A0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Art.21(2)(c) – Continuité des activités et gestion des crises</w:t>
            </w:r>
          </w:p>
        </w:tc>
      </w:tr>
      <w:tr w:rsidR="000B1A98" w14:paraId="79D0DD6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5047516" w14:textId="1251E5A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370C9C31" w14:textId="6AE53114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S'assurer que les sauvegardes sont réalisées selon la politique 3-2-1, chiffrées, et qu'un test de restauration est effectué au moins annuellement.</w:t>
            </w:r>
          </w:p>
        </w:tc>
      </w:tr>
      <w:tr w:rsidR="000B1A98" w14:paraId="38B39F11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CCB0EA3" w14:textId="7598C98B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74FD690A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0D7157F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DEA2185" w14:textId="0178CE5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7A14DD0E" w14:textId="128F8D6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504F24F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047D47A" w14:textId="2831A1E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6EAF25EF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4924EBD0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7FC6C66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235144BD" w14:textId="01082243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NIS2-SO-04  à  Gestion de la continuité d'activité</w:t>
            </w:r>
          </w:p>
        </w:tc>
      </w:tr>
      <w:tr w:rsidR="000B1A98" w14:paraId="423C574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7B70D2E" w14:textId="30171D36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14815F93" w14:textId="01C8754B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Art.21(2)(c) – Continuité des activités et gestion des crises</w:t>
            </w:r>
          </w:p>
        </w:tc>
      </w:tr>
      <w:tr w:rsidR="000B1A98" w14:paraId="1C336DB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FED2692" w14:textId="0248609B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67ED7877" w14:textId="2DAEC56F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l'existence d'un PCA/PRA formalisé, validé par la direction, avec des RTO/RPO définis et testés.</w:t>
            </w:r>
          </w:p>
        </w:tc>
      </w:tr>
      <w:tr w:rsidR="000B1A98" w14:paraId="045B57A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C058C7A" w14:textId="24D8FF1D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7BEB1396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6253A2C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F3E8CBE" w14:textId="33BFB02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5DAA1E27" w14:textId="5BD665C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4D23E0D6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D9943C7" w14:textId="4B0A968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3BC9F0B3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60FABB19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64FE89E6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0B6CB8E9" w14:textId="0953351A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DORA-SO-01  à  Tests de résilience opérationnelle</w:t>
            </w:r>
          </w:p>
        </w:tc>
      </w:tr>
      <w:tr w:rsidR="000B1A98" w14:paraId="51AD77B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3FD32CB" w14:textId="5828DDF7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73926159" w14:textId="32D83D6C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Art.24 – Tests de résilience opérationnelle numérique avancés</w:t>
            </w:r>
          </w:p>
        </w:tc>
      </w:tr>
      <w:tr w:rsidR="000B1A98" w14:paraId="4826EA0D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6D7506D" w14:textId="2CB93945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0D351302" w14:textId="58D6C828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Contrôler que des tests de résilience (TLPT ou équivalent) sont planifiés et que les résultats sont documentés et transmis à la direction.</w:t>
            </w:r>
          </w:p>
        </w:tc>
      </w:tr>
      <w:tr w:rsidR="000B1A98" w14:paraId="20C04753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7EDC2A7" w14:textId="42C99A4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1751308D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2692623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B7CF42D" w14:textId="4B31217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53B01E97" w14:textId="36DC98A2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3F40732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8CDDBC0" w14:textId="47D85B9D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6C742871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0FDADF4E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22F16AEE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5821C78E" w14:textId="79350526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DORA-SO-02  à  Surveillance de la chaîne d'approvisionnement TIC</w:t>
            </w:r>
          </w:p>
        </w:tc>
      </w:tr>
      <w:tr w:rsidR="000B1A98" w14:paraId="17EB3A1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29FFCDC" w14:textId="021373B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6EB459F0" w14:textId="3F4C07E1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Art.28 – Principes généraux de gestion des risques liés aux tiers TIC</w:t>
            </w:r>
          </w:p>
        </w:tc>
      </w:tr>
      <w:tr w:rsidR="000B1A98" w14:paraId="1169D1F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62109A2" w14:textId="62D723F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2C7B4DF1" w14:textId="728CD5A2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que les prestataires TIC tiers critiques sont identifiés dans un registre et font l'objet d'une évaluation des risques annuelle.</w:t>
            </w:r>
          </w:p>
        </w:tc>
      </w:tr>
      <w:tr w:rsidR="000B1A98" w14:paraId="0871DB3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3A8F282" w14:textId="1FECAC8D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236C2FC8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5388034D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2F43C87" w14:textId="55A46B12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FFEB9C"/>
          </w:tcPr>
          <w:p w14:paraId="3EC2D591" w14:textId="1FAC872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Observation</w:t>
            </w:r>
          </w:p>
        </w:tc>
      </w:tr>
      <w:tr w:rsidR="000B1A98" w14:paraId="1A49CC7D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3F382D5" w14:textId="38CAA9E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4FEEE165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65F5FE95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3D06CBD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05FC599F" w14:textId="546E4CAB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DORA-SO-03  à  Notification des incidents TIC majeurs</w:t>
            </w:r>
          </w:p>
        </w:tc>
      </w:tr>
      <w:tr w:rsidR="000B1A98" w14:paraId="735D946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8C65E27" w14:textId="26802DF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7D16EBB6" w14:textId="1E6F26A8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Art.19 – Classification des incidents liés aux TIC et cyber-menaces</w:t>
            </w:r>
          </w:p>
        </w:tc>
      </w:tr>
      <w:tr w:rsidR="000B1A98" w14:paraId="5FAA0223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81269C3" w14:textId="292AC60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257048EA" w14:textId="68FC1A4A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S'assurer que la procédure de notification des incidents TIC majeurs (ACPR/BCE) est documentée et respecte les délais réglementaires (4h/24h/72h).</w:t>
            </w:r>
          </w:p>
        </w:tc>
      </w:tr>
      <w:tr w:rsidR="000B1A98" w14:paraId="689A449F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820DD59" w14:textId="2A896C9D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3FD850A3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3268CCFF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1476593" w14:textId="751893C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FFC7CE"/>
          </w:tcPr>
          <w:p w14:paraId="2B107BC4" w14:textId="4AEB3EB2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Non-Conforme</w:t>
            </w:r>
          </w:p>
        </w:tc>
      </w:tr>
      <w:tr w:rsidR="000B1A98" w14:paraId="052EC0E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98D19DA" w14:textId="3DD10C0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3525C621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7CFA57B8" w14:textId="77777777" w:rsidR="000B1A98" w:rsidRDefault="000B1A98" w:rsidP="000B1A98"/>
    <w:p w14:paraId="78CB1FD0" w14:textId="239060E8" w:rsidR="000B1A98" w:rsidRDefault="000B1A98">
      <w:r>
        <w:br w:type="page"/>
      </w:r>
    </w:p>
    <w:p w14:paraId="74E25EF2" w14:textId="77777777" w:rsidR="000B1A98" w:rsidRDefault="000B1A98" w:rsidP="000B1A98"/>
    <w:p w14:paraId="60276307" w14:textId="77777777" w:rsidR="000B1A98" w:rsidRPr="000B1A98" w:rsidRDefault="000B1A98" w:rsidP="000B1A98">
      <w:pPr>
        <w:pStyle w:val="Titre1"/>
      </w:pPr>
      <w:r>
        <w:t>6.  Fiches de contrôles à CyberSécurité</w:t>
      </w:r>
    </w:p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4C934A5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5E35AF4F" w14:textId="391EFA35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NIS2-CY-01  à  Chiffrement des données sensibles</w:t>
            </w:r>
          </w:p>
        </w:tc>
      </w:tr>
      <w:tr w:rsidR="000B1A98" w14:paraId="30AFDFC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9986B09" w14:textId="7471A33C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774F1A46" w14:textId="469028C9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Art.21(2)(h) – Politiques relatives à la cryptographie et au chiffrement</w:t>
            </w:r>
          </w:p>
        </w:tc>
      </w:tr>
      <w:tr w:rsidR="000B1A98" w14:paraId="0A6D78A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6278703" w14:textId="237987C1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15737C1F" w14:textId="0859BDB3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Contrôler que les données sensibles au repos et en transit sont chiffrées selon des standards à jour (AES-256, TLS 1.2+).</w:t>
            </w:r>
          </w:p>
        </w:tc>
      </w:tr>
      <w:tr w:rsidR="000B1A98" w14:paraId="5216313A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4BB15EF" w14:textId="75CF338C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38453530" w14:textId="77777777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</w:p>
        </w:tc>
      </w:tr>
      <w:tr w:rsidR="000B1A98" w14:paraId="681C17C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86B6027" w14:textId="28F9728E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DCDCDC"/>
          </w:tcPr>
          <w:p w14:paraId="0A548918" w14:textId="04AC6C42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N/A</w:t>
            </w:r>
          </w:p>
        </w:tc>
      </w:tr>
      <w:tr w:rsidR="000B1A98" w14:paraId="729A336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8C97175" w14:textId="65C1DC11" w:rsidR="000B1A98" w:rsidRPr="000B1A98" w:rsidRDefault="000B1A98" w:rsidP="000B1A98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03125D84" w14:textId="77777777" w:rsidR="000B1A98" w:rsidRPr="000B1A98" w:rsidRDefault="000B1A98" w:rsidP="000B1A98">
            <w:pPr>
              <w:pStyle w:val="Titre1"/>
              <w:rPr>
                <w:rFonts w:ascii="Arial" w:hAnsi="Arial" w:cs="Arial"/>
                <w:sz w:val="16"/>
              </w:rPr>
            </w:pPr>
          </w:p>
        </w:tc>
      </w:tr>
    </w:tbl>
    <w:p w14:paraId="547B63D9" w14:textId="008A994A" w:rsidR="000B1A98" w:rsidRDefault="000B1A98" w:rsidP="000B1A98">
      <w:pPr>
        <w:pStyle w:val="Titre1"/>
      </w:pPr>
    </w:p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65AED3D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2D2B0014" w14:textId="55486065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NIS2-CY-02  à  Sécurité de la chaîne d'approvisionnement</w:t>
            </w:r>
          </w:p>
        </w:tc>
      </w:tr>
      <w:tr w:rsidR="000B1A98" w14:paraId="3A97A30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F027B88" w14:textId="54A6F927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1D49FDBB" w14:textId="24B12DAD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Art.21(2)(d) – Sécurité de la chaîne d'approvisionnement</w:t>
            </w:r>
          </w:p>
        </w:tc>
      </w:tr>
      <w:tr w:rsidR="000B1A98" w14:paraId="54F2F146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65566C8" w14:textId="3C321DE4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7554E570" w14:textId="69B177B6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que les prestataires et fournisseurs font l'objet d'une évaluation sécurité lors de l'entrée en relation et périodiquement.</w:t>
            </w:r>
          </w:p>
        </w:tc>
      </w:tr>
      <w:tr w:rsidR="000B1A98" w14:paraId="7DCA35B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71EE060" w14:textId="584A70A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46928377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1BB85DC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17C4E67" w14:textId="3AD1D52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DCDCDC"/>
          </w:tcPr>
          <w:p w14:paraId="28D8AED8" w14:textId="1EEBCC88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N/A</w:t>
            </w:r>
          </w:p>
        </w:tc>
      </w:tr>
      <w:tr w:rsidR="000B1A98" w14:paraId="3D30DE5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AF15AF5" w14:textId="57124530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683B1210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654DC860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341BFC1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3CB2D82D" w14:textId="2CB43AC8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NIS2-CY-03  à  Sensibilisation et formation à la cybersécurité</w:t>
            </w:r>
          </w:p>
        </w:tc>
      </w:tr>
      <w:tr w:rsidR="000B1A98" w14:paraId="6B0B163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0A375C5" w14:textId="193FCA0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09E9D7DE" w14:textId="3F36FB76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Art.21(2)(g) – Pratiques de base en matière de cyber-hygiène et formation</w:t>
            </w:r>
          </w:p>
        </w:tc>
      </w:tr>
      <w:tr w:rsidR="000B1A98" w14:paraId="5EF1536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235F5EFF" w14:textId="3B59B42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1CCC2698" w14:textId="7B625280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S'assurer qu'un programme de sensibilisation annuel est déployé pour l'ensemble du personnel, avec traçabilité des formations réalisées.</w:t>
            </w:r>
          </w:p>
        </w:tc>
      </w:tr>
      <w:tr w:rsidR="000B1A98" w14:paraId="4C05841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B19B3D7" w14:textId="0603FA2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541530FF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598517B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AA893CA" w14:textId="619F80C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003A596B" w14:textId="3F1B51D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1E2DA2BF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1EBAA03" w14:textId="16207EC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28E617D9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405BE0B0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275F341A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21CBED66" w14:textId="53895693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NIS2-CY-04  à  Gestion des vulnérabilités</w:t>
            </w:r>
          </w:p>
        </w:tc>
      </w:tr>
      <w:tr w:rsidR="000B1A98" w14:paraId="4492B9F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A5E9F51" w14:textId="56CB24C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6B12A00B" w14:textId="4A4F15A0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NIS2 Art.21(2)(e) – Sécurité dans l'acquisition, le développement et la maintenance</w:t>
            </w:r>
          </w:p>
        </w:tc>
      </w:tr>
      <w:tr w:rsidR="000B1A98" w14:paraId="7E54E18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BF5D947" w14:textId="56FD7676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319D65BD" w14:textId="54B676D1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Contrôler l'existence d'un processus de scan de vulnérabilités régulier (mensuel minimum) et de traitement des CVE critiques dans les délais.</w:t>
            </w:r>
          </w:p>
        </w:tc>
      </w:tr>
      <w:tr w:rsidR="000B1A98" w14:paraId="5D7A7A0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95D8231" w14:textId="76F9039E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33584C79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7FF5321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EA91220" w14:textId="4A0CC07B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77292173" w14:textId="664100BA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6438E7AF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C8F52D3" w14:textId="66C5DBCD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21696AF4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04DE099C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4387A981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098EBA24" w14:textId="340D7E88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DORA-CY-01  à  Politique de sécurité des TIC</w:t>
            </w:r>
          </w:p>
        </w:tc>
      </w:tr>
      <w:tr w:rsidR="000B1A98" w14:paraId="31F01D8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67E9D11" w14:textId="04BBE407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025C81E7" w14:textId="372791FF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Art.9 – Protection et prévention</w:t>
            </w:r>
          </w:p>
        </w:tc>
      </w:tr>
      <w:tr w:rsidR="000B1A98" w14:paraId="0ABC0640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3A9E776" w14:textId="0418B8F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082190C8" w14:textId="437D4AC0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Vérifier qu'une politique de sécurité des TIC formalisée, approuvée par l'organe de direction, est en vigueur et révisée annuellement.</w:t>
            </w:r>
          </w:p>
        </w:tc>
      </w:tr>
      <w:tr w:rsidR="000B1A98" w14:paraId="0E1803A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A488490" w14:textId="38A9923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7B1274CE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60EC064E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4A506758" w14:textId="5C5B72D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FFC7CE"/>
          </w:tcPr>
          <w:p w14:paraId="099980BA" w14:textId="3B509B2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Non-Conforme</w:t>
            </w:r>
          </w:p>
        </w:tc>
      </w:tr>
      <w:tr w:rsidR="000B1A98" w14:paraId="3BE1B85D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59BADB04" w14:textId="1E5D489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70710BE1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1B8C8122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1FCBF29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7B9F0D3E" w14:textId="278E51C0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DORA-CY-02  à  Classification des actifs TIC</w:t>
            </w:r>
          </w:p>
        </w:tc>
      </w:tr>
      <w:tr w:rsidR="000B1A98" w14:paraId="0BA9B3BC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E258601" w14:textId="19E302B4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3092D2B2" w14:textId="34EB769A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Art.8 – Identification</w:t>
            </w:r>
          </w:p>
        </w:tc>
      </w:tr>
      <w:tr w:rsidR="000B1A98" w14:paraId="2F3DC84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860E833" w14:textId="4831C92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08B8A926" w14:textId="38FF1438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S'assurer que tous les actifs TIC sont inventoriés, classifiés selon leur criticité et que l'inventaire est maintenu à jour (revue annuelle minimum).</w:t>
            </w:r>
          </w:p>
        </w:tc>
      </w:tr>
      <w:tr w:rsidR="000B1A98" w14:paraId="48B5F9AE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0386151" w14:textId="2CB77885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3DFA5C5C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0006A58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08387443" w14:textId="1597476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FFC7CE"/>
          </w:tcPr>
          <w:p w14:paraId="78D0DEF7" w14:textId="679C1AE1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Non-Conforme</w:t>
            </w:r>
          </w:p>
        </w:tc>
      </w:tr>
      <w:tr w:rsidR="000B1A98" w14:paraId="0C77D6F7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A086F21" w14:textId="6AC0145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509C04FA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01C3D708" w14:textId="77777777" w:rsidR="000B1A98" w:rsidRDefault="000B1A98" w:rsidP="000B1A98"/>
    <w:tbl>
      <w:tblPr>
        <w:tblW w:w="9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B1A98" w14:paraId="08883311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864"/>
          </w:tcPr>
          <w:p w14:paraId="1987C473" w14:textId="5CD1F67E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DORA-CY-03  à  Plan de réponse aux cyber-incidents</w:t>
            </w:r>
          </w:p>
        </w:tc>
      </w:tr>
      <w:tr w:rsidR="000B1A98" w14:paraId="2ED9CEA8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C1BCAFF" w14:textId="7DEA175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Référence réglementaire</w:t>
            </w:r>
          </w:p>
        </w:tc>
        <w:tc>
          <w:tcPr>
            <w:tcW w:w="7200" w:type="dxa"/>
          </w:tcPr>
          <w:p w14:paraId="01477ED8" w14:textId="188F319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DORA Art.18 – Gestion, classification et notification des incidents liés aux TIC</w:t>
            </w:r>
          </w:p>
        </w:tc>
      </w:tr>
      <w:tr w:rsidR="000B1A98" w14:paraId="2E5BE67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74D9C09F" w14:textId="486E296C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Description / Procédure de test</w:t>
            </w:r>
          </w:p>
        </w:tc>
        <w:tc>
          <w:tcPr>
            <w:tcW w:w="7200" w:type="dxa"/>
          </w:tcPr>
          <w:p w14:paraId="60BF84F0" w14:textId="4537FD95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  <w:r w:rsidRPr="000B1A98">
              <w:rPr>
                <w:rFonts w:ascii="Arial" w:hAnsi="Arial" w:cs="Arial"/>
                <w:sz w:val="16"/>
              </w:rPr>
              <w:t>Contrôler l'existence d'un plan de réponse aux cyber-incidents formalisé, avec rôles et responsabilités définis, testé au moins annuellement.</w:t>
            </w:r>
          </w:p>
        </w:tc>
      </w:tr>
      <w:tr w:rsidR="000B1A98" w14:paraId="679E472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16A4758A" w14:textId="100825CF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Intervenant / Responsable</w:t>
            </w:r>
          </w:p>
        </w:tc>
        <w:tc>
          <w:tcPr>
            <w:tcW w:w="7200" w:type="dxa"/>
          </w:tcPr>
          <w:p w14:paraId="3E3DE59B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  <w:tr w:rsidR="000B1A98" w14:paraId="21A8BAD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3E1D30FC" w14:textId="239F2029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Statut</w:t>
            </w:r>
          </w:p>
        </w:tc>
        <w:tc>
          <w:tcPr>
            <w:tcW w:w="7200" w:type="dxa"/>
            <w:shd w:val="clear" w:color="auto" w:fill="C6EFCE"/>
          </w:tcPr>
          <w:p w14:paraId="00ED10C3" w14:textId="2AA193F2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Conforme</w:t>
            </w:r>
          </w:p>
        </w:tc>
      </w:tr>
      <w:tr w:rsidR="000B1A98" w14:paraId="141E2951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6E4F0"/>
          </w:tcPr>
          <w:p w14:paraId="6113C3AF" w14:textId="13B57698" w:rsidR="000B1A98" w:rsidRPr="000B1A98" w:rsidRDefault="000B1A98" w:rsidP="000B1A98">
            <w:pPr>
              <w:rPr>
                <w:rFonts w:ascii="Arial" w:hAnsi="Arial" w:cs="Arial"/>
                <w:b/>
                <w:sz w:val="16"/>
              </w:rPr>
            </w:pPr>
            <w:r w:rsidRPr="000B1A98">
              <w:rPr>
                <w:rFonts w:ascii="Arial" w:hAnsi="Arial" w:cs="Arial"/>
                <w:b/>
                <w:sz w:val="16"/>
              </w:rPr>
              <w:t>Constatations / Preuves collectées</w:t>
            </w:r>
          </w:p>
        </w:tc>
        <w:tc>
          <w:tcPr>
            <w:tcW w:w="7200" w:type="dxa"/>
          </w:tcPr>
          <w:p w14:paraId="4E46FB29" w14:textId="77777777" w:rsidR="000B1A98" w:rsidRPr="000B1A98" w:rsidRDefault="000B1A98" w:rsidP="000B1A98">
            <w:pPr>
              <w:rPr>
                <w:rFonts w:ascii="Arial" w:hAnsi="Arial" w:cs="Arial"/>
                <w:sz w:val="16"/>
              </w:rPr>
            </w:pPr>
          </w:p>
        </w:tc>
      </w:tr>
    </w:tbl>
    <w:p w14:paraId="76444795" w14:textId="77777777" w:rsidR="000B1A98" w:rsidRDefault="000B1A98" w:rsidP="000B1A98"/>
    <w:p w14:paraId="395F1813" w14:textId="102B650D" w:rsidR="000B1A98" w:rsidRDefault="000B1A98">
      <w:r>
        <w:br w:type="page"/>
      </w:r>
    </w:p>
    <w:p w14:paraId="6BD05686" w14:textId="77777777" w:rsidR="000B1A98" w:rsidRDefault="000B1A98" w:rsidP="000B1A98"/>
    <w:p w14:paraId="7A5CF1F9" w14:textId="5ABBD5A4" w:rsidR="000B1A98" w:rsidRDefault="000B1A98" w:rsidP="000B1A98">
      <w:pPr>
        <w:pStyle w:val="Titre1"/>
      </w:pPr>
      <w:r>
        <w:t>7.  Plan d'actions recommandées</w:t>
      </w:r>
    </w:p>
    <w:p w14:paraId="5CA41943" w14:textId="1E6A125B" w:rsidR="000B1A98" w:rsidRDefault="000B1A98" w:rsidP="000B1A98">
      <w:pPr>
        <w:rPr>
          <w:rFonts w:ascii="Arial" w:hAnsi="Arial" w:cs="Arial"/>
          <w:sz w:val="20"/>
        </w:rPr>
      </w:pPr>
      <w:r w:rsidRPr="000B1A98">
        <w:rPr>
          <w:rFonts w:ascii="Arial" w:hAnsi="Arial" w:cs="Arial"/>
          <w:sz w:val="20"/>
        </w:rPr>
        <w:t>Recensement des non-conformités et observations avec recommandations associées.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B1A98" w14:paraId="1B821B9B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3864"/>
          </w:tcPr>
          <w:p w14:paraId="0619C659" w14:textId="0872DB77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Réf.</w:t>
            </w:r>
          </w:p>
        </w:tc>
        <w:tc>
          <w:tcPr>
            <w:tcW w:w="2268" w:type="dxa"/>
            <w:shd w:val="clear" w:color="auto" w:fill="1F3864"/>
          </w:tcPr>
          <w:p w14:paraId="25DAE66D" w14:textId="395A1875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Intitulé</w:t>
            </w:r>
          </w:p>
        </w:tc>
        <w:tc>
          <w:tcPr>
            <w:tcW w:w="2268" w:type="dxa"/>
            <w:shd w:val="clear" w:color="auto" w:fill="1F3864"/>
          </w:tcPr>
          <w:p w14:paraId="59C6AFE0" w14:textId="50690B22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Statut</w:t>
            </w:r>
          </w:p>
        </w:tc>
        <w:tc>
          <w:tcPr>
            <w:tcW w:w="2268" w:type="dxa"/>
            <w:shd w:val="clear" w:color="auto" w:fill="1F3864"/>
          </w:tcPr>
          <w:p w14:paraId="3655FAC5" w14:textId="68DCEDE4" w:rsidR="000B1A98" w:rsidRPr="000B1A98" w:rsidRDefault="000B1A98" w:rsidP="000B1A98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0B1A98">
              <w:rPr>
                <w:rFonts w:ascii="Arial" w:hAnsi="Arial" w:cs="Arial"/>
                <w:b/>
                <w:color w:val="FFFFFF"/>
                <w:sz w:val="18"/>
              </w:rPr>
              <w:t>Recommandation / Plan d'action</w:t>
            </w:r>
          </w:p>
        </w:tc>
      </w:tr>
      <w:tr w:rsidR="000B1A98" w14:paraId="219E048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969BA16" w14:textId="7E9F3C29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DORA-AM-01</w:t>
            </w:r>
          </w:p>
        </w:tc>
        <w:tc>
          <w:tcPr>
            <w:tcW w:w="2268" w:type="dxa"/>
          </w:tcPr>
          <w:p w14:paraId="1814C15A" w14:textId="3DD3E628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Accès aux systèmes TIC critiques</w:t>
            </w:r>
          </w:p>
        </w:tc>
        <w:tc>
          <w:tcPr>
            <w:tcW w:w="2268" w:type="dxa"/>
            <w:shd w:val="clear" w:color="auto" w:fill="FFEB9C"/>
          </w:tcPr>
          <w:p w14:paraId="6F4A47A0" w14:textId="053170B7" w:rsidR="000B1A98" w:rsidRPr="000B1A98" w:rsidRDefault="000B1A98" w:rsidP="000B1A98">
            <w:pPr>
              <w:rPr>
                <w:rFonts w:ascii="Arial" w:hAnsi="Arial" w:cs="Arial"/>
                <w:b/>
                <w:sz w:val="18"/>
              </w:rPr>
            </w:pPr>
            <w:r w:rsidRPr="000B1A98">
              <w:rPr>
                <w:rFonts w:ascii="Arial" w:hAnsi="Arial" w:cs="Arial"/>
                <w:b/>
                <w:sz w:val="18"/>
              </w:rPr>
              <w:t>Observation</w:t>
            </w:r>
          </w:p>
        </w:tc>
        <w:tc>
          <w:tcPr>
            <w:tcW w:w="2268" w:type="dxa"/>
          </w:tcPr>
          <w:p w14:paraId="0FAAAC3B" w14:textId="77777777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</w:p>
        </w:tc>
      </w:tr>
      <w:tr w:rsidR="000B1A98" w14:paraId="585119B4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61FEE74" w14:textId="54BDCA56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DORA-AM-02</w:t>
            </w:r>
          </w:p>
        </w:tc>
        <w:tc>
          <w:tcPr>
            <w:tcW w:w="2268" w:type="dxa"/>
          </w:tcPr>
          <w:p w14:paraId="520BC250" w14:textId="10082561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Journalisation des accès administrateurs</w:t>
            </w:r>
          </w:p>
        </w:tc>
        <w:tc>
          <w:tcPr>
            <w:tcW w:w="2268" w:type="dxa"/>
            <w:shd w:val="clear" w:color="auto" w:fill="FFEB9C"/>
          </w:tcPr>
          <w:p w14:paraId="282A5FAA" w14:textId="238EAF70" w:rsidR="000B1A98" w:rsidRPr="000B1A98" w:rsidRDefault="000B1A98" w:rsidP="000B1A98">
            <w:pPr>
              <w:rPr>
                <w:rFonts w:ascii="Arial" w:hAnsi="Arial" w:cs="Arial"/>
                <w:b/>
                <w:sz w:val="18"/>
              </w:rPr>
            </w:pPr>
            <w:r w:rsidRPr="000B1A98">
              <w:rPr>
                <w:rFonts w:ascii="Arial" w:hAnsi="Arial" w:cs="Arial"/>
                <w:b/>
                <w:sz w:val="18"/>
              </w:rPr>
              <w:t>Observation</w:t>
            </w:r>
          </w:p>
        </w:tc>
        <w:tc>
          <w:tcPr>
            <w:tcW w:w="2268" w:type="dxa"/>
          </w:tcPr>
          <w:p w14:paraId="7CA4C61C" w14:textId="77777777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</w:p>
        </w:tc>
      </w:tr>
      <w:tr w:rsidR="000B1A98" w14:paraId="7731D9F1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A540035" w14:textId="33ED342E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DORA-SO-02</w:t>
            </w:r>
          </w:p>
        </w:tc>
        <w:tc>
          <w:tcPr>
            <w:tcW w:w="2268" w:type="dxa"/>
          </w:tcPr>
          <w:p w14:paraId="4398C7B9" w14:textId="2DF7900B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Surveillance de la chaîne d'approvisionnement TIC</w:t>
            </w:r>
          </w:p>
        </w:tc>
        <w:tc>
          <w:tcPr>
            <w:tcW w:w="2268" w:type="dxa"/>
            <w:shd w:val="clear" w:color="auto" w:fill="FFEB9C"/>
          </w:tcPr>
          <w:p w14:paraId="5732CF36" w14:textId="0D5DCCD7" w:rsidR="000B1A98" w:rsidRPr="000B1A98" w:rsidRDefault="000B1A98" w:rsidP="000B1A98">
            <w:pPr>
              <w:rPr>
                <w:rFonts w:ascii="Arial" w:hAnsi="Arial" w:cs="Arial"/>
                <w:b/>
                <w:sz w:val="18"/>
              </w:rPr>
            </w:pPr>
            <w:r w:rsidRPr="000B1A98">
              <w:rPr>
                <w:rFonts w:ascii="Arial" w:hAnsi="Arial" w:cs="Arial"/>
                <w:b/>
                <w:sz w:val="18"/>
              </w:rPr>
              <w:t>Observation</w:t>
            </w:r>
          </w:p>
        </w:tc>
        <w:tc>
          <w:tcPr>
            <w:tcW w:w="2268" w:type="dxa"/>
          </w:tcPr>
          <w:p w14:paraId="53441DA3" w14:textId="77777777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</w:p>
        </w:tc>
      </w:tr>
      <w:tr w:rsidR="000B1A98" w14:paraId="1E1AFA19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E82E9B0" w14:textId="62881B96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DORA-SO-03</w:t>
            </w:r>
          </w:p>
        </w:tc>
        <w:tc>
          <w:tcPr>
            <w:tcW w:w="2268" w:type="dxa"/>
          </w:tcPr>
          <w:p w14:paraId="0F4BD796" w14:textId="1A972E46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Notification des incidents TIC majeurs</w:t>
            </w:r>
          </w:p>
        </w:tc>
        <w:tc>
          <w:tcPr>
            <w:tcW w:w="2268" w:type="dxa"/>
            <w:shd w:val="clear" w:color="auto" w:fill="FFC7CE"/>
          </w:tcPr>
          <w:p w14:paraId="6B9A5661" w14:textId="34D6F2AC" w:rsidR="000B1A98" w:rsidRPr="000B1A98" w:rsidRDefault="000B1A98" w:rsidP="000B1A98">
            <w:pPr>
              <w:rPr>
                <w:rFonts w:ascii="Arial" w:hAnsi="Arial" w:cs="Arial"/>
                <w:b/>
                <w:sz w:val="18"/>
              </w:rPr>
            </w:pPr>
            <w:r w:rsidRPr="000B1A98">
              <w:rPr>
                <w:rFonts w:ascii="Arial" w:hAnsi="Arial" w:cs="Arial"/>
                <w:b/>
                <w:sz w:val="18"/>
              </w:rPr>
              <w:t>Non-Conforme</w:t>
            </w:r>
          </w:p>
        </w:tc>
        <w:tc>
          <w:tcPr>
            <w:tcW w:w="2268" w:type="dxa"/>
          </w:tcPr>
          <w:p w14:paraId="1AF0AC9E" w14:textId="77777777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</w:p>
        </w:tc>
      </w:tr>
      <w:tr w:rsidR="000B1A98" w14:paraId="427E9DB5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BF95C9D" w14:textId="35286FA6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DORA-CY-01</w:t>
            </w:r>
          </w:p>
        </w:tc>
        <w:tc>
          <w:tcPr>
            <w:tcW w:w="2268" w:type="dxa"/>
          </w:tcPr>
          <w:p w14:paraId="7862AA1B" w14:textId="6B5011DD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Politique de sécurité des TIC</w:t>
            </w:r>
          </w:p>
        </w:tc>
        <w:tc>
          <w:tcPr>
            <w:tcW w:w="2268" w:type="dxa"/>
            <w:shd w:val="clear" w:color="auto" w:fill="FFC7CE"/>
          </w:tcPr>
          <w:p w14:paraId="7C24BB0D" w14:textId="79CA2DF6" w:rsidR="000B1A98" w:rsidRPr="000B1A98" w:rsidRDefault="000B1A98" w:rsidP="000B1A98">
            <w:pPr>
              <w:rPr>
                <w:rFonts w:ascii="Arial" w:hAnsi="Arial" w:cs="Arial"/>
                <w:b/>
                <w:sz w:val="18"/>
              </w:rPr>
            </w:pPr>
            <w:r w:rsidRPr="000B1A98">
              <w:rPr>
                <w:rFonts w:ascii="Arial" w:hAnsi="Arial" w:cs="Arial"/>
                <w:b/>
                <w:sz w:val="18"/>
              </w:rPr>
              <w:t>Non-Conforme</w:t>
            </w:r>
          </w:p>
        </w:tc>
        <w:tc>
          <w:tcPr>
            <w:tcW w:w="2268" w:type="dxa"/>
          </w:tcPr>
          <w:p w14:paraId="2828DBA2" w14:textId="77777777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</w:p>
        </w:tc>
      </w:tr>
      <w:tr w:rsidR="000B1A98" w14:paraId="7119DE52" w14:textId="77777777" w:rsidTr="000B1A98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E750A04" w14:textId="5C523F1C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DORA-CY-02</w:t>
            </w:r>
          </w:p>
        </w:tc>
        <w:tc>
          <w:tcPr>
            <w:tcW w:w="2268" w:type="dxa"/>
          </w:tcPr>
          <w:p w14:paraId="3B0DE617" w14:textId="5A4C020B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  <w:r w:rsidRPr="000B1A98">
              <w:rPr>
                <w:rFonts w:ascii="Arial" w:hAnsi="Arial" w:cs="Arial"/>
                <w:sz w:val="18"/>
              </w:rPr>
              <w:t>Classification des actifs TIC</w:t>
            </w:r>
          </w:p>
        </w:tc>
        <w:tc>
          <w:tcPr>
            <w:tcW w:w="2268" w:type="dxa"/>
            <w:shd w:val="clear" w:color="auto" w:fill="FFC7CE"/>
          </w:tcPr>
          <w:p w14:paraId="1F40C165" w14:textId="30F736EA" w:rsidR="000B1A98" w:rsidRPr="000B1A98" w:rsidRDefault="000B1A98" w:rsidP="000B1A98">
            <w:pPr>
              <w:rPr>
                <w:rFonts w:ascii="Arial" w:hAnsi="Arial" w:cs="Arial"/>
                <w:b/>
                <w:sz w:val="18"/>
              </w:rPr>
            </w:pPr>
            <w:r w:rsidRPr="000B1A98">
              <w:rPr>
                <w:rFonts w:ascii="Arial" w:hAnsi="Arial" w:cs="Arial"/>
                <w:b/>
                <w:sz w:val="18"/>
              </w:rPr>
              <w:t>Non-Conforme</w:t>
            </w:r>
          </w:p>
        </w:tc>
        <w:tc>
          <w:tcPr>
            <w:tcW w:w="2268" w:type="dxa"/>
          </w:tcPr>
          <w:p w14:paraId="12480CA5" w14:textId="77777777" w:rsidR="000B1A98" w:rsidRPr="000B1A98" w:rsidRDefault="000B1A98" w:rsidP="000B1A98">
            <w:pPr>
              <w:rPr>
                <w:rFonts w:ascii="Arial" w:hAnsi="Arial" w:cs="Arial"/>
                <w:sz w:val="18"/>
              </w:rPr>
            </w:pPr>
          </w:p>
        </w:tc>
      </w:tr>
    </w:tbl>
    <w:p w14:paraId="7FBD2340" w14:textId="77777777" w:rsidR="000B1A98" w:rsidRPr="000B1A98" w:rsidRDefault="000B1A98" w:rsidP="000B1A98"/>
    <w:sectPr w:rsidR="000B1A98" w:rsidRPr="000B1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98"/>
    <w:rsid w:val="000B1A98"/>
    <w:rsid w:val="00ED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76E77"/>
  <w15:chartTrackingRefBased/>
  <w15:docId w15:val="{ECFA004A-1C3C-4743-9333-3EAA33F8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1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1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1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1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1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1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1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1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1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1A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1A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1A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1A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1A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1A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1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1A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1A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1A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1A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1A98"/>
    <w:rPr>
      <w:b/>
      <w:bCs/>
      <w:smallCaps/>
      <w:color w:val="0F4761" w:themeColor="accent1" w:themeShade="BF"/>
      <w:spacing w:val="5"/>
    </w:rPr>
  </w:style>
  <w:style w:type="table" w:styleId="Grillemoyenne2">
    <w:name w:val="Medium Grid 2"/>
    <w:basedOn w:val="TableauNormal"/>
    <w:uiPriority w:val="68"/>
    <w:unhideWhenUsed/>
    <w:rsid w:val="000B1A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1517</Words>
  <Characters>8347</Characters>
  <Application>Microsoft Office Word</Application>
  <DocSecurity>0</DocSecurity>
  <Lines>69</Lines>
  <Paragraphs>19</Paragraphs>
  <ScaleCrop>false</ScaleCrop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Nimrod Ndoudi</dc:creator>
  <cp:keywords/>
  <dc:description/>
  <cp:lastModifiedBy>Nimrod Ndoudi</cp:lastModifiedBy>
  <cp:revision>1</cp:revision>
  <dcterms:created xsi:type="dcterms:W3CDTF">2026-06-08T16:32:00Z</dcterms:created>
  <dcterms:modified xsi:type="dcterms:W3CDTF">2026-06-08T16:32:00Z</dcterms:modified>
</cp:coreProperties>
</file>