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E68E52" w14:textId="77777777" w:rsidR="00C82F21" w:rsidRDefault="00C82F21" w:rsidP="00C82F21">
      <w:pPr>
        <w:jc w:val="center"/>
        <w:rPr>
          <w:rFonts w:ascii="Arial" w:hAnsi="Arial"/>
          <w:b/>
          <w:color w:val="1F3864"/>
          <w:sz w:val="44"/>
        </w:rPr>
      </w:pPr>
      <w:r w:rsidRPr="00C82F21">
        <w:rPr>
          <w:rFonts w:ascii="Arial" w:hAnsi="Arial"/>
          <w:b/>
          <w:color w:val="1F3864"/>
          <w:sz w:val="44"/>
        </w:rPr>
        <w:t>RAPPORT D'AUDIT IT</w:t>
      </w:r>
    </w:p>
    <w:p w14:paraId="54EE9E94" w14:textId="77777777" w:rsidR="00C82F21" w:rsidRDefault="00C82F21" w:rsidP="00C82F21">
      <w:pPr>
        <w:jc w:val="center"/>
        <w:rPr>
          <w:rFonts w:ascii="Arial" w:hAnsi="Arial" w:cs="Arial"/>
          <w:color w:val="2E75B6"/>
          <w:sz w:val="26"/>
        </w:rPr>
      </w:pPr>
      <w:r w:rsidRPr="00C82F21">
        <w:rPr>
          <w:rFonts w:ascii="Arial" w:hAnsi="Arial" w:cs="Arial"/>
          <w:color w:val="2E75B6"/>
          <w:sz w:val="26"/>
        </w:rPr>
        <w:t>Conformité NIS2 / DORA</w:t>
      </w:r>
    </w:p>
    <w:p w14:paraId="614675D8" w14:textId="77777777" w:rsidR="00C82F21" w:rsidRDefault="00C82F21" w:rsidP="00C82F21">
      <w:pPr>
        <w:jc w:val="center"/>
        <w:rPr>
          <w:rFonts w:ascii="Arial" w:hAnsi="Arial" w:cs="Arial"/>
          <w:color w:val="1F3864"/>
          <w:sz w:val="20"/>
        </w:rPr>
      </w:pPr>
      <w:r w:rsidRPr="00C82F21">
        <w:rPr>
          <w:rFonts w:ascii="Arial" w:hAnsi="Arial" w:cs="Arial"/>
          <w:color w:val="1F3864"/>
          <w:sz w:val="20"/>
        </w:rPr>
        <w:t>Entité : ENTREPRSE  |  Responsable : N.NDOUDI</w:t>
      </w:r>
    </w:p>
    <w:p w14:paraId="6723D6C1" w14:textId="77777777" w:rsidR="00C82F21" w:rsidRDefault="00C82F21" w:rsidP="00C82F21">
      <w:pPr>
        <w:jc w:val="center"/>
        <w:rPr>
          <w:rFonts w:ascii="Arial" w:hAnsi="Arial" w:cs="Arial"/>
          <w:color w:val="1F3864"/>
          <w:sz w:val="20"/>
        </w:rPr>
      </w:pPr>
      <w:r w:rsidRPr="00C82F21">
        <w:rPr>
          <w:rFonts w:ascii="Arial" w:hAnsi="Arial" w:cs="Arial"/>
          <w:color w:val="1F3864"/>
          <w:sz w:val="20"/>
        </w:rPr>
        <w:t>Période : T1 2026 à T2 2026</w:t>
      </w:r>
    </w:p>
    <w:p w14:paraId="64F28A8B" w14:textId="699C6B30" w:rsidR="00C82F21" w:rsidRDefault="00C82F21" w:rsidP="00C82F21">
      <w:pPr>
        <w:jc w:val="center"/>
        <w:rPr>
          <w:rFonts w:ascii="Arial" w:hAnsi="Arial" w:cs="Arial"/>
          <w:color w:val="1F3864"/>
          <w:sz w:val="20"/>
        </w:rPr>
      </w:pPr>
      <w:r w:rsidRPr="00C82F21">
        <w:rPr>
          <w:rFonts w:ascii="Arial" w:hAnsi="Arial" w:cs="Arial"/>
          <w:color w:val="1F3864"/>
          <w:sz w:val="20"/>
        </w:rPr>
        <w:t>Périmètre : APPLICATION</w:t>
      </w:r>
    </w:p>
    <w:p w14:paraId="30C90507" w14:textId="77777777" w:rsidR="00C82F21" w:rsidRDefault="00C82F21">
      <w:pPr>
        <w:rPr>
          <w:rFonts w:ascii="Arial" w:hAnsi="Arial" w:cs="Arial"/>
          <w:color w:val="1F3864"/>
          <w:sz w:val="20"/>
        </w:rPr>
      </w:pPr>
      <w:r>
        <w:rPr>
          <w:rFonts w:ascii="Arial" w:hAnsi="Arial" w:cs="Arial"/>
          <w:color w:val="1F3864"/>
          <w:sz w:val="20"/>
        </w:rPr>
        <w:br w:type="page"/>
      </w:r>
    </w:p>
    <w:p w14:paraId="3C718231" w14:textId="77777777" w:rsidR="00C82F21" w:rsidRDefault="00C82F21" w:rsidP="00C82F21">
      <w:pPr>
        <w:jc w:val="center"/>
        <w:rPr>
          <w:rFonts w:ascii="Arial" w:hAnsi="Arial"/>
          <w:b/>
          <w:color w:val="1F3864"/>
          <w:sz w:val="44"/>
        </w:rPr>
      </w:pPr>
    </w:p>
    <w:p w14:paraId="4D492A34" w14:textId="77777777" w:rsidR="00C82F21" w:rsidRPr="00C82F21" w:rsidRDefault="00C82F21" w:rsidP="00C82F21">
      <w:pPr>
        <w:pStyle w:val="Titre1"/>
      </w:pPr>
      <w:r>
        <w:t>1. Synthèse par domaine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12"/>
        <w:gridCol w:w="1512"/>
        <w:gridCol w:w="1512"/>
        <w:gridCol w:w="1512"/>
        <w:gridCol w:w="1512"/>
        <w:gridCol w:w="1512"/>
      </w:tblGrid>
      <w:tr w:rsidR="00C82F21" w14:paraId="20577B6E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2E75B6"/>
          </w:tcPr>
          <w:p w14:paraId="1BDFA8AB" w14:textId="55C49DE3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Domaine</w:t>
            </w:r>
          </w:p>
        </w:tc>
        <w:tc>
          <w:tcPr>
            <w:tcW w:w="1512" w:type="dxa"/>
            <w:shd w:val="clear" w:color="auto" w:fill="2E75B6"/>
          </w:tcPr>
          <w:p w14:paraId="6E566FC0" w14:textId="72E9FB62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Conforme</w:t>
            </w:r>
          </w:p>
        </w:tc>
        <w:tc>
          <w:tcPr>
            <w:tcW w:w="1512" w:type="dxa"/>
            <w:shd w:val="clear" w:color="auto" w:fill="2E75B6"/>
          </w:tcPr>
          <w:p w14:paraId="050A0B78" w14:textId="155DCA5A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Non-Conforme</w:t>
            </w:r>
          </w:p>
        </w:tc>
        <w:tc>
          <w:tcPr>
            <w:tcW w:w="1512" w:type="dxa"/>
            <w:shd w:val="clear" w:color="auto" w:fill="2E75B6"/>
          </w:tcPr>
          <w:p w14:paraId="6D66B1AA" w14:textId="4A2899F7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Observation</w:t>
            </w:r>
          </w:p>
        </w:tc>
        <w:tc>
          <w:tcPr>
            <w:tcW w:w="1512" w:type="dxa"/>
            <w:shd w:val="clear" w:color="auto" w:fill="2E75B6"/>
          </w:tcPr>
          <w:p w14:paraId="17BAB402" w14:textId="12A76636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N/A</w:t>
            </w:r>
          </w:p>
        </w:tc>
        <w:tc>
          <w:tcPr>
            <w:tcW w:w="1512" w:type="dxa"/>
            <w:shd w:val="clear" w:color="auto" w:fill="2E75B6"/>
          </w:tcPr>
          <w:p w14:paraId="70985DE8" w14:textId="3B08D20D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Total</w:t>
            </w:r>
          </w:p>
        </w:tc>
      </w:tr>
      <w:tr w:rsidR="00C82F21" w14:paraId="6C2FC26B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D6E4F0"/>
          </w:tcPr>
          <w:p w14:paraId="5726DF09" w14:textId="5C6F0B8C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Access Management</w:t>
            </w:r>
          </w:p>
        </w:tc>
        <w:tc>
          <w:tcPr>
            <w:tcW w:w="1512" w:type="dxa"/>
            <w:shd w:val="clear" w:color="auto" w:fill="D6E4F0"/>
          </w:tcPr>
          <w:p w14:paraId="09473F54" w14:textId="2B1AD6FF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512" w:type="dxa"/>
            <w:shd w:val="clear" w:color="auto" w:fill="D6E4F0"/>
          </w:tcPr>
          <w:p w14:paraId="0D5531F1" w14:textId="3FB6C602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  <w:shd w:val="clear" w:color="auto" w:fill="D6E4F0"/>
          </w:tcPr>
          <w:p w14:paraId="1869956A" w14:textId="61D71E9B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2595B317" w14:textId="14BDFF05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  <w:shd w:val="clear" w:color="auto" w:fill="D6E4F0"/>
          </w:tcPr>
          <w:p w14:paraId="7B0439F1" w14:textId="57ED2D12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6</w:t>
            </w:r>
          </w:p>
        </w:tc>
      </w:tr>
      <w:tr w:rsidR="00C82F21" w14:paraId="24289F6F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512" w:type="dxa"/>
          </w:tcPr>
          <w:p w14:paraId="7F42640D" w14:textId="40E6E59A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Sécurité Opérationnelle</w:t>
            </w:r>
          </w:p>
        </w:tc>
        <w:tc>
          <w:tcPr>
            <w:tcW w:w="1512" w:type="dxa"/>
          </w:tcPr>
          <w:p w14:paraId="31053731" w14:textId="75032B85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5</w:t>
            </w:r>
          </w:p>
        </w:tc>
        <w:tc>
          <w:tcPr>
            <w:tcW w:w="1512" w:type="dxa"/>
          </w:tcPr>
          <w:p w14:paraId="30231F01" w14:textId="15A980B5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</w:tcPr>
          <w:p w14:paraId="4E6938C9" w14:textId="22BB6F1B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1</w:t>
            </w:r>
          </w:p>
        </w:tc>
        <w:tc>
          <w:tcPr>
            <w:tcW w:w="1512" w:type="dxa"/>
          </w:tcPr>
          <w:p w14:paraId="35B4658A" w14:textId="0BA22000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</w:tcPr>
          <w:p w14:paraId="64A835E6" w14:textId="65B25486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7</w:t>
            </w:r>
          </w:p>
        </w:tc>
      </w:tr>
      <w:tr w:rsidR="00C82F21" w14:paraId="3A98E363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D6E4F0"/>
          </w:tcPr>
          <w:p w14:paraId="457927DC" w14:textId="05617F2F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Cybersécurité</w:t>
            </w:r>
          </w:p>
        </w:tc>
        <w:tc>
          <w:tcPr>
            <w:tcW w:w="1512" w:type="dxa"/>
            <w:shd w:val="clear" w:color="auto" w:fill="D6E4F0"/>
          </w:tcPr>
          <w:p w14:paraId="53FB0826" w14:textId="0858F423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3</w:t>
            </w:r>
          </w:p>
        </w:tc>
        <w:tc>
          <w:tcPr>
            <w:tcW w:w="1512" w:type="dxa"/>
            <w:shd w:val="clear" w:color="auto" w:fill="D6E4F0"/>
          </w:tcPr>
          <w:p w14:paraId="607482DA" w14:textId="579A8FD2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70CCD85C" w14:textId="5F8C5277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0</w:t>
            </w:r>
          </w:p>
        </w:tc>
        <w:tc>
          <w:tcPr>
            <w:tcW w:w="1512" w:type="dxa"/>
            <w:shd w:val="clear" w:color="auto" w:fill="D6E4F0"/>
          </w:tcPr>
          <w:p w14:paraId="7D95223A" w14:textId="25447DA4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2</w:t>
            </w:r>
          </w:p>
        </w:tc>
        <w:tc>
          <w:tcPr>
            <w:tcW w:w="1512" w:type="dxa"/>
            <w:shd w:val="clear" w:color="auto" w:fill="D6E4F0"/>
          </w:tcPr>
          <w:p w14:paraId="5D4EFEFC" w14:textId="4F94D152" w:rsidR="00C82F21" w:rsidRPr="00C82F21" w:rsidRDefault="00C82F21" w:rsidP="00C82F21">
            <w:pPr>
              <w:pStyle w:val="Titre1"/>
              <w:rPr>
                <w:rFonts w:ascii="Arial" w:hAnsi="Arial" w:cs="Arial"/>
                <w:sz w:val="18"/>
              </w:rPr>
            </w:pPr>
            <w:r w:rsidRPr="00C82F21">
              <w:rPr>
                <w:rFonts w:ascii="Arial" w:hAnsi="Arial" w:cs="Arial"/>
                <w:sz w:val="18"/>
              </w:rPr>
              <w:t>7</w:t>
            </w:r>
          </w:p>
        </w:tc>
      </w:tr>
      <w:tr w:rsidR="00C82F21" w14:paraId="516CCB6B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512" w:type="dxa"/>
            <w:shd w:val="clear" w:color="auto" w:fill="1F3864"/>
          </w:tcPr>
          <w:p w14:paraId="16581EA4" w14:textId="1B2F2157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TOTAL</w:t>
            </w:r>
          </w:p>
        </w:tc>
        <w:tc>
          <w:tcPr>
            <w:tcW w:w="1512" w:type="dxa"/>
            <w:shd w:val="clear" w:color="auto" w:fill="1F3864"/>
          </w:tcPr>
          <w:p w14:paraId="4D9C2C9B" w14:textId="7A1EC55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11</w:t>
            </w:r>
          </w:p>
        </w:tc>
        <w:tc>
          <w:tcPr>
            <w:tcW w:w="1512" w:type="dxa"/>
            <w:shd w:val="clear" w:color="auto" w:fill="1F3864"/>
          </w:tcPr>
          <w:p w14:paraId="7B680488" w14:textId="0984B5E8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6082C785" w14:textId="434333F6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142D2BBC" w14:textId="042D446E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3</w:t>
            </w:r>
          </w:p>
        </w:tc>
        <w:tc>
          <w:tcPr>
            <w:tcW w:w="1512" w:type="dxa"/>
            <w:shd w:val="clear" w:color="auto" w:fill="1F3864"/>
          </w:tcPr>
          <w:p w14:paraId="23F38CC9" w14:textId="57A6DE3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8"/>
              </w:rPr>
            </w:pPr>
            <w:r w:rsidRPr="00C82F21">
              <w:rPr>
                <w:rFonts w:ascii="Arial" w:hAnsi="Arial" w:cs="Arial"/>
                <w:b/>
                <w:color w:val="FFFFFF"/>
                <w:sz w:val="18"/>
              </w:rPr>
              <w:t>20</w:t>
            </w:r>
          </w:p>
        </w:tc>
      </w:tr>
    </w:tbl>
    <w:p w14:paraId="6EB59496" w14:textId="1D4A7A79" w:rsidR="00C82F21" w:rsidRDefault="00C82F21" w:rsidP="00C82F21">
      <w:pPr>
        <w:pStyle w:val="Titre1"/>
      </w:pPr>
    </w:p>
    <w:p w14:paraId="1715DB78" w14:textId="3C913E98" w:rsidR="00C82F21" w:rsidRDefault="00C82F21">
      <w:r>
        <w:br w:type="page"/>
      </w:r>
    </w:p>
    <w:p w14:paraId="2B1B294F" w14:textId="77777777" w:rsidR="00C82F21" w:rsidRDefault="00C82F21" w:rsidP="00C82F21"/>
    <w:p w14:paraId="0D5BF917" w14:textId="77777777" w:rsidR="00C82F21" w:rsidRPr="00C82F21" w:rsidRDefault="00C82F21" w:rsidP="00C82F21">
      <w:pPr>
        <w:pStyle w:val="Titre1"/>
      </w:pPr>
      <w:r>
        <w:t>2. résultats détaillés des contrôles</w:t>
      </w:r>
    </w:p>
    <w:tbl>
      <w:tblPr>
        <w:tblW w:w="0" w:type="auto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14"/>
        <w:gridCol w:w="1814"/>
        <w:gridCol w:w="1814"/>
        <w:gridCol w:w="1815"/>
        <w:gridCol w:w="1815"/>
      </w:tblGrid>
      <w:tr w:rsidR="00C82F21" w14:paraId="6967B36C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2E75B6"/>
          </w:tcPr>
          <w:p w14:paraId="7E8816ED" w14:textId="1B792684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6"/>
              </w:rPr>
            </w:pPr>
            <w:r w:rsidRPr="00C82F21">
              <w:rPr>
                <w:rFonts w:ascii="Arial" w:hAnsi="Arial" w:cs="Arial"/>
                <w:b/>
                <w:color w:val="FFFFFF"/>
                <w:sz w:val="16"/>
              </w:rPr>
              <w:t>Réf.</w:t>
            </w:r>
          </w:p>
        </w:tc>
        <w:tc>
          <w:tcPr>
            <w:tcW w:w="1814" w:type="dxa"/>
            <w:shd w:val="clear" w:color="auto" w:fill="2E75B6"/>
          </w:tcPr>
          <w:p w14:paraId="45E46B72" w14:textId="11C7624F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6"/>
              </w:rPr>
            </w:pPr>
            <w:r w:rsidRPr="00C82F21">
              <w:rPr>
                <w:rFonts w:ascii="Arial" w:hAnsi="Arial" w:cs="Arial"/>
                <w:b/>
                <w:color w:val="FFFFFF"/>
                <w:sz w:val="16"/>
              </w:rPr>
              <w:t>Intitulé</w:t>
            </w:r>
          </w:p>
        </w:tc>
        <w:tc>
          <w:tcPr>
            <w:tcW w:w="1814" w:type="dxa"/>
            <w:shd w:val="clear" w:color="auto" w:fill="2E75B6"/>
          </w:tcPr>
          <w:p w14:paraId="66FADD3D" w14:textId="291327B3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6"/>
              </w:rPr>
            </w:pPr>
            <w:r w:rsidRPr="00C82F21">
              <w:rPr>
                <w:rFonts w:ascii="Arial" w:hAnsi="Arial" w:cs="Arial"/>
                <w:b/>
                <w:color w:val="FFFFFF"/>
                <w:sz w:val="16"/>
              </w:rPr>
              <w:t>Statut</w:t>
            </w:r>
          </w:p>
        </w:tc>
        <w:tc>
          <w:tcPr>
            <w:tcW w:w="1815" w:type="dxa"/>
            <w:shd w:val="clear" w:color="auto" w:fill="2E75B6"/>
          </w:tcPr>
          <w:p w14:paraId="41064B6C" w14:textId="5EE6BDF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6"/>
              </w:rPr>
            </w:pPr>
            <w:r w:rsidRPr="00C82F21">
              <w:rPr>
                <w:rFonts w:ascii="Arial" w:hAnsi="Arial" w:cs="Arial"/>
                <w:b/>
                <w:color w:val="FFFFFF"/>
                <w:sz w:val="16"/>
              </w:rPr>
              <w:t>Constatations</w:t>
            </w:r>
          </w:p>
        </w:tc>
        <w:tc>
          <w:tcPr>
            <w:tcW w:w="1815" w:type="dxa"/>
            <w:shd w:val="clear" w:color="auto" w:fill="2E75B6"/>
          </w:tcPr>
          <w:p w14:paraId="2988350B" w14:textId="55119E1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color w:val="FFFFFF"/>
                <w:sz w:val="16"/>
              </w:rPr>
            </w:pPr>
            <w:r w:rsidRPr="00C82F21">
              <w:rPr>
                <w:rFonts w:ascii="Arial" w:hAnsi="Arial" w:cs="Arial"/>
                <w:b/>
                <w:color w:val="FFFFFF"/>
                <w:sz w:val="16"/>
              </w:rPr>
              <w:t>Référence réglementaire</w:t>
            </w:r>
          </w:p>
        </w:tc>
      </w:tr>
      <w:tr w:rsidR="00C82F21" w14:paraId="6B4E617E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A5B1A90" w14:textId="1FE9D203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NIS2-AM-01</w:t>
            </w:r>
          </w:p>
        </w:tc>
        <w:tc>
          <w:tcPr>
            <w:tcW w:w="1814" w:type="dxa"/>
          </w:tcPr>
          <w:p w14:paraId="2416E878" w14:textId="682A7CC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Gestion des accès privilégiés</w:t>
            </w:r>
          </w:p>
        </w:tc>
        <w:tc>
          <w:tcPr>
            <w:tcW w:w="1814" w:type="dxa"/>
            <w:shd w:val="clear" w:color="auto" w:fill="C6EFCE"/>
          </w:tcPr>
          <w:p w14:paraId="1DE11B7D" w14:textId="4101C745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5FE8405B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6BF9DADE" w14:textId="7C4667E5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C82F21" w14:paraId="6FA334B2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38FF1FE0" w14:textId="340CC77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NIS2-AM-02</w:t>
            </w:r>
          </w:p>
        </w:tc>
        <w:tc>
          <w:tcPr>
            <w:tcW w:w="1814" w:type="dxa"/>
            <w:shd w:val="clear" w:color="auto" w:fill="F0F6FC"/>
          </w:tcPr>
          <w:p w14:paraId="2E76AD04" w14:textId="694DAD4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Authentification multifacteur (MFA)</w:t>
            </w:r>
          </w:p>
        </w:tc>
        <w:tc>
          <w:tcPr>
            <w:tcW w:w="1814" w:type="dxa"/>
            <w:shd w:val="clear" w:color="auto" w:fill="C6EFCE"/>
          </w:tcPr>
          <w:p w14:paraId="19D847B9" w14:textId="63FE20DD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  <w:shd w:val="clear" w:color="auto" w:fill="F0F6FC"/>
          </w:tcPr>
          <w:p w14:paraId="194452CF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6D29976D" w14:textId="273F997A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Art.21(2)(j) – Utilisation de l'authentification à plusieurs facteurs</w:t>
            </w:r>
          </w:p>
        </w:tc>
      </w:tr>
      <w:tr w:rsidR="00C82F21" w14:paraId="302B5E85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6329737E" w14:textId="4DEF92F8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NIS2-AM-03</w:t>
            </w:r>
          </w:p>
        </w:tc>
        <w:tc>
          <w:tcPr>
            <w:tcW w:w="1814" w:type="dxa"/>
          </w:tcPr>
          <w:p w14:paraId="48409917" w14:textId="7AE6100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Revue périodique des droits d'accès</w:t>
            </w:r>
          </w:p>
        </w:tc>
        <w:tc>
          <w:tcPr>
            <w:tcW w:w="1814" w:type="dxa"/>
            <w:shd w:val="clear" w:color="auto" w:fill="C6EFCE"/>
          </w:tcPr>
          <w:p w14:paraId="713DEBE8" w14:textId="6701D7DF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6F901A57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064F6D93" w14:textId="4CC3859D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C82F21" w14:paraId="399C9F27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0AD5DE0D" w14:textId="03E9BEB1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NIS2-AM-04</w:t>
            </w:r>
          </w:p>
        </w:tc>
        <w:tc>
          <w:tcPr>
            <w:tcW w:w="1814" w:type="dxa"/>
            <w:shd w:val="clear" w:color="auto" w:fill="F0F6FC"/>
          </w:tcPr>
          <w:p w14:paraId="49B44202" w14:textId="394539EF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Gestion du cycle de vie des comptes</w:t>
            </w:r>
          </w:p>
        </w:tc>
        <w:tc>
          <w:tcPr>
            <w:tcW w:w="1814" w:type="dxa"/>
            <w:shd w:val="clear" w:color="auto" w:fill="DCDCDC"/>
          </w:tcPr>
          <w:p w14:paraId="235523CA" w14:textId="2FCC510E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N/A</w:t>
            </w:r>
          </w:p>
        </w:tc>
        <w:tc>
          <w:tcPr>
            <w:tcW w:w="1815" w:type="dxa"/>
            <w:shd w:val="clear" w:color="auto" w:fill="F0F6FC"/>
          </w:tcPr>
          <w:p w14:paraId="144AC6CA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13B8F506" w14:textId="4C4E47A6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Art.21(2)(i) – Politiques relatives au contrôle d'accès</w:t>
            </w:r>
          </w:p>
        </w:tc>
      </w:tr>
      <w:tr w:rsidR="00C82F21" w14:paraId="1BEE8BCB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89268F1" w14:textId="721F82A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DORA-AM-01</w:t>
            </w:r>
          </w:p>
        </w:tc>
        <w:tc>
          <w:tcPr>
            <w:tcW w:w="1814" w:type="dxa"/>
          </w:tcPr>
          <w:p w14:paraId="33D0D439" w14:textId="3DE4D262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Accès aux systèmes TIC critiques</w:t>
            </w:r>
          </w:p>
        </w:tc>
        <w:tc>
          <w:tcPr>
            <w:tcW w:w="1814" w:type="dxa"/>
            <w:shd w:val="clear" w:color="auto" w:fill="FFEB9C"/>
          </w:tcPr>
          <w:p w14:paraId="6D6A4D0C" w14:textId="0E67C19C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Observation</w:t>
            </w:r>
          </w:p>
        </w:tc>
        <w:tc>
          <w:tcPr>
            <w:tcW w:w="1815" w:type="dxa"/>
          </w:tcPr>
          <w:p w14:paraId="221AA3FF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731230FF" w14:textId="3D7B4681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Art.9(4)(a) – Gestion des accès et contrôle des droits</w:t>
            </w:r>
          </w:p>
        </w:tc>
      </w:tr>
      <w:tr w:rsidR="00C82F21" w14:paraId="4FEC914B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2975A69E" w14:textId="3D4C8B9F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DORA-AM-02</w:t>
            </w:r>
          </w:p>
        </w:tc>
        <w:tc>
          <w:tcPr>
            <w:tcW w:w="1814" w:type="dxa"/>
            <w:shd w:val="clear" w:color="auto" w:fill="F0F6FC"/>
          </w:tcPr>
          <w:p w14:paraId="2185B3E6" w14:textId="3C95148D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Journalisation des accès administrateurs</w:t>
            </w:r>
          </w:p>
        </w:tc>
        <w:tc>
          <w:tcPr>
            <w:tcW w:w="1814" w:type="dxa"/>
            <w:shd w:val="clear" w:color="auto" w:fill="FFEB9C"/>
          </w:tcPr>
          <w:p w14:paraId="21533062" w14:textId="3E422B22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Observation</w:t>
            </w:r>
          </w:p>
        </w:tc>
        <w:tc>
          <w:tcPr>
            <w:tcW w:w="1815" w:type="dxa"/>
            <w:shd w:val="clear" w:color="auto" w:fill="F0F6FC"/>
          </w:tcPr>
          <w:p w14:paraId="0F73F16D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6E01A38F" w14:textId="0B7D7CE3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Art.9(4)(c) – Politiques et mesures de sécurité des TIC</w:t>
            </w:r>
          </w:p>
        </w:tc>
      </w:tr>
      <w:tr w:rsidR="00C82F21" w14:paraId="49B375F0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418EDD43" w14:textId="682CD985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NIS2-SO-01</w:t>
            </w:r>
          </w:p>
        </w:tc>
        <w:tc>
          <w:tcPr>
            <w:tcW w:w="1814" w:type="dxa"/>
          </w:tcPr>
          <w:p w14:paraId="20CB2636" w14:textId="1BA1A0F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Gestion des correctifs (Patch Management)</w:t>
            </w:r>
          </w:p>
        </w:tc>
        <w:tc>
          <w:tcPr>
            <w:tcW w:w="1814" w:type="dxa"/>
            <w:shd w:val="clear" w:color="auto" w:fill="C6EFCE"/>
          </w:tcPr>
          <w:p w14:paraId="2C85BB69" w14:textId="22A9729C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21738429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67A1EAA4" w14:textId="599E91B4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Art.21(2)(e) – Sécurité dans l'acquisition, le développement et la maintenance</w:t>
            </w:r>
          </w:p>
        </w:tc>
      </w:tr>
      <w:tr w:rsidR="00C82F21" w14:paraId="2389E6E0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04C0424C" w14:textId="334887B9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NIS2-SO-02</w:t>
            </w:r>
          </w:p>
        </w:tc>
        <w:tc>
          <w:tcPr>
            <w:tcW w:w="1814" w:type="dxa"/>
            <w:shd w:val="clear" w:color="auto" w:fill="F0F6FC"/>
          </w:tcPr>
          <w:p w14:paraId="5EBC035F" w14:textId="008B9C2D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Détection et réponse aux incidents</w:t>
            </w:r>
          </w:p>
        </w:tc>
        <w:tc>
          <w:tcPr>
            <w:tcW w:w="1814" w:type="dxa"/>
            <w:shd w:val="clear" w:color="auto" w:fill="C6EFCE"/>
          </w:tcPr>
          <w:p w14:paraId="6DDA4254" w14:textId="06F32745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  <w:shd w:val="clear" w:color="auto" w:fill="F0F6FC"/>
          </w:tcPr>
          <w:p w14:paraId="692F8327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5EC76C12" w14:textId="39362908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Art.21(2)(b) – Gestion des incidents</w:t>
            </w:r>
          </w:p>
        </w:tc>
      </w:tr>
      <w:tr w:rsidR="00C82F21" w14:paraId="2B78E8A9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7C6AEE45" w14:textId="6DD0E844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NIS2-SO-03</w:t>
            </w:r>
          </w:p>
        </w:tc>
        <w:tc>
          <w:tcPr>
            <w:tcW w:w="1814" w:type="dxa"/>
          </w:tcPr>
          <w:p w14:paraId="2D43D789" w14:textId="026B5E76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Sauvegardes et restauration</w:t>
            </w:r>
          </w:p>
        </w:tc>
        <w:tc>
          <w:tcPr>
            <w:tcW w:w="1814" w:type="dxa"/>
            <w:shd w:val="clear" w:color="auto" w:fill="C6EFCE"/>
          </w:tcPr>
          <w:p w14:paraId="1EB07006" w14:textId="6C137BC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71C65411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609411BA" w14:textId="427F7F5F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Art.21(2)(c) – Continuité des activités et gestion des crises</w:t>
            </w:r>
          </w:p>
        </w:tc>
      </w:tr>
      <w:tr w:rsidR="00C82F21" w14:paraId="72D25D21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588257EF" w14:textId="30462B6A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NIS2-SO-04</w:t>
            </w:r>
          </w:p>
        </w:tc>
        <w:tc>
          <w:tcPr>
            <w:tcW w:w="1814" w:type="dxa"/>
            <w:shd w:val="clear" w:color="auto" w:fill="F0F6FC"/>
          </w:tcPr>
          <w:p w14:paraId="1B74630A" w14:textId="0EFC5B6D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Gestion de la continuité d'activité</w:t>
            </w:r>
          </w:p>
        </w:tc>
        <w:tc>
          <w:tcPr>
            <w:tcW w:w="1814" w:type="dxa"/>
            <w:shd w:val="clear" w:color="auto" w:fill="C6EFCE"/>
          </w:tcPr>
          <w:p w14:paraId="5B0829BC" w14:textId="024C16E1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  <w:shd w:val="clear" w:color="auto" w:fill="F0F6FC"/>
          </w:tcPr>
          <w:p w14:paraId="6335E67D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25D83768" w14:textId="3C1664A5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Art.21(2)(c) – Continuité des activités et gestion des crises</w:t>
            </w:r>
          </w:p>
        </w:tc>
      </w:tr>
      <w:tr w:rsidR="00C82F21" w14:paraId="50D5E85C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0B4BBEB7" w14:textId="421FDC8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DORA-SO-01</w:t>
            </w:r>
          </w:p>
        </w:tc>
        <w:tc>
          <w:tcPr>
            <w:tcW w:w="1814" w:type="dxa"/>
          </w:tcPr>
          <w:p w14:paraId="73E0328B" w14:textId="5B5C9FB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Tests de résilience opérationnelle</w:t>
            </w:r>
          </w:p>
        </w:tc>
        <w:tc>
          <w:tcPr>
            <w:tcW w:w="1814" w:type="dxa"/>
            <w:shd w:val="clear" w:color="auto" w:fill="C6EFCE"/>
          </w:tcPr>
          <w:p w14:paraId="7AFFE3F2" w14:textId="0B689D9B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45D8B905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263EC345" w14:textId="47730086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Art.24 – Tests de résilience opérationnelle numérique avancés</w:t>
            </w:r>
          </w:p>
        </w:tc>
      </w:tr>
      <w:tr w:rsidR="00C82F21" w14:paraId="098E4CE1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393FF766" w14:textId="21E7FDE2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DORA-SO-02</w:t>
            </w:r>
          </w:p>
        </w:tc>
        <w:tc>
          <w:tcPr>
            <w:tcW w:w="1814" w:type="dxa"/>
            <w:shd w:val="clear" w:color="auto" w:fill="F0F6FC"/>
          </w:tcPr>
          <w:p w14:paraId="6602E60F" w14:textId="5C037B7A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Surveillance de la chaîne d'approvisionnement TIC</w:t>
            </w:r>
          </w:p>
        </w:tc>
        <w:tc>
          <w:tcPr>
            <w:tcW w:w="1814" w:type="dxa"/>
            <w:shd w:val="clear" w:color="auto" w:fill="FFEB9C"/>
          </w:tcPr>
          <w:p w14:paraId="1840BDC5" w14:textId="0CA4CFE4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Observation</w:t>
            </w:r>
          </w:p>
        </w:tc>
        <w:tc>
          <w:tcPr>
            <w:tcW w:w="1815" w:type="dxa"/>
            <w:shd w:val="clear" w:color="auto" w:fill="F0F6FC"/>
          </w:tcPr>
          <w:p w14:paraId="06BCECC3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18D39F2D" w14:textId="29C805C4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Art.28 – Principes généraux de gestion des risques liés aux tiers TIC</w:t>
            </w:r>
          </w:p>
        </w:tc>
      </w:tr>
      <w:tr w:rsidR="00C82F21" w14:paraId="1045926F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33280AD0" w14:textId="799202E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DORA-SO-03</w:t>
            </w:r>
          </w:p>
        </w:tc>
        <w:tc>
          <w:tcPr>
            <w:tcW w:w="1814" w:type="dxa"/>
          </w:tcPr>
          <w:p w14:paraId="22339472" w14:textId="718705F4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Notification des incidents TIC majeurs</w:t>
            </w:r>
          </w:p>
        </w:tc>
        <w:tc>
          <w:tcPr>
            <w:tcW w:w="1814" w:type="dxa"/>
            <w:shd w:val="clear" w:color="auto" w:fill="FFC7CE"/>
          </w:tcPr>
          <w:p w14:paraId="2FD2ACD0" w14:textId="63FC42F8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Non-Conforme</w:t>
            </w:r>
          </w:p>
        </w:tc>
        <w:tc>
          <w:tcPr>
            <w:tcW w:w="1815" w:type="dxa"/>
          </w:tcPr>
          <w:p w14:paraId="403C6168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6771B54F" w14:textId="5FA2227F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Art.19 – Classification des incidents liés aux TIC et cyber-menaces</w:t>
            </w:r>
          </w:p>
        </w:tc>
      </w:tr>
      <w:tr w:rsidR="00C82F21" w14:paraId="3422C288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580F7408" w14:textId="6A124C62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NIS2-CY-01</w:t>
            </w:r>
          </w:p>
        </w:tc>
        <w:tc>
          <w:tcPr>
            <w:tcW w:w="1814" w:type="dxa"/>
            <w:shd w:val="clear" w:color="auto" w:fill="F0F6FC"/>
          </w:tcPr>
          <w:p w14:paraId="63E32A3A" w14:textId="5B093B2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Chiffrement des données sensibles</w:t>
            </w:r>
          </w:p>
        </w:tc>
        <w:tc>
          <w:tcPr>
            <w:tcW w:w="1814" w:type="dxa"/>
            <w:shd w:val="clear" w:color="auto" w:fill="DCDCDC"/>
          </w:tcPr>
          <w:p w14:paraId="1CD7CC50" w14:textId="0C2FCC39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N/A</w:t>
            </w:r>
          </w:p>
        </w:tc>
        <w:tc>
          <w:tcPr>
            <w:tcW w:w="1815" w:type="dxa"/>
            <w:shd w:val="clear" w:color="auto" w:fill="F0F6FC"/>
          </w:tcPr>
          <w:p w14:paraId="1DC5D95A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4A3025B1" w14:textId="20BA53E4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Art.21(2)(h) – Politiques relatives à la cryptographie et au chiffrement</w:t>
            </w:r>
          </w:p>
        </w:tc>
      </w:tr>
      <w:tr w:rsidR="00C82F21" w14:paraId="240C56A5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348D9CF8" w14:textId="2731199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NIS2-CY-02</w:t>
            </w:r>
          </w:p>
        </w:tc>
        <w:tc>
          <w:tcPr>
            <w:tcW w:w="1814" w:type="dxa"/>
          </w:tcPr>
          <w:p w14:paraId="37CBAD76" w14:textId="21B04FF6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Sécurité de la chaîne d'approvisionnement</w:t>
            </w:r>
          </w:p>
        </w:tc>
        <w:tc>
          <w:tcPr>
            <w:tcW w:w="1814" w:type="dxa"/>
            <w:shd w:val="clear" w:color="auto" w:fill="DCDCDC"/>
          </w:tcPr>
          <w:p w14:paraId="1BCA59C4" w14:textId="03F8657D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N/A</w:t>
            </w:r>
          </w:p>
        </w:tc>
        <w:tc>
          <w:tcPr>
            <w:tcW w:w="1815" w:type="dxa"/>
          </w:tcPr>
          <w:p w14:paraId="3CE27C23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57C10C93" w14:textId="6B5A2D12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Art.21(2)(d) – Sécurité de la chaîne d'approvisionnement</w:t>
            </w:r>
          </w:p>
        </w:tc>
      </w:tr>
      <w:tr w:rsidR="00C82F21" w14:paraId="5877D7A9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0864B95C" w14:textId="7D80025F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NIS2-CY-03</w:t>
            </w:r>
          </w:p>
        </w:tc>
        <w:tc>
          <w:tcPr>
            <w:tcW w:w="1814" w:type="dxa"/>
            <w:shd w:val="clear" w:color="auto" w:fill="F0F6FC"/>
          </w:tcPr>
          <w:p w14:paraId="1B27A17E" w14:textId="32E7FA03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Sensibilisation et formation à la cybersécurité</w:t>
            </w:r>
          </w:p>
        </w:tc>
        <w:tc>
          <w:tcPr>
            <w:tcW w:w="1814" w:type="dxa"/>
            <w:shd w:val="clear" w:color="auto" w:fill="C6EFCE"/>
          </w:tcPr>
          <w:p w14:paraId="5A6B128C" w14:textId="086F168A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  <w:shd w:val="clear" w:color="auto" w:fill="F0F6FC"/>
          </w:tcPr>
          <w:p w14:paraId="58B37267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7738C8AF" w14:textId="28C0709E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Art.21(2)(g) – Pratiques de base en matière de cyber-hygiène et formation</w:t>
            </w:r>
          </w:p>
        </w:tc>
      </w:tr>
      <w:tr w:rsidR="00C82F21" w14:paraId="1DB1D9B8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0899526D" w14:textId="79AD37F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NIS2-CY-04</w:t>
            </w:r>
          </w:p>
        </w:tc>
        <w:tc>
          <w:tcPr>
            <w:tcW w:w="1814" w:type="dxa"/>
          </w:tcPr>
          <w:p w14:paraId="7CFBE5E1" w14:textId="0549AF8B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Gestion des vulnérabilités</w:t>
            </w:r>
          </w:p>
        </w:tc>
        <w:tc>
          <w:tcPr>
            <w:tcW w:w="1814" w:type="dxa"/>
            <w:shd w:val="clear" w:color="auto" w:fill="C6EFCE"/>
          </w:tcPr>
          <w:p w14:paraId="66AED11D" w14:textId="76E017AC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</w:tcPr>
          <w:p w14:paraId="5B99206C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1C7DB5BD" w14:textId="0DF919D3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NIS2 Art.21(2)(e) – Sécurité dans l'acquisition, le développement et la maintenance</w:t>
            </w:r>
          </w:p>
        </w:tc>
      </w:tr>
      <w:tr w:rsidR="00C82F21" w14:paraId="194510F9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4AFA3B50" w14:textId="28605C5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DORA-CY-01</w:t>
            </w:r>
          </w:p>
        </w:tc>
        <w:tc>
          <w:tcPr>
            <w:tcW w:w="1814" w:type="dxa"/>
            <w:shd w:val="clear" w:color="auto" w:fill="F0F6FC"/>
          </w:tcPr>
          <w:p w14:paraId="7CC2533C" w14:textId="13C34149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Politique de sécurité des TIC</w:t>
            </w:r>
          </w:p>
        </w:tc>
        <w:tc>
          <w:tcPr>
            <w:tcW w:w="1814" w:type="dxa"/>
            <w:shd w:val="clear" w:color="auto" w:fill="FFC7CE"/>
          </w:tcPr>
          <w:p w14:paraId="46002992" w14:textId="44AC5287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Non-Conforme</w:t>
            </w:r>
          </w:p>
        </w:tc>
        <w:tc>
          <w:tcPr>
            <w:tcW w:w="1815" w:type="dxa"/>
            <w:shd w:val="clear" w:color="auto" w:fill="F0F6FC"/>
          </w:tcPr>
          <w:p w14:paraId="0F479AC9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4909D534" w14:textId="21E6EA0C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Art.9 – Protection et prévention</w:t>
            </w:r>
          </w:p>
        </w:tc>
      </w:tr>
      <w:tr w:rsidR="00C82F21" w14:paraId="54881EAD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</w:tcPr>
          <w:p w14:paraId="09A8D536" w14:textId="32ADA281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DORA-CY-02</w:t>
            </w:r>
          </w:p>
        </w:tc>
        <w:tc>
          <w:tcPr>
            <w:tcW w:w="1814" w:type="dxa"/>
          </w:tcPr>
          <w:p w14:paraId="2D08274D" w14:textId="4A40080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Classification des actifs TIC</w:t>
            </w:r>
          </w:p>
        </w:tc>
        <w:tc>
          <w:tcPr>
            <w:tcW w:w="1814" w:type="dxa"/>
            <w:shd w:val="clear" w:color="auto" w:fill="FFC7CE"/>
          </w:tcPr>
          <w:p w14:paraId="2CD86EAB" w14:textId="1580D43B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Non-Conforme</w:t>
            </w:r>
          </w:p>
        </w:tc>
        <w:tc>
          <w:tcPr>
            <w:tcW w:w="1815" w:type="dxa"/>
          </w:tcPr>
          <w:p w14:paraId="061A6AB8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</w:tcPr>
          <w:p w14:paraId="3E7CCB18" w14:textId="0A5A8D31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Art.8 – Identification</w:t>
            </w:r>
          </w:p>
        </w:tc>
      </w:tr>
      <w:tr w:rsidR="00C82F21" w14:paraId="2041E84A" w14:textId="77777777" w:rsidTr="00C82F21">
        <w:tblPrEx>
          <w:tblCellMar>
            <w:top w:w="0" w:type="dxa"/>
            <w:bottom w:w="0" w:type="dxa"/>
          </w:tblCellMar>
        </w:tblPrEx>
        <w:tc>
          <w:tcPr>
            <w:tcW w:w="1814" w:type="dxa"/>
            <w:shd w:val="clear" w:color="auto" w:fill="F0F6FC"/>
          </w:tcPr>
          <w:p w14:paraId="050DAD37" w14:textId="4EE7354A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DORA-CY-03</w:t>
            </w:r>
          </w:p>
        </w:tc>
        <w:tc>
          <w:tcPr>
            <w:tcW w:w="1814" w:type="dxa"/>
            <w:shd w:val="clear" w:color="auto" w:fill="F0F6FC"/>
          </w:tcPr>
          <w:p w14:paraId="78BACCB3" w14:textId="16F44355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Plan de réponse aux cyber-incidents</w:t>
            </w:r>
          </w:p>
        </w:tc>
        <w:tc>
          <w:tcPr>
            <w:tcW w:w="1814" w:type="dxa"/>
            <w:shd w:val="clear" w:color="auto" w:fill="C6EFCE"/>
          </w:tcPr>
          <w:p w14:paraId="314BF84C" w14:textId="33C7D97D" w:rsidR="00C82F21" w:rsidRPr="00C82F21" w:rsidRDefault="00C82F21" w:rsidP="00C82F21">
            <w:pPr>
              <w:pStyle w:val="Titre1"/>
              <w:rPr>
                <w:rFonts w:ascii="Arial" w:hAnsi="Arial" w:cs="Arial"/>
                <w:b/>
                <w:sz w:val="16"/>
              </w:rPr>
            </w:pPr>
            <w:r w:rsidRPr="00C82F21">
              <w:rPr>
                <w:rFonts w:ascii="Arial" w:hAnsi="Arial" w:cs="Arial"/>
                <w:b/>
                <w:sz w:val="16"/>
              </w:rPr>
              <w:t>Conforme</w:t>
            </w:r>
          </w:p>
        </w:tc>
        <w:tc>
          <w:tcPr>
            <w:tcW w:w="1815" w:type="dxa"/>
            <w:shd w:val="clear" w:color="auto" w:fill="F0F6FC"/>
          </w:tcPr>
          <w:p w14:paraId="4A814C75" w14:textId="77777777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</w:p>
        </w:tc>
        <w:tc>
          <w:tcPr>
            <w:tcW w:w="1815" w:type="dxa"/>
            <w:shd w:val="clear" w:color="auto" w:fill="F0F6FC"/>
          </w:tcPr>
          <w:p w14:paraId="5D5EFDF8" w14:textId="14EF6070" w:rsidR="00C82F21" w:rsidRPr="00C82F21" w:rsidRDefault="00C82F21" w:rsidP="00C82F21">
            <w:pPr>
              <w:pStyle w:val="Titre1"/>
              <w:rPr>
                <w:rFonts w:ascii="Arial" w:hAnsi="Arial" w:cs="Arial"/>
                <w:sz w:val="16"/>
              </w:rPr>
            </w:pPr>
            <w:r w:rsidRPr="00C82F21">
              <w:rPr>
                <w:rFonts w:ascii="Arial" w:hAnsi="Arial" w:cs="Arial"/>
                <w:sz w:val="16"/>
              </w:rPr>
              <w:t>DORA Art.18 – Gestion, classification et notification des incidents liés aux TIC</w:t>
            </w:r>
          </w:p>
        </w:tc>
      </w:tr>
    </w:tbl>
    <w:p w14:paraId="156DB360" w14:textId="566F7803" w:rsidR="00C82F21" w:rsidRPr="00C82F21" w:rsidRDefault="00C82F21" w:rsidP="00C82F21">
      <w:pPr>
        <w:pStyle w:val="Titre1"/>
      </w:pPr>
    </w:p>
    <w:sectPr w:rsidR="00C82F21" w:rsidRPr="00C82F21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03202BA" w14:textId="77777777" w:rsidR="00C82F21" w:rsidRDefault="00C82F21" w:rsidP="00C82F21">
      <w:pPr>
        <w:spacing w:after="0" w:line="240" w:lineRule="auto"/>
      </w:pPr>
      <w:r>
        <w:separator/>
      </w:r>
    </w:p>
  </w:endnote>
  <w:endnote w:type="continuationSeparator" w:id="0">
    <w:p w14:paraId="0D9E0B15" w14:textId="77777777" w:rsidR="00C82F21" w:rsidRDefault="00C82F21" w:rsidP="00C82F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E5C010" w14:textId="77777777" w:rsidR="00C82F21" w:rsidRDefault="00C82F21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F93B23" w14:textId="77777777" w:rsidR="00C82F21" w:rsidRDefault="00C82F21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5A15A51" w14:textId="77777777" w:rsidR="00C82F21" w:rsidRDefault="00C82F2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8868CE7" w14:textId="77777777" w:rsidR="00C82F21" w:rsidRDefault="00C82F21" w:rsidP="00C82F21">
      <w:pPr>
        <w:spacing w:after="0" w:line="240" w:lineRule="auto"/>
      </w:pPr>
      <w:r>
        <w:separator/>
      </w:r>
    </w:p>
  </w:footnote>
  <w:footnote w:type="continuationSeparator" w:id="0">
    <w:p w14:paraId="55DABF91" w14:textId="77777777" w:rsidR="00C82F21" w:rsidRDefault="00C82F21" w:rsidP="00C82F2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51BC9B" w14:textId="77777777" w:rsidR="00C82F21" w:rsidRDefault="00C82F21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11C084" w14:textId="77777777" w:rsidR="00C82F21" w:rsidRPr="00C82F21" w:rsidRDefault="00C82F21">
    <w:pPr>
      <w:pStyle w:val="En-tte"/>
      <w:rPr>
        <w:rFonts w:ascii="Arial" w:hAnsi="Arial"/>
        <w:color w:val="787878"/>
        <w:sz w:val="18"/>
      </w:rPr>
    </w:pPr>
    <w:r w:rsidRPr="00C82F21">
      <w:rPr>
        <w:rFonts w:ascii="Arial" w:hAnsi="Arial"/>
        <w:color w:val="787878"/>
        <w:sz w:val="18"/>
      </w:rPr>
      <w:t>Rapport d'Audit IT à ENTREPRSE   |   T1 2026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E4B459" w14:textId="77777777" w:rsidR="00C82F21" w:rsidRDefault="00C82F21">
    <w:pPr>
      <w:pStyle w:val="En-tte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2F21"/>
    <w:rsid w:val="001B2ECA"/>
    <w:rsid w:val="00C82F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1F51A"/>
  <w15:chartTrackingRefBased/>
  <w15:docId w15:val="{5A9646CB-555E-4388-9805-D3DE1B26F9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82F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82F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82F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82F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82F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82F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82F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82F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82F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82F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82F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82F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82F2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82F2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82F2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82F2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82F2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82F2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82F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82F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82F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82F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82F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82F2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82F2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82F2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82F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82F2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82F21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C82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C82F21"/>
  </w:style>
  <w:style w:type="paragraph" w:styleId="Pieddepage">
    <w:name w:val="footer"/>
    <w:basedOn w:val="Normal"/>
    <w:link w:val="PieddepageCar"/>
    <w:uiPriority w:val="99"/>
    <w:unhideWhenUsed/>
    <w:rsid w:val="00C82F2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C82F2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446</Words>
  <Characters>2458</Characters>
  <Application>Microsoft Office Word</Application>
  <DocSecurity>0</DocSecurity>
  <Lines>20</Lines>
  <Paragraphs>5</Paragraphs>
  <ScaleCrop>false</ScaleCrop>
  <Company/>
  <LinksUpToDate>false</LinksUpToDate>
  <CharactersWithSpaces>2899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Nimrod Ndoudi</dc:creator>
  <cp:keywords/>
  <dc:description/>
  <cp:lastModifiedBy>Nimrod Ndoudi</cp:lastModifiedBy>
  <cp:revision>1</cp:revision>
  <dcterms:created xsi:type="dcterms:W3CDTF">2026-06-08T16:32:00Z</dcterms:created>
  <dcterms:modified xsi:type="dcterms:W3CDTF">2026-06-08T16:32:00Z</dcterms:modified>
</cp:coreProperties>
</file>