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2857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005A8C"/>
          <w:sz w:val="60"/>
          <w:szCs w:val="60"/>
        </w:rPr>
        <w:t xml:space="preserve">PDO MONITOR UEMOA</w:t>
      </w:r>
    </w:p>
    <w:p>
      <w:pPr>
        <w:spacing w:after="360"/>
        <w:jc w:val="center"/>
      </w:pPr>
      <w:r>
        <w:rPr>
          <w:b/>
          <w:bCs/>
          <w:color w:val="A8C73B"/>
          <w:sz w:val="36"/>
          <w:szCs w:val="36"/>
        </w:rPr>
        <w:t xml:space="preserve">EOD Edition</w:t>
      </w:r>
    </w:p>
    <w:p>
      <w:pPr>
        <w:spacing w:after="600"/>
        <w:jc w:val="center"/>
      </w:pPr>
      <w:r>
        <w:rPr>
          <w:color w:val="3A4A5A"/>
          <w:sz w:val="26"/>
          <w:szCs w:val="26"/>
        </w:rPr>
        <w:t xml:space="preserve">Du fichier EOD REPORT au portefeuille classé BCEAO / IFRS 9, en quelques minutes et sans connexion</w:t>
      </w:r>
    </w:p>
    <w:p>
      <w:pPr>
        <w:spacing w:after="120"/>
        <w:jc w:val="center"/>
      </w:pPr>
      <w:r>
        <w:drawing>
          <wp:inline distT="0" distB="0" distL="0" distR="0">
            <wp:extent cx="5715000" cy="428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0"/>
        <w:jc w:val="center"/>
      </w:pPr>
      <w:r>
        <w:rPr>
          <w:color w:val="5A6B7B"/>
          <w:sz w:val="18"/>
          <w:szCs w:val="18"/>
        </w:rPr>
        <w:t xml:space="preserve">Bénin · Burkina Faso · Côte d’Ivoire · Guinée-Bissau · Mali · Niger · Sénégal · Togo</w:t>
      </w:r>
    </w:p>
    <w:p>
      <w:pPr>
        <w:jc w:val="center"/>
      </w:pPr>
      <w:r>
        <w:rPr>
          <w:b/>
          <w:bCs/>
          <w:color w:val="003A5D"/>
          <w:sz w:val="20"/>
          <w:szCs w:val="20"/>
        </w:rPr>
        <w:t xml:space="preserve">Document de présentation – Direction des Risques de Crédit</w:t>
      </w:r>
    </w:p>
    <w:p>
      <w:pPr>
        <w:jc w:val="center"/>
      </w:pPr>
      <w:r>
        <w:rPr>
          <w:color w:val="003A5D"/>
          <w:sz w:val="20"/>
          <w:szCs w:val="20"/>
        </w:rPr>
        <w:t xml:space="preserve">Ecobank Sénégal · Septembre 2026</w:t>
      </w:r>
    </w:p>
    <w:p>
      <w:r>
        <w:br w:type="page"/>
      </w:r>
    </w:p>
    <w:p>
      <w:pPr>
        <w:spacing w:after="200"/>
      </w:pPr>
      <w:r>
        <w:rPr>
          <w:b/>
          <w:bCs/>
          <w:color w:val="005A8C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Synthèse</w:t>
      </w:r>
    </w:p>
    <w:p>
      <w:pPr>
        <w:spacing w:after="120" w:line="300"/>
      </w:pPr>
      <w:r>
        <w:t xml:space="preserve">PDO MONITOR UEMOA – EOD Edition est une application HTML autonome qui reconstruit, à partir de la seule archive quotidienne </w:t>
      </w:r>
      <w:r>
        <w:rPr>
          <w:b/>
          <w:bCs/>
        </w:rPr>
        <w:t xml:space="preserve">EOD_REPORT.ZIP</w:t>
      </w:r>
      <w:r>
        <w:t xml:space="preserve"> produite par Flexcube, le portefeuille de crédit classé selon l’instruction BCEAO n°026-11-2016 et la norme IFRS 9. Elle reproduit par rétro-ingénierie la chaîne de traitement du PDO Monitor historique, tout en la rendant indépendante de toute préparation manuelle.</w:t>
      </w:r>
    </w:p>
    <w:p>
      <w:pPr>
        <w:spacing w:after="120" w:line="300"/>
      </w:pPr>
      <w:r>
        <w:t xml:space="preserve">Les huit filiales Ecobank de la zone UEMOA partagent les mêmes extractions et la même réglementation : un seul code, un profil de paramètres par filiale, et l’outil est déployé.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fichier HTML</w:t>
            </w:r>
          </w:p>
        </w:tc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installation</w:t>
            </w:r>
          </w:p>
        </w:tc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100 %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hors ligne</w:t>
            </w:r>
          </w:p>
        </w:tc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pays UEMOA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Contexte et enjeux</w:t>
      </w:r>
    </w:p>
    <w:p>
      <w:pPr>
        <w:spacing w:after="120" w:line="300"/>
      </w:pPr>
      <w:r>
        <w:t xml:space="preserve">Le suivi des impayés (PDO) et le déclassement des créances reposent aujourd’hui sur des retraitements Excel successifs, longs, dépendants de quelques personnes clés et difficiles à auditer. Chaque filiale reproduit le même travail sur des données de structure identique.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Délais : </w:t>
      </w:r>
      <w:r>
        <w:t xml:space="preserve">plusieurs heures de consolidation avant chaque comité.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Risque opérationnel : </w:t>
      </w:r>
      <w:r>
        <w:t xml:space="preserve">doublons, formules rompues, périmètres NPL divergents entre numérateur et dénominateur.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Traçabilité : </w:t>
      </w:r>
      <w:r>
        <w:t xml:space="preserve">difficulté à justifier un chiffre face à l’audit, au Groupe ou au superviseur.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Hétérogénéité : </w:t>
      </w:r>
      <w:r>
        <w:t xml:space="preserve">des pratiques différentes d’une filiale UEMOA à l’autre pour une même réglementation.</w:t>
      </w:r>
    </w:p>
    <w:p>
      <w:pPr>
        <w:pStyle w:val="Heading1"/>
      </w:pPr>
      <w:r>
        <w:t xml:space="preserve">3. La solution</w:t>
      </w:r>
    </w:p>
    <w:p>
      <w:pPr>
        <w:pStyle w:val="Heading2"/>
      </w:pPr>
      <w:r>
        <w:t xml:space="preserve">3.1 Principes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Monofichier et hors ligne : </w:t>
      </w:r>
      <w:r>
        <w:t xml:space="preserve">aucune donnée ne quitte le poste de l’utilisateur ; le traitement s’exécute dans le navigateur.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Lecture directe de l’EOD : </w:t>
      </w:r>
      <w:r>
        <w:t xml:space="preserve">les états sont reconnus par leurs colonnes, quel que soit le suffixe de filiale ou de date ; la ligne d’en-tête est détectée automatiquement.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Moteur réglementaire complet : </w:t>
      </w:r>
      <w:r>
        <w:t xml:space="preserve">base emplois et comptes débiteurs, allocation des impayés, règle « débiteur depuis », rattachement des provisions 299, contagion client, FRR, classification, Stage IFRS 9 et ECL.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Paramétrable sans code : </w:t>
      </w:r>
      <w:r>
        <w:t xml:space="preserve">seuils, taux, exclusions et tables de correspondance sont portés par un profil JSON par filiale.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Exports prêts à diffuser : </w:t>
      </w:r>
      <w:r>
        <w:t xml:space="preserve">classeurs Excel aux couleurs Ecobank, dont un pack complet multi-feuilles et le ETI Data Template au format Groupe.</w:t>
      </w:r>
    </w:p>
    <w:p>
      <w:pPr>
        <w:pStyle w:val="Heading2"/>
      </w:pPr>
      <w:r>
        <w:t xml:space="preserve">3.2 Chaîne de traitement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Traitement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· Chargement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Dépôt de l’archive EOD, du portefeuille Groupe (optionnel) et des états complémentaires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États identifiés et contrôlés</w:t>
            </w:r>
          </w:p>
        </w:tc>
      </w:tr>
      <w:t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2 · Base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Emplois + comptes débiteurs, neutralisation des doublons par axe comptable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Encours réel par contrat</w:t>
            </w:r>
          </w:p>
        </w:tc>
      </w:tr>
      <w:t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 · Impayés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Allocation des PDO, calcul de l’ancienneté depuis la date d’entrée en impayé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Jours de retard, FRR</w:t>
            </w:r>
          </w:p>
        </w:tc>
      </w:tr>
      <w:t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4 · Classement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Contagion client, grille BCEAO, Stage IFRS 9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Classes I à V, statut P / NP</w:t>
            </w:r>
          </w:p>
        </w:tc>
      </w:tr>
      <w:t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5 · Provisions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Rattachement des comptes 299, taux ECL 1 / 25 / 100 %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ECL et provisions isolées</w:t>
            </w:r>
          </w:p>
        </w:tc>
      </w:tr>
      <w:t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6 · Sorties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PRE_PORTFOLIO (38 colonnes), ETI Data Template, réconciliation</w:t>
            </w:r>
          </w:p>
        </w:tc>
        <w:tc>
          <w:tcPr>
            <w:tcW w:type="dxa" w:w="32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Exports Excel et profil filiale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B"/>
          <w:sz w:val="17"/>
          <w:szCs w:val="17"/>
        </w:rPr>
        <w:t xml:space="preserve">Figure 1 – Écran de chargement : archive EOD, portefeuille Groupe et états complémentaires</w:t>
      </w:r>
    </w:p>
    <w:p>
      <w:pPr>
        <w:pStyle w:val="Heading2"/>
      </w:pPr>
      <w:r>
        <w:t xml:space="preserve">3.3 Les quatorze onglets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Chargement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Dépôt des fichiers, reconnaissance des états, lancement du moteur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Synthèse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Indicateurs clés, ratio NPL, graphiques de répartition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Impayés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Détail des PDO par contrat et par tranche d’ancienneté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Croisement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Rapprochement impayés / emplois / clients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Débiteurs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Comptes débiteurs dédoublonnés, ancienneté du solde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COD à déclasser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Découverts à reclasser selon la règle « débiteur depuis »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Douteux 292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Encours déjà logés en créances douteuses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Déclassements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Mouvements de classe et effet de contagion client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PRE_PORTFOLIO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Sortie au format portefeuille Groupe (38 colonnes)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Échéancier IFRS 9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Chargement séparé des actifs par échéance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ETI Data Template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Modèle Groupe avec sûretés ventilées résidentiel / commercial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Réconciliation GL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Contrôle source par source de ce que l’EOD contient et de ce que le moteur reprend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Contrôle portefeuille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Comparaison avec le portefeuille officiel de la filiale</w:t>
            </w:r>
          </w:p>
        </w:tc>
      </w:tr>
      <w:t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Paramètres</w:t>
            </w:r>
          </w:p>
        </w:tc>
        <w:tc>
          <w:tcPr>
            <w:tcW w:type="dxa" w:w="61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Identité filiale, grille, taux, exclusions, export / import du profil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Référentiel réglementaire</w:t>
      </w:r>
    </w:p>
    <w:p>
      <w:pPr>
        <w:spacing w:after="120" w:line="300"/>
      </w:pPr>
      <w:r>
        <w:t xml:space="preserve">La grille par défaut suit le référentiel BCEAO / IFRS 9 retenu par la Direction des Risques. Les seuils restent modifiables dans l’onglet Paramètres, filiale par filiale.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900"/>
        <w:gridCol w:w="900"/>
        <w:gridCol w:w="2300"/>
        <w:gridCol w:w="1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FRR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Ancienneté (jours)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ECL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≤ 6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1 %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Performant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IA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Sur surveillance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– 30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1 %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Performant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II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Watch-list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31 – 90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25 %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Performant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III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Douteux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91 – 180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100 %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Non performant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IV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Compromis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181 – 360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100 %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Non performant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V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Perte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&gt; 360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100 %</w:t>
            </w:r>
          </w:p>
        </w:tc>
        <w:tc>
          <w:tcPr>
            <w:tcW w:type="dxa" w:w="14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Non performant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Règle intangible : </w:t>
      </w:r>
      <w:r>
        <w:t xml:space="preserve">toute exclusion de périmètre (titres, lignes non utilisées, segments ou contrats spécifiques) s’applique symétriquement au numérateur et au dénominateur du ratio NPL.</w:t>
      </w:r>
    </w:p>
    <w:p>
      <w:pPr>
        <w:spacing w:after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B"/>
          <w:sz w:val="17"/>
          <w:szCs w:val="17"/>
        </w:rPr>
        <w:t xml:space="preserve">Figure 2 – Onglet Paramètres : identité de la filiale, grille de classification, taux et périmètre NPL</w:t>
      </w:r>
    </w:p>
    <w:p>
      <w:r>
        <w:br w:type="page"/>
      </w:r>
    </w:p>
    <w:p>
      <w:pPr>
        <w:pStyle w:val="Heading1"/>
      </w:pPr>
      <w:r>
        <w:t xml:space="preserve">5. Déploiement dans la zone UEMOA</w:t>
      </w:r>
    </w:p>
    <w:p>
      <w:pPr>
        <w:spacing w:after="120" w:line="300"/>
      </w:pPr>
      <w:r>
        <w:t xml:space="preserve">Les filiales de l’Union partagent le même système d’information, les mêmes états EOD, la même devise (XOF) et le même régulateur. Le déploiement se résume à un profil de paramètres par filiale ; le code reste strictement identique.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7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Drapeau</w:t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Pays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Siège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Bénin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Cotonou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Profil filiale à paramétrer et à caler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Burkina Faso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Ouagadougou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Profil filiale à paramétrer et à caler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Côte d'Ivoire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Abidjan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Calage réalisé – classifications concordantes à 93,7 %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Guinée-Bissau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Bissau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Profil filiale à paramétrer et à caler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Mali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Bamako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Profil filiale à paramétrer et à caler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Niger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Niamey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Profil filiale à paramétrer et à caler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Sénégal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Dakar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Pilote – moteur validé sur l’arrêté du 31/08/2026</w:t>
            </w:r>
          </w:p>
        </w:tc>
      </w:tr>
      <w:t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28625" cy="28575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Togo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Lomé</w:t>
            </w:r>
          </w:p>
        </w:tc>
        <w:tc>
          <w:tcPr>
            <w:tcW w:type="dxa" w:w="46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Profil filiale à paramétrer et à caler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Démarche type par filiale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 indicative</w:t>
            </w:r>
          </w:p>
        </w:tc>
      </w:tr>
      <w:t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Cadrage</w:t>
            </w:r>
          </w:p>
        </w:tc>
        <w:tc>
          <w:tcPr>
            <w:tcW w:type="dxa" w:w="49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Collecte d’une archive EOD et du portefeuille officiel sur un même arrêté</w:t>
            </w:r>
          </w:p>
        </w:tc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jour</w:t>
            </w:r>
          </w:p>
        </w:tc>
      </w:tr>
      <w:t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Paramétrage</w:t>
            </w:r>
          </w:p>
        </w:tc>
        <w:tc>
          <w:tcPr>
            <w:tcW w:type="dxa" w:w="49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Code entité, exclusions, tables Segment / Product Code, seuils</w:t>
            </w:r>
          </w:p>
        </w:tc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à 2 jours</w:t>
            </w:r>
          </w:p>
        </w:tc>
      </w:tr>
      <w:t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Calage</w:t>
            </w:r>
          </w:p>
        </w:tc>
        <w:tc>
          <w:tcPr>
            <w:tcW w:type="dxa" w:w="49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Rapprochement avec un run officiel : montants, statut P/NP, classes</w:t>
            </w:r>
          </w:p>
        </w:tc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3 à 5 jours</w:t>
            </w:r>
          </w:p>
        </w:tc>
      </w:tr>
      <w:t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Mise en service</w:t>
            </w:r>
          </w:p>
        </w:tc>
        <w:tc>
          <w:tcPr>
            <w:tcW w:type="dxa" w:w="49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Export du profil PROFIL_PDO_&lt;CODE&gt;.json, formation des utilisateurs</w:t>
            </w:r>
          </w:p>
        </w:tc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1 jour</w:t>
            </w:r>
          </w:p>
        </w:tc>
      </w:tr>
    </w:tbl>
    <w:p>
      <w:pPr>
        <w:pStyle w:val="Heading1"/>
      </w:pPr>
      <w:r>
        <w:t xml:space="preserve">6. Résultats de validation</w:t>
      </w:r>
    </w:p>
    <w:p>
      <w:pPr>
        <w:pStyle w:val="Heading2"/>
      </w:pPr>
      <w:r>
        <w:t xml:space="preserve">6.1 Ecobank Sénégal – arrêté du 31/08/2026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14 024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lignes produites</w:t>
            </w:r>
          </w:p>
        </w:tc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385,43 Mds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encours XOF</w:t>
            </w:r>
          </w:p>
        </w:tc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12,42 Mds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ECL</w:t>
            </w:r>
          </w:p>
        </w:tc>
        <w:tc>
          <w:tcPr>
            <w:tcW w:type="dxa" w:w="2340"/>
            <w:tcBorders>
              <w:top w:val="single" w:color="A8C73B" w:sz="2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5A8C"/>
                <w:sz w:val="32"/>
                <w:szCs w:val="32"/>
              </w:rPr>
              <w:t xml:space="preserve">10</w:t>
            </w:r>
          </w:p>
          <w:p>
            <w:pPr>
              <w:jc w:val="center"/>
            </w:pPr>
            <w:r>
              <w:rPr>
                <w:color w:val="5A6B7B"/>
                <w:sz w:val="17"/>
                <w:szCs w:val="17"/>
              </w:rPr>
              <w:t xml:space="preserve">états reconnus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Encours décomposé en 373,05 Mds d’emplois, 7,68 Mds de débiteurs et 4,70 Mds d’impayés.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3 155 lignes de comptes débiteurs ramenées à 783 comptes réels : 53,5 Mds affichés contre 7,68 Mds de solde débiteur effectif.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4,76 Mds de provisions 299 sans contrat vivant identifiés et isolés au lieu d’être dilués.</w:t>
      </w:r>
    </w:p>
    <w:p>
      <w:pPr>
        <w:pStyle w:val="Heading2"/>
      </w:pPr>
      <w:r>
        <w:t xml:space="preserve">6.2 Ecobank Côte d’Ivoire – calage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4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Concordance avec le portefeuille officiel</w:t>
            </w:r>
          </w:p>
        </w:tc>
      </w:tr>
      <w:tr>
        <w:tc>
          <w:tcPr>
            <w:tcW w:type="dxa" w:w="5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Montants</w:t>
            </w:r>
          </w:p>
        </w:tc>
        <w:tc>
          <w:tcPr>
            <w:tcW w:type="dxa" w:w="4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99,4 %</w:t>
            </w:r>
          </w:p>
        </w:tc>
      </w:tr>
      <w:tr>
        <w:tc>
          <w:tcPr>
            <w:tcW w:type="dxa" w:w="5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Statut performant / non performant</w:t>
            </w:r>
          </w:p>
        </w:tc>
        <w:tc>
          <w:tcPr>
            <w:tcW w:type="dxa" w:w="4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99,1 %</w:t>
            </w:r>
          </w:p>
        </w:tc>
      </w:tr>
      <w:tr>
        <w:tc>
          <w:tcPr>
            <w:tcW w:type="dxa" w:w="5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Classifications</w:t>
            </w:r>
          </w:p>
        </w:tc>
        <w:tc>
          <w:tcPr>
            <w:tcW w:type="dxa" w:w="4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93,7 %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t xml:space="preserve">Le ETI Data Template porte 4 633 lignes avec sûretés réelles, l’hypothécaire étant ventilé entre les compartiments résidentiel et commercial attendus par le modèle Groupe.</w:t>
      </w:r>
    </w:p>
    <w:p>
      <w:pPr>
        <w:pStyle w:val="Heading1"/>
      </w:pPr>
      <w:r>
        <w:t xml:space="preserve">7. Points de calibrage</w:t>
      </w:r>
    </w:p>
    <w:p>
      <w:pPr>
        <w:spacing w:after="120" w:line="300"/>
      </w:pPr>
      <w:r>
        <w:t xml:space="preserve">Avant toute diffusion des chiffres, trois points font l’objet d’une validation filiale par filiale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Ratio NPL : </w:t>
      </w:r>
      <w:r>
        <w:t xml:space="preserve">rapprochement obligatoire avec un run officiel du PDO Monitor sur le même arrêté, l’EOD ne portant qu’une partie du stock douteux en GL 292.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Tables de correspondance : </w:t>
      </w:r>
      <w:r>
        <w:t xml:space="preserve">Segment Code et Product Code sont déduits de tables extraites du portefeuille ; elles doivent être confirmées par chaque filiale.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Valeur des sûretés : </w:t>
      </w:r>
      <w:r>
        <w:t xml:space="preserve">l’outil retient la valeur pleine de la garantie ; à confirmer avec le Groupe si la valeur attendue est la valeur de marché ou la valeur plafonnée à l’encours couvert.</w:t>
      </w:r>
    </w:p>
    <w:p>
      <w:pPr>
        <w:pStyle w:val="Heading1"/>
      </w:pPr>
      <w:r>
        <w:t xml:space="preserve">8. Bénéfices attendus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Bénéfice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05A8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Gain de temps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Portefeuille classé disponible en quelques minutes au lieu de plusieurs heures</w:t>
            </w:r>
          </w:p>
        </w:tc>
      </w:tr>
      <w:t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Fiabilité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Doublons neutralisés, règles appliquées de façon uniforme et reproductible</w:t>
            </w:r>
          </w:p>
        </w:tc>
      </w:tr>
      <w:t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Auditabilité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Chaque chiffre est rattaché à sa source EOD et exportable en détail</w:t>
            </w:r>
          </w:p>
        </w:tc>
      </w:tr>
      <w:t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Sécurité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Aucune donnée transmise hors du poste, aucune infrastructure à installer</w:t>
            </w:r>
          </w:p>
        </w:tc>
      </w:tr>
      <w:t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Harmonisation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Méthodologie commune aux huit filiales UEMOA, comparable par le Groupe</w:t>
            </w:r>
          </w:p>
        </w:tc>
      </w:tr>
      <w:t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Coût</w:t>
            </w:r>
          </w:p>
        </w:tc>
        <w:tc>
          <w:tcPr>
            <w:tcW w:type="dxa" w:w="63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2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A36"/>
                <w:sz w:val="19"/>
                <w:szCs w:val="19"/>
              </w:rPr>
              <w:t xml:space="preserve">Un seul code à maintenir, un profil JSON par filiale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5715000" cy="4286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05A8C"/>
          <w:sz w:val="22"/>
          <w:szCs w:val="22"/>
        </w:rPr>
        <w:t xml:space="preserve">Ecobank – The Pan African Bank</w:t>
      </w:r>
    </w:p>
    <w:sectPr>
      <w:headerReference w:type="default" r:id="rId6"/>
      <w:footerReference w:type="default" r:id="rId7"/>
      <w:pgSz w:w="11906" w:h="16838" w:orient="portrait"/>
      <w:pgMar w:top="1200" w:right="1440" w:bottom="11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B7B"/>
        <w:sz w:val="16"/>
        <w:szCs w:val="16"/>
      </w:rPr>
      <w:t xml:space="preserve">Ecobank Sénégal – Direction des Risques de Crédit – Confidentiel</w:t>
    </w:r>
    <w:r>
      <w:rPr>
        <w:color w:val="5A6B7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A8C" w:sz="6" w:space="4"/>
      </w:pBdr>
      <w:tabs>
        <w:tab w:val="right" w:pos="9360"/>
      </w:tabs>
    </w:pPr>
    <w:r>
      <w:drawing>
        <wp:inline distT="0" distB="0" distL="0" distR="0">
          <wp:extent cx="666750" cy="361950"/>
          <wp:effectExtent t="0" r="0" b="0" l="0"/>
          <wp:docPr id="1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05A8C"/>
        <w:sz w:val="18"/>
        <w:szCs w:val="18"/>
      </w:rPr>
      <w:t xml:space="preserve">	PDO MONITOR UEMOA – EOD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005A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8C73B" w:sz="12" w:space="4"/>
      </w:pBdr>
      <w:spacing w:after="160" w:before="360"/>
      <w:outlineLvl w:val="0"/>
    </w:pPr>
    <w:rPr>
      <w:b/>
      <w:bCs/>
      <w:color w:val="005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003A5D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73fc87b5921c9499f0d23790b53b6a96b474549.png"/><Relationship Id="rId10" Type="http://schemas.openxmlformats.org/officeDocument/2006/relationships/image" Target="media/086d15f53aa9129d886562d896da3e67a58f9175.png"/><Relationship Id="rId11" Type="http://schemas.openxmlformats.org/officeDocument/2006/relationships/image" Target="media/af85c4afcca42c55352ca635830faf1e1842c5f0.png"/><Relationship Id="rId12" Type="http://schemas.openxmlformats.org/officeDocument/2006/relationships/image" Target="media/97adab7ef068b472750efa00ee3d442e77edf5f0.png"/><Relationship Id="rId13" Type="http://schemas.openxmlformats.org/officeDocument/2006/relationships/image" Target="media/42ee7a235fe164c836d1849ac580b883c815778f.png"/><Relationship Id="rId14" Type="http://schemas.openxmlformats.org/officeDocument/2006/relationships/image" Target="media/cbe341fad1ff403075e09dde8855e86ea01e7128.png"/><Relationship Id="rId15" Type="http://schemas.openxmlformats.org/officeDocument/2006/relationships/image" Target="media/39767323e296f79e19eb0905a73e8680e562b791.png"/><Relationship Id="rId16" Type="http://schemas.openxmlformats.org/officeDocument/2006/relationships/image" Target="media/bfa63e39c45394e316eea1ab99c6f94f53a6dbcc.png"/><Relationship Id="rId17" Type="http://schemas.openxmlformats.org/officeDocument/2006/relationships/image" Target="media/ef3b836cff11013c625ad9c141f718e2988d4bf0.png"/><Relationship Id="rId18" Type="http://schemas.openxmlformats.org/officeDocument/2006/relationships/image" Target="media/220d90e5d65782afb8d96258ab8ffe556ebfed73.png"/><Relationship Id="rId19" Type="http://schemas.openxmlformats.org/officeDocument/2006/relationships/image" Target="media/7c1b599fba3fb9ccf0387ba6b7c8e6fc629168d7.png"/><Relationship Id="rId20" Type="http://schemas.openxmlformats.org/officeDocument/2006/relationships/image" Target="media/c680f52e43f6ea1150408304a8cabf92caa818e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73fc87b5921c9499f0d23790b53b6a96b4745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2026-09-29T15:05:05.872Z</dcterms:created>
  <dcterms:modified xsi:type="dcterms:W3CDTF">2026-09-29T15:05:05.873Z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