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Apex.xml" ContentType="application/vnd.openxmlformats-officedocument.wordprocessingml.header+xml"/>
  <Override PartName="/word/footerApex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14="http://schemas.microsoft.com/office/word/2010/wordml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mc:Ignorable="w14">
  <w:body>
    <w:bookmarkStart w:id="9901" w:name="APEX_PREMIUM_COVER"/>
    <w:bookmarkEnd w:id="9901"/>
    <w:tbl>
      <w:tblPr>
        <w:tblW w:w="9638" w:type="dxa"/>
        <w:jc w:val="center"/>
        <w:tblBorders>
          <w:insideV w:val="single" w:sz="24" w:color="FFFFFF"/>
        </w:tblBorders>
        <w:tblLayout w:type="fixed"/>
      </w:tblPr>
      <w:tblGrid>
        <w:gridCol w:w="9638"/>
      </w:tblGrid>
      <w:tr>
        <w:trPr>
          <w:trHeight w:val="3600" w:hRule="exact"/>
        </w:trPr>
        <w:tc>
          <w:tcPr>
            <w:tcW w:w="9638" w:type="dxa"/>
            <w:shd w:val="clear" w:color="auto" w:fill="001B4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before="0" w:after="200"/>
            </w:pPr>
            <w:r>
              <w:rPr>
                <w:b/>
                <w:color w:val="C8A951"/>
                <w:spacing w:val="40"/>
                <w:sz w:val="22"/>
                <w:szCs w:val="22"/>
              </w:rPr>
              <w:t xml:space="preserve">ECOBANK SÉNÉGAL</w:t>
            </w:r>
          </w:p>
          <w:p>
            <w:pPr>
              <w:spacing w:before="0" w:after="160"/>
            </w:pPr>
            <w:r>
              <w:rPr>
                <w:b/>
                <w:color w:val="FFFFFF"/>
                <w:sz w:val="52"/>
                <w:szCs w:val="52"/>
                <w14:shadow w14:blurRad="38100" w14:dist="19050" w14:dir="5400000" w14:sx="100000" w14:sy="100000" w14:kx="0" w14:ky="0" w14:algn="tl">
                  <w14:srgbClr w14:val="001B4D">
                    <w14:alpha w14:val="62000"/>
                  </w14:srgbClr>
                </w14:shadow>
              </w:rPr>
              <w:t xml:space="preserve">ECOBANK Credit Risk Intelligence</w:t>
            </w:r>
          </w:p>
          <w:p>
            <w:pPr>
              <w:spacing w:before="0" w:after="0"/>
            </w:pPr>
            <w:r>
              <w:rPr>
                <w:color w:val="CFE6F1"/>
                <w:sz w:val="22"/>
                <w:szCs w:val="22"/>
              </w:rPr>
              <w:t xml:space="preserve">Credit Risk OS · Direction des Risques</w:t>
            </w:r>
          </w:p>
        </w:tc>
      </w:tr>
      <w:tr>
        <w:trPr>
          <w:trHeight w:val="120" w:hRule="exact"/>
        </w:trPr>
        <w:tc>
          <w:tcPr>
            <w:tcW w:w="9638" w:type="dxa"/>
            <w:shd w:val="clear" w:color="auto" w:fill="C8A95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/>
        </w:tc>
      </w:tr>
    </w:tbl>
    <w:p>
      <w:pPr>
        <w:spacing w:before="200" w:after="360"/>
      </w:pPr>
      <w:r>
        <w:rPr>
          <w:i/>
          <w:color w:val="334155"/>
          <w:sz w:val="18"/>
          <w:szCs w:val="18"/>
        </w:rPr>
        <w:t xml:space="preserve">Édité le 03/10/2026 · Arrêté du 30/09/2026 · Document confidentiel — usage interne</w:t>
      </w:r>
    </w:p>
    <w:p>
      <w:pPr>
        <w:spacing w:before="0" w:after="140"/>
      </w:pPr>
      <w:r>
        <w:rPr>
          <w:b/>
          <w:color w:val="001B4D"/>
          <w:sz w:val="26"/>
          <w:szCs w:val="26"/>
          <w14:shadow w14:blurRad="38100" w14:dist="19050" w14:dir="5400000" w14:sx="100000" w14:sy="100000" w14:kx="0" w14:ky="0" w14:algn="tl">
            <w14:srgbClr w14:val="001B4D">
              <w14:alpha w14:val="62000"/>
            </w14:srgbClr>
          </w14:shadow>
        </w:rPr>
        <w:t xml:space="preserve">Le portefeuille en un coup d’œil</w:t>
      </w:r>
    </w:p>
    <w:tbl>
      <w:tblPr>
        <w:tblW w:w="9638" w:type="dxa"/>
        <w:jc w:val="center"/>
        <w:tblBorders>
          <w:insideV w:val="single" w:sz="24" w:color="FFFFFF"/>
        </w:tblBorders>
        <w:tblLayout w:type="fixed"/>
      </w:tblPr>
      <w:tblGrid>
        <w:gridCol w:w="2409"/>
        <w:gridCol w:w="2409"/>
        <w:gridCol w:w="2410"/>
        <w:gridCol w:w="2410"/>
      </w:tblGrid>
      <w:tr>
        <w:tc>
          <w:tcPr>
            <w:tcW w:w="2409" w:type="dxa"/>
            <w:tcBorders>
              <w:top w:val="single" w:sz="18" w:color="C8A951"/>
            </w:tcBorders>
            <w:shd w:val="clear" w:color="auto" w:fill="F5F9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334155"/>
                <w:spacing w:val="20"/>
                <w:sz w:val="15"/>
                <w:szCs w:val="15"/>
              </w:rPr>
              <w:t xml:space="preserve">ENCOURS</w:t>
            </w:r>
          </w:p>
          <w:p>
            <w:pPr>
              <w:spacing w:before="0" w:after="0"/>
              <w:jc w:val="center"/>
            </w:pPr>
            <w:r>
              <w:rPr>
                <w:rFonts w:ascii="Consolas" w:hAnsi="Consolas"/>
                <w:b/>
                <w:color w:val="001B4D"/>
                <w:sz w:val="34"/>
                <w:szCs w:val="34"/>
                <w14:shadow w14:blurRad="38100" w14:dist="19050" w14:dir="5400000" w14:sx="100000" w14:sy="100000" w14:kx="0" w14:ky="0" w14:algn="tl">
                  <w14:srgbClr w14:val="001B4D">
                    <w14:alpha w14:val="62000"/>
                  </w14:srgbClr>
                </w14:shadow>
              </w:rPr>
              <w:t xml:space="preserve">850,4 Mds</w:t>
            </w:r>
          </w:p>
        </w:tc>
        <w:tc>
          <w:tcPr>
            <w:tcW w:w="2409" w:type="dxa"/>
            <w:tcBorders>
              <w:top w:val="single" w:sz="18" w:color="C8A951"/>
            </w:tcBorders>
            <w:shd w:val="clear" w:color="auto" w:fill="F5F9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334155"/>
                <w:spacing w:val="20"/>
                <w:sz w:val="15"/>
                <w:szCs w:val="15"/>
              </w:rPr>
              <w:t xml:space="preserve">RATIO NPL</w:t>
            </w:r>
          </w:p>
          <w:p>
            <w:pPr>
              <w:spacing w:before="0" w:after="0"/>
              <w:jc w:val="center"/>
            </w:pPr>
            <w:r>
              <w:rPr>
                <w:rFonts w:ascii="Consolas" w:hAnsi="Consolas"/>
                <w:b/>
                <w:color w:val="001B4D"/>
                <w:sz w:val="34"/>
                <w:szCs w:val="34"/>
                <w14:shadow w14:blurRad="38100" w14:dist="19050" w14:dir="5400000" w14:sx="100000" w14:sy="100000" w14:kx="0" w14:ky="0" w14:algn="tl">
                  <w14:srgbClr w14:val="001B4D">
                    <w14:alpha w14:val="62000"/>
                  </w14:srgbClr>
                </w14:shadow>
              </w:rPr>
              <w:t xml:space="preserve">12,7 %</w:t>
            </w:r>
          </w:p>
        </w:tc>
        <w:tc>
          <w:tcPr>
            <w:tcW w:w="2409" w:type="dxa"/>
            <w:tcBorders>
              <w:top w:val="single" w:sz="18" w:color="C8A951"/>
            </w:tcBorders>
            <w:shd w:val="clear" w:color="auto" w:fill="F5F9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334155"/>
                <w:spacing w:val="20"/>
                <w:sz w:val="15"/>
                <w:szCs w:val="15"/>
              </w:rPr>
              <w:t xml:space="preserve">ECL IFRS 9</w:t>
            </w:r>
          </w:p>
          <w:p>
            <w:pPr>
              <w:spacing w:before="0" w:after="0"/>
              <w:jc w:val="center"/>
            </w:pPr>
            <w:r>
              <w:rPr>
                <w:rFonts w:ascii="Consolas" w:hAnsi="Consolas"/>
                <w:b/>
                <w:color w:val="001B4D"/>
                <w:sz w:val="34"/>
                <w:szCs w:val="34"/>
                <w14:shadow w14:blurRad="38100" w14:dist="19050" w14:dir="5400000" w14:sx="100000" w14:sy="100000" w14:kx="0" w14:ky="0" w14:algn="tl">
                  <w14:srgbClr w14:val="001B4D">
                    <w14:alpha w14:val="62000"/>
                  </w14:srgbClr>
                </w14:shadow>
              </w:rPr>
              <w:t xml:space="preserve">37,3 Mds</w:t>
            </w:r>
          </w:p>
        </w:tc>
        <w:tc>
          <w:tcPr>
            <w:tcW w:w="2409" w:type="dxa"/>
            <w:tcBorders>
              <w:top w:val="single" w:sz="18" w:color="C8A951"/>
            </w:tcBorders>
            <w:shd w:val="clear" w:color="auto" w:fill="F5F9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334155"/>
                <w:spacing w:val="20"/>
                <w:sz w:val="15"/>
                <w:szCs w:val="15"/>
              </w:rPr>
              <w:t xml:space="preserve">IMPAYÉS</w:t>
            </w:r>
          </w:p>
          <w:p>
            <w:pPr>
              <w:spacing w:before="0" w:after="0"/>
              <w:jc w:val="center"/>
            </w:pPr>
            <w:r>
              <w:rPr>
                <w:rFonts w:ascii="Consolas" w:hAnsi="Consolas"/>
                <w:b/>
                <w:color w:val="001B4D"/>
                <w:sz w:val="34"/>
                <w:szCs w:val="34"/>
                <w14:shadow w14:blurRad="38100" w14:dist="19050" w14:dir="5400000" w14:sx="100000" w14:sy="100000" w14:kx="0" w14:ky="0" w14:algn="tl">
                  <w14:srgbClr w14:val="001B4D">
                    <w14:alpha w14:val="62000"/>
                  </w14:srgbClr>
                </w14:shadow>
              </w:rPr>
              <w:t xml:space="preserve">31,9 Mds</w:t>
            </w:r>
          </w:p>
        </w:tc>
      </w:tr>
    </w:tbl>
    <w:p>
      <w:pPr>
        <w:spacing w:before="160" w:after="300"/>
      </w:pPr>
      <w:r>
        <w:rPr>
          <w:color w:val="334155"/>
          <w:sz w:val="18"/>
          <w:szCs w:val="18"/>
        </w:rPr>
        <w:t xml:space="preserve">700 clients · 2 500 lignes · encours en Stage 2 : 144,6 Mds</w:t>
      </w:r>
    </w:p>
    <w:p>
      <w:r>
        <w:br w:type="page"/>
      </w:r>
    </w:p>
    <w:p>
      <w:pPr>
        <w:spacing w:before="0" w:after="200"/>
      </w:pPr>
      <w:r>
        <w:rPr>
          <w:b/>
          <w:color w:val="001B4D"/>
          <w:sz w:val="36"/>
          <w:szCs w:val="36"/>
          <w14:shadow w14:blurRad="38100" w14:dist="19050" w14:dir="5400000" w14:sx="100000" w14:sy="100000" w14:kx="0" w14:ky="0" w14:algn="tl">
            <w14:srgbClr w14:val="001B4D">
              <w14:alpha w14:val="62000"/>
            </w14:srgbClr>
          </w14:shadow>
        </w:rPr>
        <w:t xml:space="preserve">Sommaire</w:t>
      </w:r>
    </w:p>
    <w:p>
      <w:pPr>
        <w:tabs>
          <w:tab w:val="right" w:leader="dot" w:pos="9638"/>
        </w:tabs>
        <w:spacing w:after="9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rFonts w:ascii="Consolas" w:hAnsi="Consolas"/>
          <w:b/>
          <w:color w:val="C8A951"/>
          <w:sz w:val="22"/>
          <w:szCs w:val="22"/>
        </w:rPr>
        <w:t xml:space="preserve">01   </w:t>
      </w:r>
      <w:r>
        <w:rPr>
          <w:b/>
          <w:color w:val="001B4D"/>
          <w:sz w:val="22"/>
          <w:szCs w:val="22"/>
        </w:rPr>
        <w:t xml:space="preserve">Le sommaire se met à jour à l’ouverture (répondez « Oui »).</w:t>
      </w:r>
      <w:r>
        <w:tab/>
      </w:r>
      <w:r>
        <w:rPr>
          <w:b/>
          <w:color w:val="C8A951"/>
          <w:sz w:val="22"/>
          <w:szCs w:val="22"/>
        </w:rPr>
        <w:t xml:space="preserve">›</w:t>
      </w:r>
      <w:r>
        <w:fldChar w:fldCharType="end"/>
      </w:r>
    </w:p>
    <w:p>
      <w:r>
        <w:br w:type="page"/>
      </w:r>
    </w:p>
    <w:p>
      <w:pPr>
        <w:spacing w:before="0" w:after="120"/>
      </w:pPr>
    </w:p>
    <w:tbl>
      <w:tblPr>
        <w:tblW w:w="9638" w:type="dxa"/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C8A951"/>
                <w:sz w:val="17"/>
                <w:szCs w:val="17"/>
              </w:rPr>
              <w:t xml:space="preserve">ECOBANK SÉNÉGAL</w:t>
            </w:r>
            <w:r>
              <w:rPr>
                <w:b/>
                <w:color w:val="FFFFFF"/>
                <w:sz w:val="17"/>
                <w:szCs w:val="17"/>
              </w:rPr>
              <w:t xml:space="preserve">CREDIT RISK INTELLIGENCE</w:t>
            </w:r>
            <w:r>
              <w:rPr>
                <w:color w:val="C7D7F5"/>
                <w:sz w:val="17"/>
                <w:szCs w:val="17"/>
              </w:rPr>
              <w:t xml:space="preserve">Portfolio Monitoring &amp; Early Warning · Vue Comité des Risques</w:t>
            </w:r>
          </w:p>
        </w:tc>
        <w:tc>
          <w:tcPr>
            <w:tcW w:w="48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3DA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C8A951"/>
                <w:sz w:val="17"/>
                <w:szCs w:val="17"/>
              </w:rPr>
              <w:t xml:space="preserve">REPORTING DATE</w:t>
            </w:r>
            <w:r>
              <w:rPr>
                <w:b/>
                <w:color w:val="FFFFFF"/>
                <w:sz w:val="17"/>
                <w:szCs w:val="17"/>
              </w:rPr>
              <w:t xml:space="preserve">30 SEPTEMBER 2026</w:t>
            </w:r>
            <w:r>
              <w:rPr>
                <w:b/>
                <w:color w:val="FFFFFF"/>
                <w:sz w:val="17"/>
                <w:szCs w:val="17"/>
              </w:rPr>
              <w:t xml:space="preserve">PORTFOLIO MONITORING</w:t>
            </w:r>
            <w:r>
              <w:rPr>
                <w:color w:val="BFD3FF"/>
                <w:sz w:val="17"/>
                <w:szCs w:val="17"/>
              </w:rPr>
              <w:t xml:space="preserve">Portefeuille Ecobank Sénégal · 700 clients · 2 500 lignes ACTE 7</w:t>
            </w:r>
          </w:p>
        </w:tc>
      </w:tr>
      <w:tr>
        <w:trPr>
          <w:cantSplit/>
        </w:trPr>
        <w:tc>
          <w:tcPr>
            <w:tcW w:w="9638" w:type="dxa"/>
            <w:gridSpan w:val="2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C8A95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</w:tr>
    </w:tbl>
    <w:p>
      <w:pPr>
        <w:spacing w:before="0" w:after="120"/>
      </w:pPr>
    </w:p>
    <w:p>
      <w:pPr>
        <w:spacing w:before="0" w:after="120"/>
        <w:jc w:val="both"/>
      </w:pPr>
      <w:r>
        <w:rPr>
          <w:b/>
          <w:color w:val="003DA5"/>
        </w:rPr>
        <w:t xml:space="preserve">● PORTFOLIO STATUS</w:t>
      </w:r>
      <w:r>
        <w:t xml:space="preserve"> VIGILANCE </w:t>
      </w:r>
      <w:r>
        <w:rPr>
          <w:b/>
          <w:color w:val="003DA5"/>
        </w:rPr>
        <w:t xml:space="preserve">● RISK OUTLOOK · PD 12M</w:t>
      </w:r>
      <w:r>
        <w:t xml:space="preserve"> 3,8 % · MARKOV </w:t>
      </w:r>
      <w:r>
        <w:rPr>
          <w:b/>
          <w:color w:val="003DA5"/>
        </w:rPr>
        <w:t xml:space="preserve">● ANALYSE SÉMANTIQUE</w:t>
      </w:r>
      <w:r>
        <w:t xml:space="preserve"> 30 retours · 16 en revue </w:t>
      </w:r>
      <w:r>
        <w:rPr>
          <w:b/>
          <w:color w:val="003DA5"/>
        </w:rPr>
        <w:t xml:space="preserve">● CONTRÔLES</w:t>
      </w:r>
      <w:r>
        <w:t xml:space="preserve"> 10 / 10 conformes</w:t>
      </w:r>
    </w:p>
    <w:p>
      <w:pPr>
        <w:pStyle w:val="Heading2"/>
        <w:keepNext/>
        <w:spacing w:before="0" w:after="120"/>
      </w:pPr>
      <w:r>
        <w:rPr>
          <w:b/>
        </w:rPr>
        <w:t xml:space="preserve">01</w:t>
      </w:r>
      <w:r>
        <w:t xml:space="preserve"> KEY INDICATORS</w:t>
      </w:r>
      <w:r>
        <w:t xml:space="preserve">vs 31/08/2026</w:t>
      </w:r>
    </w:p>
    <w:tbl>
      <w:tblPr>
        <w:tblW w:w="9638" w:type="dxa"/>
        <w:tblLayout w:type="fixed"/>
      </w:tblPr>
      <w:tblGrid>
        <w:gridCol w:w="1957"/>
        <w:gridCol w:w="1957"/>
        <w:gridCol w:w="1957"/>
        <w:gridCol w:w="1810"/>
        <w:gridCol w:w="1957"/>
      </w:tblGrid>
      <w:tr>
        <w:trPr>
          <w:cantSplit/>
        </w:trPr>
        <w:tc>
          <w:tcPr>
            <w:tcW w:w="19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334155"/>
                <w:sz w:val="17"/>
                <w:szCs w:val="17"/>
              </w:rPr>
              <w:t xml:space="preserve">TOTAL EXPOSURE</w:t>
            </w:r>
            <w:r>
              <w:rPr>
                <w:b/>
                <w:color w:val="001B4D"/>
                <w:sz w:val="17"/>
                <w:szCs w:val="17"/>
              </w:rPr>
              <w:t xml:space="preserve">850,39 Md</w:t>
            </w:r>
            <w:r>
              <w:rPr>
                <w:color w:val="64748B"/>
                <w:sz w:val="17"/>
                <w:szCs w:val="17"/>
              </w:rPr>
              <w:t xml:space="preserve">XOF · 700 clients</w:t>
            </w:r>
            <w:r>
              <w:rPr>
                <w:b/>
                <w:color w:val="64748B"/>
                <w:sz w:val="17"/>
                <w:szCs w:val="17"/>
              </w:rPr>
              <w:t xml:space="preserve">■ 0,0 %</w:t>
            </w:r>
          </w:p>
        </w:tc>
        <w:tc>
          <w:tcPr>
            <w:tcW w:w="19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334155"/>
                <w:sz w:val="17"/>
                <w:szCs w:val="17"/>
              </w:rPr>
              <w:t xml:space="preserve">TOTAL ARREARS</w:t>
            </w:r>
            <w:r>
              <w:rPr>
                <w:b/>
                <w:color w:val="001B4D"/>
                <w:sz w:val="17"/>
                <w:szCs w:val="17"/>
              </w:rPr>
              <w:t xml:space="preserve">31,89 Md</w:t>
            </w:r>
            <w:r>
              <w:rPr>
                <w:color w:val="64748B"/>
                <w:sz w:val="17"/>
                <w:szCs w:val="17"/>
              </w:rPr>
              <w:t xml:space="preserve">XOF · 547 clients</w:t>
            </w:r>
            <w:r>
              <w:rPr>
                <w:b/>
                <w:color w:val="DC2626"/>
                <w:sz w:val="17"/>
                <w:szCs w:val="17"/>
              </w:rPr>
              <w:t xml:space="preserve">▲ 1,1 %</w:t>
            </w:r>
          </w:p>
        </w:tc>
        <w:tc>
          <w:tcPr>
            <w:tcW w:w="19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334155"/>
                <w:sz w:val="17"/>
                <w:szCs w:val="17"/>
              </w:rPr>
              <w:t xml:space="preserve">31–60 DAYS</w:t>
            </w:r>
            <w:r>
              <w:rPr>
                <w:b/>
                <w:color w:val="001B4D"/>
                <w:sz w:val="17"/>
                <w:szCs w:val="17"/>
              </w:rPr>
              <w:t xml:space="preserve">86,37 Md</w:t>
            </w:r>
            <w:r>
              <w:rPr>
                <w:color w:val="64748B"/>
                <w:sz w:val="17"/>
                <w:szCs w:val="17"/>
              </w:rPr>
              <w:t xml:space="preserve">84 clients</w:t>
            </w:r>
            <w:r>
              <w:rPr>
                <w:b/>
                <w:color w:val="16A34A"/>
                <w:sz w:val="17"/>
                <w:szCs w:val="17"/>
              </w:rPr>
              <w:t xml:space="preserve">▼ -3,5 %</w:t>
            </w:r>
          </w:p>
        </w:tc>
        <w:tc>
          <w:tcPr>
            <w:tcW w:w="181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334155"/>
                <w:sz w:val="17"/>
                <w:szCs w:val="17"/>
              </w:rPr>
              <w:t xml:space="preserve">61–90 DAYS</w:t>
            </w:r>
            <w:r>
              <w:rPr>
                <w:b/>
                <w:color w:val="001B4D"/>
                <w:sz w:val="17"/>
                <w:szCs w:val="17"/>
              </w:rPr>
              <w:t xml:space="preserve">0</w:t>
            </w:r>
            <w:r>
              <w:rPr>
                <w:color w:val="64748B"/>
                <w:sz w:val="17"/>
                <w:szCs w:val="17"/>
              </w:rPr>
              <w:t xml:space="preserve">0 clients</w:t>
            </w:r>
            <w:r>
              <w:rPr>
                <w:b/>
                <w:color w:val="64748B"/>
                <w:sz w:val="17"/>
                <w:szCs w:val="17"/>
              </w:rPr>
              <w:t xml:space="preserve">—</w:t>
            </w:r>
          </w:p>
        </w:tc>
        <w:tc>
          <w:tcPr>
            <w:tcW w:w="19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334155"/>
                <w:sz w:val="17"/>
                <w:szCs w:val="17"/>
              </w:rPr>
              <w:t xml:space="preserve">&gt; 90 DAYS / S3</w:t>
            </w:r>
            <w:r>
              <w:rPr>
                <w:b/>
                <w:color w:val="001B4D"/>
                <w:sz w:val="17"/>
                <w:szCs w:val="17"/>
              </w:rPr>
              <w:t xml:space="preserve">323,78 Md</w:t>
            </w:r>
            <w:r>
              <w:rPr>
                <w:color w:val="64748B"/>
                <w:sz w:val="17"/>
                <w:szCs w:val="17"/>
              </w:rPr>
              <w:t xml:space="preserve">264 clients</w:t>
            </w:r>
            <w:r>
              <w:rPr>
                <w:b/>
                <w:color w:val="DC2626"/>
                <w:sz w:val="17"/>
                <w:szCs w:val="17"/>
              </w:rPr>
              <w:t xml:space="preserve">▲ 1,1 %</w:t>
            </w:r>
          </w:p>
        </w:tc>
      </w:tr>
      <w:tr>
        <w:trPr>
          <w:cantSplit/>
        </w:trPr>
        <w:tc>
          <w:tcPr>
            <w:tcW w:w="19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334155"/>
                <w:sz w:val="17"/>
                <w:szCs w:val="17"/>
              </w:rPr>
              <w:t xml:space="preserve">STAGE 2</w:t>
            </w:r>
            <w:r>
              <w:rPr>
                <w:b/>
                <w:color w:val="001B4D"/>
                <w:sz w:val="17"/>
                <w:szCs w:val="17"/>
              </w:rPr>
              <w:t xml:space="preserve">259,46 Md</w:t>
            </w:r>
            <w:r>
              <w:rPr>
                <w:color w:val="64748B"/>
                <w:sz w:val="17"/>
                <w:szCs w:val="17"/>
              </w:rPr>
              <w:t xml:space="preserve">30,5 % de l'encours</w:t>
            </w:r>
            <w:r>
              <w:rPr>
                <w:b/>
                <w:color w:val="16A34A"/>
                <w:sz w:val="17"/>
                <w:szCs w:val="17"/>
              </w:rPr>
              <w:t xml:space="preserve">▼ -0,4 %</w:t>
            </w:r>
          </w:p>
        </w:tc>
        <w:tc>
          <w:tcPr>
            <w:tcW w:w="19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334155"/>
                <w:sz w:val="17"/>
                <w:szCs w:val="17"/>
              </w:rPr>
              <w:t xml:space="preserve">STAGE 3</w:t>
            </w:r>
            <w:r>
              <w:rPr>
                <w:b/>
                <w:color w:val="001B4D"/>
                <w:sz w:val="17"/>
                <w:szCs w:val="17"/>
              </w:rPr>
              <w:t xml:space="preserve">323,78 Md</w:t>
            </w:r>
            <w:r>
              <w:rPr>
                <w:color w:val="64748B"/>
                <w:sz w:val="17"/>
                <w:szCs w:val="17"/>
              </w:rPr>
              <w:t xml:space="preserve">38,1 % de l'encours</w:t>
            </w:r>
            <w:r>
              <w:rPr>
                <w:b/>
                <w:color w:val="DC2626"/>
                <w:sz w:val="17"/>
                <w:szCs w:val="17"/>
              </w:rPr>
              <w:t xml:space="preserve">▲ 1,1 %</w:t>
            </w:r>
          </w:p>
        </w:tc>
        <w:tc>
          <w:tcPr>
            <w:tcW w:w="19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334155"/>
                <w:sz w:val="17"/>
                <w:szCs w:val="17"/>
              </w:rPr>
              <w:t xml:space="preserve">PROVISIONS (ECL)</w:t>
            </w:r>
            <w:r>
              <w:rPr>
                <w:b/>
                <w:color w:val="001B4D"/>
                <w:sz w:val="17"/>
                <w:szCs w:val="17"/>
              </w:rPr>
              <w:t xml:space="preserve">37,32 Md</w:t>
            </w:r>
            <w:r>
              <w:rPr>
                <w:color w:val="64748B"/>
                <w:sz w:val="17"/>
                <w:szCs w:val="17"/>
              </w:rPr>
              <w:t xml:space="preserve">couverture 4,4 %</w:t>
            </w:r>
            <w:r>
              <w:rPr>
                <w:b/>
                <w:color w:val="DC2626"/>
                <w:sz w:val="17"/>
                <w:szCs w:val="17"/>
              </w:rPr>
              <w:t xml:space="preserve">▲ 0,5 %</w:t>
            </w:r>
          </w:p>
        </w:tc>
        <w:tc>
          <w:tcPr>
            <w:tcW w:w="181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334155"/>
                <w:sz w:val="17"/>
                <w:szCs w:val="17"/>
              </w:rPr>
              <w:t xml:space="preserve">WATCHLIST</w:t>
            </w:r>
            <w:r>
              <w:rPr>
                <w:b/>
                <w:color w:val="001B4D"/>
                <w:sz w:val="17"/>
                <w:szCs w:val="17"/>
              </w:rPr>
              <w:t xml:space="preserve">289</w:t>
            </w:r>
            <w:r>
              <w:rPr>
                <w:color w:val="64748B"/>
                <w:sz w:val="17"/>
                <w:szCs w:val="17"/>
              </w:rPr>
              <w:t xml:space="preserve">dossiers · 322,71 Md</w:t>
            </w:r>
            <w:r>
              <w:rPr>
                <w:b/>
                <w:color w:val="64748B"/>
                <w:sz w:val="17"/>
                <w:szCs w:val="17"/>
              </w:rPr>
              <w:t xml:space="preserve">—</w:t>
            </w:r>
          </w:p>
        </w:tc>
        <w:tc>
          <w:tcPr>
            <w:tcW w:w="19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334155"/>
                <w:sz w:val="17"/>
                <w:szCs w:val="17"/>
              </w:rPr>
              <w:t xml:space="preserve">CRITICAL</w:t>
            </w:r>
            <w:r>
              <w:rPr>
                <w:b/>
                <w:color w:val="001B4D"/>
                <w:sz w:val="17"/>
                <w:szCs w:val="17"/>
              </w:rPr>
              <w:t xml:space="preserve">3,49 Md</w:t>
            </w:r>
            <w:r>
              <w:rPr>
                <w:color w:val="64748B"/>
                <w:sz w:val="17"/>
                <w:szCs w:val="17"/>
              </w:rPr>
              <w:t xml:space="preserve">6 dossiers critiques</w:t>
            </w:r>
            <w:r>
              <w:rPr>
                <w:b/>
                <w:color w:val="64748B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0" w:after="120"/>
      </w:pPr>
      <w:r>
        <w:rPr>
          <w:b/>
        </w:rPr>
        <w:t xml:space="preserve">02</w:t>
      </w:r>
      <w:r>
        <w:t xml:space="preserve"> WHY DID IT MOVE?</w:t>
      </w:r>
      <w:r>
        <w:t xml:space="preserve">pont des impayés · impayés XOF</w:t>
      </w:r>
    </w:p>
    <w:tbl>
      <w:tblPr>
        <w:tblW w:w="9638" w:type="dxa"/>
        <w:tblLayout w:type="fixed"/>
      </w:tblPr>
      <w:tblGrid>
        <w:gridCol w:w="5072"/>
        <w:gridCol w:w="3044"/>
        <w:gridCol w:w="1522"/>
      </w:tblGrid>
      <w:tr>
        <w:trPr>
          <w:cantSplit/>
        </w:trPr>
        <w:tc>
          <w:tcPr>
            <w:tcW w:w="507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1B4D"/>
                <w:sz w:val="17"/>
                <w:szCs w:val="17"/>
              </w:rPr>
              <w:t xml:space="preserve">Ouverture</w:t>
            </w:r>
          </w:p>
        </w:tc>
        <w:tc>
          <w:tcPr>
            <w:tcW w:w="304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color w:val="001B4D"/>
                <w:sz w:val="17"/>
                <w:szCs w:val="17"/>
              </w:rPr>
              <w:t xml:space="preserve">31,56 Md</w:t>
            </w:r>
          </w:p>
        </w:tc>
        <w:tc>
          <w:tcPr>
            <w:tcW w:w="152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w="507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1B4D"/>
                <w:sz w:val="17"/>
                <w:szCs w:val="17"/>
              </w:rPr>
              <w:t xml:space="preserve">Nouveaux impayés</w:t>
            </w:r>
          </w:p>
        </w:tc>
        <w:tc>
          <w:tcPr>
            <w:tcW w:w="304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color w:val="DC2626"/>
                <w:sz w:val="17"/>
                <w:szCs w:val="17"/>
              </w:rPr>
              <w:t xml:space="preserve">+8,5 M</w:t>
            </w:r>
          </w:p>
        </w:tc>
        <w:tc>
          <w:tcPr>
            <w:tcW w:w="152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w="507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1B4D"/>
                <w:sz w:val="17"/>
                <w:szCs w:val="17"/>
              </w:rPr>
              <w:t xml:space="preserve">Aggravations</w:t>
            </w:r>
          </w:p>
        </w:tc>
        <w:tc>
          <w:tcPr>
            <w:tcW w:w="304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color w:val="DC2626"/>
                <w:sz w:val="17"/>
                <w:szCs w:val="17"/>
              </w:rPr>
              <w:t xml:space="preserve">+324,8 M</w:t>
            </w:r>
          </w:p>
        </w:tc>
        <w:tc>
          <w:tcPr>
            <w:tcW w:w="152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w="507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1B4D"/>
                <w:sz w:val="17"/>
                <w:szCs w:val="17"/>
              </w:rPr>
              <w:t xml:space="preserve">Nouveaux clients</w:t>
            </w:r>
          </w:p>
        </w:tc>
        <w:tc>
          <w:tcPr>
            <w:tcW w:w="304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color w:val="64748B"/>
                <w:sz w:val="17"/>
                <w:szCs w:val="17"/>
              </w:rPr>
              <w:t xml:space="preserve">0</w:t>
            </w:r>
          </w:p>
        </w:tc>
        <w:tc>
          <w:tcPr>
            <w:tcW w:w="152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w="507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1B4D"/>
                <w:sz w:val="17"/>
                <w:szCs w:val="17"/>
              </w:rPr>
              <w:t xml:space="preserve">Régularisations</w:t>
            </w:r>
          </w:p>
        </w:tc>
        <w:tc>
          <w:tcPr>
            <w:tcW w:w="304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color w:val="64748B"/>
                <w:sz w:val="17"/>
                <w:szCs w:val="17"/>
              </w:rPr>
              <w:t xml:space="preserve">0</w:t>
            </w:r>
          </w:p>
        </w:tc>
        <w:tc>
          <w:tcPr>
            <w:tcW w:w="152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w="507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1B4D"/>
                <w:sz w:val="17"/>
                <w:szCs w:val="17"/>
              </w:rPr>
              <w:t xml:space="preserve">Remboursements</w:t>
            </w:r>
          </w:p>
        </w:tc>
        <w:tc>
          <w:tcPr>
            <w:tcW w:w="304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color w:val="64748B"/>
                <w:sz w:val="17"/>
                <w:szCs w:val="17"/>
              </w:rPr>
              <w:t xml:space="preserve">0</w:t>
            </w:r>
          </w:p>
        </w:tc>
        <w:tc>
          <w:tcPr>
            <w:tcW w:w="152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w="507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1B4D"/>
                <w:sz w:val="17"/>
                <w:szCs w:val="17"/>
              </w:rPr>
              <w:t xml:space="preserve">Sorties</w:t>
            </w:r>
          </w:p>
        </w:tc>
        <w:tc>
          <w:tcPr>
            <w:tcW w:w="304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color w:val="64748B"/>
                <w:sz w:val="17"/>
                <w:szCs w:val="17"/>
              </w:rPr>
              <w:t xml:space="preserve">0</w:t>
            </w:r>
          </w:p>
        </w:tc>
        <w:tc>
          <w:tcPr>
            <w:tcW w:w="152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w="507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1B4D"/>
                <w:sz w:val="17"/>
                <w:szCs w:val="17"/>
              </w:rPr>
              <w:t xml:space="preserve">Clôture</w:t>
            </w:r>
          </w:p>
        </w:tc>
        <w:tc>
          <w:tcPr>
            <w:tcW w:w="304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color w:val="001B4D"/>
                <w:sz w:val="17"/>
                <w:szCs w:val="17"/>
              </w:rPr>
              <w:t xml:space="preserve">31,89 Md</w:t>
            </w:r>
          </w:p>
        </w:tc>
        <w:tc>
          <w:tcPr>
            <w:tcW w:w="152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0" w:after="120"/>
      </w:pPr>
      <w:r>
        <w:rPr>
          <w:b/>
        </w:rPr>
        <w:t xml:space="preserve">02B</w:t>
      </w:r>
      <w:r>
        <w:t xml:space="preserve"> 3D VISUALS</w:t>
      </w:r>
      <w:r>
        <w:t xml:space="preserve">visuels en relief</w:t>
      </w:r>
    </w:p>
    <w:p>
      <w:pPr>
        <w:spacing w:before="0" w:after="120"/>
      </w:pPr>
      <w:r>
        <w:drawing>
          <wp:inline distT="0" distB="0" distL="0" distR="0">
            <wp:extent cx="5905500" cy="2493433"/>
            <wp:docPr id="1" name="Image 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9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drawing>
          <wp:inline distT="0" distB="0" distL="0" distR="0">
            <wp:extent cx="5905500" cy="2493433"/>
            <wp:docPr id="2" name="Image 2"/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9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drawing>
          <wp:inline distT="0" distB="0" distL="0" distR="0">
            <wp:extent cx="5905500" cy="2493433"/>
            <wp:docPr id="3" name="Image 3"/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9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drawing>
          <wp:inline distT="0" distB="0" distL="0" distR="0">
            <wp:extent cx="5905500" cy="2493433"/>
            <wp:docPr id="4" name="Image 4"/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9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drawing>
          <wp:inline distT="0" distB="0" distL="0" distR="0">
            <wp:extent cx="5905500" cy="2821517"/>
            <wp:docPr id="5" name="Image 5"/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82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0" w:after="120"/>
      </w:pPr>
      <w:r>
        <w:rPr>
          <w:b/>
        </w:rPr>
        <w:t xml:space="preserve">03</w:t>
      </w:r>
      <w:r>
        <w:t xml:space="preserve"> TOP RISKS</w:t>
      </w:r>
      <w:r>
        <w:t xml:space="preserve">dossiers prioritaires · PD 12M RISK OUTLOOK avec provenance</w:t>
      </w:r>
    </w:p>
    <w:tbl>
      <w:tblPr>
        <w:tblW w:w="9638" w:type="dxa"/>
        <w:tblLayout w:type="fixed"/>
      </w:tblPr>
      <w:tblGrid>
        <w:gridCol w:w="700"/>
        <w:gridCol w:w="1864"/>
        <w:gridCol w:w="700"/>
        <w:gridCol w:w="700"/>
        <w:gridCol w:w="700"/>
        <w:gridCol w:w="700"/>
        <w:gridCol w:w="700"/>
        <w:gridCol w:w="1065"/>
        <w:gridCol w:w="1438"/>
        <w:gridCol w:w="1071"/>
      </w:tblGrid>
      <w:tr>
        <w:trPr>
          <w:cantSplit/>
          <w:tblHeader/>
        </w:trPr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w="186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Client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Encours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Impayé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Jours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Criticité</w:t>
            </w:r>
          </w:p>
        </w:tc>
        <w:tc>
          <w:tcPr>
            <w:tcW w:w="106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RISK OUTLOOK PD 12M</w:t>
            </w:r>
          </w:p>
        </w:tc>
        <w:tc>
          <w:tcPr>
            <w:tcW w:w="143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Orientation Analyse sémantique</w:t>
            </w:r>
          </w:p>
        </w:tc>
        <w:tc>
          <w:tcPr>
            <w:tcW w:w="107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W w:w="186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SOCIETE 0078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131,5 M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9,6 M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286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S3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w="106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13,7 % MARKOV</w:t>
            </w:r>
          </w:p>
        </w:tc>
        <w:tc>
          <w:tcPr>
            <w:tcW w:w="143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w="107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Contrepartie déjà douteuse : mise en demeure et proposition d'un protocole d'apurement daté avant le 15/10/2026 ; rechercher des actifs sais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tcW w:w="186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SOCIETE 0450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3,03 Md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4,3 M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304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S3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w="106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100,0 % OBSERVED</w:t>
            </w:r>
          </w:p>
        </w:tc>
        <w:tc>
          <w:tcPr>
            <w:tcW w:w="143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w="107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Surveillance renforcée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W w:w="186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SOCIETE 0088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75,4 M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1,6 M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307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S3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w="106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100,0 % OBSERVED</w:t>
            </w:r>
          </w:p>
        </w:tc>
        <w:tc>
          <w:tcPr>
            <w:tcW w:w="143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w="107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Surveillance renforcée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tcW w:w="186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SOCIETE 0208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90,4 M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1,6 M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296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S3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w="106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100,0 % OBSERVED</w:t>
            </w:r>
          </w:p>
        </w:tc>
        <w:tc>
          <w:tcPr>
            <w:tcW w:w="143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w="107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Surveillance renforcée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W w:w="186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SOCIETE 0197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87,1 M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1,4 M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279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S3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w="106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100,0 % OBSERVED</w:t>
            </w:r>
          </w:p>
        </w:tc>
        <w:tc>
          <w:tcPr>
            <w:tcW w:w="143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w="107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Surveillance renforcée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tcW w:w="186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SOCIETE 0052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71,5 M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965 560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271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S3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w="106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100,0 % OBSERVED</w:t>
            </w:r>
          </w:p>
        </w:tc>
        <w:tc>
          <w:tcPr>
            <w:tcW w:w="143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w="107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Surveillance renforcée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tcW w:w="186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BAOBAB NEGOCE DISTRIBUTION SARL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6,87 Md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589,7 M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291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S3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w="106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13,7 % MARKOV</w:t>
            </w:r>
          </w:p>
        </w:tc>
        <w:tc>
          <w:tcPr>
            <w:tcW w:w="143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Gestionnaire</w:t>
            </w:r>
          </w:p>
        </w:tc>
        <w:tc>
          <w:tcPr>
            <w:tcW w:w="107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Contrepartie déjà douteuse : mise en demeure et proposition d'un protocole d'apurement daté avant le 15/10/2026 ; rechercher des actifs sais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8</w:t>
            </w:r>
          </w:p>
        </w:tc>
        <w:tc>
          <w:tcPr>
            <w:tcW w:w="186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SOCIETE 0365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5,96 Md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534,4 M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40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S2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w="106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13,7 % MARKOV</w:t>
            </w:r>
          </w:p>
        </w:tc>
        <w:tc>
          <w:tcPr>
            <w:tcW w:w="143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Gestionnaire</w:t>
            </w:r>
          </w:p>
        </w:tc>
        <w:tc>
          <w:tcPr>
            <w:tcW w:w="107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Rencontrer le dirigeant pour analyser les flux du compte, le carnet de commandes et la trésorerie, et qualifier la cause (conjoncturelle ou 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9</w:t>
            </w:r>
          </w:p>
        </w:tc>
        <w:tc>
          <w:tcPr>
            <w:tcW w:w="186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SOCIETE 0479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5,04 Md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504,4 M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291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S3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w="106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13,7 % MARKOV</w:t>
            </w:r>
          </w:p>
        </w:tc>
        <w:tc>
          <w:tcPr>
            <w:tcW w:w="143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w="107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Contrepartie déjà douteuse : mise en demeure et proposition d'un protocole d'apurement daté avant le 15/10/2026 ; rechercher des actifs sais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tcW w:w="186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SOCIETE 0449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5,00 Md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500,0 M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305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S3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w="106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13,7 % MARKOV</w:t>
            </w:r>
          </w:p>
        </w:tc>
        <w:tc>
          <w:tcPr>
            <w:tcW w:w="143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Recouvrement amiable</w:t>
            </w:r>
          </w:p>
        </w:tc>
        <w:tc>
          <w:tcPr>
            <w:tcW w:w="107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Contrepartie déjà douteuse : mise en demeure et proposition d'un protocole d'apurement daté avant le 15/10/2026 ; rechercher des actifs sais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11</w:t>
            </w:r>
          </w:p>
        </w:tc>
        <w:tc>
          <w:tcPr>
            <w:tcW w:w="186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SOCIETE 0403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4,60 Md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459,0 M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33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S2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w="106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13,7 % MARKOV</w:t>
            </w:r>
          </w:p>
        </w:tc>
        <w:tc>
          <w:tcPr>
            <w:tcW w:w="143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Recouvrement amiable</w:t>
            </w:r>
          </w:p>
        </w:tc>
        <w:tc>
          <w:tcPr>
            <w:tcW w:w="107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Rencontrer le dirigeant pour analyser les flux du compte, le carnet de commandes et la trésorerie, et qualifier la cause (conjoncturelle ou 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12</w:t>
            </w:r>
          </w:p>
        </w:tc>
        <w:tc>
          <w:tcPr>
            <w:tcW w:w="186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SAHEL CIMENTS INDUSTRIE SA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7,34 Md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435,4 M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308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S3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w="106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13,7 % MARKOV</w:t>
            </w:r>
          </w:p>
        </w:tc>
        <w:tc>
          <w:tcPr>
            <w:tcW w:w="143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Juridique / contentieux</w:t>
            </w:r>
          </w:p>
        </w:tc>
        <w:tc>
          <w:tcPr>
            <w:tcW w:w="107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Contrepartie déjà douteuse : mise en demeure et proposition d'un protocole d'apurement daté avant le 15/10/2026 ; rechercher des actifs sais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0" w:after="120"/>
      </w:pPr>
      <w:r>
        <w:rPr>
          <w:b/>
        </w:rPr>
        <w:t xml:space="preserve">04</w:t>
      </w:r>
      <w:r>
        <w:t xml:space="preserve"> RISK ACTION CENTER</w:t>
      </w:r>
      <w:r>
        <w:t xml:space="preserve">par niveau de priorité</w:t>
      </w:r>
    </w:p>
    <w:tbl>
      <w:tblPr>
        <w:tblW w:w="9638" w:type="dxa"/>
        <w:tblLayout w:type="fixed"/>
      </w:tblPr>
      <w:tblGrid>
        <w:gridCol w:w="1542"/>
        <w:gridCol w:w="1542"/>
        <w:gridCol w:w="2313"/>
        <w:gridCol w:w="2570"/>
        <w:gridCol w:w="1671"/>
      </w:tblGrid>
      <w:tr>
        <w:trPr>
          <w:cantSplit/>
          <w:tblHeader/>
        </w:trPr>
        <w:tc>
          <w:tcPr>
            <w:tcW w:w="154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Niveau</w:t>
            </w:r>
          </w:p>
        </w:tc>
        <w:tc>
          <w:tcPr>
            <w:tcW w:w="154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Dossiers</w:t>
            </w:r>
          </w:p>
        </w:tc>
        <w:tc>
          <w:tcPr>
            <w:tcW w:w="2313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Exposition XOF</w:t>
            </w:r>
          </w:p>
        </w:tc>
        <w:tc>
          <w:tcPr>
            <w:tcW w:w="257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Avancement moyen</w:t>
            </w:r>
          </w:p>
        </w:tc>
        <w:tc>
          <w:tcPr>
            <w:tcW w:w="167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En retard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w="154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tcW w:w="2313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3,49 Md</w:t>
            </w:r>
          </w:p>
        </w:tc>
        <w:tc>
          <w:tcPr>
            <w:tcW w:w="257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0 %</w:t>
            </w:r>
          </w:p>
        </w:tc>
        <w:tc>
          <w:tcPr>
            <w:tcW w:w="167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w="154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48</w:t>
            </w:r>
          </w:p>
        </w:tc>
        <w:tc>
          <w:tcPr>
            <w:tcW w:w="2313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130,04 Md</w:t>
            </w:r>
          </w:p>
        </w:tc>
        <w:tc>
          <w:tcPr>
            <w:tcW w:w="257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17 %</w:t>
            </w:r>
          </w:p>
        </w:tc>
        <w:tc>
          <w:tcPr>
            <w:tcW w:w="167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3DA5"/>
                <w:sz w:val="17"/>
                <w:szCs w:val="17"/>
              </w:rPr>
              <w:t xml:space="preserve">WATCH</w:t>
            </w:r>
          </w:p>
        </w:tc>
        <w:tc>
          <w:tcPr>
            <w:tcW w:w="154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235</w:t>
            </w:r>
          </w:p>
        </w:tc>
        <w:tc>
          <w:tcPr>
            <w:tcW w:w="2313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189,18 Md</w:t>
            </w:r>
          </w:p>
        </w:tc>
        <w:tc>
          <w:tcPr>
            <w:tcW w:w="257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0 %</w:t>
            </w:r>
          </w:p>
        </w:tc>
        <w:tc>
          <w:tcPr>
            <w:tcW w:w="167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CURED</w:t>
            </w:r>
          </w:p>
        </w:tc>
        <w:tc>
          <w:tcPr>
            <w:tcW w:w="1542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tcW w:w="2313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tcW w:w="257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0 %</w:t>
            </w:r>
          </w:p>
        </w:tc>
        <w:tc>
          <w:tcPr>
            <w:tcW w:w="167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0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0" w:after="120"/>
      </w:pPr>
      <w:r>
        <w:rPr>
          <w:b/>
        </w:rPr>
        <w:t xml:space="preserve">05</w:t>
      </w:r>
      <w:r>
        <w:t xml:space="preserve"> INSIGHTS</w:t>
      </w:r>
      <w:r>
        <w:t xml:space="preserve">calculés sur les données de l'arrêté</w:t>
      </w:r>
    </w:p>
    <w:p>
      <w:pPr>
        <w:spacing w:before="0" w:after="120"/>
        <w:jc w:val="both"/>
      </w:pPr>
      <w:r>
        <w:rPr>
          <w:b/>
          <w:color w:val="C8A951"/>
        </w:rPr>
        <w:t xml:space="preserve">01</w:t>
      </w:r>
      <w:r>
        <w:t xml:space="preserve"> </w:t>
      </w:r>
      <w:r>
        <w:rPr>
          <w:b/>
          <w:color w:val="334155"/>
        </w:rPr>
        <w:t xml:space="preserve">IMPAYÉS EN HAUSSE</w:t>
      </w:r>
      <w:r>
        <w:t xml:space="preserve"> — </w:t>
      </w:r>
      <w:r>
        <w:rPr>
          <w:b/>
          <w:color w:val="DC2626"/>
        </w:rPr>
        <w:t xml:space="preserve">+333,3 M XOF</w:t>
      </w:r>
      <w:r>
        <w:br/>
      </w:r>
      <w:r>
        <w:rPr>
          <w:color w:val="334155"/>
        </w:rPr>
        <w:t xml:space="preserve">Les impayés passent de 31,56 Md à 31,89 Md XOF depuis le 31/08/2026. Nouveaux impayés : 8,5 M (3 % des hausses) ; régularisations : 0 ; remboursements partiels : 0.</w:t>
      </w:r>
    </w:p>
    <w:p>
      <w:pPr>
        <w:spacing w:before="0" w:after="120"/>
        <w:jc w:val="both"/>
      </w:pPr>
      <w:r>
        <w:rPr>
          <w:b/>
          <w:color w:val="C8A951"/>
        </w:rPr>
        <w:t xml:space="preserve">05</w:t>
      </w:r>
      <w:r>
        <w:t xml:space="preserve"> </w:t>
      </w:r>
      <w:r>
        <w:rPr>
          <w:b/>
          <w:color w:val="334155"/>
        </w:rPr>
        <w:t xml:space="preserve">STAGE 2 &amp; 3</w:t>
      </w:r>
      <w:r>
        <w:t xml:space="preserve"> — </w:t>
      </w:r>
      <w:r>
        <w:rPr>
          <w:b/>
          <w:color w:val="F59E0B"/>
        </w:rPr>
        <w:t xml:space="preserve">583,23 Md XOF</w:t>
      </w:r>
      <w:r>
        <w:br/>
      </w:r>
      <w:r>
        <w:rPr>
          <w:color w:val="334155"/>
        </w:rPr>
        <w:t xml:space="preserve">Stage 2 : 259,46 Md (30,5 % de l'encours) ; −947,9 M sur le mois. Stage 3 : 323,78 Md (38,1 %) ; +3,49 Md. Provisions : 37,32 Md XOF.</w:t>
      </w:r>
    </w:p>
    <w:p>
      <w:pPr>
        <w:spacing w:before="0" w:after="120"/>
        <w:jc w:val="both"/>
      </w:pPr>
      <w:r>
        <w:rPr>
          <w:b/>
          <w:color w:val="C8A951"/>
        </w:rPr>
        <w:t xml:space="preserve">04</w:t>
      </w:r>
      <w:r>
        <w:t xml:space="preserve"> </w:t>
      </w:r>
      <w:r>
        <w:rPr>
          <w:b/>
          <w:color w:val="334155"/>
        </w:rPr>
        <w:t xml:space="preserve">ACTION</w:t>
      </w:r>
      <w:r>
        <w:t xml:space="preserve"> — </w:t>
      </w:r>
      <w:r>
        <w:rPr>
          <w:b/>
          <w:color w:val="DC2626"/>
        </w:rPr>
        <w:t xml:space="preserve">54 dossiers</w:t>
      </w:r>
      <w:r>
        <w:br/>
      </w:r>
      <w:r>
        <w:rPr>
          <w:color w:val="334155"/>
        </w:rPr>
        <w:t xml:space="preserve">6 dossiers critiques (3,49 Md XOF) et 48 en priorité haute nécessitent une intervention. Premier dossier : SOCIETE 0450 (3,03 Md, 304 j).</w:t>
      </w:r>
    </w:p>
    <w:p>
      <w:pPr>
        <w:spacing w:before="0" w:after="120"/>
        <w:jc w:val="both"/>
      </w:pPr>
      <w:r>
        <w:rPr>
          <w:b/>
          <w:color w:val="C8A951"/>
        </w:rPr>
        <w:t xml:space="preserve">06</w:t>
      </w:r>
      <w:r>
        <w:t xml:space="preserve"> </w:t>
      </w:r>
      <w:r>
        <w:rPr>
          <w:b/>
          <w:color w:val="334155"/>
        </w:rPr>
        <w:t xml:space="preserve">RÉGULARISATIONS</w:t>
      </w:r>
      <w:r>
        <w:t xml:space="preserve"> — </w:t>
      </w:r>
      <w:r>
        <w:rPr>
          <w:b/>
          <w:color w:val="16A34A"/>
        </w:rPr>
        <w:t xml:space="preserve">0 dossiers</w:t>
      </w:r>
      <w:r>
        <w:br/>
      </w:r>
      <w:r>
        <w:rPr>
          <w:color w:val="334155"/>
        </w:rPr>
        <w:t xml:space="preserve">0 clients en impayé au 31/08/2026 sont revenus à jour, soit 0 XOF d'impayés résorbés.</w:t>
      </w:r>
    </w:p>
    <w:p>
      <w:pPr>
        <w:spacing w:before="0" w:after="120"/>
        <w:jc w:val="both"/>
      </w:pPr>
      <w:r>
        <w:rPr>
          <w:b/>
          <w:color w:val="C8A951"/>
        </w:rPr>
        <w:t xml:space="preserve">03</w:t>
      </w:r>
      <w:r>
        <w:t xml:space="preserve"> </w:t>
      </w:r>
      <w:r>
        <w:rPr>
          <w:b/>
          <w:color w:val="334155"/>
        </w:rPr>
        <w:t xml:space="preserve">MIGRATION</w:t>
      </w:r>
      <w:r>
        <w:t xml:space="preserve"> — </w:t>
      </w:r>
      <w:r>
        <w:rPr>
          <w:b/>
          <w:color w:val="F97316"/>
        </w:rPr>
        <w:t xml:space="preserve">9 dossiers</w:t>
      </w:r>
      <w:r>
        <w:br/>
      </w:r>
      <w:r>
        <w:rPr>
          <w:color w:val="334155"/>
        </w:rPr>
        <w:t xml:space="preserve">9 clients ont migré vers une tranche d'impayé plus dégradée (1,3 % des clients suivis), dont 6 au-delà de 90 jours ou en Stage 3 pour 3,49 Md XOF d'encours.</w:t>
      </w:r>
    </w:p>
    <w:p>
      <w:pPr>
        <w:spacing w:before="0" w:after="120"/>
        <w:jc w:val="both"/>
      </w:pPr>
      <w:r>
        <w:rPr>
          <w:b/>
          <w:color w:val="C8A951"/>
        </w:rPr>
        <w:t xml:space="preserve">07</w:t>
      </w:r>
      <w:r>
        <w:t xml:space="preserve"> </w:t>
      </w:r>
      <w:r>
        <w:rPr>
          <w:b/>
          <w:color w:val="334155"/>
        </w:rPr>
        <w:t xml:space="preserve">PROSPECTIF · RISK OUTLOOK</w:t>
      </w:r>
      <w:r>
        <w:t xml:space="preserve"> — </w:t>
      </w:r>
      <w:r>
        <w:rPr>
          <w:b/>
          <w:color w:val="2563EB"/>
        </w:rPr>
        <w:t xml:space="preserve">PD 12M = 3,8 %</w:t>
      </w:r>
      <w:r>
        <w:br/>
      </w:r>
      <w:r>
        <w:rPr>
          <w:color w:val="334155"/>
        </w:rPr>
        <w:t xml:space="preserve">Probabilité qu'un client sain aujourd'hui devienne douteux sous 12 mois (MARKOV, N = 17 850, 9 mois, confiance faible). Scénario sévère : 66,36 Md XOF d'entrées en douteux attendues (SIMULATED). Estimation indicative : historique insuffisant pour une calibration robuste.</w:t>
      </w:r>
    </w:p>
    <w:p>
      <w:pPr>
        <w:spacing w:before="0" w:after="120"/>
        <w:jc w:val="both"/>
      </w:pPr>
      <w:r>
        <w:rPr>
          <w:b/>
          <w:color w:val="C8A951"/>
        </w:rPr>
        <w:t xml:space="preserve">02</w:t>
      </w:r>
      <w:r>
        <w:t xml:space="preserve"> </w:t>
      </w:r>
      <w:r>
        <w:rPr>
          <w:b/>
          <w:color w:val="334155"/>
        </w:rPr>
        <w:t xml:space="preserve">CONCENTRATION</w:t>
      </w:r>
      <w:r>
        <w:t xml:space="preserve"> — </w:t>
      </w:r>
      <w:r>
        <w:rPr>
          <w:b/>
          <w:color w:val="C8A951"/>
        </w:rPr>
        <w:t xml:space="preserve">TOP 10 = 8,3 %</w:t>
      </w:r>
      <w:r>
        <w:br/>
      </w:r>
      <w:r>
        <w:rPr>
          <w:color w:val="334155"/>
        </w:rPr>
        <w:t xml:space="preserve">Les 10 premiers clients portent 70,74 Md XOF sur 850,39 Md. Premier client : BAOBAB NEGOCE SA (1,0 %). Premier segment : X (100 %).</w:t>
      </w:r>
    </w:p>
    <w:p>
      <w:pPr>
        <w:spacing w:before="0" w:after="120"/>
        <w:jc w:val="both"/>
      </w:pPr>
      <w:r>
        <w:rPr>
          <w:b/>
          <w:color w:val="C8A951"/>
        </w:rPr>
        <w:t xml:space="preserve">10</w:t>
      </w:r>
      <w:r>
        <w:t xml:space="preserve"> </w:t>
      </w:r>
      <w:r>
        <w:rPr>
          <w:b/>
          <w:color w:val="334155"/>
        </w:rPr>
        <w:t xml:space="preserve">ANALYSES AVANCÉES</w:t>
      </w:r>
      <w:r>
        <w:t xml:space="preserve"> — </w:t>
      </w:r>
      <w:r>
        <w:rPr>
          <w:b/>
          <w:color w:val="06B6D4"/>
        </w:rPr>
        <w:t xml:space="preserve">Guérison 31-60 j = 0,0 %</w:t>
      </w:r>
      <w:r>
        <w:br/>
      </w:r>
      <w:r>
        <w:rPr>
          <w:color w:val="334155"/>
        </w:rPr>
        <w:t xml:space="preserve">Un client sain met en moyenne — mois avant le défaut (MARKOV). Probabilité de guérison : 0,0 % depuis 31-60 j, 0,0 % depuis 61-90 j. PD 12M : IC 90 % 3,1 % – 4,6 % (SIMULATED). Backtest : 8,2 entrées prévues contre 8 observées. Un facteur ×2,00 sur les dégradations double la PD (STRESS).</w:t>
      </w:r>
    </w:p>
    <w:p>
      <w:pPr>
        <w:spacing w:before="0" w:after="120"/>
        <w:jc w:val="both"/>
      </w:pPr>
      <w:r>
        <w:rPr>
          <w:b/>
          <w:color w:val="C8A951"/>
        </w:rPr>
        <w:t xml:space="preserve">09</w:t>
      </w:r>
      <w:r>
        <w:t xml:space="preserve"> </w:t>
      </w:r>
      <w:r>
        <w:rPr>
          <w:b/>
          <w:color w:val="334155"/>
        </w:rPr>
        <w:t xml:space="preserve">STRESS NARRATIF</w:t>
      </w:r>
      <w:r>
        <w:t xml:space="preserve"> — </w:t>
      </w:r>
      <w:r>
        <w:rPr>
          <w:b/>
          <w:color w:val="F97316"/>
        </w:rPr>
        <w:t xml:space="preserve">8 dossiers · Prix à l'importation</w:t>
      </w:r>
      <w:r>
        <w:br/>
      </w:r>
      <w:r>
        <w:rPr>
          <w:color w:val="334155"/>
        </w:rPr>
        <w:t xml:space="preserve">8 dossiers sont directement exposés au scénario « Prix à l'importation » pour 23,76 Md XOF d'encours (exposition jugée par l'analyse sémantique). Sous stress ×2 (EXPERT), les entrées en douteux attendues passent de 3,13 Md à 5,51 Md XOF (calcul Risk Outlook). Autres scénarios : Perte d'un donneur d'ordre (4), Paiements de l'État (3), Crise sanitaire (4).</w:t>
      </w:r>
    </w:p>
    <w:p>
      <w:pPr>
        <w:spacing w:before="0" w:after="120"/>
        <w:jc w:val="both"/>
      </w:pPr>
      <w:r>
        <w:rPr>
          <w:b/>
          <w:color w:val="C8A951"/>
        </w:rPr>
        <w:t xml:space="preserve">08</w:t>
      </w:r>
      <w:r>
        <w:t xml:space="preserve"> </w:t>
      </w:r>
      <w:r>
        <w:rPr>
          <w:b/>
          <w:color w:val="334155"/>
        </w:rPr>
        <w:t xml:space="preserve">ANALYSE SÉMANTIQUE · RETOURS</w:t>
      </w:r>
      <w:r>
        <w:t xml:space="preserve"> — </w:t>
      </w:r>
      <w:r>
        <w:rPr>
          <w:b/>
          <w:color w:val="06B6D4"/>
        </w:rPr>
        <w:t xml:space="preserve">30 commentaires lus</w:t>
      </w:r>
      <w:r>
        <w:br/>
      </w:r>
      <w:r>
        <w:rPr>
          <w:color w:val="334155"/>
        </w:rPr>
        <w:t xml:space="preserve">16 dossiers en revue analyste (confiance faible ou incohérence), dont 2 par contrôle d'auto-cohérence ; 2 promesses tombent après la date de bascule. Analyse sémantique ne produit aucun chiffre.</w:t>
      </w:r>
    </w:p>
    <w:p>
      <w:pPr>
        <w:pStyle w:val="Heading2"/>
        <w:keepNext/>
        <w:spacing w:before="0" w:after="120"/>
      </w:pPr>
      <w:r>
        <w:rPr>
          <w:b/>
        </w:rPr>
        <w:t xml:space="preserve">06</w:t>
      </w:r>
      <w:r>
        <w:t xml:space="preserve"> RISK OUTLOOK &amp; ANALYSE SÉMANTIQUE</w:t>
      </w:r>
      <w:r>
        <w:t xml:space="preserve">probabilités avec provenance · jugements sans chiffres</w:t>
      </w:r>
    </w:p>
    <w:p>
      <w:pPr>
        <w:spacing w:before="0" w:after="120"/>
        <w:jc w:val="both"/>
      </w:pPr>
      <w:r>
        <w:rPr>
          <w:b/>
        </w:rPr>
        <w:t xml:space="preserve">RISK OUTLOOK · PD 12M (sains) : 3,8 %</w:t>
      </w:r>
      <w:r>
        <w:t xml:space="preserve"> — MARKOV · Markov mensuel portefeuille · N = 17 850 · Historique = 9 mois · Horizon = 12 m · Confiance = faible</w:t>
      </w:r>
      <w:r>
        <w:br/>
      </w:r>
      <w:r>
        <w:rPr>
          <w:b/>
          <w:color w:val="92400E"/>
        </w:rPr>
        <w:t xml:space="preserve">⚠ Estimation indicative — historique insuffisant pour une calibration statistique robuste.</w:t>
      </w:r>
      <w:r>
        <w:br/>
      </w:r>
      <w:r>
        <w:t xml:space="preserve">Scénario sévère : 66,36 Md XOF d'entrées en douteux attendues à 12 mois (SIMULATED).</w:t>
      </w:r>
    </w:p>
    <w:p>
      <w:pPr>
        <w:spacing w:before="0" w:after="120"/>
        <w:jc w:val="both"/>
      </w:pPr>
      <w:r>
        <w:rPr>
          <w:b/>
        </w:rPr>
        <w:t xml:space="preserve">Analyses avancées</w:t>
      </w:r>
      <w:r>
        <w:t xml:space="preserve"> — temps moyen avant défaut (sain) : — mois · guérison 31-60 j : 0,0 % · 61-90 j : 0,0 % · PD 12M IC 90 % : 3,1 % – 4,6 % (SIMULATED) · backtest : 8.2 prévues / 8 observées · stress inverse : ×2.00 double la PD.</w:t>
      </w:r>
    </w:p>
    <w:tbl>
      <w:tblPr>
        <w:tblW w:w="9638" w:type="dxa"/>
        <w:tblLayout w:type="fixed"/>
      </w:tblPr>
      <w:tblGrid>
        <w:gridCol w:w="2728"/>
        <w:gridCol w:w="1091"/>
        <w:gridCol w:w="1637"/>
        <w:gridCol w:w="2364"/>
        <w:gridCol w:w="1818"/>
      </w:tblGrid>
      <w:tr>
        <w:trPr>
          <w:cantSplit/>
          <w:tblHeader/>
        </w:trPr>
        <w:tc>
          <w:tcPr>
            <w:tcW w:w="272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Stress narratif · scénario</w:t>
            </w:r>
          </w:p>
        </w:tc>
        <w:tc>
          <w:tcPr>
            <w:tcW w:w="109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Dossiers</w:t>
            </w:r>
          </w:p>
        </w:tc>
        <w:tc>
          <w:tcPr>
            <w:tcW w:w="163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Encours exposé</w:t>
            </w:r>
          </w:p>
        </w:tc>
        <w:tc>
          <w:tcPr>
            <w:tcW w:w="236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Entrées douteux · base</w:t>
            </w:r>
          </w:p>
        </w:tc>
        <w:tc>
          <w:tcPr>
            <w:tcW w:w="181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· sous stress ×2</w:t>
            </w:r>
          </w:p>
        </w:tc>
      </w:tr>
      <w:tr>
        <w:trPr>
          <w:cantSplit/>
        </w:trPr>
        <w:tc>
          <w:tcPr>
            <w:tcW w:w="272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Prix à l'importation</w:t>
            </w:r>
          </w:p>
        </w:tc>
        <w:tc>
          <w:tcPr>
            <w:tcW w:w="109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8</w:t>
            </w:r>
          </w:p>
        </w:tc>
        <w:tc>
          <w:tcPr>
            <w:tcW w:w="163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23,76 Md</w:t>
            </w:r>
          </w:p>
        </w:tc>
        <w:tc>
          <w:tcPr>
            <w:tcW w:w="236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3,13 Md</w:t>
            </w:r>
          </w:p>
        </w:tc>
        <w:tc>
          <w:tcPr>
            <w:tcW w:w="181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5,51 Md</w:t>
            </w:r>
          </w:p>
        </w:tc>
      </w:tr>
      <w:tr>
        <w:trPr>
          <w:cantSplit/>
        </w:trPr>
        <w:tc>
          <w:tcPr>
            <w:tcW w:w="272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Perte d'un donneur d'ordre</w:t>
            </w:r>
          </w:p>
        </w:tc>
        <w:tc>
          <w:tcPr>
            <w:tcW w:w="109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tcW w:w="163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17,09 Md</w:t>
            </w:r>
          </w:p>
        </w:tc>
        <w:tc>
          <w:tcPr>
            <w:tcW w:w="236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2,00 Md</w:t>
            </w:r>
          </w:p>
        </w:tc>
        <w:tc>
          <w:tcPr>
            <w:tcW w:w="181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3,54 Md</w:t>
            </w:r>
          </w:p>
        </w:tc>
      </w:tr>
      <w:tr>
        <w:trPr>
          <w:cantSplit/>
        </w:trPr>
        <w:tc>
          <w:tcPr>
            <w:tcW w:w="272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Paiements de l'État</w:t>
            </w:r>
          </w:p>
        </w:tc>
        <w:tc>
          <w:tcPr>
            <w:tcW w:w="109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W w:w="163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13,74 Md</w:t>
            </w:r>
          </w:p>
        </w:tc>
        <w:tc>
          <w:tcPr>
            <w:tcW w:w="236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1,88 Md</w:t>
            </w:r>
          </w:p>
        </w:tc>
        <w:tc>
          <w:tcPr>
            <w:tcW w:w="181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3,30 Md</w:t>
            </w:r>
          </w:p>
        </w:tc>
      </w:tr>
      <w:tr>
        <w:trPr>
          <w:cantSplit/>
        </w:trPr>
        <w:tc>
          <w:tcPr>
            <w:tcW w:w="272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Crise sanitaire</w:t>
            </w:r>
          </w:p>
        </w:tc>
        <w:tc>
          <w:tcPr>
            <w:tcW w:w="109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tcW w:w="163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12,76 Md</w:t>
            </w:r>
          </w:p>
        </w:tc>
        <w:tc>
          <w:tcPr>
            <w:tcW w:w="236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1,74 Md</w:t>
            </w:r>
          </w:p>
        </w:tc>
        <w:tc>
          <w:tcPr>
            <w:tcW w:w="181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3,07 Md</w:t>
            </w:r>
          </w:p>
        </w:tc>
      </w:tr>
      <w:tr>
        <w:trPr>
          <w:cantSplit/>
        </w:trPr>
        <w:tc>
          <w:tcPr>
            <w:tcW w:w="272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Hydrocarbures</w:t>
            </w:r>
          </w:p>
        </w:tc>
        <w:tc>
          <w:tcPr>
            <w:tcW w:w="109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tcW w:w="163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7,73 Md</w:t>
            </w:r>
          </w:p>
        </w:tc>
        <w:tc>
          <w:tcPr>
            <w:tcW w:w="236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1,06 Md</w:t>
            </w:r>
          </w:p>
        </w:tc>
        <w:tc>
          <w:tcPr>
            <w:tcW w:w="181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1,86 Md</w:t>
            </w:r>
          </w:p>
        </w:tc>
      </w:tr>
      <w:tr>
        <w:trPr>
          <w:cantSplit/>
        </w:trPr>
        <w:tc>
          <w:tcPr>
            <w:tcW w:w="272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Gouvernance / fraude</w:t>
            </w:r>
          </w:p>
        </w:tc>
        <w:tc>
          <w:tcPr>
            <w:tcW w:w="109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W w:w="163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7,34 Md</w:t>
            </w:r>
          </w:p>
        </w:tc>
        <w:tc>
          <w:tcPr>
            <w:tcW w:w="236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1,00 Md</w:t>
            </w:r>
          </w:p>
        </w:tc>
        <w:tc>
          <w:tcPr>
            <w:tcW w:w="181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1,77 Md</w:t>
            </w:r>
          </w:p>
        </w:tc>
      </w:tr>
      <w:tr>
        <w:trPr>
          <w:cantSplit/>
        </w:trPr>
        <w:tc>
          <w:tcPr>
            <w:tcW w:w="272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Campagne agricole</w:t>
            </w:r>
          </w:p>
        </w:tc>
        <w:tc>
          <w:tcPr>
            <w:tcW w:w="109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W w:w="163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5,00 Md</w:t>
            </w:r>
          </w:p>
        </w:tc>
        <w:tc>
          <w:tcPr>
            <w:tcW w:w="236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683,4 M</w:t>
            </w:r>
          </w:p>
        </w:tc>
        <w:tc>
          <w:tcPr>
            <w:tcW w:w="181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1,20 Md</w:t>
            </w:r>
          </w:p>
        </w:tc>
      </w:tr>
      <w:tr>
        <w:trPr>
          <w:cantSplit/>
        </w:trPr>
        <w:tc>
          <w:tcPr>
            <w:tcW w:w="272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Taux BCEAO</w:t>
            </w:r>
          </w:p>
        </w:tc>
        <w:tc>
          <w:tcPr>
            <w:tcW w:w="109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W w:w="163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1,19 Md</w:t>
            </w:r>
          </w:p>
        </w:tc>
        <w:tc>
          <w:tcPr>
            <w:tcW w:w="236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45,2 M</w:t>
            </w:r>
          </w:p>
        </w:tc>
        <w:tc>
          <w:tcPr>
            <w:tcW w:w="181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87,1 M</w:t>
            </w:r>
          </w:p>
        </w:tc>
      </w:tr>
    </w:tbl>
    <w:p>
      <w:pPr>
        <w:spacing w:before="0" w:after="120"/>
      </w:pPr>
    </w:p>
    <w:tbl>
      <w:tblPr>
        <w:tblW w:w="9638" w:type="dxa"/>
        <w:tblLayout w:type="fixed"/>
      </w:tblPr>
      <w:tblGrid>
        <w:gridCol w:w="2655"/>
        <w:gridCol w:w="2444"/>
        <w:gridCol w:w="978"/>
        <w:gridCol w:w="1117"/>
        <w:gridCol w:w="1187"/>
        <w:gridCol w:w="1257"/>
      </w:tblGrid>
      <w:tr>
        <w:trPr>
          <w:cantSplit/>
          <w:tblHeader/>
        </w:trPr>
        <w:tc>
          <w:tcPr>
            <w:tcW w:w="265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Bénéficiaires potentiellement liés</w:t>
            </w:r>
          </w:p>
        </w:tc>
        <w:tc>
          <w:tcPr>
            <w:tcW w:w="244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 </w:t>
            </w:r>
          </w:p>
        </w:tc>
        <w:tc>
          <w:tcPr>
            <w:tcW w:w="97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Lien (0-2)</w:t>
            </w:r>
          </w:p>
        </w:tc>
        <w:tc>
          <w:tcPr>
            <w:tcW w:w="111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Même famille</w:t>
            </w:r>
          </w:p>
        </w:tc>
        <w:tc>
          <w:tcPr>
            <w:tcW w:w="118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Lecture</w:t>
            </w:r>
          </w:p>
        </w:tc>
        <w:tc>
          <w:tcPr>
            <w:tcW w:w="12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Encours cumulé</w:t>
            </w:r>
          </w:p>
        </w:tc>
      </w:tr>
      <w:tr>
        <w:trPr>
          <w:cantSplit/>
        </w:trPr>
        <w:tc>
          <w:tcPr>
            <w:tcW w:w="265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KORA TRANSPORTS ET FILS</w:t>
            </w:r>
          </w:p>
        </w:tc>
        <w:tc>
          <w:tcPr>
            <w:tcW w:w="244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KORA LOGISTIQUE ET TRANSIT</w:t>
            </w:r>
          </w:p>
        </w:tc>
        <w:tc>
          <w:tcPr>
            <w:tcW w:w="97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1.34</w:t>
            </w:r>
          </w:p>
        </w:tc>
        <w:tc>
          <w:tcPr>
            <w:tcW w:w="111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73 %</w:t>
            </w:r>
          </w:p>
        </w:tc>
        <w:tc>
          <w:tcPr>
            <w:tcW w:w="118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Lien probable</w:t>
            </w:r>
          </w:p>
        </w:tc>
        <w:tc>
          <w:tcPr>
            <w:tcW w:w="12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14,72 Md</w:t>
            </w:r>
          </w:p>
        </w:tc>
      </w:tr>
      <w:tr>
        <w:trPr>
          <w:cantSplit/>
        </w:trPr>
        <w:tc>
          <w:tcPr>
            <w:tcW w:w="265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TERANGA BATIMENT TRAVAUX PUBLICS</w:t>
            </w:r>
          </w:p>
        </w:tc>
        <w:tc>
          <w:tcPr>
            <w:tcW w:w="244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TERANGA IMMOBILIER PROMOTION</w:t>
            </w:r>
          </w:p>
        </w:tc>
        <w:tc>
          <w:tcPr>
            <w:tcW w:w="97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1.23</w:t>
            </w:r>
          </w:p>
        </w:tc>
        <w:tc>
          <w:tcPr>
            <w:tcW w:w="111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65 %</w:t>
            </w:r>
          </w:p>
        </w:tc>
        <w:tc>
          <w:tcPr>
            <w:tcW w:w="118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Lien probable</w:t>
            </w:r>
          </w:p>
        </w:tc>
        <w:tc>
          <w:tcPr>
            <w:tcW w:w="12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13,53 Md</w:t>
            </w:r>
          </w:p>
        </w:tc>
      </w:tr>
      <w:tr>
        <w:trPr>
          <w:cantSplit/>
        </w:trPr>
        <w:tc>
          <w:tcPr>
            <w:tcW w:w="265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BAOBAB NEGOCE SA</w:t>
            </w:r>
          </w:p>
        </w:tc>
        <w:tc>
          <w:tcPr>
            <w:tcW w:w="2444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BAOBAB NEGOCE DISTRIBUTION SARL</w:t>
            </w:r>
          </w:p>
        </w:tc>
        <w:tc>
          <w:tcPr>
            <w:tcW w:w="97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1.20</w:t>
            </w:r>
          </w:p>
        </w:tc>
        <w:tc>
          <w:tcPr>
            <w:tcW w:w="111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73 %</w:t>
            </w:r>
          </w:p>
        </w:tc>
        <w:tc>
          <w:tcPr>
            <w:tcW w:w="118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Lien probable</w:t>
            </w:r>
          </w:p>
        </w:tc>
        <w:tc>
          <w:tcPr>
            <w:tcW w:w="12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15,20 Md</w:t>
            </w:r>
          </w:p>
        </w:tc>
      </w:tr>
    </w:tbl>
    <w:p>
      <w:pPr>
        <w:spacing w:before="0" w:after="120"/>
      </w:pPr>
    </w:p>
    <w:tbl>
      <w:tblPr>
        <w:tblW w:w="9638" w:type="dxa"/>
        <w:tblLayout w:type="fixed"/>
      </w:tblPr>
      <w:tblGrid>
        <w:gridCol w:w="798"/>
        <w:gridCol w:w="1657"/>
        <w:gridCol w:w="798"/>
        <w:gridCol w:w="700"/>
        <w:gridCol w:w="1719"/>
        <w:gridCol w:w="1535"/>
        <w:gridCol w:w="2431"/>
      </w:tblGrid>
      <w:tr>
        <w:trPr>
          <w:cantSplit/>
          <w:tblHeader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Référence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Motif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Confiance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Urgence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Orientation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Statut retenu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001B4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  <w:szCs w:val="17"/>
              </w:rPr>
              <w:t xml:space="preserve">Revue / contrôles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L0001140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Retard technique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78 %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Gestionnaire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Promesse de règlement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L0001765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Tension de trésorerie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85 %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Gestionnaire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Revue analyste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orientation incertaine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L0002096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Client injoignable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100 %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Recouvrement amiable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Revue analyste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statut incertain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L0000355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Régularisation annoncée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96 %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2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Gestionnaire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Revue analyste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commentaire incohérent avec les jours d'impayés · orientation incertaine · Commentaire trop court pour être exploitable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L0001165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Perte de revenus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93 %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Recouvrement amiable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Revue analyste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orientation incertaine · Segment douteux au vu du nom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L0002465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Perte de revenus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100 %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Restructuration (crédit)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Restructuration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L0000639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Aucun motif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94 %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Recouvrement amiable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Promesse de règlement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L0001328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Litige juridique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100 %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Juridique / contentieux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Escalade contentieux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Plan d'action APEX sans rapport avec la cause décrite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L0000550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Santé / décès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100 %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Juridique / contentieux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Revue analyste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orientation incertaine · auto-cohérence : motif et durabilité divergent · Donnée personnelle sensible : à anonymiser avant diffusion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L0002461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Tension de trésorerie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100 %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Recouvrement amiable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Revue analyste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crédibilité incertaine · orientation incertaine · Date promise 10 j après la bascule en douteux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L0001055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Aucun motif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100 %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Gestionnaire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Revue analyste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orientation incertaine · Promesse datée selon Analyse sémantique mais date illisible par le code · Commentaire trop court pour être exploitable · Plan d'action APEX sans rapport avec la cause décrite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L0001886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Aucun motif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89 %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2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Analyste risque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Revue analyste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commentaire incohérent avec les jours d'impayés · Plan d'action APEX sans rapport avec la cause décrite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L0001753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Fraude / détournement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100 %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4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Juridique / contentieux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Escalade contentieux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L0001974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Aucun motif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99 %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Gestionnaire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Revue analyste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orientation incertaine · Date lue par le code mais promesse jugée vague · Segment douteux au vu du nom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L0001803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Santé / décès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100 %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Recouvrement amiable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Revue analyste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orientation incertaine · Donnée personnelle sensible : à anonymiser avant diffusion · Segment douteux au vu du nom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L0000582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Retard technique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94 %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Gestionnaire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Promesse de règlement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L0000668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Aucun motif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55 %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Restructuration (crédit)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Restructuration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L0001245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Retard technique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100 %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2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Gestionnaire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En cours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L0002090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Tension de trésorerie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79 %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Recouvrement amiable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En cours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L0000358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À faire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Commentaire vide : relancer le gestionnaire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L0001925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À faire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Commentaire vide : relancer le gestionnaire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L0001119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À faire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Commentaire vide : relancer le gestionnaire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L0001849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Tension de trésorerie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98 %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Recouvrement amiable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Revue analyste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crédibilité incertaine · orientation incertaine · Date promise 31 j après la bascule en douteux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L0001814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Retard technique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98 %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Gestionnaire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Promesse de règlement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L0001392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Perte de revenus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78 %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Recouvrement amiable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En cours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L0002091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Tension de trésorerie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93 %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Restructuration (crédit)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Revue analyste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statut incertain · orientation incertaine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L0001189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Tension de trésorerie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96 %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Recouvrement amiable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Revue analyste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statut incertain · orientation incertaine · auto-cohérence : motif et durabilité divergent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L0000449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Fraude / détournement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100 %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4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Juridique / contentieux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Revue analyste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orientation incertaine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L0002486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Perte de revenus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70 %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Recouvrement amiable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Revue analyste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orientation incertaine · contrôle d'ordre : l'orientation change quand les options sont inversées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L0001125</w:t>
            </w:r>
          </w:p>
        </w:tc>
        <w:tc>
          <w:tcPr>
            <w:tcW w:w="1657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Perte de revenus</w:t>
            </w:r>
          </w:p>
        </w:tc>
        <w:tc>
          <w:tcPr>
            <w:tcW w:w="798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78 %</w:t>
            </w:r>
          </w:p>
        </w:tc>
        <w:tc>
          <w:tcPr>
            <w:tcW w:w="700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3 / 4</w:t>
            </w:r>
          </w:p>
        </w:tc>
        <w:tc>
          <w:tcPr>
            <w:tcW w:w="1719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Recouvrement amiable</w:t>
            </w:r>
          </w:p>
        </w:tc>
        <w:tc>
          <w:tcPr>
            <w:tcW w:w="1535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Revue analyste</w:t>
            </w:r>
          </w:p>
        </w:tc>
        <w:tc>
          <w:tcPr>
            <w:tcW w:w="2431" w:type="dxa"/>
            <w:tcBorders>
              <w:top w:val="single" w:sz="4" w:color="BFD3E6"/>
              <w:left w:val="single" w:sz="4" w:color="BFD3E6"/>
              <w:bottom w:val="single" w:sz="4" w:color="BFD3E6"/>
              <w:right w:val="single" w:sz="4" w:color="BFD3E6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F172A"/>
                <w:sz w:val="17"/>
                <w:szCs w:val="17"/>
              </w:rPr>
              <w:t xml:space="preserve">crédibilité incertaine</w:t>
            </w:r>
          </w:p>
        </w:tc>
      </w:tr>
    </w:tbl>
    <w:p>
      <w:pPr>
        <w:spacing w:before="0" w:after="120"/>
      </w:pPr>
    </w:p>
    <w:p>
      <w:pPr>
        <w:spacing w:before="0" w:after="120"/>
        <w:jc w:val="both"/>
      </w:pPr>
      <w:r>
        <w:t xml:space="preserve">Méthodologie : montants, classes BCEAO / IFRS 9 / ACTE 7 calculés par APEX ; Analyse sémantique (moteur sémantique) ne rend que des jugements, confiance faible → revue analyste ; RISK OUTLOOK : chaque probabilité porte sa provenance (OBSERVED, EMPIRICAL, MARKOV, EXPERT, STRESS, SIMULATED, HYBRID). Contrôles : ✔ Encours : somme des clients = agrégat APEX · ✔ Impayés : somme des clients = agrégat APEX · ✔ Pont des impayés : ouverture + mouvements = clôture · ✔ Tranches : somme des encours par tranche = encours total · ✔ Watchlist : encours ≤ encours total · ✔ Clients en double · ✔ Valeurs non numériques (non-nombres, infinis) · ✔ Provisions de l'historique sur base IFRS 9 (comparables) · ✔ RISK OUTLOOK : PD avec provenance pour chaque client de la watchlist · ✔ Historique disponible pour les tendances.</w:t>
      </w:r>
    </w:p>
    <w:p>
      <w:pPr>
        <w:pBdr>
          <w:bottom w:val="single" w:sz="8" w:space="2" w:color="C8A951"/>
        </w:pBdr>
        <w:spacing w:before="360" w:after="60"/>
      </w:pPr>
      <w:r>
        <w:rPr>
          <w:rFonts w:ascii="Segoe UI" w:hAnsi="Segoe UI"/>
          <w:b/>
          <w:color w:val="001B4D"/>
          <w:sz w:val="26"/>
          <w14:shadow w14:blurRad="38100" w14:dist="19050" w14:dir="5400000" w14:sx="100000" w14:sy="100000" w14:kx="0" w14:ky="0" w14:algn="tl">
            <w14:srgbClr w14:val="001B4D">
              <w14:alpha w14:val="62000"/>
            </w14:srgbClr>
          </w14:shadow>
        </w:rPr>
        <w:t xml:space="preserve">COUCHE ANALYSE SÉMANTIQUE &amp; RISK OUTLOOK</w:t>
      </w:r>
    </w:p>
    <w:p>
      <w:pPr>
        <w:spacing w:before="60" w:after="60"/>
      </w:pPr>
      <w:r>
        <w:rPr>
          <w:rFonts w:ascii="Segoe UI" w:hAnsi="Segoe UI"/>
          <w:color w:val="334155"/>
          <w:sz w:val="18"/>
        </w:rPr>
        <w:t xml:space="preserve">Analyse sémantique (moteur sémantique) ne produit aucun chiffre : motif, crédibilité, cohérence, urgence, orientation. Les montants, classes BCEAO / IFRS 9 / ACTE 7 restent calculés par APEX. Confiance faible → revue analyste.</w:t>
      </w:r>
    </w:p>
    <w:p>
      <w:pPr>
        <w:spacing w:before="60" w:after="60"/>
      </w:pPr>
      <w:r>
        <w:rPr>
          <w:rFonts w:ascii="Segoe UI" w:hAnsi="Segoe UI"/>
          <w:b/>
          <w:color w:val="003DA5"/>
          <w:sz w:val="18"/>
        </w:rPr>
        <w:t xml:space="preserve">RISK OUTLOOK · PD 12M (sains)  ·  3,8 %  ·  MARKOV · Markov mensuel portefeuille · N = 17 850 · Historique = 9 mois · Horizon = 12 m · Confiance = faible</w:t>
      </w:r>
    </w:p>
    <w:p>
      <w:pPr>
        <w:spacing w:before="60" w:after="60"/>
      </w:pPr>
      <w:r>
        <w:rPr>
          <w:rFonts w:ascii="Segoe UI" w:hAnsi="Segoe UI"/>
          <w:color w:val="92400E"/>
          <w:sz w:val="18"/>
        </w:rPr>
        <w:t xml:space="preserve">⚠ Estimation indicative — historique insuffisant pour une calibration statistique robuste.</w:t>
      </w:r>
    </w:p>
    <w:p>
      <w:pPr>
        <w:spacing w:before="60" w:after="60"/>
      </w:pPr>
      <w:r>
        <w:rPr>
          <w:rFonts w:ascii="Segoe UI" w:hAnsi="Segoe UI"/>
          <w:b/>
          <w:color w:val="003DA5"/>
          <w:sz w:val="18"/>
        </w:rPr>
        <w:t xml:space="preserve">Analyses avancées · avant défaut (sain)  ·  —  ·  MARKOV · matrice fondamentale</w:t>
      </w:r>
    </w:p>
    <w:p>
      <w:pPr>
        <w:spacing w:before="60" w:after="60"/>
      </w:pPr>
      <w:r>
        <w:rPr>
          <w:rFonts w:ascii="Segoe UI" w:hAnsi="Segoe UI"/>
          <w:b/>
          <w:color w:val="003DA5"/>
          <w:sz w:val="18"/>
        </w:rPr>
        <w:t xml:space="preserve">Guérison 31-60 j · 61-90 j  ·  0.0 % · 0.0 %  ·  MARKOV · absorption</w:t>
      </w:r>
    </w:p>
    <w:p>
      <w:pPr>
        <w:spacing w:before="60" w:after="60"/>
      </w:pPr>
      <w:r>
        <w:rPr>
          <w:rFonts w:ascii="Segoe UI" w:hAnsi="Segoe UI"/>
          <w:b/>
          <w:color w:val="003DA5"/>
          <w:sz w:val="18"/>
        </w:rPr>
        <w:t xml:space="preserve">PD 12M · IC 90 %  ·  3.1 % – 4.6 %  ·  SIMULATED · bootstrap Dirichlet</w:t>
      </w:r>
    </w:p>
    <w:p>
      <w:pPr>
        <w:spacing w:before="60" w:after="60"/>
      </w:pPr>
      <w:r>
        <w:rPr>
          <w:rFonts w:ascii="Segoe UI" w:hAnsi="Segoe UI"/>
          <w:b/>
          <w:color w:val="003DA5"/>
          <w:sz w:val="18"/>
        </w:rPr>
        <w:t xml:space="preserve">Backtest (dernier mois)  ·  8.2 prévues · 8 observées  ·  EMPIRICAL · hors échantillon</w:t>
      </w:r>
    </w:p>
    <w:p>
      <w:pPr>
        <w:spacing w:before="60" w:after="60"/>
      </w:pPr>
      <w:r>
        <w:rPr>
          <w:rFonts w:ascii="Segoe UI" w:hAnsi="Segoe UI"/>
          <w:b/>
          <w:color w:val="003DA5"/>
          <w:sz w:val="18"/>
        </w:rPr>
        <w:t xml:space="preserve">Stress inverse  ·  2.00 × double la PD 12M  ·  STRESS</w:t>
      </w:r>
    </w:p>
    <w:p>
      <w:pPr>
        <w:spacing w:before="60" w:after="60"/>
      </w:pPr>
      <w:r>
        <w:rPr>
          <w:rFonts w:ascii="Segoe UI" w:hAnsi="Segoe UI"/>
          <w:b/>
          <w:color w:val="003DA5"/>
          <w:sz w:val="18"/>
        </w:rPr>
        <w:t xml:space="preserve">Analyse sémantique · retours lus  ·  30  ·  moteur sémantique v1.13.0 · retour.xlsx</w:t>
      </w:r>
    </w:p>
    <w:p>
      <w:pPr>
        <w:spacing w:before="60" w:after="60"/>
      </w:pPr>
      <w:r>
        <w:rPr>
          <w:rFonts w:ascii="Segoe UI" w:hAnsi="Segoe UI"/>
          <w:b/>
          <w:color w:val="003DA5"/>
          <w:sz w:val="18"/>
        </w:rPr>
        <w:t xml:space="preserve">Revue analyste  ·  16  ·  confiance faible, incohérence ou divergence d'auto-cohérence</w:t>
      </w:r>
    </w:p>
    <w:p>
      <w:pPr>
        <w:spacing w:before="60" w:after="60"/>
      </w:pPr>
      <w:r>
        <w:rPr>
          <w:rFonts w:ascii="Segoe UI" w:hAnsi="Segoe UI"/>
          <w:b/>
          <w:color w:val="003DA5"/>
          <w:sz w:val="18"/>
        </w:rPr>
        <w:t xml:space="preserve">Stress narratif · dossiers exposés  ·  prix importation : 9 · perte donneur ordre : 5 · choc sanitaire : 4 · retard paiements etat : 3 · gouvernance fraude : 2 · choc hydrocarbures : 2 · campagne agricole : 1 · hausse taux : 1  ·  exposition jugée par l'analyse sémantique</w:t>
      </w:r>
    </w:p>
    <w:p>
      <w:pPr>
        <w:spacing w:before="60" w:after="60"/>
      </w:pPr>
      <w:r>
        <w:rPr>
          <w:rFonts w:ascii="Segoe UI" w:hAnsi="Segoe UI"/>
          <w:color w:val="334155"/>
          <w:sz w:val="16"/>
        </w:rPr>
        <w:t xml:space="preserve">L0001140  ·  Retard technique  ·  78 %  ·  Très bonne  ·  Avant la bascule  ·  3 / 4  ·  Gestionnaire  ·  Vérifier le règlement annoncé  ·  Promesse de règlement  ·  13,7 % MARKOV</w:t>
      </w:r>
    </w:p>
    <w:p>
      <w:pPr>
        <w:spacing w:before="60" w:after="60"/>
      </w:pPr>
      <w:r>
        <w:rPr>
          <w:rFonts w:ascii="Segoe UI" w:hAnsi="Segoe UI"/>
          <w:b/>
          <w:color w:val="DC2626"/>
          <w:sz w:val="16"/>
        </w:rPr>
        <w:t xml:space="preserve">L0001765  ·  Tension de trésorerie  ·  85 %  ·  Très bonne  ·  Avant la bascule  ·  3 / 4  ·  Gestionnaire  ·  Vérifier le règlement annoncé  ·  Revue analyste  ·  13,7 % MARKOV  ·  orientation incertaine</w:t>
      </w:r>
    </w:p>
    <w:p>
      <w:pPr>
        <w:spacing w:before="60" w:after="60"/>
      </w:pPr>
      <w:r>
        <w:rPr>
          <w:rFonts w:ascii="Segoe UI" w:hAnsi="Segoe UI"/>
          <w:b/>
          <w:color w:val="DC2626"/>
          <w:sz w:val="16"/>
        </w:rPr>
        <w:t xml:space="preserve">L0002096  ·  Client injoignable  ·  100 %  ·  Nulle  ·  Sans date  ·  3 / 4  ·  Recouvrement amiable  ·  Visite terrain  ·  Revue analyste  ·  13,7 % MARKOV  ·  statut incertain</w:t>
      </w:r>
    </w:p>
    <w:p>
      <w:pPr>
        <w:spacing w:before="60" w:after="60"/>
      </w:pPr>
      <w:r>
        <w:rPr>
          <w:rFonts w:ascii="Segoe UI" w:hAnsi="Segoe UI"/>
          <w:b/>
          <w:color w:val="DC2626"/>
          <w:sz w:val="16"/>
        </w:rPr>
        <w:t xml:space="preserve">L0000355  ·  Régularisation annoncée  ·  96 %  ·  Nulle  ·  Sans date  ·  2 / 4  ·  Gestionnaire  ·  Vérifier le règlement annoncé  ·  Revue analyste  ·  13,7 % MARKOV  ·  commentaire incohérent avec les jours d'impayés · orientation incertaine · Commentaire trop court pour être exploitable</w:t>
      </w:r>
    </w:p>
    <w:p>
      <w:pPr>
        <w:spacing w:before="60" w:after="60"/>
      </w:pPr>
      <w:r>
        <w:rPr>
          <w:rFonts w:ascii="Segoe UI" w:hAnsi="Segoe UI"/>
          <w:b/>
          <w:color w:val="DC2626"/>
          <w:sz w:val="16"/>
        </w:rPr>
        <w:t xml:space="preserve">L0001165  ·  Perte de revenus  ·  93 %  ·  Faible  ·  Avant la bascule  ·  3 / 4  ·  Recouvrement amiable  ·  Relance du gestionnaire  ·  Revue analyste  ·  3,8 % MARKOV  ·  orientation incertaine · Segment douteux au vu du nom</w:t>
      </w:r>
    </w:p>
    <w:p>
      <w:pPr>
        <w:spacing w:before="60" w:after="60"/>
      </w:pPr>
      <w:r>
        <w:rPr>
          <w:rFonts w:ascii="Segoe UI" w:hAnsi="Segoe UI"/>
          <w:color w:val="334155"/>
          <w:sz w:val="16"/>
        </w:rPr>
        <w:t xml:space="preserve">L0002465  ·  Perte de revenus  ·  100 %  ·  Faible  ·  Sans date  ·  3 / 4  ·  Restructuration (crédit)  ·  Étude de restructuration  ·  Restructuration  ·  13,7 % MARKOV</w:t>
      </w:r>
    </w:p>
    <w:p>
      <w:pPr>
        <w:spacing w:before="60" w:after="60"/>
      </w:pPr>
      <w:r>
        <w:rPr>
          <w:rFonts w:ascii="Segoe UI" w:hAnsi="Segoe UI"/>
          <w:color w:val="334155"/>
          <w:sz w:val="16"/>
        </w:rPr>
        <w:t xml:space="preserve">L0000639  ·  Aucun motif  ·  94 %  ·  Faible  ·  Avant la bascule  ·  3 / 4  ·  Recouvrement amiable  ·  Relance du gestionnaire  ·  Promesse de règlement  ·  13,7 % MARKOV</w:t>
      </w:r>
    </w:p>
    <w:p>
      <w:pPr>
        <w:spacing w:before="60" w:after="60"/>
      </w:pPr>
      <w:r>
        <w:rPr>
          <w:rFonts w:ascii="Segoe UI" w:hAnsi="Segoe UI"/>
          <w:color w:val="334155"/>
          <w:sz w:val="16"/>
        </w:rPr>
        <w:t xml:space="preserve">L0001328  ·  Litige juridique  ·  100 %  ·  Nulle  ·  Sans date  ·  3 / 4  ·  Juridique / contentieux  ·  Transfert au contentieux  ·  Escalade contentieux  ·  13,7 % MARKOV  ·  Plan d'action APEX sans rapport avec la cause décrite</w:t>
      </w:r>
    </w:p>
    <w:p>
      <w:pPr>
        <w:spacing w:before="60" w:after="60"/>
      </w:pPr>
      <w:r>
        <w:rPr>
          <w:rFonts w:ascii="Segoe UI" w:hAnsi="Segoe UI"/>
          <w:b/>
          <w:color w:val="DC2626"/>
          <w:sz w:val="16"/>
        </w:rPr>
        <w:t xml:space="preserve">L0000550  ·  Santé / décès  ·  100 %  ·  Nulle  ·  Sans date  ·  3 / 4  ·  Juridique / contentieux  ·  Visite terrain  ·  Revue analyste  ·  13,7 % MARKOV  ·  orientation incertaine · auto-cohérence : motif et durabilité divergent · Donnée personnelle sensible : à anonymiser avant diffusion</w:t>
      </w:r>
    </w:p>
    <w:p>
      <w:pPr>
        <w:spacing w:before="60" w:after="60"/>
      </w:pPr>
      <w:r>
        <w:rPr>
          <w:rFonts w:ascii="Segoe UI" w:hAnsi="Segoe UI"/>
          <w:b/>
          <w:color w:val="DC2626"/>
          <w:sz w:val="16"/>
        </w:rPr>
        <w:t xml:space="preserve">L0002461  ·  Tension de trésorerie  ·  100 %  ·  Bonne  ·  Après la bascule  ·  3 / 4  ·  Recouvrement amiable  ·  Vérifier le règlement annoncé  ·  Revue analyste  ·  13,7 % MARKOV  ·  crédibilité incertaine · orientation incertaine · Date promise 10 j après la bascule en douteux</w:t>
      </w:r>
    </w:p>
    <w:p>
      <w:pPr>
        <w:spacing w:before="60" w:after="60"/>
      </w:pPr>
      <w:r>
        <w:rPr>
          <w:rFonts w:ascii="Segoe UI" w:hAnsi="Segoe UI"/>
          <w:b/>
          <w:color w:val="DC2626"/>
          <w:sz w:val="16"/>
        </w:rPr>
        <w:t xml:space="preserve">L0001055  ·  Aucun motif  ·  100 %  ·  Nulle  ·  Sans date  ·  3 / 4  ·  Gestionnaire  ·  Surveillance simple  ·  Revue analyste  ·  13,7 % MARKOV  ·  orientation incertaine · Promesse datée selon Analyse sémantique mais date illisible par le code · Commentaire trop court pour être exploitable · Plan d'action APEX sans rapport avec la cause décrite</w:t>
      </w:r>
    </w:p>
    <w:p>
      <w:pPr>
        <w:spacing w:before="60" w:after="60"/>
      </w:pPr>
      <w:r>
        <w:rPr>
          <w:rFonts w:ascii="Segoe UI" w:hAnsi="Segoe UI"/>
          <w:b/>
          <w:color w:val="DC2626"/>
          <w:sz w:val="16"/>
        </w:rPr>
        <w:t xml:space="preserve">L0001886  ·  Aucun motif  ·  89 %  ·  Nulle  ·  Sans date  ·  2 / 4  ·  Analyste risque  ·  Vérifier le règlement annoncé  ·  Revue analyste  ·  3,8 % MARKOV  ·  commentaire incohérent avec les jours d'impayés · Plan d'action APEX sans rapport avec la cause décrite</w:t>
      </w:r>
    </w:p>
    <w:p>
      <w:pPr>
        <w:spacing w:before="60" w:after="60"/>
      </w:pPr>
      <w:r>
        <w:rPr>
          <w:rFonts w:ascii="Segoe UI" w:hAnsi="Segoe UI"/>
          <w:color w:val="334155"/>
          <w:sz w:val="16"/>
        </w:rPr>
        <w:t xml:space="preserve">L0001753  ·  Fraude / détournement  ·  100 %  ·  Nulle  ·  Sans date  ·  4 / 4  ·  Juridique / contentieux  ·  Transfert au contentieux  ·  Escalade contentieux  ·  13,7 % MARKOV</w:t>
      </w:r>
    </w:p>
    <w:p>
      <w:pPr>
        <w:spacing w:before="60" w:after="60"/>
      </w:pPr>
      <w:r>
        <w:rPr>
          <w:rFonts w:ascii="Segoe UI" w:hAnsi="Segoe UI"/>
          <w:b/>
          <w:color w:val="DC2626"/>
          <w:sz w:val="16"/>
        </w:rPr>
        <w:t xml:space="preserve">L0001974  ·  Aucun motif  ·  99 %  ·  Faible  ·  Avant la bascule  ·  3 / 4  ·  Gestionnaire  ·  Visite terrain  ·  Revue analyste  ·  13,7 % MARKOV  ·  orientation incertaine · Date lue par le code mais promesse jugée vague · Segment douteux au vu du nom</w:t>
      </w:r>
    </w:p>
    <w:p>
      <w:pPr>
        <w:spacing w:before="60" w:after="60"/>
      </w:pPr>
      <w:r>
        <w:rPr>
          <w:rFonts w:ascii="Segoe UI" w:hAnsi="Segoe UI"/>
          <w:b/>
          <w:color w:val="DC2626"/>
          <w:sz w:val="16"/>
        </w:rPr>
        <w:t xml:space="preserve">L0001803  ·  Santé / décès  ·  100 %  ·  Moyenne  ·  Avant la bascule  ·  3 / 4  ·  Recouvrement amiable  ·  Vérifier le règlement annoncé  ·  Revue analyste  ·  13,7 % MARKOV  ·  orientation incertaine · Donnée personnelle sensible : à anonymiser avant diffusion · Segment douteux au vu du nom</w:t>
      </w:r>
    </w:p>
    <w:p>
      <w:pPr>
        <w:spacing w:before="60" w:after="60"/>
      </w:pPr>
      <w:r>
        <w:rPr>
          <w:rFonts w:ascii="Segoe UI" w:hAnsi="Segoe UI"/>
          <w:color w:val="334155"/>
          <w:sz w:val="16"/>
        </w:rPr>
        <w:t xml:space="preserve">L0000582  ·  Retard technique  ·  94 %  ·  Bonne  ·  Avant la bascule  ·  3 / 4  ·  Gestionnaire  ·  Vérifier le règlement annoncé  ·  Promesse de règlement  ·  13,7 % MARKOV</w:t>
      </w:r>
    </w:p>
    <w:p>
      <w:pPr>
        <w:spacing w:before="60" w:after="60"/>
      </w:pPr>
      <w:r>
        <w:rPr>
          <w:rFonts w:ascii="Segoe UI" w:hAnsi="Segoe UI"/>
          <w:color w:val="334155"/>
          <w:sz w:val="16"/>
        </w:rPr>
        <w:t xml:space="preserve">L0000668  ·  Aucun motif  ·  55 %  ·  Faible  ·  Sans date  ·  3 / 4  ·  Restructuration (crédit)  ·  Étude de restructuration  ·  Restructuration  ·  13,7 % MARKOV</w:t>
      </w:r>
    </w:p>
    <w:p>
      <w:pPr>
        <w:spacing w:before="60" w:after="60"/>
      </w:pPr>
      <w:r>
        <w:rPr>
          <w:rFonts w:ascii="Segoe UI" w:hAnsi="Segoe UI"/>
          <w:color w:val="334155"/>
          <w:sz w:val="16"/>
        </w:rPr>
        <w:t xml:space="preserve">L0001245  ·  Retard technique  ·  100 %  ·  Faible  ·  Sans date  ·  2 / 4  ·  Gestionnaire  ·  Vérifier le règlement annoncé  ·  En cours  ·  13,7 % MARKOV</w:t>
      </w:r>
    </w:p>
    <w:p>
      <w:pPr>
        <w:spacing w:before="60" w:after="60"/>
      </w:pPr>
      <w:r>
        <w:rPr>
          <w:rFonts w:ascii="Segoe UI" w:hAnsi="Segoe UI"/>
          <w:color w:val="334155"/>
          <w:sz w:val="16"/>
        </w:rPr>
        <w:t xml:space="preserve">L0002090  ·  Tension de trésorerie  ·  79 %  ·  Faible  ·  Sans date  ·  3 / 4  ·  Recouvrement amiable  ·  Relance du gestionnaire  ·  En cours  ·  13,7 % MARKOV</w:t>
      </w:r>
    </w:p>
    <w:p>
      <w:pPr>
        <w:spacing w:before="60" w:after="60"/>
      </w:pPr>
      <w:r>
        <w:rPr>
          <w:rFonts w:ascii="Segoe UI" w:hAnsi="Segoe UI"/>
          <w:color w:val="334155"/>
          <w:sz w:val="16"/>
        </w:rPr>
        <w:t xml:space="preserve">L0000358  ·  sans commentaire  ·  Sans retour  ·  À faire  ·  13,7 % MARKOV  ·  Commentaire vide : relancer le gestionnaire</w:t>
      </w:r>
    </w:p>
    <w:p>
      <w:pPr>
        <w:spacing w:before="60" w:after="60"/>
      </w:pPr>
      <w:r>
        <w:rPr>
          <w:rFonts w:ascii="Segoe UI" w:hAnsi="Segoe UI"/>
          <w:color w:val="334155"/>
          <w:sz w:val="16"/>
        </w:rPr>
        <w:t xml:space="preserve">L0001925  ·  sans commentaire  ·  Sans retour  ·  À faire  ·  13,7 % MARKOV  ·  Commentaire vide : relancer le gestionnaire</w:t>
      </w:r>
    </w:p>
    <w:p>
      <w:pPr>
        <w:spacing w:before="60" w:after="60"/>
      </w:pPr>
      <w:r>
        <w:rPr>
          <w:rFonts w:ascii="Segoe UI" w:hAnsi="Segoe UI"/>
          <w:color w:val="334155"/>
          <w:sz w:val="16"/>
        </w:rPr>
        <w:t xml:space="preserve">L0001119  ·  sans commentaire  ·  Sans retour  ·  À faire  ·  13,7 % MARKOV  ·  Commentaire vide : relancer le gestionnaire</w:t>
      </w:r>
    </w:p>
    <w:p>
      <w:pPr>
        <w:spacing w:before="60" w:after="60"/>
      </w:pPr>
      <w:r>
        <w:rPr>
          <w:rFonts w:ascii="Segoe UI" w:hAnsi="Segoe UI"/>
          <w:b/>
          <w:color w:val="DC2626"/>
          <w:sz w:val="16"/>
        </w:rPr>
        <w:t xml:space="preserve">L0001849  ·  Tension de trésorerie  ·  98 %  ·  Moyenne  ·  Après la bascule  ·  3 / 4  ·  Recouvrement amiable  ·  Vérifier le règlement annoncé  ·  Revue analyste  ·  13,7 % MARKOV  ·  crédibilité incertaine · orientation incertaine · Date promise 31 j après la bascule en douteux</w:t>
      </w:r>
    </w:p>
    <w:p>
      <w:pPr>
        <w:spacing w:before="60" w:after="60"/>
      </w:pPr>
      <w:r>
        <w:rPr>
          <w:rFonts w:ascii="Segoe UI" w:hAnsi="Segoe UI"/>
          <w:color w:val="334155"/>
          <w:sz w:val="16"/>
        </w:rPr>
        <w:t xml:space="preserve">L0001814  ·  Retard technique  ·  98 %  ·  Moyenne  ·  Avant la bascule  ·  3 / 4  ·  Gestionnaire  ·  Vérifier le règlement annoncé  ·  Promesse de règlement  ·  3,8 % MARKOV</w:t>
      </w:r>
    </w:p>
    <w:p>
      <w:pPr>
        <w:spacing w:before="60" w:after="60"/>
      </w:pPr>
      <w:r>
        <w:rPr>
          <w:rFonts w:ascii="Segoe UI" w:hAnsi="Segoe UI"/>
          <w:color w:val="334155"/>
          <w:sz w:val="16"/>
        </w:rPr>
        <w:t xml:space="preserve">L0001392  ·  Perte de revenus  ·  78 %  ·  Nulle  ·  Sans date  ·  3 / 4  ·  Recouvrement amiable  ·  Visite terrain  ·  En cours  ·  13,7 % MARKOV</w:t>
      </w:r>
    </w:p>
    <w:p>
      <w:pPr>
        <w:spacing w:before="60" w:after="60"/>
      </w:pPr>
      <w:r>
        <w:rPr>
          <w:rFonts w:ascii="Segoe UI" w:hAnsi="Segoe UI"/>
          <w:b/>
          <w:color w:val="DC2626"/>
          <w:sz w:val="16"/>
        </w:rPr>
        <w:t xml:space="preserve">L0002091  ·  Tension de trésorerie  ·  93 %  ·  Faible  ·  Sans date  ·  3 / 4  ·  Restructuration (crédit)  ·  Visite terrain  ·  Revue analyste  ·  3,8 % MARKOV  ·  statut incertain · orientation incertaine</w:t>
      </w:r>
    </w:p>
    <w:p>
      <w:pPr>
        <w:spacing w:before="60" w:after="60"/>
      </w:pPr>
      <w:r>
        <w:rPr>
          <w:rFonts w:ascii="Segoe UI" w:hAnsi="Segoe UI"/>
          <w:b/>
          <w:color w:val="DC2626"/>
          <w:sz w:val="16"/>
        </w:rPr>
        <w:t xml:space="preserve">L0001189  ·  Tension de trésorerie  ·  96 %  ·  Nulle  ·  Sans date  ·  3 / 4  ·  Recouvrement amiable  ·  Visite terrain  ·  Revue analyste  ·  13,7 % MARKOV  ·  statut incertain · orientation incertaine · auto-cohérence : motif et durabilité divergent</w:t>
      </w:r>
    </w:p>
    <w:p>
      <w:pPr>
        <w:spacing w:before="60" w:after="60"/>
      </w:pPr>
      <w:r>
        <w:rPr>
          <w:rFonts w:ascii="Segoe UI" w:hAnsi="Segoe UI"/>
          <w:b/>
          <w:color w:val="DC2626"/>
          <w:sz w:val="16"/>
        </w:rPr>
        <w:t xml:space="preserve">L0000449  ·  Fraude / détournement  ·  100 %  ·  Nulle  ·  Sans date  ·  4 / 4  ·  Juridique / contentieux  ·  Visite terrain  ·  Revue analyste  ·  13,7 % MARKOV  ·  orientation incertaine</w:t>
      </w:r>
    </w:p>
    <w:p>
      <w:pPr>
        <w:spacing w:before="60" w:after="60"/>
      </w:pPr>
      <w:r>
        <w:rPr>
          <w:rFonts w:ascii="Segoe UI" w:hAnsi="Segoe UI"/>
          <w:b/>
          <w:color w:val="DC2626"/>
          <w:sz w:val="16"/>
        </w:rPr>
        <w:t xml:space="preserve">L0002486  ·  Perte de revenus  ·  70 %  ·  Faible  ·  Sans date  ·  3 / 4  ·  Recouvrement amiable  ·  Étude de restructuration  ·  Revue analyste  ·  13,7 % MARKOV  ·  orientation incertaine · contrôle d'ordre : l'orientation change quand les options sont inversées</w:t>
      </w:r>
    </w:p>
    <w:p>
      <w:pPr>
        <w:spacing w:before="60" w:after="60"/>
      </w:pPr>
      <w:r>
        <w:rPr>
          <w:rFonts w:ascii="Segoe UI" w:hAnsi="Segoe UI"/>
          <w:b/>
          <w:color w:val="DC2626"/>
          <w:sz w:val="16"/>
        </w:rPr>
        <w:t xml:space="preserve">L0001125  ·  Perte de revenus  ·  78 %  ·  Moyenne  ·  Avant la bascule  ·  3 / 4  ·  Recouvrement amiable  ·  Mise en demeure  ·  Revue analyste  ·  13,7 % MARKOV  ·  crédibilité incertaine</w:t>
      </w:r>
    </w:p>
    <w:sectPr>
      <w:headerReference w:type="default" r:id="rIdApexH"/>
      <w:footerReference w:type="default" r:id="rIdApexF"/>
      <w:pgSz w:w="11906" w:h="16838"/>
      <w:pgMar w:top="1134" w:right="1134" w:bottom="1134" w:left="1134" w:header="567" w:footer="567" w:gutter="0"/>
      <w:titlePg/>
    </w:sectPr>
  </w:body>
</w:document>
</file>

<file path=word/footerApex.xml><?xml version="1.0" encoding="utf-8"?>
<w:ftr xmlns:w="http://schemas.openxmlformats.org/wordprocessingml/2006/main">
  <w:p>
    <w:pPr>
      <w:pBdr>
        <w:top w:val="single" w:sz="6" w:space="4" w:color="C8A951"/>
      </w:pBdr>
      <w:tabs>
        <w:tab w:val="right" w:pos="9638"/>
      </w:tabs>
    </w:pPr>
    <w:r>
      <w:rPr>
        <w:color w:val="334155"/>
        <w:sz w:val="15"/>
        <w:szCs w:val="15"/>
      </w:rPr>
      <w:t xml:space="preserve">Confidentiel — usage interne · APEX 03/10/2026</w:t>
    </w:r>
    <w:r>
      <w:tab/>
    </w:r>
    <w:r>
      <w:rPr>
        <w:b/>
        <w:color w:val="001B4D"/>
        <w:sz w:val="16"/>
        <w:szCs w:val="16"/>
      </w:rPr>
      <w:t xml:space="preserve">Page </w:t>
    </w:r>
    <w:r>
      <w:rPr>
        <w:b/>
        <w:color w:val="001B4D"/>
        <w:sz w:val="16"/>
      </w:rPr>
      <w:fldChar w:fldCharType="begin"/>
    </w:r>
    <w:r>
      <w:rPr>
        <w:b/>
        <w:color w:val="001B4D"/>
        <w:sz w:val="16"/>
      </w:rPr>
      <w:instrText xml:space="preserve"> PAGE </w:instrText>
    </w:r>
    <w:r>
      <w:fldChar w:fldCharType="separate"/>
    </w:r>
    <w:r>
      <w:rPr>
        <w:b/>
        <w:color w:val="001B4D"/>
        <w:sz w:val="16"/>
        <w:szCs w:val="16"/>
      </w:rPr>
      <w:t xml:space="preserve">1</w:t>
    </w:r>
    <w:r>
      <w:fldChar w:fldCharType="end"/>
    </w:r>
    <w:r>
      <w:rPr>
        <w:color w:val="001B4D"/>
        <w:sz w:val="16"/>
        <w:szCs w:val="16"/>
      </w:rPr>
      <w:t xml:space="preserve"> / </w:t>
    </w:r>
    <w:r>
      <w:rPr>
        <w:color w:val="001B4D"/>
        <w:sz w:val="16"/>
      </w:rPr>
      <w:fldChar w:fldCharType="begin"/>
    </w:r>
    <w:r>
      <w:rPr>
        <w:color w:val="001B4D"/>
        <w:sz w:val="16"/>
      </w:rPr>
      <w:instrText xml:space="preserve"> NUMPAGES </w:instrText>
    </w:r>
    <w:r>
      <w:fldChar w:fldCharType="separate"/>
    </w:r>
    <w:r>
      <w:rPr>
        <w:color w:val="001B4D"/>
        <w:sz w:val="16"/>
        <w:szCs w:val="16"/>
      </w:rPr>
      <w:t xml:space="preserve">1</w:t>
    </w:r>
    <w:r>
      <w:fldChar w:fldCharType="end"/>
    </w:r>
  </w:p>
</w:ftr>
</file>

<file path=word/headerApex.xml><?xml version="1.0" encoding="utf-8"?>
<w:hdr xmlns:w="http://schemas.openxmlformats.org/wordprocessingml/2006/main">
  <w:p>
    <w:pPr>
      <w:pBdr>
        <w:bottom w:val="single" w:sz="8" w:space="4" w:color="C8A951"/>
      </w:pBdr>
      <w:tabs>
        <w:tab w:val="right" w:pos="9638"/>
      </w:tabs>
      <w:spacing w:after="0"/>
    </w:pPr>
    <w:r>
      <w:rPr>
        <w:b/>
        <w:color w:val="001B4D"/>
        <w:spacing w:val="20"/>
        <w:sz w:val="16"/>
        <w:szCs w:val="16"/>
      </w:rPr>
      <w:t xml:space="preserve">ECOBANK SÉNÉGAL</w:t>
    </w:r>
    <w:r>
      <w:rPr>
        <w:color w:val="334155"/>
        <w:sz w:val="16"/>
        <w:szCs w:val="16"/>
      </w:rPr>
      <w:t xml:space="preserve">  ·  Credit Risk OS</w:t>
    </w:r>
    <w:r>
      <w:tab/>
    </w:r>
    <w:r>
      <w:rPr>
        <w:i/>
        <w:color w:val="003DA5"/>
        <w:sz w:val="16"/>
        <w:szCs w:val="16"/>
      </w:rPr>
      <w:t xml:space="preserve">ECOBANK Credit Risk Intelligence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fr-FR"/>
      </w:rPr>
    </w:rPrDefault>
  </w:docDefaults>
  <w:style w:type="paragraph" w:default="1" w:styleId="Normal">
    <w:name w:val="Normal"/>
    <w:qFormat/>
    <w:pPr>
      <w:spacing w:line="300" w:lineRule="auto"/>
    </w:p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12" w:space="4" w:color="C8A951"/>
      </w:pBdr>
      <w:spacing w:before="240" w:after="200"/>
      <w:outlineLvl w:val="0"/>
    </w:pPr>
    <w:rPr>
      <w:b/>
      <w:color w:val="003DA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color w:val="001B4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b/>
      <w:color w:val="0F172A"/>
      <w:sz w:val="23"/>
      <w:szCs w:val="23"/>
    </w:rPr>
  </w:style>
</w:styles>
</file>

<file path=word/_rels/document.xml.rels><?xml version="1.0" encoding="UTF-8" standalone="yes"?><Relationships xmlns="http://schemas.openxmlformats.org/package/2006/relationships"><Relationship Id="rIdSt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ApexH" Type="http://schemas.openxmlformats.org/officeDocument/2006/relationships/header" Target="headerApex.xml"/><Relationship Id="rIdApexF" Type="http://schemas.openxmlformats.org/officeDocument/2006/relationships/footer" Target="footerApex.xml"/><Relationship Id="rIdApexS" Type="http://schemas.openxmlformats.org/officeDocument/2006/relationships/settings" Target="settings.xml"/></Relationships>
</file>