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C7" w:rsidRDefault="00005FCC" w:rsidP="009C53C7">
      <w:pPr>
        <w:spacing w:line="240" w:lineRule="auto"/>
      </w:pPr>
      <w:r w:rsidRPr="00005FCC">
        <w:rPr>
          <w:b/>
          <w:bCs/>
        </w:rPr>
        <w:t>How to Use</w:t>
      </w:r>
    </w:p>
    <w:p w:rsidR="00E45A91" w:rsidRDefault="00005FCC" w:rsidP="00E45A91">
      <w:pPr>
        <w:spacing w:line="240" w:lineRule="auto"/>
      </w:pPr>
      <w:r>
        <w:t xml:space="preserve">This template provides a simple and standardized format for reporting Amazon Mechanical Turk </w:t>
      </w:r>
      <w:r w:rsidR="007824D7">
        <w:t xml:space="preserve">(AMT) </w:t>
      </w:r>
      <w:r>
        <w:t>results in the social sciences.</w:t>
      </w:r>
      <w:r w:rsidR="007824D7">
        <w:rPr>
          <w:rStyle w:val="FootnoteReference"/>
        </w:rPr>
        <w:footnoteReference w:id="1"/>
      </w:r>
      <w:r>
        <w:t xml:space="preserve"> </w:t>
      </w:r>
      <w:r w:rsidR="00E45A91">
        <w:t>This version is a minimal reporting template, including a recommended set of quantities to allow reviewers and readers to evaluate the general quality of the data, its applicability, and possible limitations or problems.</w:t>
      </w:r>
    </w:p>
    <w:p w:rsidR="007824D7" w:rsidRDefault="007824D7" w:rsidP="00E45A91">
      <w:pPr>
        <w:spacing w:line="240" w:lineRule="auto"/>
      </w:pPr>
      <w:r>
        <w:t xml:space="preserve">Because of the variety of possible uses and structures of AMT studies, </w:t>
      </w:r>
      <w:r w:rsidR="00E45A91">
        <w:t xml:space="preserve">a more extensive version is in preparation with </w:t>
      </w:r>
      <w:r w:rsidR="00005FCC">
        <w:t xml:space="preserve">a modular design </w:t>
      </w:r>
      <w:r w:rsidR="00E45A91">
        <w:t>providing recommendations for additional reporting and validation checks depending upon the purpose and design of the task.</w:t>
      </w:r>
    </w:p>
    <w:p w:rsidR="007824D7" w:rsidRDefault="00E45A91" w:rsidP="00E45A91">
      <w:pPr>
        <w:spacing w:line="240" w:lineRule="auto"/>
      </w:pPr>
      <w:r>
        <w:t>Items in the first section</w:t>
      </w:r>
      <w:r w:rsidR="00D510AD">
        <w:t xml:space="preserve"> should be included in all studies reporting AMT results. </w:t>
      </w:r>
      <w:r>
        <w:t>Items in the second section should be included whenever germane to the design of the study</w:t>
      </w:r>
      <w:r w:rsidR="00D510AD">
        <w:t>. Investigators are further encouraged to maintain a public repository with this documentation, copies of all instruments, and (when possible) an anonymized copy of the original output.</w:t>
      </w:r>
      <w:r w:rsidR="00D510AD">
        <w:rPr>
          <w:rStyle w:val="FootnoteReference"/>
        </w:rPr>
        <w:footnoteReference w:id="2"/>
      </w:r>
    </w:p>
    <w:p w:rsidR="00A22C60" w:rsidRDefault="00A22C60" w:rsidP="00A22C60">
      <w:pPr>
        <w:spacing w:line="240" w:lineRule="auto"/>
      </w:pPr>
      <w:r w:rsidRPr="00A22C60">
        <w:t>One such repository</w:t>
      </w:r>
      <w:r>
        <w:t xml:space="preserve"> is provided at</w:t>
      </w:r>
      <w:r w:rsidRPr="00A22C60">
        <w:t xml:space="preserve"> </w:t>
      </w:r>
      <w:hyperlink r:id="rId8" w:history="1">
        <w:r w:rsidRPr="00A22C60">
          <w:rPr>
            <w:rStyle w:val="Hyperlink"/>
          </w:rPr>
          <w:t>https://github.com/ndporter/asamturk</w:t>
        </w:r>
      </w:hyperlink>
      <w:r>
        <w:t>.</w:t>
      </w:r>
      <w:r w:rsidRPr="00A22C60">
        <w:t xml:space="preserve"> It </w:t>
      </w:r>
      <w:r>
        <w:t>also includes</w:t>
      </w:r>
      <w:r w:rsidRPr="00A22C60">
        <w:t xml:space="preserve"> a suite of freely adaptable tools </w:t>
      </w:r>
      <w:r>
        <w:t xml:space="preserve">for </w:t>
      </w:r>
      <w:bookmarkStart w:id="0" w:name="_GoBack"/>
      <w:bookmarkEnd w:id="0"/>
      <w:r w:rsidRPr="00A22C60">
        <w:t>Stata to help prepare raw MTurk output for analysis and public archival.</w:t>
      </w:r>
    </w:p>
    <w:p w:rsidR="00E46F74" w:rsidRDefault="00E46F74">
      <w:pPr>
        <w:rPr>
          <w:b/>
          <w:bCs/>
        </w:rPr>
      </w:pPr>
      <w:r>
        <w:rPr>
          <w:b/>
          <w:bCs/>
        </w:rPr>
        <w:br w:type="page"/>
      </w:r>
    </w:p>
    <w:p w:rsidR="00E45A91" w:rsidRDefault="00E45A91" w:rsidP="009C53C7">
      <w:pPr>
        <w:spacing w:line="240" w:lineRule="auto"/>
      </w:pPr>
      <w:r>
        <w:rPr>
          <w:b/>
          <w:bCs/>
        </w:rPr>
        <w:lastRenderedPageBreak/>
        <w:t>Template for Reporting Social Scientific Data Collected using Amazon Mechanical Turk</w:t>
      </w:r>
      <w:r w:rsidR="008A1141">
        <w:rPr>
          <w:b/>
          <w:bCs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8010"/>
        <w:gridCol w:w="18"/>
      </w:tblGrid>
      <w:tr w:rsidR="008A1141" w:rsidTr="00E46F74">
        <w:tc>
          <w:tcPr>
            <w:tcW w:w="9576" w:type="dxa"/>
            <w:gridSpan w:val="3"/>
          </w:tcPr>
          <w:p w:rsidR="008A1141" w:rsidRPr="00E45A91" w:rsidRDefault="008A1141" w:rsidP="008A1141">
            <w:pPr>
              <w:rPr>
                <w:b/>
                <w:bCs/>
              </w:rPr>
            </w:pPr>
            <w:r w:rsidRPr="00E45A91">
              <w:rPr>
                <w:b/>
                <w:bCs/>
              </w:rPr>
              <w:t>Recommended for all studies</w:t>
            </w:r>
          </w:p>
        </w:tc>
      </w:tr>
      <w:tr w:rsidR="00E46F74" w:rsidTr="00AB61F7">
        <w:tc>
          <w:tcPr>
            <w:tcW w:w="1548" w:type="dxa"/>
          </w:tcPr>
          <w:p w:rsidR="008A1141" w:rsidRPr="006D424A" w:rsidRDefault="008A1141" w:rsidP="009C53C7">
            <w:pPr>
              <w:rPr>
                <w:b/>
                <w:bCs/>
              </w:rPr>
            </w:pPr>
            <w:r w:rsidRPr="006D424A">
              <w:rPr>
                <w:b/>
                <w:bCs/>
              </w:rPr>
              <w:t>Item</w:t>
            </w:r>
          </w:p>
        </w:tc>
        <w:tc>
          <w:tcPr>
            <w:tcW w:w="8028" w:type="dxa"/>
            <w:gridSpan w:val="2"/>
          </w:tcPr>
          <w:p w:rsidR="008A1141" w:rsidRPr="006D424A" w:rsidRDefault="008A1141" w:rsidP="009C53C7">
            <w:pPr>
              <w:rPr>
                <w:b/>
                <w:bCs/>
              </w:rPr>
            </w:pPr>
            <w:r w:rsidRPr="006D424A">
              <w:rPr>
                <w:b/>
                <w:bCs/>
              </w:rPr>
              <w:t>Description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6D424A">
            <w:r>
              <w:t>Batch</w:t>
            </w:r>
          </w:p>
        </w:tc>
        <w:tc>
          <w:tcPr>
            <w:tcW w:w="8028" w:type="dxa"/>
            <w:gridSpan w:val="2"/>
          </w:tcPr>
          <w:p w:rsidR="008A1141" w:rsidRDefault="008A1141" w:rsidP="006D424A">
            <w:r>
              <w:t>Name or signifier of batch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8A1141">
            <w:r>
              <w:t>HITs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Number of HITs (unique cases in input file)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6D424A">
            <w:r>
              <w:t>Workers per HIT</w:t>
            </w:r>
          </w:p>
        </w:tc>
        <w:tc>
          <w:tcPr>
            <w:tcW w:w="8028" w:type="dxa"/>
            <w:gridSpan w:val="2"/>
          </w:tcPr>
          <w:p w:rsidR="008A1141" w:rsidRDefault="008A1141" w:rsidP="006D424A">
            <w:r>
              <w:t>Number of workers assigned to complete each HIT (e.g. provided identical input)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Date(s)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The date(s) and time period during which the batch was collected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17643D">
            <w:r>
              <w:t>Instrument(s)+</w:t>
            </w:r>
          </w:p>
        </w:tc>
        <w:tc>
          <w:tcPr>
            <w:tcW w:w="8028" w:type="dxa"/>
            <w:gridSpan w:val="2"/>
          </w:tcPr>
          <w:p w:rsidR="008A1141" w:rsidRDefault="008A1141" w:rsidP="0017643D">
            <w:r>
              <w:t>HTML, complete description, or screen capture of instrument(s) for tasks exactly as implemented</w:t>
            </w:r>
          </w:p>
        </w:tc>
      </w:tr>
      <w:tr w:rsidR="00AB61F7" w:rsidTr="00AB61F7">
        <w:tc>
          <w:tcPr>
            <w:tcW w:w="1548" w:type="dxa"/>
          </w:tcPr>
          <w:p w:rsidR="00AB61F7" w:rsidRDefault="00AB61F7" w:rsidP="009C53C7">
            <w:r>
              <w:t>Source of input data</w:t>
            </w:r>
          </w:p>
        </w:tc>
        <w:tc>
          <w:tcPr>
            <w:tcW w:w="8028" w:type="dxa"/>
            <w:gridSpan w:val="2"/>
          </w:tcPr>
          <w:p w:rsidR="00AB61F7" w:rsidRDefault="00AB61F7" w:rsidP="00AB61F7">
            <w:r>
              <w:t>What defines cases in the input file and where the data are originally derived from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Output variables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Descriptives or frequencies for output variables used in analysis (including missing patters and worker demography if applicable)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Qualifications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List of requirements for workers to accept HITs (standard or custom)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Rejection criteria</w:t>
            </w:r>
          </w:p>
        </w:tc>
        <w:tc>
          <w:tcPr>
            <w:tcW w:w="8028" w:type="dxa"/>
            <w:gridSpan w:val="2"/>
          </w:tcPr>
          <w:p w:rsidR="008A1141" w:rsidRDefault="008A1141" w:rsidP="008A1141">
            <w:r>
              <w:t>Description of how decision was made to approve or reject assignments</w:t>
            </w:r>
          </w:p>
        </w:tc>
      </w:tr>
      <w:tr w:rsidR="00E46F74" w:rsidTr="00AB61F7">
        <w:tc>
          <w:tcPr>
            <w:tcW w:w="1548" w:type="dxa"/>
          </w:tcPr>
          <w:p w:rsidR="008A1141" w:rsidRDefault="008A1141" w:rsidP="009C53C7">
            <w:r>
              <w:t>Rejection rate</w:t>
            </w:r>
          </w:p>
        </w:tc>
        <w:tc>
          <w:tcPr>
            <w:tcW w:w="8028" w:type="dxa"/>
            <w:gridSpan w:val="2"/>
          </w:tcPr>
          <w:p w:rsidR="008A1141" w:rsidRDefault="008A1141" w:rsidP="00972280">
            <w:r>
              <w:t>Proportion of assignments rejected</w:t>
            </w:r>
            <w:r w:rsidR="00972280">
              <w:t xml:space="preserve"> and (when applicable) Type I and II error rates</w:t>
            </w:r>
          </w:p>
        </w:tc>
      </w:tr>
      <w:tr w:rsidR="008A1141" w:rsidTr="00E46F74">
        <w:tc>
          <w:tcPr>
            <w:tcW w:w="9576" w:type="dxa"/>
            <w:gridSpan w:val="3"/>
          </w:tcPr>
          <w:p w:rsidR="008A1141" w:rsidRDefault="008A1141" w:rsidP="009C53C7">
            <w:pPr>
              <w:rPr>
                <w:b/>
                <w:bCs/>
              </w:rPr>
            </w:pPr>
            <w:r>
              <w:rPr>
                <w:b/>
                <w:bCs/>
              </w:rPr>
              <w:t>Recommended when</w:t>
            </w:r>
            <w:r w:rsidR="00E46F74">
              <w:rPr>
                <w:b/>
                <w:bCs/>
              </w:rPr>
              <w:t>ever</w:t>
            </w:r>
            <w:r>
              <w:rPr>
                <w:b/>
                <w:bCs/>
              </w:rPr>
              <w:t xml:space="preserve"> applicable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Pr="008A1141" w:rsidRDefault="00AE6321" w:rsidP="009C53C7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10" w:type="dxa"/>
          </w:tcPr>
          <w:p w:rsidR="00AE6321" w:rsidRPr="008A1141" w:rsidRDefault="00AE6321" w:rsidP="009C53C7">
            <w:pPr>
              <w:rPr>
                <w:b/>
                <w:bCs/>
              </w:rPr>
            </w:pPr>
            <w:r w:rsidRPr="008A1141">
              <w:rPr>
                <w:b/>
                <w:bCs/>
              </w:rPr>
              <w:t>Description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E6321" w:rsidP="009C53C7">
            <w:r>
              <w:t>Additional validation check(s)</w:t>
            </w:r>
          </w:p>
        </w:tc>
        <w:tc>
          <w:tcPr>
            <w:tcW w:w="8010" w:type="dxa"/>
          </w:tcPr>
          <w:tbl>
            <w:tblPr>
              <w:tblW w:w="7818" w:type="dxa"/>
              <w:tblLayout w:type="fixed"/>
              <w:tblLook w:val="04A0" w:firstRow="1" w:lastRow="0" w:firstColumn="1" w:lastColumn="0" w:noHBand="0" w:noVBand="1"/>
            </w:tblPr>
            <w:tblGrid>
              <w:gridCol w:w="7818"/>
            </w:tblGrid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t>A</w:t>
                  </w:r>
                  <w:r w:rsidRPr="00E46F74">
                    <w:t>ny additional procedures (other than qualifications or rejection criteria) used to verify data quality</w:t>
                  </w:r>
                  <w:r>
                    <w:t>. These could include</w:t>
                  </w:r>
                  <w:r w:rsidRPr="00E46F74">
                    <w:t>:</w:t>
                  </w:r>
                </w:p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Consistency between multiple workers on the same HIT (inter-coder reliability)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Accurate completion of items with known correct answers included in HIT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Worker attention checks (questions with obvious correct answers to ensure workers are reading questions and following directions)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Confirmation in later sequential HITs</w:t>
                  </w:r>
                </w:p>
              </w:tc>
            </w:tr>
            <w:tr w:rsidR="00AE6321" w:rsidRPr="00E46F74" w:rsidTr="00E46F74">
              <w:trPr>
                <w:trHeight w:val="300"/>
              </w:trPr>
              <w:tc>
                <w:tcPr>
                  <w:tcW w:w="78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321" w:rsidRPr="00E46F74" w:rsidRDefault="00AE6321" w:rsidP="00E46F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E46F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Consistency with another method (e.g. machine coding or trained coders)</w:t>
                  </w:r>
                </w:p>
              </w:tc>
            </w:tr>
          </w:tbl>
          <w:p w:rsidR="00AE6321" w:rsidRDefault="00AE6321" w:rsidP="00E46F74"/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E6321" w:rsidP="009C53C7">
            <w:r>
              <w:t>Third-party tools</w:t>
            </w:r>
          </w:p>
        </w:tc>
        <w:tc>
          <w:tcPr>
            <w:tcW w:w="8010" w:type="dxa"/>
          </w:tcPr>
          <w:p w:rsidR="00AE6321" w:rsidRDefault="00AE6321" w:rsidP="00AE6321">
            <w:r>
              <w:t>Name and version number (or date, if non-versioned) of any third party tools such as Qualtrix or SurveyMonkey used to administer HITs externally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E6321" w:rsidP="009C53C7">
            <w:r>
              <w:t>Design features</w:t>
            </w:r>
          </w:p>
        </w:tc>
        <w:tc>
          <w:tcPr>
            <w:tcW w:w="8010" w:type="dxa"/>
          </w:tcPr>
          <w:p w:rsidR="00AE6321" w:rsidRDefault="00AE6321" w:rsidP="00AB61F7">
            <w:r>
              <w:t xml:space="preserve">Precise description of any </w:t>
            </w:r>
            <w:r w:rsidR="00AB61F7">
              <w:t xml:space="preserve">contingency, </w:t>
            </w:r>
            <w:r>
              <w:t>experimental</w:t>
            </w:r>
            <w:r w:rsidR="00AB61F7">
              <w:t>,</w:t>
            </w:r>
            <w:r>
              <w:t xml:space="preserve"> or quasi-experimental design</w:t>
            </w:r>
            <w:r w:rsidR="00AB61F7">
              <w:t xml:space="preserve"> that is not clear from the instrument (often requires third-party tool)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B61F7" w:rsidP="009C53C7">
            <w:r>
              <w:t>Sampling methodology</w:t>
            </w:r>
          </w:p>
        </w:tc>
        <w:tc>
          <w:tcPr>
            <w:tcW w:w="8010" w:type="dxa"/>
          </w:tcPr>
          <w:p w:rsidR="00AE6321" w:rsidRDefault="00AB61F7" w:rsidP="00972280">
            <w:r>
              <w:t>Information on sampling</w:t>
            </w:r>
            <w:r w:rsidR="00972280">
              <w:t xml:space="preserve"> cases for input (not workers)</w:t>
            </w:r>
            <w:r>
              <w:t>, including the population being sampled, how cases were selected for inclusion, and whether with replacement</w:t>
            </w:r>
          </w:p>
        </w:tc>
      </w:tr>
      <w:tr w:rsidR="00AE6321" w:rsidTr="00AB61F7">
        <w:trPr>
          <w:gridAfter w:val="1"/>
          <w:wAfter w:w="18" w:type="dxa"/>
        </w:trPr>
        <w:tc>
          <w:tcPr>
            <w:tcW w:w="1548" w:type="dxa"/>
          </w:tcPr>
          <w:p w:rsidR="00AE6321" w:rsidRDefault="00AB61F7" w:rsidP="009C53C7">
            <w:r>
              <w:t>Weights</w:t>
            </w:r>
          </w:p>
        </w:tc>
        <w:tc>
          <w:tcPr>
            <w:tcW w:w="8010" w:type="dxa"/>
          </w:tcPr>
          <w:p w:rsidR="00AE6321" w:rsidRDefault="00AB61F7" w:rsidP="009C53C7">
            <w:r>
              <w:t>List of any weight or adjustment variables and their derivation</w:t>
            </w:r>
          </w:p>
        </w:tc>
      </w:tr>
      <w:tr w:rsidR="00AB61F7" w:rsidTr="00AB61F7">
        <w:trPr>
          <w:gridAfter w:val="1"/>
          <w:wAfter w:w="18" w:type="dxa"/>
        </w:trPr>
        <w:tc>
          <w:tcPr>
            <w:tcW w:w="1548" w:type="dxa"/>
          </w:tcPr>
          <w:p w:rsidR="00AB61F7" w:rsidRDefault="00AB61F7" w:rsidP="0017643D">
            <w:r>
              <w:t>Panel attrition</w:t>
            </w:r>
          </w:p>
        </w:tc>
        <w:tc>
          <w:tcPr>
            <w:tcW w:w="8010" w:type="dxa"/>
          </w:tcPr>
          <w:p w:rsidR="00AB61F7" w:rsidRDefault="00AB61F7" w:rsidP="0017643D">
            <w:r>
              <w:t>Standard panel attrition statistics for longitudinal data collection</w:t>
            </w:r>
          </w:p>
        </w:tc>
      </w:tr>
      <w:tr w:rsidR="00AB61F7" w:rsidTr="00AB61F7">
        <w:trPr>
          <w:gridAfter w:val="1"/>
          <w:wAfter w:w="18" w:type="dxa"/>
        </w:trPr>
        <w:tc>
          <w:tcPr>
            <w:tcW w:w="1548" w:type="dxa"/>
          </w:tcPr>
          <w:p w:rsidR="00AB61F7" w:rsidRDefault="00AB61F7" w:rsidP="00997D65">
            <w:r>
              <w:t>Repeat worker rate</w:t>
            </w:r>
          </w:p>
        </w:tc>
        <w:tc>
          <w:tcPr>
            <w:tcW w:w="8010" w:type="dxa"/>
          </w:tcPr>
          <w:p w:rsidR="00AB61F7" w:rsidRDefault="00AB61F7" w:rsidP="00997D65">
            <w:r>
              <w:t xml:space="preserve">For surveys, experiments, and other tasks collecting information about workers, what proportion of HITs were completed by workers who had already completed one or more HITs in the study? </w:t>
            </w:r>
          </w:p>
        </w:tc>
      </w:tr>
      <w:tr w:rsidR="00997D65" w:rsidTr="00AB61F7">
        <w:trPr>
          <w:gridAfter w:val="1"/>
          <w:wAfter w:w="18" w:type="dxa"/>
        </w:trPr>
        <w:tc>
          <w:tcPr>
            <w:tcW w:w="1548" w:type="dxa"/>
          </w:tcPr>
          <w:p w:rsidR="00997D65" w:rsidRDefault="00997D65" w:rsidP="00997D65">
            <w:r>
              <w:t>Repeat worker consistency</w:t>
            </w:r>
          </w:p>
        </w:tc>
        <w:tc>
          <w:tcPr>
            <w:tcW w:w="8010" w:type="dxa"/>
          </w:tcPr>
          <w:p w:rsidR="00997D65" w:rsidRDefault="00997D65" w:rsidP="00997D65">
            <w:r>
              <w:t>For tasks collecting information about workers, what proportion of demographic responses was consistent between HITs by the same worker?</w:t>
            </w:r>
          </w:p>
        </w:tc>
      </w:tr>
    </w:tbl>
    <w:p w:rsidR="00E45A91" w:rsidRPr="00E45A91" w:rsidRDefault="008A1141" w:rsidP="00AE6321">
      <w:pPr>
        <w:spacing w:line="240" w:lineRule="auto"/>
      </w:pPr>
      <w:r>
        <w:t xml:space="preserve">* </w:t>
      </w:r>
      <w:r w:rsidR="00AE6321">
        <w:t>Unless identical across batches, i</w:t>
      </w:r>
      <w:r>
        <w:t>tems should be reported for each batch of data collected using AMT</w:t>
      </w:r>
      <w:r>
        <w:br/>
        <w:t>+</w:t>
      </w:r>
      <w:r w:rsidR="006D424A">
        <w:t xml:space="preserve"> We recommend starred items be included in reporting table as the URL of an online repository</w:t>
      </w:r>
    </w:p>
    <w:p w:rsidR="00E45A91" w:rsidRPr="00E45A91" w:rsidRDefault="00E45A91" w:rsidP="009C53C7">
      <w:pPr>
        <w:spacing w:line="240" w:lineRule="auto"/>
      </w:pPr>
    </w:p>
    <w:sectPr w:rsidR="00E45A91" w:rsidRPr="00E45A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C1" w:rsidRDefault="008730C1" w:rsidP="00005FCC">
      <w:pPr>
        <w:spacing w:after="0" w:line="240" w:lineRule="auto"/>
      </w:pPr>
      <w:r>
        <w:separator/>
      </w:r>
    </w:p>
  </w:endnote>
  <w:endnote w:type="continuationSeparator" w:id="0">
    <w:p w:rsidR="008730C1" w:rsidRDefault="008730C1" w:rsidP="0000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C1" w:rsidRDefault="008730C1" w:rsidP="00005FCC">
      <w:pPr>
        <w:spacing w:after="0" w:line="240" w:lineRule="auto"/>
      </w:pPr>
      <w:r>
        <w:separator/>
      </w:r>
    </w:p>
  </w:footnote>
  <w:footnote w:type="continuationSeparator" w:id="0">
    <w:p w:rsidR="008730C1" w:rsidRDefault="008730C1" w:rsidP="00005FCC">
      <w:pPr>
        <w:spacing w:after="0" w:line="240" w:lineRule="auto"/>
      </w:pPr>
      <w:r>
        <w:continuationSeparator/>
      </w:r>
    </w:p>
  </w:footnote>
  <w:footnote w:id="1">
    <w:p w:rsidR="007824D7" w:rsidRDefault="007824D7" w:rsidP="00D510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510AD">
        <w:t>We anticipate the template may be usable for other crowdsourcing platforms with only small modifications, but focus on AMT as the largest and most established platform for academic use.</w:t>
      </w:r>
    </w:p>
  </w:footnote>
  <w:footnote w:id="2">
    <w:p w:rsidR="00D510AD" w:rsidRDefault="00D510AD" w:rsidP="002B3272">
      <w:pPr>
        <w:pStyle w:val="FootnoteText"/>
      </w:pPr>
      <w:r>
        <w:rPr>
          <w:rStyle w:val="FootnoteReference"/>
        </w:rPr>
        <w:footnoteRef/>
      </w:r>
      <w:r>
        <w:t xml:space="preserve"> Recommended locations for repositories are </w:t>
      </w:r>
      <w:r w:rsidR="002B3272">
        <w:t xml:space="preserve">within </w:t>
      </w:r>
      <w:r>
        <w:t xml:space="preserve">online supplements to an article, open-access data archives, </w:t>
      </w:r>
      <w:r w:rsidR="002B3272">
        <w:t>institutional repositories</w:t>
      </w:r>
      <w:r>
        <w:t xml:space="preserve">, </w:t>
      </w:r>
      <w:r w:rsidR="002B3272">
        <w:t>or GitHub repositories.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60" w:rsidRDefault="00A22C60" w:rsidP="00A22C60">
    <w:pPr>
      <w:pStyle w:val="Header"/>
    </w:pPr>
    <w:r>
      <w:tab/>
      <w:t>From Porter, Verdery and Gaddis. 2016. Big Data’s Little Brother</w:t>
    </w:r>
  </w:p>
  <w:p w:rsidR="00A22C60" w:rsidRDefault="00A22C60" w:rsidP="00A22C60">
    <w:pPr>
      <w:pStyle w:val="Header"/>
      <w:jc w:val="both"/>
    </w:pPr>
    <w:r>
      <w:tab/>
      <w:t xml:space="preserve">Contact </w:t>
    </w:r>
    <w:hyperlink r:id="rId1" w:history="1">
      <w:r w:rsidRPr="00D21683">
        <w:rPr>
          <w:rStyle w:val="Hyperlink"/>
        </w:rPr>
        <w:t>authors</w:t>
      </w:r>
    </w:hyperlink>
    <w:r>
      <w:t xml:space="preserve"> </w:t>
    </w:r>
    <w:r>
      <w:t xml:space="preserve">or visit GitHub </w:t>
    </w:r>
    <w:hyperlink r:id="rId2" w:history="1">
      <w:r w:rsidRPr="00A22C60">
        <w:rPr>
          <w:rStyle w:val="Hyperlink"/>
        </w:rPr>
        <w:t>repository</w:t>
      </w:r>
    </w:hyperlink>
    <w:r>
      <w:t xml:space="preserve"> for permission information</w:t>
    </w:r>
  </w:p>
  <w:p w:rsidR="00005FCC" w:rsidRPr="00A22C60" w:rsidRDefault="00005FCC" w:rsidP="00A22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8B1"/>
    <w:multiLevelType w:val="hybridMultilevel"/>
    <w:tmpl w:val="E8ACA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CC"/>
    <w:rsid w:val="00005FCC"/>
    <w:rsid w:val="00114580"/>
    <w:rsid w:val="001F2939"/>
    <w:rsid w:val="002B3272"/>
    <w:rsid w:val="004B3D79"/>
    <w:rsid w:val="00656B6D"/>
    <w:rsid w:val="00663059"/>
    <w:rsid w:val="006D424A"/>
    <w:rsid w:val="0072657F"/>
    <w:rsid w:val="007824D7"/>
    <w:rsid w:val="007B221D"/>
    <w:rsid w:val="008730C1"/>
    <w:rsid w:val="008A1141"/>
    <w:rsid w:val="00972280"/>
    <w:rsid w:val="00997D65"/>
    <w:rsid w:val="009B6D34"/>
    <w:rsid w:val="009C53C7"/>
    <w:rsid w:val="00A22C60"/>
    <w:rsid w:val="00AB61F7"/>
    <w:rsid w:val="00AE6321"/>
    <w:rsid w:val="00BD3100"/>
    <w:rsid w:val="00C71E02"/>
    <w:rsid w:val="00D510AD"/>
    <w:rsid w:val="00E45A91"/>
    <w:rsid w:val="00E4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CC"/>
  </w:style>
  <w:style w:type="paragraph" w:styleId="Footer">
    <w:name w:val="footer"/>
    <w:basedOn w:val="Normal"/>
    <w:link w:val="Foot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CC"/>
  </w:style>
  <w:style w:type="character" w:styleId="CommentReference">
    <w:name w:val="annotation reference"/>
    <w:basedOn w:val="DefaultParagraphFont"/>
    <w:uiPriority w:val="99"/>
    <w:semiHidden/>
    <w:unhideWhenUsed/>
    <w:rsid w:val="00782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4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4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4D7"/>
    <w:rPr>
      <w:vertAlign w:val="superscript"/>
    </w:rPr>
  </w:style>
  <w:style w:type="table" w:styleId="TableGrid">
    <w:name w:val="Table Grid"/>
    <w:basedOn w:val="TableNormal"/>
    <w:uiPriority w:val="39"/>
    <w:rsid w:val="00E4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C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CC"/>
  </w:style>
  <w:style w:type="paragraph" w:styleId="Footer">
    <w:name w:val="footer"/>
    <w:basedOn w:val="Normal"/>
    <w:link w:val="FooterChar"/>
    <w:uiPriority w:val="99"/>
    <w:unhideWhenUsed/>
    <w:rsid w:val="0000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CC"/>
  </w:style>
  <w:style w:type="character" w:styleId="CommentReference">
    <w:name w:val="annotation reference"/>
    <w:basedOn w:val="DefaultParagraphFont"/>
    <w:uiPriority w:val="99"/>
    <w:semiHidden/>
    <w:unhideWhenUsed/>
    <w:rsid w:val="00782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4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4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4D7"/>
    <w:rPr>
      <w:vertAlign w:val="superscript"/>
    </w:rPr>
  </w:style>
  <w:style w:type="table" w:styleId="TableGrid">
    <w:name w:val="Table Grid"/>
    <w:basedOn w:val="TableNormal"/>
    <w:uiPriority w:val="39"/>
    <w:rsid w:val="00E4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porter/asamtur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ndporter/asamturk" TargetMode="External"/><Relationship Id="rId1" Type="http://schemas.openxmlformats.org/officeDocument/2006/relationships/hyperlink" Target="mailto://nathanield.por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32877CB1</Template>
  <TotalTime>3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Porter</dc:creator>
  <cp:lastModifiedBy>Nathaniel Porter</cp:lastModifiedBy>
  <cp:revision>3</cp:revision>
  <dcterms:created xsi:type="dcterms:W3CDTF">2016-05-23T15:04:00Z</dcterms:created>
  <dcterms:modified xsi:type="dcterms:W3CDTF">2016-08-16T17:59:00Z</dcterms:modified>
</cp:coreProperties>
</file>