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val="0"/>
        <w:keepLines w:val="0"/>
        <w:widowControl/>
        <w:spacing w:before="60" w:after="60" w:line="288" w:lineRule="auto"/>
        <w:ind/>
        <w:jc w:val="center"/>
      </w:pPr>
      <w:r>
        <w:rPr>
          <w:rFonts w:ascii="Times New Roman" w:hAnsi="Times New Roman" w:eastAsia="Times New Roman" w:cs="Times New Roman"/>
          <w:b/>
          <w:i w:val="0"/>
          <w:sz w:val="26"/>
          <w:u w:val="none"/>
        </w:rPr>
        <w:t>Kiến trúc tham chiếu tỉnh–trung ương cho nền tảng số quản lý doanh nghiệp khoa học và công nghệ và doanh nghiệp khởi nghiệp sáng tạo</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Nguyễn Đình Quảng¹, Nguyễn Huy Cường²*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¹Khoa Công nghệ thông tin, Học viện Công nghệ Bưu chính viễn thông,</w:t>
        <w:br/>
        <w:t>96A Trần Phú, phường Hà Đông, Hà Nội, Việt 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²Trung tâm Phát triển doanh nghiệp khoa học và công nghệ, Cục Khởi nghiệp và Doanh nghiệp công nghệ, Bộ Khoa học và Công nghệ, 115 Trần Duy Hưng, phường Yên Hòa, Hà Nội, Việt Nam</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Tóm tắt:</w:t>
      </w:r>
    </w:p>
    <w:p>
      <w:pPr>
        <w:pStyle w:val="BodyText"/>
        <w:keepNext w:val="0"/>
        <w:keepLines w:val="0"/>
        <w:widowControl/>
        <w:spacing w:before="60" w:after="60" w:line="288" w:lineRule="auto"/>
        <w:ind/>
        <w:jc w:val="both"/>
      </w:pPr>
      <w:r>
        <w:rPr>
          <w:rFonts w:ascii="Times New Roman" w:hAnsi="Times New Roman"/>
          <w:sz w:val="26"/>
        </w:rPr>
        <w:t>Quản lý doanh nghiệp khoa học và công nghệ (DN KH&amp;CN) và doanh nghiệp khởi nghiệp sáng tạo (DN KNST) chủ yếu thuộc thẩm quyền cấp tỉnh nhưng cần liên thông và tổng hợp ở cấp trung ương. Theo nghiên cứu khoa học thiết kế (Design Science Research, DSR), nghiên cứu đề xuất một kiến trúc tham chiếu phần mềm (SRA) tỉnh–trung ương có khả năng truy vết. Từ 16 tài liệu, nghiên cứu xác lập 116 đơn vị nguồn và 128 dòng truy vết, trong đó 114 dòng từ nguồn hiện hành/có thẩm quyền. SRA tách lõi ổn định khỏi các điểm biến thiên, gắn quyền ghi với thẩm quyền và thời gian hiệu lực, xác định nguồn dữ liệu theo nhóm thuộc tính, đồng thời quản trị cấu hình quy trình và liên thông mà không khóa cấu trúc lưu trữ vật lý. Mười kịch bản trước triển khai phát hiện hai khoảng trống: chuyển quyền ghi theo thời gian và khả năng cùng tồn tại của các phiên bản khác nhau. Sau tinh chỉnh, cùng rubric cho kết quả 2 kịch bản đáp ứng trực tiếp, 8 đáp ứng có điều kiện và không còn rủi ro kiến trúc chưa được hấp thụ ở mức L2. Các kết quả được cô đọng thành ba nguyên tắc thiết kế có khả năng chuyển giao: phân rã thẩm quyền theo nhóm thuộc tính–phạm vi–thời gian; tách lõi pháp lý ổn định khỏi biến thể vận hành; và duy trì provenance/liên thông độc lập với topology lưu trữ. Đây là kiểm chứng kiến trúc dựa trên kịch bản, không phải bằng chứng thực nghiệm; nguyên mẫu vẫn cần kiểm thử chuyển quyền, nâng cấp, liên thông, phục hồi, an toàn và các thuộc tính chất lượng đo được.</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Từ khóa:</w:t>
      </w:r>
      <w:r>
        <w:rPr>
          <w:rFonts w:ascii="Times New Roman" w:hAnsi="Times New Roman" w:eastAsia="Times New Roman" w:cs="Times New Roman"/>
          <w:b/>
          <w:sz w:val="26"/>
        </w:rPr>
        <w:t xml:space="preserve"> doanh nghiệp khoa học và công nghệ, thẩm quyền dữ liệu, kiến trúc tham chiếu, khởi nghiệp sáng tạo, liên thông hệ thống, quy trình có thể cấu hình.</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Chỉ số phân loại:</w:t>
      </w:r>
      <w:r>
        <w:rPr>
          <w:rFonts w:ascii="Times New Roman" w:hAnsi="Times New Roman" w:eastAsia="Times New Roman" w:cs="Times New Roman"/>
          <w:b/>
          <w:sz w:val="26"/>
        </w:rPr>
        <w:t xml:space="preserve"> 1.2, 2.2</w:t>
      </w:r>
    </w:p>
    <w:p>
      <w:pPr>
        <w:keepLines/>
        <w:spacing w:before="1560" w:after="0" w:line="240" w:lineRule="auto"/>
        <w:jc w:val="left"/>
        <w:pBdr>
          <w:top w:val="single" w:sz="4" w:space="1" w:color="000000"/>
        </w:pBdr>
      </w:pPr>
      <w:r>
        <w:rPr>
          <w:rFonts w:ascii="Times New Roman" w:hAnsi="Times New Roman" w:eastAsia="Times New Roman" w:cs="Times New Roman"/>
          <w:i/>
          <w:sz w:val="18"/>
        </w:rPr>
        <w:t>* Tác giả liên hệ: Email: nguyenhuycuong@mst.gov.vn</w:t>
      </w:r>
    </w:p>
    <w:p>
      <w:pPr>
        <w:pStyle w:val="BodyText"/>
        <w:keepNext w:val="0"/>
        <w:keepLines w:val="0"/>
        <w:pageBreakBefore/>
        <w:widowControl/>
        <w:spacing w:before="60" w:after="60" w:line="288" w:lineRule="auto"/>
        <w:ind/>
        <w:jc w:val="center"/>
      </w:pPr>
      <w:r>
        <w:rPr>
          <w:rFonts w:ascii="Times New Roman" w:hAnsi="Times New Roman" w:eastAsia="Times New Roman" w:cs="Times New Roman"/>
          <w:b/>
          <w:i w:val="0"/>
          <w:sz w:val="26"/>
          <w:u w:val="none"/>
        </w:rPr>
        <w:t>A provincial–central reference architecture for a digital platform managing science and technology enterprises and innovative startups</w:t>
      </w:r>
    </w:p>
    <w:p>
      <w:pPr>
        <w:pStyle w:val="BodyText"/>
        <w:keepNext w:val="0"/>
        <w:keepLines w:val="0"/>
        <w:widowControl/>
        <w:spacing w:before="60" w:after="60" w:line="288" w:lineRule="auto"/>
        <w:ind/>
        <w:jc w:val="center"/>
      </w:pPr>
      <w:r>
        <w:rPr>
          <w:rFonts w:ascii="Times New Roman" w:hAnsi="Times New Roman" w:eastAsia="Times New Roman" w:cs="Times New Roman"/>
          <w:b/>
          <w:i w:val="0"/>
          <w:sz w:val="26"/>
          <w:u w:val="none"/>
        </w:rPr>
        <w:t>Dinh Quang Nguyen¹, Huy Cuong Nguyen²*</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¹Faculty of Information Technology, Posts and Telecommunications Institute of Technology, 96A Tran Phu Street, Ha Dong Ward, Hanoi, Vietnam</w:t>
      </w:r>
    </w:p>
    <w:p>
      <w:pPr>
        <w:pStyle w:val="BodyText"/>
        <w:keepNext w:val="0"/>
        <w:keepLines w:val="0"/>
        <w:widowControl/>
        <w:spacing w:before="60" w:after="60" w:line="288" w:lineRule="auto"/>
        <w:ind/>
        <w:jc w:val="center"/>
      </w:pPr>
      <w:r>
        <w:rPr>
          <w:rFonts w:ascii="Times New Roman" w:hAnsi="Times New Roman" w:eastAsia="Times New Roman" w:cs="Times New Roman"/>
          <w:b w:val="0"/>
          <w:i/>
          <w:sz w:val="26"/>
          <w:u w:val="none"/>
        </w:rPr>
        <w:t>²Technology and Science Enterprise Development Center, National Agency for Technology Entrepreneurship and Commercialization, Ministry of Science and Technology, 115 Tran Duy Hung Street, Yen Hoa Ward, Hanoi, Vietnam</w:t>
      </w:r>
    </w:p>
    <w:p>
      <w:pPr>
        <w:pStyle w:val="BodyText"/>
        <w:keepNext w:val="0"/>
        <w:keepLines w:val="0"/>
        <w:widowControl/>
        <w:spacing w:before="60" w:after="60" w:line="288" w:lineRule="auto"/>
        <w:ind/>
        <w:jc w:val="both"/>
      </w:pPr>
      <w:r>
        <w:rPr>
          <w:rFonts w:ascii="Times New Roman" w:hAnsi="Times New Roman" w:eastAsia="Times New Roman" w:cs="Times New Roman"/>
          <w:b w:val="0"/>
          <w:i/>
          <w:sz w:val="26"/>
          <w:u w:val="single"/>
        </w:rPr>
        <w:t>Abstract:</w:t>
      </w:r>
    </w:p>
    <w:p>
      <w:pPr>
        <w:pStyle w:val="BodyText"/>
        <w:keepNext w:val="0"/>
        <w:keepLines w:val="0"/>
        <w:widowControl/>
        <w:spacing w:before="60" w:after="60" w:line="288" w:lineRule="auto"/>
        <w:ind/>
        <w:jc w:val="both"/>
      </w:pPr>
      <w:r>
        <w:rPr>
          <w:rFonts w:ascii="Times New Roman" w:hAnsi="Times New Roman"/>
          <w:sz w:val="26"/>
        </w:rPr>
        <w:t>Science and technology enterprises (STEs) and innovative startups are primarily administered provincially but require interoperability with central systems and national aggregation. Following Design Science Research (DSR), this study develops a traceable provincial–central software reference architecture (SRA). Sixteen documents yielded 116 source units and 128 traceability rows, including 114 from current or authoritative sources. The SRA separates a stable core from variation points, binds write authority to jurisdiction and effective time, assigns authoritative sources by attribute group, and governs workflow configuration and interoperability without fixing storage topology. Ten pre-implementation scenarios exposed two gaps: temporal transfer of write authority and coexistence of different operational versions. After refinement, the same rubric yielded two directly supported scenarios, eight conditionally supported scenarios and no L2-unabsorbed architectural risks. The findings are distilled into three transferable design principles: decompose authority by attribute group, scope and effective time; separate a stable legal core from controlled operational variation; and preserve provenance/interoperability independently of storage topology. These results are scenario-based architecture verification rather than empirical system validation; prototype tests are still required for authority transfer, version-skew upgrades, interoperability, recovery, security and measurable quality attributes.</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Keywords:</w:t>
      </w:r>
      <w:r>
        <w:rPr>
          <w:rFonts w:ascii="Times New Roman" w:hAnsi="Times New Roman" w:eastAsia="Times New Roman" w:cs="Times New Roman"/>
          <w:b/>
          <w:sz w:val="26"/>
        </w:rPr>
        <w:t xml:space="preserve"> configurable workflow, data authority, innovative startups, interoperability, reference architecture, science and technology enterprises.</w:t>
      </w:r>
    </w:p>
    <w:p>
      <w:pPr>
        <w:pStyle w:val="BodyText"/>
        <w:keepNext w:val="0"/>
        <w:keepLines w:val="0"/>
        <w:widowControl/>
        <w:spacing w:before="60" w:after="60" w:line="288" w:lineRule="auto"/>
        <w:ind/>
        <w:jc w:val="both"/>
      </w:pPr>
      <w:r>
        <w:rPr>
          <w:rFonts w:ascii="Times New Roman" w:hAnsi="Times New Roman" w:eastAsia="Times New Roman" w:cs="Times New Roman"/>
          <w:b/>
          <w:i/>
          <w:sz w:val="26"/>
          <w:u w:val="single"/>
        </w:rPr>
        <w:t>Classification numbers:</w:t>
      </w:r>
      <w:r>
        <w:rPr>
          <w:rFonts w:ascii="Times New Roman" w:hAnsi="Times New Roman" w:eastAsia="Times New Roman" w:cs="Times New Roman"/>
          <w:b/>
          <w:sz w:val="26"/>
        </w:rPr>
        <w:t xml:space="preserve"> 1.2, 2.2</w:t>
      </w:r>
    </w:p>
    <w:bookmarkStart w:id="20" w:name="giới-thiệu"/>
    <w:p>
      <w:pPr>
        <w:pStyle w:val="Heading1"/>
        <w:keepNext/>
        <w:keepLines w:val="0"/>
        <w:pageBreakBefore/>
        <w:widowControl/>
        <w:spacing w:before="60" w:after="60" w:line="288" w:lineRule="auto"/>
        <w:jc w:val="left"/>
      </w:pPr>
      <w:r>
        <w:rPr>
          <w:rFonts w:ascii="Times New Roman" w:hAnsi="Times New Roman" w:eastAsia="Times New Roman" w:cs="Times New Roman"/>
          <w:b/>
          <w:i w:val="0"/>
          <w:sz w:val="26"/>
          <w:u w:val="none"/>
        </w:rPr>
        <w:t>1. Giới thiệu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Nghị định số 268/2025/NĐ-CP đặt phần lớn nghiệp vụ công nhận, chứng nhận doanh nghiệp ở cấp tỉnh nhưng đồng thời tạo nghĩa vụ cập nhật và báo cáo liên cấp. Khoản 1 Điều 48 xác lập Ủy ban nhân dân cấp tỉnh nơi doanh nghiệp đặt trụ sở chính là cơ quan có thẩm quyền đối với Giấy chứng nhận DN KH&amp;CN; khoản 3 Điều 48 yêu cầu cập nhật định kỳ dữ liệu liên quan lên Nền tảng số quản lý KH,CN&amp;ĐMST quốc gia; khoản 2 Điều 66 yêu cầu thông báo cho Bộ Khoa học và Công nghệ trong thời hạn 15 ngày đối với các quyết định thuộc phạm vi quy định [1]. Vì vậy, vấn đề không chỉ là số hóa thủ tục mà là tổ chức một hệ thống trong đó quyền xử lý và quyền ghi bám thẩm quyền địa phương, trong khi dữ liệu, trạng thái và khả năng quan sát vẫn phải liên thông ở cấp quốc gia.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trước của nhóm tác giả đã mã hóa yêu cầu chức năng, tổ chức một khung nền tảng sáu lớp và minh họa kiến trúc C4 ở mức vùng chứa [2, pp. 54, 58-59]. Bài hiện tại không tái sử dụng các yêu cầu chức năng, sáu lớp hay hình của công trình đó để tổng hợp kiến trúc; nghiên cứu trước chỉ được dùng để xác lập ranh giới đóng góp. Khác biệt cốt lõi được tóm tắt ở Bảng 1.</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1. Ranh giới giữa nghiên cứu trước và nghiên cứu hiện tại</w:t>
      </w:r>
    </w:p>
    <w:tbl>
      <w:tblPr>
        <w:tblStyle w:val="TableGrid"/>
        <w:tblW w:type="auto" w:w="0"/>
        <w:jc w:val="center"/>
        <w:tblLayout w:type="fixed"/>
        <w:tblLook w:firstRow="0" w:lastRow="0" w:firstColumn="0" w:lastColumn="0" w:noHBand="0" w:noVBand="0" w:val="0000"/>
        <w:tblCaption w:val="Ranh giới giữa nghiên cứu trước và nghiên cứu hiện tại"/>
      </w:tblPr>
      <w:tblGrid>
        <w:gridCol w:w="2640"/>
        <w:gridCol w:w="2640"/>
        <w:gridCol w:w="2640"/>
      </w:tblGrid>
      <w:tr>
        <w:trPr>
          <w:tblHeader w:val="true"/>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Chiều so sánh</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Nghiên cứu trước</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Nghiên cứu hiện tại</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Trọng tâm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Yêu cầu của NĐ 268, đối sánh kinh nghiệm và khung nền tảng số phục vụ quản trị hệ sinh thái.</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Lõi/điểm biến thiên của SRA tỉnh–trung ương, thẩm quyền dữ liệu và đánh đổi của một profile triển khai.</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Bằng chứng và phương pháp</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23 tài liệu thứ cấp; nghiên cứu khái niệm, phân tích chính sách và đối sánh quốc tế.</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16 tài liệu khóa ngày 08/08/2026; 116 đơn vị nguồn; DSR và chuỗi truy vết từ ràng buộc tới quyết định kiến trúc.</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Sản phẩm</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Khung sáu lớp, bốn nhóm người dùng và luồng dữ liệu đa cấp.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SRA đa góc nhìn; mô hình thẩm quyền dữ liệu; ranh giới liên thông; lõi ổn định và điểm biến thiên.</w:t>
            </w:r>
          </w:p>
        </w:tc>
      </w:tr>
      <w:tr>
        <w:trPr>
          <w:cantSplit w:val="true"/>
        </w:trPr>
        <w:tc>
          <w:tcPr>
            <w:tcW w:type="dxa" w:w="175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Đánh giá</w:t>
            </w:r>
          </w:p>
        </w:tc>
        <w:tc>
          <w:tcPr>
            <w:tcW w:type="dxa" w:w="334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Đối chiếu mức phù hợp chính sách/kinh nghiệm; chưa khảo sát hoặc thí điểm.</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Mười kịch bản stress-test cấu hình ứng viên, tinh chỉnh kiến trúc và áp dụng lại cùng rubric.</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Về nền tảng học thuật, SRA cung cấp một cấu trúc tổng quát cho một lớp hệ thống [3], còn ISO/IEC/IEEE 42010:2022 đặt mô tả kiến trúc trong quan hệ giữa bên liên quan, mối quan tâm, góc nhìn và mô hình [4]. Nghiên cứu hệ sinh thái phần mềm và đổi mới số cho thấy các chủ thể tự chủ cần phối hợp quanh một hạ tầng hoặc nền tảng chung [5, 6]; truy vết yêu cầu giúp duy trì quan hệ giữa căn cứ nguồn và các tạo tác kỹ thuật [7, 8]. Trong bối cảnh Việt Nam, các khung kiến trúc và dữ liệu quốc gia/chuyên ngành đã tạo hệ quy chiếu cho kiến trúc, quản trị dữ liệu và tích hợp [9, 10, 11], trong khi EIF cung cấp một khung phân tích liên thông theo các lớp pháp lý, tổ chức, ngữ nghĩa và kỹ thuật [12, Hình 3, p. 22; pp. 27-30]. Đồng thời, các nghiên cứu về hệ sinh thái khởi nghiệp cho thấy quan hệ kinh tế–đổi mới có thể vượt địa giới hành chính [13, pp. 27-28]; [14, pp. 1483-1484]. Các nền tảng này được phân tích sâu hơn ở Mục 2; khoảng trống của bài nằm ở cách kết hợp chúng thành một kiến trúc tỉnh–trung ương mà không đồng nhất thẩm quyền với topology lưu trữ.</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khoảng trống đó, nghiên cứu trả lời ba câu hỏi: (i) SRA cần tổ chức lõi ổn định và điểm biến thiên như thế nào khi nghiệp vụ thuộc tỉnh nhưng quản trị và liên thông phải thống nhất; (ii) thẩm quyền dữ liệu và ranh giới trách nhiệm cần được biểu diễn thế nào để quyền ghi bám phạm vi thẩm quyền nhưng không phụ thuộc vào một cách bố trí lưu trữ vật lý duy nhất; và (iii) một cấu hình phân tán của SRA bộc lộ những điều kiện, rủi ro và đánh đổi nào khi được thử thách bởi thay đổi quy định, gián đoạn, tổng hợp toàn quốc, quan hệ xuyên tỉnh, chuyển giao thẩm quyền và nâng cấp không đồng thời.</w:t>
      </w:r>
    </w:p>
    <w:p>
      <w:pPr>
        <w:pStyle w:val="BodyText"/>
        <w:keepNext w:val="0"/>
        <w:keepLines w:val="0"/>
        <w:widowControl/>
        <w:spacing w:before="60" w:after="60" w:line="288" w:lineRule="auto"/>
        <w:ind w:firstLine="720"/>
        <w:jc w:val="both"/>
      </w:pPr>
      <w:r>
        <w:rPr>
          <w:rFonts w:ascii="Times New Roman" w:hAnsi="Times New Roman"/>
          <w:sz w:val="26"/>
        </w:rPr>
        <w:t>Bài đóng góp ba kết quả chính. Thứ nhất, một SRA đa góc nhìn tách lõi ổn định khỏi điểm biến thiên, qua đó xác định các bất biến về thẩm quyền, trách nhiệm và liên thông mà không khóa một topology hay sản phẩm công nghệ cụ thể. Thứ hai, một mô hình dữ liệu–liên thông trong đó nguồn có thẩm quyền được xác định theo nhóm thuộc tính và có thể thay đổi theo thời gian, đồng thời tách biên thẩm quyền khỏi biên quan hệ hệ sinh thái. Thứ ba, một quy trình tổng hợp và đánh giá có truy vết: 16 tài liệu tạo 116 đơn vị nguồn và 128 dòng truy vết; kiến trúc ứng viên được thử thách bằng mười kịch bản, tinh chỉnh khi phát hiện khoảng trống và sau đó được đánh giá lại bằng cùng rubric. Từ hai đóng góp kiến trúc đầu, Mục 8.2 khái quát ba nguyên tắc thiết kế có khả năng chuyển giao cho các nền tảng công có phân quyền tương tự. Profile P-DIST chỉ là một cấu hình dùng để quan sát đánh đổi của phương án phân tán; kết quả là kiểm chứng kiến trúc dựa trên kịch bản trước triển khai, không phải bằng chứng thực nghiệm về hiệu năng hoặc tính ưu việt của một hệ thống đã vận hành.</w:t>
      </w:r>
    </w:p>
    <w:bookmarkEnd w:id="20"/>
    <w:bookmarkStart w:id="24" w:name="cơ-sở-nghiên-cứu-và-định-vị-kiến-trúc"/>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2. Cơ sở nghiên cứu và định vị kiến trúc</w:t>
      </w:r>
    </w:p>
    <w:bookmarkStart w:id="21" w:name="Xb8ad4937076b42b6ab0fb113c0589bc90fde862"/>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2.1. Kiến trúc tham chiếu, hệ sinh thái nhiều chủ thể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Kiến trúc tham chiếu phần mềm (SRA) mô tả kiến trúc tổng quát cho một lớp hệ thống, thay vì một cấu hình triển khai cụ thể [3]. OASIS SOA-RAF cũng xem kiến trúc tham chiếu là tập phần tử trừu tượng của một miền, độc lập với sản phẩm và đặc biệt quan tâm tới tương tác qua ranh giới sở hữu [15, pp. 9-14]. Theo ISO/IEC/IEEE 42010:2022, mô tả kiến trúc được tổ chức theo bên liên quan, mối quan tâm, góc nhìn và mô hình [4]. Vì vậy, nghiên cứu này coi SRA là tập các quyết định và bất biến cần được bảo toàn qua nhiều hiện thực hóa, còn topology lưu trữ, cơ chế tích hợp và công nghệ thực thi là các lựa chọn có thể biến thiên.</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tiếp cận này đặc biệt phù hợp với hệ sinh thái phần mềm nhiều chủ thể. SRA có thể đóng vai trò điều phối cả quan hệ kỹ thuật và tổ chức giữa các thành phần tự chủ [16]; các nghiên cứu về hệ sinh thái nhiều nhà cung cấp cũng sử dụng kiến trúc tham chiếu để làm rõ vai trò, giao diện và cách ánh xạ các cấu hình thực tế vào một cấu trúc chung [17]. Trong bài toán tỉnh–trung ương, các tỉnh, nền tảng quốc gia và CSDL chuyên ngành có chủ thể vận hành khác nhau, nên kiến trúc cần mô tả rõ trách nhiệm và thẩm quyền mà không đồng nhất chúng với vị trí vật lý của dữ liệu.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Truy vết được dùng để nối căn cứ chuẩn tắc với quyết định kiến trúc. Breaux và cộng sự cho thấy quyền và nghĩa vụ trong quy định cần được trích xuất và căn chỉnh với yêu cầu hệ thống [18]; các nghiên cứu gần đây tiếp tục nhấn mạnh việc đưa tuân thủ vào kỹ nghệ yêu cầu từ sớm [8]. Nghiên cứu vì vậy sử dụng chuỗi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sz w:val="26"/>
        </w:rPr>
        <w:t xml:space="preserve">. Đánh giá kiến trúc được thực hiện bằng các kịch bản nhằm làm lộ rủi ro, điểm nhạy và đánh đổi; cách tiếp cận này lấy cảm hứng từ ATAM nhưng không tuyên bố thực hiện đầy đủ quy trình ATAM [19, pp. 3, 5-7].</w:t>
      </w:r>
    </w:p>
    <w:bookmarkEnd w:id="21"/>
    <w:bookmarkStart w:id="22" w:name="Xa3de7d4167a6c4501d5848e8f79eed8afc713c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2.2. Liên thông và quản trị dữ liệu như ràng buộc thiết kế</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Khung liên thông châu Âu (EIF) phân biệt bốn lớp pháp lý, tổ chức, ngữ nghĩa và kỹ thuật [12, Hình 3, p. 22; pp. 27-30]; Quy định (EU) 2024/903 tiếp tục sử dụng EIF như một công cụ hỗ trợ đánh giá liên thông [20]. Trong nghiên cứu này, EIF chỉ là khung phân tích phương pháp. Ở Việt Nam, QĐ 292/QĐ-BKHCN tổ chức kiến trúc theo các mô hình tham chiếu nghiệp vụ, dữ liệu, ứng dụng, công nghệ và an toàn thông tin [21], còn QĐ 2439/QĐ-TTg đặt nền cho quản trị và chuẩn hóa dữ liệu quốc gia [10].</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 ràng buộc dữ liệu hiện hành làm cho bài toán không thể giải bằng một CSDL nghiệp vụ đơn nhất. NĐ 278/2025/NĐ-CP yêu cầu kết nối/chia sẻ qua hạ tầng điều phối, tuân thủ khung và từ điển dữ liệu, xác định nguồn tin cậy cho dữ liệu chủ và hỗ trợ truy vấn hoặc đồng bộ qua hạ tầng dùng chung [22]. QĐ 1973/QĐ-BKHCN đồng thời xác định dữ liệu tổ chức/doanh nghiệp được nhận từ CSDL quốc gia về doanh nghiệp nhưng vẫn liệt kê DN KH&amp;CN và DN KNST trong dữ liệu chủ chuyên ngành của Bộ [11]. Hệ quả kiến trúc là phải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định danh pháp lý</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trạng thái chuyên ngành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 xác định nguồn có thẩm quyền theo nhóm thuộc tính, thay vì gán một nguồn duy nhất cho toàn bộ thực thể doanh nghiệp.</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Định danh, bảo vệ dữ liệu và liên thông cũng tạo các ranh giới riêng. NĐ 69/2024/NĐ-CP và NĐ 169/2025/NĐ-CP yêu cầu sử dụng các nguồn định danh/xác thực có thẩm quyền và đáp ứng điều kiện kết nối [23, 24]; Luật Bảo vệ dữ liệu cá nhân và NĐ 356/2025/NĐ-CP đặt yêu cầu về giới hạn truy cập, biện pháp quản lý/kỹ thuật và vòng đời dữ liệu [25, 26]. Do đó, SRA cần tách xác thực danh tính khỏi phân quyền nghiệp vụ, đồng thời duy trì nguồn gốc, phiên bản, nhật ký và biên tin cậy cho các luồng dữ liệu liên cơ quan.</w:t>
      </w:r>
    </w:p>
    <w:bookmarkEnd w:id="22"/>
    <w:bookmarkStart w:id="23" w:name="Xd6bca95f1a9bf42b8efa1f423812669c0313b87"/>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2.3. Khoảng trống thiết kế và hệ quả đối với SRA</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Tập nguồn của nghiên cứu được mã hóa thành 10 họ ràng buộc C01–C10 và 128 dòng truy vết nguyên tử; danh mục đầy đủ được chuyển sang tài liệu bổ trợ. Ở mức khái quát, các ràng buộc tạo bốn sức ép kiến trúc đồng thời. Thứ nhất, NĐ 268/2025/NĐ-CP đặt phần lớn quyết định công nhận/chứng nhận ở cấp tỉnh nhưng yêu cầu cập nhật, thông báo và tổng hợp liên cấp, nên quyền ghi nghiệp vụ phải bám thẩm quyền tỉnh trong khi trung ương vẫn cần quan sát nhất quán [1]. Thứ hai, Luật Dữ liệu, NĐ 278 và QĐ 1973 yêu cầu tránh tạo lại dữ liệu đã có nguồn chính thức, duy trì chất lượng, nguồn gốc và quản trị chia sẻ [27, 22, 11]. Thứ ba, NĐ 268 quy định các trạng thái, quyết định và mốc pháp lý chung nhưng việc tổ chức xử lý thuộc cơ quan có thẩm quyền ở địa phương, tạo nhu cầu tách đường cơ sở pháp lý khỏi cấu hình bước nội bộ [1]. Thứ tư, nghiên cứu hệ sinh thái khởi nghiệp cho thấy các quan hệ thực tế có thể vượt địa giới hành chính [13, pp. 27-28]; [14, pp. 1483-1484], vì vậy biên thẩm quyền không được dùng như biên quan hệ dữ liệu.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 khung kiến trúc và dữ liệu hiện có giúp xác định góc nhìn, nguyên tắc liên thông và yêu cầu quản trị, nhưng không tự quyết định cách tổ chức đồng thời bốn sức ép trên thành một SRA cụ thể. Khoảng trống mà bài giải quyết vì thế không phải là xây dựng một danh mục yêu cầu mới, mà là xác lập: (i) lõi ổn định và điểm biến thiên của kiến trúc tỉnh–trung ương; (ii) mô hình thẩm quyền dữ liệu ở mức nhóm thuộc tính và theo thời gian; (iii) ranh giới trách nhiệm/liên thông độc lập với topology vật lý; và (iv) cách thử thách các quyết định đó bằng kịch bản trước khi triển khai. Đây là cơ sở trực tiếp cho thiết kế nghiên cứu ở Mục 3 và kiến trúc đề xuất ở Mục 4.</w:t>
      </w:r>
    </w:p>
    <w:bookmarkEnd w:id="23"/>
    <w:bookmarkEnd w:id="24"/>
    <w:bookmarkStart w:id="30" w:name="tư-liệu-và-phương-pháp-nghiên-cứu"/>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3. Tư liệu và phương pháp nghiên cứu</w:t>
      </w:r>
    </w:p>
    <w:bookmarkStart w:id="25" w:name="thiết-kế-nghiên-cứu"/>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3.1. Thiết kế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sử dụng nghiên cứu khoa học thiết kế (</w:t>
      </w:r>
      <w:r>
        <w:rPr>
          <w:rFonts w:ascii="Times New Roman" w:hAnsi="Times New Roman" w:eastAsia="Times New Roman" w:cs="Times New Roman"/>
          <w:i/>
          <w:iCs/>
          <w:sz w:val="26"/>
        </w:rPr>
        <w:t xml:space="preserve">Design Science Research</w:t>
      </w:r>
      <w:r>
        <w:rPr>
          <w:rFonts w:ascii="Times New Roman" w:hAnsi="Times New Roman" w:eastAsia="Times New Roman" w:cs="Times New Roman"/>
          <w:sz w:val="26"/>
        </w:rPr>
        <w:t xml:space="preserve">, DSR) để xây dựng và đánh giá một kiến trúc tham chiếu phần mềm (SRA) cho bài toán quản lý DN KH&amp;CN và DN KNST theo mô hình tỉnh–trung ương. DSR phù hợp với mục tiêu này vì đối tượng nghiên cứu là một sản phẩm thiết kế cần vừa giải quyết một vấn đề thực tiễn, vừa được lập luận và đánh giá có hệ thống [28, pp. 82-83]. Quy trình được tổ chức theo bốn bước chính, tương ứng với logic thiết kế–đánh giá của Peffers và cộng sự [29, pp. 52-56]: (i) xác lập các ràng buộc có hệ quả kiến trúc từ tập nguồn; (ii) tổng hợp các động lực, quyết định và thành phần của SRA; (iii) hiện thực hóa một cấu hình ứng viên để làm rõ các đánh đổi; và (iv) thử thách cấu hình đó bằng các kịch bản, sau đó tinh chỉnh và đánh giá lại.</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Sản phẩm nghiên cứu gồm SRA đa góc nhìn, mô hình thẩm quyền dữ liệu, mô hình liên thông và ranh giới trách nhiệm, cùng chuỗi truy vết nối căn cứ nguồn với quyết định kiến trúc và tiêu chí đánh giá. SRA được thiết kế theo nguyên tắc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lõi ổn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điểm biến thiên</w:t>
      </w:r>
      <w:r>
        <w:rPr>
          <w:rFonts w:ascii="Times New Roman" w:hAnsi="Times New Roman" w:eastAsia="Times New Roman" w:cs="Times New Roman"/>
          <w:sz w:val="26"/>
        </w:rPr>
        <w:t xml:space="preserve">: lõi chỉ giữ các bất biến cần bảo toàn khi triển khai, còn các lựa chọn như topology lưu trữ, cơ chế đồng bộ hoặc công nghệ tích hợp được xem là cấu hình dẫn xuất. Cách tách này cho phép nghiên cứu đánh giá một profile cụ thể mà không đồng nhất profile đó với toàn bộ kiến trúc tham chiếu.</w:t>
      </w:r>
    </w:p>
    <w:bookmarkEnd w:id="25"/>
    <w:bookmarkStart w:id="26" w:name="Xc16fb51eb5ba7160141fc610ec205809eaec2f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3.2. Tập nguồn và tổng hợp ràng buộc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Tập nguồn được khóa theo trạng thái đến ngày 08/08/2026. Việc lựa chọn ưu tiên các văn bản hiện hành trực tiếp điều chỉnh đối tượng quản lý và các khung kiến trúc, dữ liệu, định danh, liên thông, bảo vệ dữ liệu có tác động tới nền tảng; văn bản sửa đổi hoặc được dẫn chiếu chỉ được bổ sung khi làm thay đổi một nghĩa vụ có hệ quả kiến trúc. Tài liệu học thuật được dùng để xây dựng nền tảng lý thuyết và phương pháp, không được dùng để tạo nghĩa vụ pháp lý. Để tránh trộn lẫn mức căn cứ, nguồn được phân thành ba lớp:</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A</w:t>
      </w:r>
      <w:r>
        <w:rPr>
          <w:rFonts w:ascii="Times New Roman" w:hAnsi="Times New Roman" w:eastAsia="Times New Roman" w:cs="Times New Roman"/>
          <w:sz w:val="26"/>
        </w:rPr>
        <w:t xml:space="preserve">–hiện hành/có thẩm quyền, tạo đường cơ sở;</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D</w:t>
      </w:r>
      <w:r>
        <w:rPr>
          <w:rFonts w:ascii="Times New Roman" w:hAnsi="Times New Roman" w:eastAsia="Times New Roman" w:cs="Times New Roman"/>
          <w:sz w:val="26"/>
        </w:rPr>
        <w:t xml:space="preserve">–dự thảo, chỉ dùng chẩn đoán;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M</w:t>
      </w:r>
      <w:r>
        <w:rPr>
          <w:rFonts w:ascii="Times New Roman" w:hAnsi="Times New Roman" w:eastAsia="Times New Roman" w:cs="Times New Roman"/>
          <w:sz w:val="26"/>
        </w:rPr>
        <w:t xml:space="preserve">–phương pháp hoặc tham chiếu quốc tế. Danh mục đầy đủ và lý do lựa chọn từng tài liệu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16 tài liệu, nghiên cứu xác định 116 đơn vị nguồn và mã hóa thành 128 dòng truy vết, gồm 114 dòng lớp A, 8 dòng lớp D và 6 dòng lớp M. Mỗi dòng biểu diễn một mệnh đề ràng buộc nguồn có vị trí dẫn chiếu cụ thể; một đơn vị nguồn được tách thành nhiều dòng khi chứa các nghĩa vụ có thể kiểm tra độc lập, trong khi các mệnh đề tương đồng ở những nguồn khác nhau vẫn được giữ riêng để bảo toàn xuất xứ. Vì vậy, con số 128 phản ánh số dòng truy vết theo nguồn, không phải số yêu cầu ngữ nghĩa duy nhất sau khử trùng lặp. Quy tắc nguyên tử hóa và các ví dụ mã hóa được chuyển sang tài liệu bổ trợ để thân bài chỉ giữ logic phương pháp cần thiết cho việc đánh giá nghiên cứu.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phân biệt căn cứ chuẩn tắc với lựa chọn thiết kế, nghiên cứu dùng ba mức:</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nghĩa vụ, cấu trúc hoặc mốc thời gian được nguồn lớp A quy định minh thị;</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hệ quả kiến trúc suy ra trực tiếp để đáp ứng L1; và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L3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lựa chọn hiện thực hóa cần được kiểm chứng khi triển khai. Phân lớp này đặc biệt quan trọng đối với các nội dung như topology lưu trữ, cơ chế hàng đợi, đồng bộ sự kiện hoặc giao thức kỹ thuật: chúng chỉ được khóa trong SRA khi có căn cứ ở mức tương ứng, thay vì được suy đoán từ yêu cầu nghiệp vụ.</w:t>
      </w:r>
    </w:p>
    <w:bookmarkEnd w:id="26"/>
    <w:bookmarkStart w:id="27" w:name="tổng-hợp-kiến-trúc-và-truy-vế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3.3. Tổng hợp kiến trúc và truy vết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Các ràng buộc lớp A được tổng hợp thành động lực kiến trúc, sau đó ánh xạ tới quyết định và thành phần của SRA. Chuỗi truy vết sử dụng trong nghiên cứu có dạng</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nguồn/vị trí</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ràng buộc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quyết định hoặc thành phần kiến trúc</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tiêu chí kiểm tra</w:t>
      </w:r>
      <w:r>
        <w:rPr>
          <w:rFonts w:ascii="Times New Roman" w:hAnsi="Times New Roman" w:eastAsia="Times New Roman" w:cs="Times New Roman"/>
          <w:i/>
          <w:iCs/>
          <w:sz w:val="26"/>
        </w:rPr>
        <w:t xml:space="preserve"> </w:t>
      </w:r>
      <w:r>
        <w:rPr>
          <w:rFonts w:ascii="Times New Roman" w:hAnsi="Times New Roman" w:eastAsia="Times New Roman" w:cs="Times New Roman"/>
          <w:sz w:val="26"/>
        </w:rPr>
        <w:t>→</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trạng thái</w:t>
      </w:r>
      <w:r>
        <w:rPr>
          <w:rFonts w:ascii="Times New Roman" w:hAnsi="Times New Roman" w:eastAsia="Times New Roman" w:cs="Times New Roman"/>
          <w:sz w:val="26"/>
        </w:rPr>
        <w:t xml:space="preserve">. Chiều thuận cho biết một quyết định kiến trúc được dẫn xuất từ đâu; chiều ngược giúp nhận diện thành phần không có căn cứ rõ ràng hoặc chỉ là lựa chọn thiết kế. Các quyết định kiến trúc được ghi kèm vấn đề, phương án, lý do và đánh đổi, phù hợp với yêu cầu mô tả kiến trúc theo ISO/IEC/IEEE 42010 và thực hành ghi nhận quyết định kiến trúc [30, pp. 19-27].</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SRA được biểu diễn bằng sáu góc nhìn nhằm tách các mối quan tâm: bối cảnh và trách nhiệm; năng lực–ứng dụng; dữ liệu–thẩm quyền; liên thông; triển khai; và an toàn/riêng tư. C4 được dùng cho ranh giới hệ thống và triển khai, ArchiMate cho quan hệ năng lực–ứng dụng và dữ liệu–ứng dụng, còn EIF và ma trận biên tin cậy được dùng để cấu trúc các vấn đề liên thông và kiểm soát. Việc sử dụng nhiều góc nhìn nhằm làm rõ các quyết định thiết kế chứ không nhằm đặc tả đầy đủ một hệ thống triển khai; các công nghệ và giao thức ở mức L3 được để mở khi nguồn và bằng chứng chưa đủ để khóa lựa chọn [31][32, Chs. 5, 7, 9; Apps. A-C].</w:t>
      </w:r>
    </w:p>
    <w:bookmarkEnd w:id="27"/>
    <w:bookmarkStart w:id="28" w:name="đánh-giá-theo-kịch-bản"/>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3.4. Đánh giá theo kịch bản</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Kiến trúc ứng viên ban đầu</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được hình thành trước bước đánh giá từ các động lực về thẩm quyền ghi, khả năng cấu hình quy trình địa phương, khả năng tiếp tục xử lý khi lớp trung ương tạm gián đoạn, quản trị ngữ nghĩa/nguồn dữ liệu thống nhất và truy vết phiên bản. Để quan sát rõ các đánh đổi của một phương án triển khai,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được cấu hình theo profile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P-DIST</w:t>
      </w:r>
      <w:r>
        <w:rPr>
          <w:rFonts w:ascii="Times New Roman" w:hAnsi="Times New Roman" w:eastAsia="Times New Roman" w:cs="Times New Roman"/>
          <w:sz w:val="26"/>
        </w:rPr>
        <w:t xml:space="preserve">, trong đó mỗi tỉnh có kho vận hành vật lý tách biệt và trung ương duy trì mô hình đọc/tổng hợp. P-DIST là một giả thuyết thiết kế L2 dùng cho stress-test, không phải nghĩa vụ pháp lý hay cấu hình mặc định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cấu hình tập trung</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B0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được dùng làm đường cơ sở đối chiếu. Mười kịch bản S1–S10 bao phủ năm nhóm mối quan tâm: vận hành bình thường và biến thể địa phương; thay đổi quy định/nguồn/phiên bản; gián đoạn hạ tầng hoặc lớp trung ương; tổng hợp toàn quốc và quan hệ xuyên địa bàn; và chuyển giao phạm vi quản lý. Bộ kịch bản không được xem là đầy đủ theo nghĩa thống kê; mục đích của nó là tạo các tình huống có khả năng làm lộ điểm nhạy, rủi ro và đánh đổi kiến trúc. Mỗi kịch bản được đánh giá theo ba mức:</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trực tiếp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lõi kiến trúc xử lý được mà không cần sửa quyết định ổn định;</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có điều kiện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cần hiện thực hóa hoặc kiểm chứng một cơ chế đã được kiến trúc cho phép; và</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rủi ro kiến trúc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nếu kịch bản buộc phải xem xét lại một quyết định/lõi ổn định hoặc còn khoảng trống về thẩm quyền, toàn vẹn hay tương thích.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Khi một kịch bản làm lộ khoảng trống, kết quả được đưa trở lại sản phẩm thiết kế theo vòng DSR để tạo phiên bản tinh chỉnh</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B1-R</w:t>
      </w:r>
      <w:r>
        <w:rPr>
          <w:rFonts w:ascii="Times New Roman" w:hAnsi="Times New Roman" w:eastAsia="Times New Roman" w:cs="Times New Roman"/>
          <w:sz w:val="26"/>
        </w:rPr>
        <w:t xml:space="preserve">; sau đó toàn bộ S1–S10 được áp dụng lại bằng cùng rubric. Nghiên cứu không cộng điểm và không xếp hạng tổng thể B0 với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vì hai cấu hình khác nhau đồng thời ở nhiều quyết định và không cho phép suy luận nhân quả về một yếu tố riêng lẻ. Cách đánh giá lấy cảm hứng từ việc sử dụng kịch bản để phát hiện rủi ro và đánh đổi trong ATAM, nhưng không phải một quy trình ATAM đầy đủ [19, pp. 3, 5-7].</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Đây là đánh giá trước triển khai. Nghiên cứu không gán tải đỉnh, độ trễ, tính sẵn sàng, thời gian phục hồi hoặc các thuộc tính chất lượng chưa được đo; các mốc số chỉ được sử dụng khi có căn cứ chuẩn tắc. Vì vậy, kết quả đánh giá chỉ cho phép kết luận về mức đầy đủ và tính nhất quán của đặc tả kiến trúc dưới các kịch bản đã chọn. Kiểm chứng tiếp theo cần một nguyên mẫu và các phép thử lặp lại đối với liên thông, chuyển quyền ghi, nâng cấp cuốn chiếu, phục hồi, an toàn và các thuộc tính chất lượng.</w:t>
      </w:r>
    </w:p>
    <w:bookmarkEnd w:id="28"/>
    <w:bookmarkStart w:id="29" w:name="dữ-liệu-bổ-trợ"/>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3.5. Dữ liệu bổ trợ</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Để hỗ trợ khả năng kiểm tra lại mà không biến thân bài thành đặc tả kỹ thuật, tài liệu bổ trợ lưu danh mục nguồn, quy tắc nguyên tử hóa, ma trận truy vết, các bảng chi tiết về quyết định/điểm biến thiên/quy tắc phù hợp, bộ kịch bản và rubric, cùng kết quả trước–sau tinh chỉnh. Các artefact này cung cấp mức chi tiết cần thiết để kiểm tra và tái lập quy trình nghiên cứu, trong khi thân bài chỉ trình bày các bước phương pháp và bằng chứng trực tiếp phục vụ câu hỏi nghiên cứu.</w:t>
      </w:r>
    </w:p>
    <w:bookmarkEnd w:id="29"/>
    <w:bookmarkEnd w:id="30"/>
    <w:bookmarkStart w:id="41" w:name="kiến-trúc-hệ-thống-đề-xuất"/>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4. Kiến trúc hệ thống đề xuất</w:t>
      </w:r>
    </w:p>
    <w:bookmarkStart w:id="31" w:name="X432c5c0a7f0244f3054feab0fdb202b7f9bfa8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4.1. Phạm vi và lõi ổn định của kiến trúc tham chiếu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SRA được đề xuất cho một nền tảng số chuyên ngành khu vực công có nghiệp vụ phân bố giữa trung ương và địa phương, phụ thuộc các nguồn dữ liệu có thẩm quyền bên ngoài và phải thích nghi với thay đổi quy trình mà không làm thay đổi nghĩa vụ pháp lý. Vì vậy, kiến trúc không được xây dựng như một cấu hình triển khai duy nhất mà như một tập các bất biến thiết kế kèm các điểm có thể thay đổi. Sáu góc nhìn được sử dụng gồm: hệ sinh thái–trách nhiệm, năng lực–ứng dụng, dữ liệu–thẩm quyền, liên thông, hiện thực hóa công nghệ và an toàn–riêng tư. Cách tổ chức này phù hợp với nguyên tắc mô tả kiến trúc theo nhiều mối quan tâm và viewpoint của ISO/IEC/IEEE 42010 [4].</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Phiên bản kiến trúc sau vòng tinh chỉnh B1-R giữ năm nguyên tắc ổn định. Thứ nhất, quyền thay đổi trạng thái nghiệp vụ phải bám thẩm quyền đang có hiệu lực, trong khi topology lưu trữ không được suy diễn trực tiếp từ thẩm quyền hành chính. Thứ hai, dữ liệu định danh và bằng chứng bên ngoài được tham chiếu từ nguồn có thẩm quyền thay vì tạo một bản chủ mới trong nền tảng. Thứ ba, quy trình địa phương được cấu hình trên một mô hình nền pháp lý có phiên bản, nên phần biến thiên không được nới thẩm quyền, trạng thái quyết định hoặc thời hạn bắt buộc. Thứ tư, trao đổi liên cơ quan phải bảo toàn nguồn, phiên bản và bằng chứng giao nhận qua hạ tầng được quy định. Thứ năm, mạng quan hệ hệ sinh thái được tách khỏi biên địa giới quản lý để tránh nhân bản quan hệ xuyên tỉnh. Các lựa chọn về đồng bộ, công nghệ quy trình, phân quyền, bộ thích nghi nguồn và topology triển khai được giữ như điểm biến thiên; danh mục VP1–VP8 được chuyển sang tài liệu bổ trợ.</w:t>
      </w:r>
    </w:p>
    <w:bookmarkEnd w:id="31"/>
    <w:bookmarkStart w:id="38" w:name="Xdb1a68a3a383d45f1fb931897c5a0d1ab67ba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4.2. Định vị nền tảng và kiến trúc năng lực–ứng dụng</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1 đặt nền tảng tại giao điểm của các khung kiến trúc số, kiến trúc/quản trị dữ liệu và các ràng buộc nghiệp vụ của NĐ 268. Mục đích của hình không phải mô tả cấu trúc triển khai mà xác lập các ranh giới mà SRA phải tôn trọng: định danh pháp lý doanh nghiệp phải tham chiếu nguồn có thẩm quyền; dữ liệu và siêu dữ liệu phải phù hợp khung quản trị quốc gia/Bộ; còn các luồng chia sẻ liên cơ quan phải đi qua hạ tầng được quy định [27, 22, 11]. Trong ký pháp ArchiMate 3.2, các phần tử Constraint và Application Component được dùng để biểu diễn quan hệ giữa các ràng buộc thể chế và nền tảng ở mức kiến trúc, không phải để khẳng định một sản phẩm công nghệ cụ thể [32, Chs. 5, 7, 9; Apps. A-C].</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440527" cy="2422089"/>
            <wp:effectExtent b="0" l="0" r="0" t="0"/>
            <wp:docPr descr="Hình 1. Định vị nền tảng trong hệ quy chiếu kiến trúc số và dữ liệu – góc nhìn động lực–ứng dụng theo ArchiMate" title="Hình 1" id="33" name="Picture"/>
            <a:graphic>
              <a:graphicData uri="http://schemas.openxmlformats.org/drawingml/2006/picture">
                <pic:pic>
                  <pic:nvPicPr>
                    <pic:cNvPr descr="figpng/fig01_archimate_context.png" id="34" name="Picture"/>
                    <pic:cNvPicPr>
                      <a:picLocks noChangeArrowheads="1" noChangeAspect="1"/>
                    </pic:cNvPicPr>
                  </pic:nvPicPr>
                  <pic:blipFill>
                    <a:blip r:embed="rId32"/>
                    <a:stretch>
                      <a:fillRect/>
                    </a:stretch>
                  </pic:blipFill>
                  <pic:spPr bwMode="auto">
                    <a:xfrm>
                      <a:off x="0" y="0"/>
                      <a:ext cx="5440527" cy="2422089"/>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1. Định vị nền tảng trong hệ quy chiếu kiến trúc số và dữ liệu – góc nhìn động lực–ứng dụng theo ArchiMate</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Từ các ràng buộc trên, Hình 2 tổ chức kiến trúc ở mức năng lực thay vì mô-đun triển khai. Bốn nhóm năng lực chính là: quản lý hồ sơ và vòng đời; thẩm định/công nhận; điều phối và cấu hình; dữ liệu–liên thông–an toàn. Các nhóm này được hỗ trợ bởi năm nhóm thành phần ứng dụng logic. Việc dùng quan hệ Association ở mức này nhằm chỉ ra quan hệ hỗ trợ giữa năng lực và thành phần, không khóa quan hệ hiện thực hóa hay một sản phẩm phần mềm cụ thể; giao thức, middleware và bộ thích nghi nguồn chỉ được quyết định ở L3 khi có đặc tả triển khai.</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027670" cy="2299761"/>
            <wp:effectExtent b="0" l="0" r="0" t="0"/>
            <wp:docPr descr="Hình 2. Ánh xạ năng lực vào thành phần ứng dụng – góc nhìn năng lực–ứng dụng theo ArchiMate" title="Hình 2" id="36" name="Picture"/>
            <a:graphic>
              <a:graphicData uri="http://schemas.openxmlformats.org/drawingml/2006/picture">
                <pic:pic>
                  <pic:nvPicPr>
                    <pic:cNvPr descr="figpng/fig02_archimate_capability_application.png" id="37" name="Picture"/>
                    <pic:cNvPicPr>
                      <a:picLocks noChangeArrowheads="1" noChangeAspect="1"/>
                    </pic:cNvPicPr>
                  </pic:nvPicPr>
                  <pic:blipFill>
                    <a:blip r:embed="rId35"/>
                    <a:stretch>
                      <a:fillRect/>
                    </a:stretch>
                  </pic:blipFill>
                  <pic:spPr bwMode="auto">
                    <a:xfrm>
                      <a:off x="0" y="0"/>
                      <a:ext cx="5027670" cy="2299761"/>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2. Ánh xạ năng lực vào thành phần ứng dụng – góc nhìn năng lực–ứng dụng theo ArchiMate</w:t>
      </w:r>
    </w:p>
    <w:bookmarkEnd w:id="38"/>
    <w:bookmarkStart w:id="39" w:name="các-quyết-định-kiến-trúc-và-đánh-đổi"/>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4.3. Các quyết định kiến trúc và đánh đổi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Năm quyết định kiến trúc được rút ra từ chuỗi truy vết nguồn–ràng buộc–động lực và được ghi nhận cùng phương án thay thế, lý do và đánh đổi theo thực hành ghi nhận quyết định kiến trúc [30, pp. 19-27]. Bảng 2 chỉ giữ các quyết định có ý nghĩa đối với lập luận nghiên cứu; phiên bản chi tiết, liên kết tới Cxx.yy/AE/VP và các điều kiện hiện thực hóa nằm trong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2. Các quyết định kiến trúc chính và đánh đổi</w:t>
      </w:r>
    </w:p>
    <w:tbl>
      <w:tblPr>
        <w:tblStyle w:val="TableGrid"/>
        <w:tblW w:type="auto" w:w="0"/>
        <w:jc w:val="center"/>
        <w:tblLayout w:type="fixed"/>
        <w:tblLook w:firstRow="0" w:lastRow="0" w:firstColumn="0" w:lastColumn="0" w:noHBand="0" w:noVBand="0" w:val="0000"/>
        <w:tblCaption w:val="Các quyết định kiến trúc chính và đánh đổi"/>
      </w:tblPr>
      <w:tblGrid>
        <w:gridCol w:w="2640"/>
        <w:gridCol w:w="2640"/>
        <w:gridCol w:w="2640"/>
      </w:tblGrid>
      <w:tr>
        <w:trPr>
          <w:tblHeader w:val="true"/>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Mã</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Quyết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Lý do và đánh đổi chính</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AD01</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Quyền ghi bám thẩm quyền đang hiệu lực; topology lưu trữ là điểm biến thiên.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ranh giới pháp lý mà không đồng nhất nó với biên vật lý. Sau S9, quyết định được tinh chỉnh để bảo toàn một writer hợp lệ trên mỗi phạm vi ghi và chuyển quyền có phiên bản; đổi lại, các profile phân tán phải xử lý cắt chuyển, đối soát và phục hồi phức tạp hơn.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AD02</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Các luồng chia sẻ bắt buộc đi qua hạ tầng chia sẻ/điều phối được quy định.</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Tăng khả năng kiểm toán và quản trị liên thông nhưng tạo thêm phụ thuộc vào hạ tầng trung gian.</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AD03</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nền pháp lý trung ương kết hợp cấu hình địa phương có phiên bản.</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Cho phép biến thể nội bộ nhưng giữ nguyên thẩm quyền, trạng thái quyết định và thời hạn L1. Sau S10, cần cửa sổ tương thích và quy tắc cho hồ sơ đang xử lý; đổi lại là chi phí quản trị và kiểm thử nhiều phiên bản [33, pp. 486-500].</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AD04</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Mẫu tương tác lai: truy vấn khi cần đọc và thông điệp/sự kiện cho thay đổi trạng thái khi hạ tầng hỗ trợ.</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Cân bằng tính tức thời với khả năng chịu gián đoạn và bằng chứng giao nhận; đổi lại phải quản lý trùng, thứ tự và độ mới của mô hình đọc.</w:t>
            </w:r>
          </w:p>
        </w:tc>
      </w:tr>
      <w:tr>
        <w:trPr>
          <w:cantSplit w:val="true"/>
        </w:trPr>
        <w:tc>
          <w:tcPr>
            <w:tcW w:type="dxa" w:w="93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sz w:val="20"/>
              </w:rPr>
              <w:t xml:space="preserve">AD05</w:t>
            </w:r>
          </w:p>
        </w:tc>
        <w:tc>
          <w:tcPr>
            <w:tcW w:type="dxa" w:w="35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Tách phạm vi thẩm quyền khỏi mạng quan hệ hệ sinh thái.</w:t>
            </w:r>
          </w:p>
        </w:tc>
        <w:tc>
          <w:tcPr>
            <w:tcW w:type="dxa" w:w="4563"/>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Giữ đúng quyền quản lý hồ sơ theo địa bàn nhưng vẫn biểu diễn được quan hệ đầu tư/hỗ trợ xuyên tỉnh; đổi lại truy vấn và hợp nhất quan hệ phức tạp hơn.</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AD01 không mặc nhiên dẫn tới một kho vật lý cho mỗi tỉnh. NĐ 268 xác lập thẩm quyền/nghĩa vụ liên cấp, còn NĐ 278 cho phép truy vấn và đồng bộ qua hạ tầng dùng chung nhưng không ấn định topology lưu trữ [1, 22]. Vì vậy, lõi SRA có thể được hiện thực bằng kho tập trung đa tenant, phân vùng logic/schema, kho vật lý theo tỉnh hoặc mô hình lai nếu các bất biến về thẩm quyền, nguồn gốc và phiên bản được giữ nguyên. Nghiên cứu chọn</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P-DIST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làm profile để stress-test, trong đó các nút nghiệp vụ tỉnh có kho vận hành vật lý tách biệt và lớp trung ương duy trì mô hình đọc/tổng hợp. Lựa chọn này được dùng để làm lộ đánh đổi của một cấu hình phân tán, không phải để khẳng định đây là topology duy nhất hoặc tối ưu; profile có nét tương đồng với tư tưởng phối hợp các nút có quyền vận hành riêng trong CSDL liên bang [34].</w:t>
      </w:r>
    </w:p>
    <w:bookmarkEnd w:id="39"/>
    <w:bookmarkStart w:id="40" w:name="Xcbc05a588faceb8ac9b55d1f051099d59f9110f"/>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4.4. Điều kiện phù hợp và ranh giới của đề xuất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hiện thực hóa được xem là phù hợp với lõi SRA khi bảo toàn bốn nhóm điều kiện. Nhóm thứ nhất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truy vết và thẩm quyền</w:t>
      </w:r>
      <w:r>
        <w:rPr>
          <w:rFonts w:ascii="Times New Roman" w:hAnsi="Times New Roman" w:eastAsia="Times New Roman" w:cs="Times New Roman"/>
          <w:sz w:val="26"/>
        </w:rPr>
        <w:t xml:space="preserve">: hành vi pháp lý phải truy về căn cứ nguồn, thao tác thay đổi trạng thái phải kiểm tra quyền ghi hiện hành và không cho phép hai writer hợp lệ đồng thời trên cùng phạm vi. Nhóm thứ hai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quản trị dữ liệu và cấu hình</w:t>
      </w:r>
      <w:r>
        <w:rPr>
          <w:rFonts w:ascii="Times New Roman" w:hAnsi="Times New Roman" w:eastAsia="Times New Roman" w:cs="Times New Roman"/>
          <w:sz w:val="26"/>
        </w:rPr>
        <w:t xml:space="preserve">: thẩm quyền dữ liệu được xác định theo nhóm thuộc tính; cấu hình địa phương không được nới các bất biến L1; hợp đồng, lược đồ và quy trình phải có phiên bản và quy tắc tương thích. Nhóm thứ ba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gốc và liên thông</w:t>
      </w:r>
      <w:r>
        <w:rPr>
          <w:rFonts w:ascii="Times New Roman" w:hAnsi="Times New Roman" w:eastAsia="Times New Roman" w:cs="Times New Roman"/>
          <w:sz w:val="26"/>
        </w:rPr>
        <w:t xml:space="preserve">: mô hình đọc trung ương phải công bố nguồn/độ mới và không thay thế quyết định gốc; trao đổi bắt buộc phải giữ định danh và bằng chứng giao nhận. Nhóm cuối cùng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quan hệ hệ sinh thái</w:t>
      </w:r>
      <w:r>
        <w:rPr>
          <w:rFonts w:ascii="Times New Roman" w:hAnsi="Times New Roman" w:eastAsia="Times New Roman" w:cs="Times New Roman"/>
          <w:sz w:val="26"/>
        </w:rPr>
        <w:t xml:space="preserve">: quan hệ xuyên địa bàn phải giữ định danh, nguồn và khoảng hiệu lực thay vì bị nhân bản theo biên quản lý. Chín quy tắc CR1–CR9 và hai điều kiện bổ sung PD1–PD2 cho profile P-DIST được công bố đầy đủ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xác định phù hợp này cố ý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kiến trúc tham chiếu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đặc tả triển khai</w:t>
      </w:r>
      <w:r>
        <w:rPr>
          <w:rFonts w:ascii="Times New Roman" w:hAnsi="Times New Roman" w:eastAsia="Times New Roman" w:cs="Times New Roman"/>
          <w:sz w:val="26"/>
        </w:rPr>
        <w:t xml:space="preserve">. SRA trả lời thành phần trách nhiệm nào phải tồn tại, dữ liệu nào thuộc nguồn nào, các biên quyền và biên trao đổi nào phải được bảo toàn, cùng những điểm nào được phép biến thiên. Nó không quy định sản phẩm CSDL, middleware, giao thức cụ thể, số cụm triển khai, thuật toán đồng thuận hay chỉ tiêu hiệu năng khi chưa có bằng chứng đo kiểm. Tương tự, các thời hạn 05/15 ngày, 03/15 ngày, chu kỳ 03 năm hoặc mốc báo cáo trong NĐ 268 được xem là ràng buộc thời gian nghiệp vụ, không phải SLA kỹ thuật [1]. Việc kiểm chứng các lựa chọn L3 và thuộc tính chất lượng được để cho giai đoạn nguyên mẫu/triển khai; phần đánh giá của nghiên cứu chỉ kiểm tra mức đầy đủ và nhất quán của kiến trúc dưới các kịch bản đã xác định.</w:t>
      </w:r>
    </w:p>
    <w:bookmarkEnd w:id="40"/>
    <w:bookmarkEnd w:id="41"/>
    <w:bookmarkStart w:id="48" w:name="kiến-trúc-dữ-liệu-của-nền-tả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5. Kiến trúc dữ liệu của nền tảng</w:t>
      </w:r>
    </w:p>
    <w:bookmarkStart w:id="45" w:name="X18693695e6d703e1698ac4450e15c6a7f06d6d1"/>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5.1. Biên thẩm quyền dữ liệu và topology độc lập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Đề xuất dữ liệu của SRA dựa trên một phân biệt quan trọng:</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thẩm quyền ghi là bất biến logic, còn cách bố trí dữ liệu vật lý là điểm biến thiên</w:t>
      </w:r>
      <w:r>
        <w:rPr>
          <w:rFonts w:ascii="Times New Roman" w:hAnsi="Times New Roman" w:eastAsia="Times New Roman" w:cs="Times New Roman"/>
          <w:sz w:val="26"/>
        </w:rPr>
        <w:t xml:space="preserve">. Quyền thay đổi trạng thái nghiệp vụ được gắn với cơ quan đang có thẩm quyền đối với chủ thể hoặc hồ sơ trong một khoảng thời gian xác định; lớp trung ương giữ sổ định tuyến, siêu dữ liệu, mô hình đọc và dữ liệu tổng hợp nhưng không thay thế quyết định gốc của địa phương. Vì vậy, cùng một SRA có thể được hiện thực bằng kho tập trung đa tenant, phân vùng logic/schema, kho vật lý theo tỉnh hoặc mô hình lai nếu vẫn bảo toàn quyền ghi, nguồn gốc và phiên bản. Profile P-DIST dùng trong đánh giá chỉ là một cấu hình cụ thể của điểm biến thiên này.</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Cách tách thẩm quyền khỏi topology phù hợp với yêu cầu xác định điểm tạo lập, tránh trùng lặp dữ liệu và duy trì một nguồn tin cậy theo từng loại dữ liệu trong QĐ 1973 và NĐ 278 [11, 22]. Nó cũng tránh suy rộng nguyên tắc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nguồn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thành yêu cầu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một doanh nghiệp chỉ có một CSDL vật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định danh pháp lý có thể đến từ CSDL quốc gia về doanh nghiệp, trong khi trạng thái công nhận/chứng nhận chuyên ngành phát sinh từ quyết định của cơ quan có thẩm quyền cấp tỉnh. Nền tảng vì thế quản trị một không gian dữ liệu hợp nhất về logic nhưng không tự nhận vai trò nguồn pháp lý cho mọi thuộc tính.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3 biểu diễn góc nhìn ứng dụng–dữ liệu theo ArchiMate 3.2. Application Component truy cập Data Object bằng quan hệ Access, còn Flow chỉ biểu diễn trao đổi giữa các thành phần ứng dụng [32, Chs. 5, 9; Apps. A-B]. Hình cố ý không khóa topology vật lý: điều cần bảo toàn là ranh giới giữa nguồn định danh, nút nghiệp vụ tỉnh, lớp điều phối trung ương và các đối tượng dữ liệu dùng chung.</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220278"/>
            <wp:effectExtent b="0" l="0" r="0" t="0"/>
            <wp:docPr descr="Hình 3. Kiến trúc dữ liệu tỉnh–trung ương; topology vật lý là điểm biến thiên" title="Hình 3" id="43" name="Picture"/>
            <a:graphic>
              <a:graphicData uri="http://schemas.openxmlformats.org/drawingml/2006/picture">
                <pic:pic>
                  <pic:nvPicPr>
                    <pic:cNvPr descr="figpng/fig03_archimate_data_authority.png" id="44" name="Picture"/>
                    <pic:cNvPicPr>
                      <a:picLocks noChangeArrowheads="1" noChangeAspect="1"/>
                    </pic:cNvPicPr>
                  </pic:nvPicPr>
                  <pic:blipFill>
                    <a:blip r:embed="rId42"/>
                    <a:stretch>
                      <a:fillRect/>
                    </a:stretch>
                  </pic:blipFill>
                  <pic:spPr bwMode="auto">
                    <a:xfrm>
                      <a:off x="0" y="0"/>
                      <a:ext cx="5244802" cy="3220278"/>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3. Kiến trúc dữ liệu tỉnh–trung ương; topology vật lý là điểm biến thiên</w:t>
      </w:r>
    </w:p>
    <w:bookmarkEnd w:id="45"/>
    <w:bookmarkStart w:id="46" w:name="Xa3e844dd1128c376a6558c57f86ff795b767af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5.2. Thẩm quyền theo nhóm dữ liệu và chuyển giao quyền ghi</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dữ liệu không gán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chủ sở hữu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duy nhất cho toàn bộ thực thể doanh nghiệp. Thay vào đó, nghiên cứu phân biệt bốn vai trò theo từng nhóm thuộc tính: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pháp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tạo/cập nhật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hệ thống lưu bản ghi nghiệp vụ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(SoR); và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nguồn phân phối/tham chiếu</w:t>
      </w:r>
      <w:r>
        <w:rPr>
          <w:rFonts w:ascii="Times New Roman" w:hAnsi="Times New Roman" w:eastAsia="Times New Roman" w:cs="Times New Roman"/>
          <w:sz w:val="26"/>
        </w:rPr>
        <w:t xml:space="preserve">. Phân biệt này xuất phát từ việc QĐ 1973 đặt dữ liệu tổ chức/doanh nghiệp ở nguồn quốc gia nhưng vẫn coi DN KH&amp;CN và DN KNST là dữ liệu chủ chuyên ngành, trong khi NĐ 268 giao quyết định công nhận/chứng nhận cho cấp tỉnh [1, 11]. Bảng 3 tóm tắt các miền dữ liệu quyết định đối với kiến trúc; ánh xạ chi tiết từng nhóm thuộc tính được đưa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3. Thẩm quyền dữ liệu ở mức khái quát</w:t>
      </w:r>
    </w:p>
    <w:tbl>
      <w:tblPr>
        <w:tblStyle w:val="TableGrid"/>
        <w:tblW w:type="auto" w:w="0"/>
        <w:jc w:val="center"/>
        <w:tblLayout w:type="fixed"/>
        <w:tblLook w:firstRow="0" w:lastRow="0" w:firstColumn="0" w:lastColumn="0" w:noHBand="0" w:noVBand="0" w:val="0000"/>
        <w:tblCaption w:val="Thẩm quyền dữ liệu ở mức khái quát"/>
      </w:tblPr>
      <w:tblGrid>
        <w:gridCol w:w="2640"/>
        <w:gridCol w:w="2640"/>
        <w:gridCol w:w="2640"/>
      </w:tblGrid>
      <w:tr>
        <w:trPr>
          <w:tblHeader w:val="true"/>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Miền dữ liệu</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chính</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Vai trò của nền tảng</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Định danh pháp lý DN</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CSDL quốc gia về doanh nghiệp theo Luật Dữ liệu, NĐ 278 và QĐ 1973 [27,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Tham chiếu/đồng bộ khóa và thuộc tính cần thiết; không tạo một bản chủ pháp lý mới.</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Trạng thái DN KH&amp;CN/DN KNST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cấp tỉnh có thẩm quyền ban hành quyết định theo NĐ 268 [1].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Nút đang có quyền ghi là SoR nghiệp vụ; trung ương giữ bản đọc, định tuyến và tổng hợp có provenance.</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Bằng chứng chuyên ngành</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thống/cơ quan tạo hoặc xác nhận kết quả KH&amp;CN, SHTT và loại bằng chứng tương ứng.</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Lưu tham chiếu hoặc bản nghiệp vụ cần thiết kèm nguồn và trạng thái xác minh; không biến dữ liệu tự khai thành dữ liệu đã xác thực.</w:t>
            </w:r>
          </w:p>
        </w:tc>
      </w:tr>
      <w:tr>
        <w:trPr>
          <w:cantSplit w:val="true"/>
        </w:trPr>
        <w:tc>
          <w:tcPr>
            <w:tcW w:type="dxa" w:w="1927"/>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quan hệ và dữ liệu dẫn xuất</w:t>
            </w:r>
          </w:p>
        </w:tc>
        <w:tc>
          <w:tcPr>
            <w:tcW w:type="dxa" w:w="323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Danh mục dùng chung theo khung quốc gia/Bộ; quan hệ và dữ liệu dẫn xuất được quản trị trên nền tảng với nguồn gốc rõ ràng [22, 11].</w:t>
            </w:r>
          </w:p>
        </w:tc>
        <w:tc>
          <w:tcPr>
            <w:tcW w:type="dxa" w:w="3855"/>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Quản lý phiên bản, ánh xạ, provenance và khoảng hiệu lực; dữ liệu dẫn xuất không thay thế nguồn đầu vào có thẩm quyền.</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Một rủi ro đặc thù của mô hình nhiều địa phương là thay đổi thẩm quyền trong khi hồ sơ hoặc trạng thái nghiệp vụ vẫn đang tồn tại. Sau stress-test S9, B1-R biểu diễn quyền ghi như một gán có phạm vi và khoảng hiệu lực thay vì thuộc tính địa bàn cố định. Đối với cùng một phạm vi, tại một thời điểm chỉ có một writer hợp lệ; việc chuyển quyền phải xác nhận đóng băng writer cũ, đối soát dữ liệu/nguồn gốc rồi mới kích hoạt writer mới. Một epoch tăng đơn điệu được dùng để phát hiện ghi từ gán quyền cũ. Đây là ngữ nghĩa thiết kế L2 nhằm bảo toàn single-active-writer và tính truy vết; thuật toán khóa, consensus hay middleware cụ thể vẫn thuộc L3. Chi tiết trường dữ liệu và máy trạng thái chuyển giao nằm trong tài liệu bổ trợ.</w:t>
      </w:r>
    </w:p>
    <w:bookmarkEnd w:id="46"/>
    <w:bookmarkStart w:id="47" w:name="X0bba020a53228a88d9b55f72323d1668cad9353"/>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5.3. Chuẩn hóa, nguồn gốc và chất lượng dữ liệu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Đồng nhất logic giữa các địa phương được thực hiện bằng hợp đồng dữ liệu, từ điển, danh mục, siêu dữ liệu và quy tắc phiên bản dùng chung, chứ không bằng giả định mọi dữ liệu phải nằm trong một kho vật lý duy nhất. Luật Dữ liệu, NĐ 278 và QĐ 1973 yêu cầu thống nhất dữ liệu chủ, mô tả, chất lượng và khả năng liên thông [27, 22, 11]. Do đó, các bản ghi trao đổi hoặc tổng hợp phải truy nguyên được ít nhất nguồn, thời điểm ghi nhận/hiệu lực, trạng thái xác minh, phiên bản và lịch sử thay đổi; mô hình đọc trung ương còn phải công bố độ mới để tránh bị diễn giải như nguồn quyết định gốc. Đối với giấy công nhận/chứng nhận, các biến cố cấp, cấp lại, chấm dứt và thu hồi phải được lưu theo phiên bản thay vì chỉ ghi đè trạng thái cuối [1].</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Dự thảo khung tiêu chí cung cấp thêm các quy ước về mã, định dạng và siêu dữ liệu nhưng chỉ được dùng như nguồn chẩn đoán lớp D [35]. Đối sánh với nguồn hiện hành cho thấy ba điểm cần theo dõi: dự thảo còn viện dẫn NĐ 47/2020/NĐ-CP đã hết hiệu lực theo NĐ 278; khái niệm MD001 cần tách định danh pháp lý khỏi trạng thái chuyên ngành; và phạm vi CSDL trong QĐ 1762 chưa hoàn toàn trùng với hai miền DN KH&amp;CN/DN KNST của dự thảo [22, 36, 35]. Các điểm này chỉ được xem là</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cần làm rõ</w:t>
      </w:r>
      <w:r>
        <w:rPr>
          <w:rFonts w:ascii="Times New Roman" w:hAnsi="Times New Roman" w:eastAsia="Times New Roman" w:cs="Times New Roman"/>
          <w:sz w:val="26"/>
        </w:rPr>
        <w:t xml:space="preserve">; chúng không làm thay đổi lõi SRA cho đến khi có văn bản có thẩm quyền mới.</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Như vậy, đóng góp của kiến trúc dữ liệu không nằm ở một schema hay sản phẩm CSDL cụ thể, mà ở ba bất biến có thể kiểm tra:</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thẩm quyền được xác định theo nhóm thuộc tính và thời gian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topology vật lý không làm thay đổi nguồn pháp lý hoặc quyền ghi</w:t>
      </w:r>
      <w:r>
        <w:rPr>
          <w:rFonts w:ascii="Times New Roman" w:hAnsi="Times New Roman" w:eastAsia="Times New Roman" w:cs="Times New Roman"/>
          <w:sz w:val="26"/>
        </w:rPr>
        <w:t xml:space="preserve">; và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mọi bản sao, tổng hợp hay quan hệ dẫn xuất đều bảo toàn provenance, phiên bản và khoảng hiệu lực</w:t>
      </w:r>
      <w:r>
        <w:rPr>
          <w:rFonts w:ascii="Times New Roman" w:hAnsi="Times New Roman" w:eastAsia="Times New Roman" w:cs="Times New Roman"/>
          <w:sz w:val="26"/>
        </w:rPr>
        <w:t xml:space="preserve">. Các bất biến này trở thành căn cứ cho thiết kế liên thông ở Mục 6 và cho các kịch bản đánh giá ở Mục 7.</w:t>
      </w:r>
    </w:p>
    <w:bookmarkEnd w:id="47"/>
    <w:bookmarkEnd w:id="48"/>
    <w:bookmarkStart w:id="56" w:name="liên-thông-và-ranh-giới-hệ-thống"/>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6. Liên thông và ranh giới hệ thống</w:t>
      </w:r>
    </w:p>
    <w:bookmarkStart w:id="49" w:name="liên-thông-như-một-vấn-đề-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6.1. Liên thông như một vấn đề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EIF được dùng như một khung phân tích bốn lớp pháp lý–tổ chức–ngữ nghĩa–kỹ thuật, không phải nguồn nghĩa vụ Việt Nam [12, Hình 3, p. 22; pp. 27-30]. Đối với SRA này, phân tích cho thấy năm ranh giới liên thông có ý nghĩa kiến trúc: định danh/xác thực; trao đổi tỉnh–trung ương; CSDL quốc gia về doanh nghiệp; hệ thống thủ tục hành chính; và các nguồn bằng chứng chuyên ngành. Điểm chung của năm ranh giới là nền tảng không thay thế hệ thống có thẩm quyền, mà giữ quan hệ tham chiếu, nguồn gốc và trạng thái nghiệp vụ của miền quản lý. Bảng 4 tóm tắt các hệ quả thiết kế chính; ma trận bốn lớp đầy đủ được đưa vào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4. Các ranh giới liên thông và hệ quả kiến trúc chính</w:t>
      </w:r>
    </w:p>
    <w:tbl>
      <w:tblPr>
        <w:tblStyle w:val="TableGrid"/>
        <w:tblW w:type="auto" w:w="0"/>
        <w:jc w:val="center"/>
        <w:tblLayout w:type="fixed"/>
        <w:tblLook w:firstRow="0" w:lastRow="0" w:firstColumn="0" w:lastColumn="0" w:noHBand="0" w:noVBand="0" w:val="0000"/>
        <w:tblCaption w:val="Các ranh giới liên thông và hệ quả kiến trúc chính"/>
      </w:tblPr>
      <w:tblGrid>
        <w:gridCol w:w="2640"/>
        <w:gridCol w:w="2640"/>
        <w:gridCol w:w="2640"/>
      </w:tblGrid>
      <w:tr>
        <w:trPr>
          <w:tblHeader w:val="true"/>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Ranh giới</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Nguồn/thẩm quyền cần bảo toàn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Hệ quả kiến trúc</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Định danh/xác thực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Dịch vụ định danh và CSDL đăng ký doanh nghiệp giữ định danh pháp lý; nền tảng là bên sử dụng dịch vụ [23, 24].</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Không tạo định danh pháp lý song song; lưu khóa định danh chính thức và thực hiện xác thực/đối soát theo điều kiện kết nối được quy định.</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Tỉnh–trung ương</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Cơ quan tỉnh giữ thẩm quyền đối với hồ sơ/quyết định thuộc phạm vi; trung ương nhận thông tin để tổng hợp, giám sát và quản trị chung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Hợp đồng dữ liệu chung giữ mã địa bàn, hồ sơ/quyết định, trạng thái, hiệu lực, nguồn và phiên bản; trao đổi phải truy vết được và kiểm soát xử lý trùng.</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CSDL quốc gia về doanh nghiệp</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Nguồn quốc gia giữ dữ liệu định danh doanh nghiệp có thẩm quyền [27, 22, 11].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tiêu thụ/tham chiếu thay vì tái sở hữu; mỗi bản ghi phụ thuộc phải giữ nguồn, phiên bản hoặc thời điểm đồng bộ.</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Hệ thống TTHC</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thủ tục hành chính giữ kênh tiếp nhận/trả kết quả; nền tảng thực hiện nghiệp vụ chuyên ngành [1, 22].</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Hai miền được nối bằng định danh hồ sơ, chủ thể, thủ tục, trạng thái và kết quả; API, sự kiện hay dịch vụ dữ liệu là lựa chọn L3.</w:t>
            </w:r>
          </w:p>
        </w:tc>
      </w:tr>
      <w:tr>
        <w:trPr>
          <w:cantSplit w:val="true"/>
        </w:trPr>
        <w:tc>
          <w:tcPr>
            <w:tcW w:type="dxa" w:w="181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b/>
                <w:bCs/>
                <w:sz w:val="20"/>
              </w:rPr>
              <w:t xml:space="preserve">Nguồn bằng chứng chuyên ngành</w:t>
            </w:r>
          </w:p>
        </w:tc>
        <w:tc>
          <w:tcPr>
            <w:tcW w:type="dxa" w:w="3288"/>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Hệ thống nguồn tạo hoặc xác nhận kết quả nhiệm vụ KH,CN&amp;ĐMST, văn bằng SHTT và bằng chứng liên quan [1].</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Nền tảng tham chiếu/xác minh và giữ xuất xứ; không giả định API bắt buộc khi nguồn hiện hành mới xác lập giá trị dữ liệu/tài liệu.</w:t>
            </w:r>
          </w:p>
        </w:tc>
      </w:tr>
    </w:tbl>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Ranh giới tổ chức vì vậy không trùng ranh giới kỹ thuật. Cơ quan trung ương quản trị chuẩn và mô hình đọc; cơ quan tỉnh chịu trách nhiệm đối với quyết định thuộc thẩm quyền; chủ quản hệ thống nguồn chịu trách nhiệm dữ liệu gốc; còn đơn vị vận hành nền tảng chịu trách nhiệm về tích hợp, truy vết và kiểm soát kỹ thuật. Cách phân vai này giúp tránh một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CSDL trung tâm</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trở thành nguồn sự thật cho mọi loại dữ liệu chỉ vì nó thuận tiện về triển khai.</w:t>
      </w:r>
    </w:p>
    <w:bookmarkEnd w:id="49"/>
    <w:bookmarkStart w:id="50" w:name="từ-nghĩa-vụ-thời-hạn-đến-cơ-chế-tích-hợp"/>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6.2. Từ nghĩa vụ thời hạn đến cơ chế tích hợp</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Khoản 2 Điều 66 NĐ 268 quy định thời hạn thông báo cho Bộ đối với các quyết định liên quan [1]. Đây là ràng buộc nghiệp vụ L1, không phải cam kết về độ trễ API. Hệ quả kiến trúc L2 là các thay đổi có hiệu lực phải mang định danh sự kiện, quyết định/cơ quan phát hành, ngày quyết định hoặc hiệu lực, dấu thời gian gửi–nhận và bằng chứng tiếp nhận; cơ chế gửi lại phải tránh tạo xử lý trùng và phải cho phép phát hiện nguy cơ quá hạn. Hàng đợi, middleware, kiểu API hay chế độ đồng bộ là lựa chọn L3. Phân biệt này ngăn yêu cầu pháp lý bị chuyển trực tiếp thành một đặc tả công nghệ không có căn cứ.</w:t>
      </w:r>
    </w:p>
    <w:bookmarkEnd w:id="50"/>
    <w:bookmarkStart w:id="54" w:name="Xb83f7363030e7f6c512a8c33dff85494c0ec80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6.3. Ranh giới logic của nền tảng tỉnh–trung ương</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Hình 4 biểu diễn cấu trúc vùng chứa logic theo C4 [31]. Mục tiêu của hình là làm rõ trách nhiệm và hướng phụ thuộc giữa dịch vụ cấp tỉnh, điều phối/đọc trung ương, quản trị cấu hình, kho vận hành, mô hình đọc hợp nhất và cổng tích hợp. Công nghệ lưu trữ và giao thức được giữ ở L3 để SRA không bị đồng nhất với một sản phẩm triển khai cụ thể. Đặc biệt, nền tảng không sở hữu định danh pháp lý doanh nghiệp, kênh TTHC hay dữ liệu bằng chứng chuyên ngành; chúng nằm ngoài biên và được truy cập qua các quan hệ có kiểm soát.</w:t>
      </w:r>
    </w:p>
    <w:p>
      <w:pPr>
        <w:pStyle w:val="CaptionedFigure"/>
        <w:keepNext/>
        <w:keepLines/>
        <w:widowControl/>
        <w:spacing w:before="60" w:after="0" w:line="288" w:lineRule="auto"/>
        <w:jc w:val="center"/>
      </w:pPr>
      <w:r>
        <w:rPr>
          <w:rFonts w:ascii="Times New Roman" w:hAnsi="Times New Roman" w:eastAsia="Times New Roman" w:cs="Times New Roman"/>
          <w:sz w:val="26"/>
        </w:rPr>
        <w:drawing>
          <wp:inline>
            <wp:extent cx="5244802" cy="3312024"/>
            <wp:effectExtent b="0" l="0" r="0" t="0"/>
            <wp:docPr descr="Hình 4. Cấu trúc vùng chứa và ranh giới trách nhiệm – góc nhìn vùng chứa logic dùng các phần tử C4; công nghệ/giao thức cụ thể được giữ ở L3" title="Hình 4" id="52" name="Picture"/>
            <a:graphic>
              <a:graphicData uri="http://schemas.openxmlformats.org/drawingml/2006/picture">
                <pic:pic>
                  <pic:nvPicPr>
                    <pic:cNvPr descr="figpng/fig04_c4_container_boundaries.png" id="53" name="Picture"/>
                    <pic:cNvPicPr>
                      <a:picLocks noChangeArrowheads="1" noChangeAspect="1"/>
                    </pic:cNvPicPr>
                  </pic:nvPicPr>
                  <pic:blipFill>
                    <a:blip r:embed="rId51"/>
                    <a:stretch>
                      <a:fillRect/>
                    </a:stretch>
                  </pic:blipFill>
                  <pic:spPr bwMode="auto">
                    <a:xfrm>
                      <a:off x="0" y="0"/>
                      <a:ext cx="5244802" cy="3312024"/>
                    </a:xfrm>
                    <a:prstGeom prst="rect">
                      <a:avLst/>
                    </a:prstGeom>
                    <a:noFill/>
                    <a:ln w="9525">
                      <a:noFill/>
                      <a:headEnd/>
                      <a:tailEnd/>
                    </a:ln>
                  </pic:spPr>
                </pic:pic>
              </a:graphicData>
            </a:graphic>
          </wp:inline>
        </w:drawing>
      </w:r>
    </w:p>
    <w:p>
      <w:pPr>
        <w:pStyle w:val="ImageCaption"/>
        <w:keepNext w:val="0"/>
        <w:keepLines/>
        <w:widowControl/>
        <w:spacing w:before="60" w:after="60" w:line="288" w:lineRule="auto"/>
        <w:jc w:val="both"/>
      </w:pPr>
      <w:r>
        <w:rPr>
          <w:rFonts w:ascii="Times New Roman" w:hAnsi="Times New Roman" w:eastAsia="Times New Roman" w:cs="Times New Roman"/>
          <w:b/>
          <w:i w:val="0"/>
          <w:sz w:val="26"/>
          <w:u w:val="none"/>
        </w:rPr>
        <w:t>Hình 4. Cấu trúc vùng chứa và ranh giới trách nhiệm – góc nhìn vùng chứa logic dùng các phần tử C4; công nghệ/giao thức cụ thể được giữ ở L3</w:t>
      </w:r>
    </w:p>
    <w:bookmarkEnd w:id="54"/>
    <w:bookmarkStart w:id="55" w:name="X1074b13ab6cbcf1e814cecbed43cfc3eb1983b6"/>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6.4. Triển khai và biên tin cậy như các điểm biến thiên</w:t>
      </w:r>
    </w:p>
    <w:p>
      <w:pPr>
        <w:pStyle w:val="FirstParagraph"/>
        <w:keepNext w:val="0"/>
        <w:keepLines w:val="0"/>
        <w:widowControl/>
        <w:spacing w:before="60" w:after="60" w:line="288" w:lineRule="auto"/>
        <w:ind w:firstLine="720"/>
        <w:jc w:val="both"/>
      </w:pPr>
      <w:r>
        <w:rPr>
          <w:rFonts w:ascii="Times New Roman" w:hAnsi="Times New Roman"/>
          <w:sz w:val="26"/>
        </w:rPr>
        <w:t>Profile P-DIST được dùng trong đánh giá để làm rõ một phương án trong đó mỗi tỉnh có kho vận hành vật lý tách biệt và trung ương duy trì mô hình đọc/tổng hợp. Đây là một lựa chọn L2 của điểm biến thiên topology, không phải thành phần bắt buộc của lõi SRA. Các hiện thực hóa đa tenant, phân vùng logic/schema hoặc mô hình lai vẫn có thể phù hợp nếu bảo toàn cùng biên quyền ghi, nguồn gốc dữ liệu, quan hệ phụ thuộc và khả năng truy vết. Hình 5 minh họa P-DIST ở mức deployment logic để cho thấy vị trí tương đối của nút tỉnh, nút trung ương và hạ tầng chia sẻ/điều phối; hình không ấn định sản phẩm CSDL, middleware hay giao thức cụ thể.</w:t>
      </w:r>
    </w:p>
    <w:p>
      <w:pPr>
        <w:pStyle w:val="CaptionedFigure"/>
        <w:jc w:val="center"/>
      </w:pPr>
      <w:r>
        <w:drawing>
          <wp:inline>
            <wp:extent cx="5623560" cy="3685074"/>
            <wp:docPr id="54" name="Picture 54"/>
            <wp:cNvGraphicFramePr>
              <a:graphicFrameLocks noChangeAspect="1"/>
            </wp:cNvGraphicFramePr>
            <a:graphic>
              <a:graphicData uri="http://schemas.openxmlformats.org/drawingml/2006/picture">
                <pic:pic>
                  <pic:nvPicPr>
                    <pic:cNvPr id="0" name="fig05_pdist_word.png"/>
                    <pic:cNvPicPr/>
                  </pic:nvPicPr>
                  <pic:blipFill>
                    <a:blip r:embed="rId13"/>
                    <a:stretch>
                      <a:fillRect/>
                    </a:stretch>
                  </pic:blipFill>
                  <pic:spPr>
                    <a:xfrm>
                      <a:off x="0" y="0"/>
                      <a:ext cx="5623560" cy="3685074"/>
                    </a:xfrm>
                    <a:prstGeom prst="rect"/>
                  </pic:spPr>
                </pic:pic>
              </a:graphicData>
            </a:graphic>
          </wp:inline>
        </w:drawing>
      </w:r>
    </w:p>
    <w:p>
      <w:pPr>
        <w:pStyle w:val="ImageCaption"/>
        <w:keepNext/>
        <w:jc w:val="both"/>
      </w:pPr>
      <w:r>
        <w:rPr>
          <w:rFonts w:ascii="Times New Roman" w:hAnsi="Times New Roman"/>
          <w:b/>
          <w:i w:val="0"/>
          <w:sz w:val="26"/>
        </w:rPr>
        <w:t>Hình 5. Cấu hình triển khai logic P-DIST dùng cho stress-test; hạ tầng chia sẻ/điều phối và Agent Node là vai trò kết nối, không phải topology bắt buộc của SRA</w:t>
      </w:r>
    </w:p>
    <w:p>
      <w:pPr>
        <w:pStyle w:val="BodyText"/>
        <w:jc w:val="both"/>
      </w:pPr>
      <w:r>
        <w:rPr>
          <w:rFonts w:ascii="Times New Roman" w:hAnsi="Times New Roman"/>
          <w:sz w:val="26"/>
        </w:rPr>
        <w:t>Trong ánh xạ này, “Cổng tích hợp và trao đổi” là vai trò logic của bộ thích nghi tích hợp. Khi hiện thực hóa trong hệ sinh thái Bộ Khoa học và Công nghệ, vai trò đó phải tương thích với lớp tích hợp, chia sẻ và điều phối của QĐ 1973 (LGSP/LDOP, API Gateway, Agent Node) và cơ chế kết nối qua Nền tảng chia sẻ, điều phối dữ liệu/Agent Node theo NĐ 278 [11, Mục III.1.4; 22, khoản 2 Điều 4, khoản 3 Điều 7]. Vì vậy, Hình 5 là profile L2 phục vụ đánh giá kiến trúc, không phải sơ đồ triển khai chính thức hoặc cấu hình được các văn bản dẫn chiếu bắt buộc.</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Tương tự, góc nhìn an toàn/riêng tư chỉ khóa các bất biến kiến trúc: xác thực theo nguồn phù hợp, ủy quyền theo vai trò và phạm vi, tách đặc quyền tỉnh–trung ương, kiểm soát trường dữ liệu được trao đổi, lưu nguồn gốc/phiên bản và bằng chứng gửi–nhận, cùng trách nhiệm kiểm toán. Các yêu cầu này được dẫn xuất từ NĐ 69, NĐ 278, Luật Bảo vệ dữ liệu cá nhân và NĐ 356 [23, 22, 25, 26]. Chúng không chứng minh rằng một hệ thống chưa triển khai đã đạt cấp độ an toàn thông tin, thông lượng, tính sẵn sàng hay thời gian phục hồi cụ thể; các thuộc tính đó phải được kiểm chứng trên hiện thực hóa thực tế. Ma trận biên tin cậy–kiểm soát chi tiết được cung cấp trong tài liệu bổ trợ.</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Cuối cùng, biến thể địa phương được giới hạn ở bước nội bộ, vai trò phối hợp và biểu mẫu phụ trợ; không được thay đổi thẩm quyền, trạng thái quyết định hoặc thời hạn L1, và phải có phiên bản/ngày hiệu lực. Cấu trúc mô hình chung–biến thể địa phương phù hợp với tiền lệ về quy trình cấu hình trong chính quyền đô thị [33, pp. 486-500]. Đồng thời, địa bàn được dùng để xác định thẩm quyền chứ không làm ranh giới của toàn bộ hệ sinh thái: quan hệ doanh nghiệp–quỹ–chuyên gia–viện/trường cần được lưu xuyên địa bàn [13, pp. 27-28]; [14, pp. 1483-1484].</w:t>
      </w:r>
    </w:p>
    <w:bookmarkEnd w:id="55"/>
    <w:bookmarkEnd w:id="56"/>
    <w:bookmarkStart w:id="60" w:name="đánh-giá-kiến-trúc-theo-kịch-bả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7. Đánh giá kiến trúc theo kịch bản</w:t>
      </w:r>
    </w:p>
    <w:bookmarkStart w:id="57" w:name="thiết-lập-đánh-giá-và-kết-quả-tổng-quát"/>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7.1. Thiết lập đánh giá và kết quả tổng quát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cấu hình ứng viên của SRA theo profile P-DIST trước vòng đánh giá; B0 là một cấu hình tập trung dùng làm đường cơ sở định tính để làm rõ các đánh đổi. Hai cấu hình khác nhau đồng thời ở nhiều quyết định, vì vậy B0 không được dùng như đối chứng thực nghiệm và kết quả không được diễn giải như bằng chứng rằng một topology tốt hơn topology khác. Mười kịch bản S1–S10 và rubric ba mức đã trình bày ở Mục 3.4 được áp dụng trước cho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sau đó áp dụng lại cho B1-R sau tinh chỉnh.</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Kết quả ban đầu gồm</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kịch bản đáp ứng trực tiếp, 7 đáp ứng có điều kiện và 1 rủi ro kiến trúc</w:t>
      </w:r>
      <w:r>
        <w:rPr>
          <w:rFonts w:ascii="Times New Roman" w:hAnsi="Times New Roman" w:eastAsia="Times New Roman" w:cs="Times New Roman"/>
          <w:sz w:val="26"/>
        </w:rPr>
        <w:t xml:space="preserve">. Sau vòng tinh chỉnh, B1-R đạt</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 đáp ứng trực tiếp, 8 đáp ứng có điều kiện và không còn rủi ro kiến trúc chưa được hấp thụ ở mức thiết kế L2</w:t>
      </w:r>
      <w:r>
        <w:rPr>
          <w:rFonts w:ascii="Times New Roman" w:hAnsi="Times New Roman" w:eastAsia="Times New Roman" w:cs="Times New Roman"/>
          <w:sz w:val="26"/>
        </w:rPr>
        <w:t xml:space="preserve">. Bảng 5 giữ toàn bộ mười kịch bản nhưng chỉ trình bày phát hiện có ý nghĩa đối với lập luận kiến trúc; các mã thành phần, quy tắc phù hợp và phép kiểm tra chi tiết được chuyển sang tài liệu bổ trợ.</w:t>
      </w:r>
    </w:p>
    <w:p>
      <w:pPr>
        <w:pStyle w:val="TableCaption"/>
        <w:keepNext/>
        <w:keepLines w:val="0"/>
        <w:widowControl/>
        <w:spacing w:before="60" w:after="60" w:line="288" w:lineRule="auto"/>
        <w:jc w:val="both"/>
      </w:pPr>
      <w:r>
        <w:rPr>
          <w:rFonts w:ascii="Times New Roman" w:hAnsi="Times New Roman" w:eastAsia="Times New Roman" w:cs="Times New Roman"/>
          <w:b/>
          <w:i w:val="0"/>
          <w:sz w:val="26"/>
          <w:u w:val="none"/>
        </w:rPr>
        <w:t>Bảng 5. Kết quả stress-test B1 và kiểm tra lại B1-R bằng cùng rubric</w:t>
      </w:r>
    </w:p>
    <w:tbl>
      <w:tblPr>
        <w:tblStyle w:val="TableGrid"/>
        <w:tblW w:type="auto" w:w="0"/>
        <w:jc w:val="center"/>
        <w:tblLayout w:type="fixed"/>
        <w:tblLook w:firstRow="0" w:lastRow="0" w:firstColumn="0" w:lastColumn="0" w:noHBand="0" w:noVBand="0" w:val="0000"/>
        <w:tblCaption w:val="Kết quả stress-test B1_0 và kiểm tra lại B1-R bằng cùng rubric"/>
      </w:tblPr>
      <w:tblGrid>
        <w:gridCol w:w="1980"/>
        <w:gridCol w:w="1980"/>
        <w:gridCol w:w="1980"/>
        <w:gridCol w:w="1980"/>
      </w:tblGrid>
      <w:tr>
        <w:trPr>
          <w:tblHeader w:val="true"/>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Kịch bản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w:t>
            </w:r>
            <w:r>
              <w:rPr>
                <w:rFonts w:ascii="Times New Roman" w:hAnsi="Times New Roman" w:eastAsia="Times New Roman" w:cs="Times New Roman"/>
                <w:sz w:val="20"/>
                <w:vertAlign w:val="subscript"/>
              </w:rPr>
              <w:t>0</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B1-R</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Hàm ý kiến trúc chính</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 Tỉnh xử lý và quyết định theo thẩm quyền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quyền ghi theo phạm vi thẩm quyền là phù hợp với nghiệp vụ phân cấp.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S2. Hai tỉnh khác bước nội bộ nhưng cùng nghĩa vụ pháp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Trực tiếp</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Cần tách mô hình nền pháp lý khỏi cấu hình nội bộ có kiểm soát.</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S3. Quy định thay đổi trạng thái, biểu mẫu hoặc thời hạn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Thay đổi phải đi qua quản trị phiên bản và xử lý hồ sơ đang chạy.</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S4. Chia sẻ trung ương gián đoạn sau quyết định của tỉnh</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Xử lý cục bộ và đồng bộ lại chỉ khả thi nếu bảo toàn trạng thái, thời hạn và chống lặp.</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S5. Trung ương cần ảnh dữ liệu toàn quốc</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Mô hình đọc hợp nhất phải công bố nguồn, phiên bản và độ mới thay vì trở thành nguồn pháp lý mới.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S6. Định danh doanh nghiệp thay đổi tại nguồn quốc gia</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Dữ liệu tham chiếu phải được làm mới và xác minh lại từ nguồn có thẩm quyền ở các bước nhạy cảm.</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S7. Lớp trung ương không sẵn sàng khi tỉnh đang xử lý</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Khả năng tiếp tục cục bộ phụ thuộc ranh giới rõ giữa bước địa phương và bước bắt buộc dùng dịch vụ ngoài.</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S8. Quan hệ đầu tư/hỗ trợ vượt địa giới</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Quan hệ hệ sinh thái phải độc lập với biên thẩm quyền và giữ nguồn cùng thời gian hiệu lực.</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S9. Chuyển phạm vi quản lý từ tỉnh A sang B</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Rủi ro</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Biên ghi theo địa bàn là chưa đủ; quyền ghi phải được biểu diễn như một gán quyền có hiệu lực theo thời gian.</w:t>
            </w:r>
          </w:p>
        </w:tc>
      </w:tr>
      <w:tr>
        <w:trPr>
          <w:cantSplit w:val="true"/>
        </w:trPr>
        <w:tc>
          <w:tcPr>
            <w:tcW w:type="dxa" w:w="2664"/>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S10. Các tỉnh nâng lược đồ/quy trình lệch thời điểm</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1218"/>
            <w:vAlign w:val="center"/>
            <w:tcMar>
              <w:top w:w="70" w:type="dxa"/>
              <w:start w:w="90" w:type="dxa"/>
              <w:bottom w:w="70" w:type="dxa"/>
              <w:end w:w="90" w:type="dxa"/>
            </w:tcMar>
          </w:tcPr>
          <w:p>
            <w:pPr>
              <w:pStyle w:val="Compact"/>
              <w:keepNext w:val="0"/>
              <w:keepLines/>
              <w:widowControl/>
              <w:spacing w:before="0" w:after="0" w:line="288" w:lineRule="auto"/>
              <w:jc w:val="center"/>
            </w:pPr>
            <w:r>
              <w:rPr>
                <w:rFonts w:ascii="Times New Roman" w:hAnsi="Times New Roman" w:eastAsia="Times New Roman" w:cs="Times New Roman"/>
                <w:b/>
                <w:bCs/>
                <w:sz w:val="20"/>
              </w:rPr>
              <w:t xml:space="preserve">Có điều kiện</w:t>
            </w:r>
          </w:p>
        </w:tc>
        <w:tc>
          <w:tcPr>
            <w:tcW w:type="dxa" w:w="3911"/>
            <w:vAlign w:val="center"/>
            <w:tcMar>
              <w:top w:w="70" w:type="dxa"/>
              <w:start w:w="90" w:type="dxa"/>
              <w:bottom w:w="70" w:type="dxa"/>
              <w:end w:w="90" w:type="dxa"/>
            </w:tcMar>
          </w:tcPr>
          <w:p>
            <w:pPr>
              <w:pStyle w:val="Compact"/>
              <w:keepNext w:val="0"/>
              <w:keepLines/>
              <w:widowControl/>
              <w:spacing w:before="0" w:after="0" w:line="288" w:lineRule="auto"/>
              <w:jc w:val="both"/>
            </w:pPr>
            <w:r>
              <w:rPr>
                <w:rFonts w:ascii="Times New Roman" w:hAnsi="Times New Roman" w:eastAsia="Times New Roman" w:cs="Times New Roman"/>
                <w:sz w:val="20"/>
              </w:rPr>
              <w:t xml:space="preserve">Kiến trúc cần quản trị tương thích phiên bản và quy tắc chuyển đổi minh thị.</w:t>
            </w:r>
          </w:p>
        </w:tc>
      </w:tr>
    </w:tbl>
    <w:bookmarkEnd w:id="57"/>
    <w:bookmarkStart w:id="58" w:name="phát-hiện-dẫn-tới-tinh-chỉnh-b1-r"/>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7.2. Phát hiện dẫn tới tinh chỉnh B1-R</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Phát hiện quan trọng nhất là S9.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đã tách quyền ghi theo địa bàn nhưng chưa mô hình hóa việc quyền đó thay đổi theo thời gian. Khi phạm vi quản lý một chủ thể chuyển từ tỉnh A sang tỉnh B, chỉ di chuyển hoặc sao chép dữ liệu không bảo đảm rằng tại cùng một thời điểm chỉ một phía có quyền thay đổi trạng thái, cũng không bảo toàn đầy đủ lịch sử và nguồn gốc của quyết định. Vòng DSR vì vậy tinh chỉnh nguyên tắc quyền ghi của B1-R thành một quan hệ có phạm vi, thời gian hiệu lực và bằng chứng chuyển giao, với bất biến chỉ một writer đang hiệu lực cho cùng phạm vi. Chi tiết biểu diễn và giao thức chuyển quyền được giữ trong tài liệu bổ trợ vì chúng là phương án L2 cần được kiểm chứng khi hiện thực hóa, không phải đặc tả bắt buộc của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S10 làm lộ một vấn đề khác: phiên bản của hợp đồng dữ liệu và quy trình không thể giả định được nâng đồng thời ở mọi tỉnh. B1-R do đó bổ sung cửa sổ tương thích, phiên bản tối thiểu còn hỗ trợ, ghim phiên bản cho hồ sơ đang xử lý và quy tắc chuyển đổi minh thị. Tinh chỉnh này không thay đổi mục tiêu chức năng của SRA nhưng làm rõ điều kiện để các nút có thể tiến hóa độc lập mà vẫn duy trì liên thông và khả năng đọc dữ liệu lịch sử.</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Hai phát hiện trên cho thấy giá trị của phép đánh giá nằm ở việc</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làm lộ điểm chưa đầy đủ và buộc sửa artefact</w:t>
      </w:r>
      <w:r>
        <w:rPr>
          <w:rFonts w:ascii="Times New Roman" w:hAnsi="Times New Roman" w:eastAsia="Times New Roman" w:cs="Times New Roman"/>
          <w:sz w:val="26"/>
        </w:rPr>
        <w:t xml:space="preserve">, chứ không chỉ xác nhận kiến trúc đã xây dựng. Chuỗi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stress-test</w:t>
      </w:r>
      <w:r>
        <w:rPr>
          <w:rFonts w:ascii="Times New Roman" w:hAnsi="Times New Roman" w:eastAsia="Times New Roman" w:cs="Times New Roman"/>
          <w:sz w:val="26"/>
        </w:rPr>
        <w:t xml:space="preserve"> </w:t>
      </w:r>
      <w:r>
        <w:rPr>
          <w:rFonts w:ascii="Times New Roman" w:hAnsi="Times New Roman" w:eastAsia="Times New Roman" w:cs="Times New Roman"/>
          <w:sz w:val="26"/>
        </w:rPr>
        <w: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tinh chỉnh</w:t>
      </w:r>
      <w:r>
        <w:rPr>
          <w:rFonts w:ascii="Times New Roman" w:hAnsi="Times New Roman" w:eastAsia="Times New Roman" w:cs="Times New Roman"/>
          <w:sz w:val="26"/>
        </w:rPr>
        <w:t xml:space="preserve"> </w:t>
      </w:r>
      <w:r>
        <w:rPr>
          <w:rFonts w:ascii="Times New Roman" w:hAnsi="Times New Roman" w:eastAsia="Times New Roman" w:cs="Times New Roman"/>
          <w:sz w:val="26"/>
        </w:rPr>
        <w: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B1-R vì vậy đóng vai trò vòng đánh giá–thiết kế của nghiên cứu. Việc S9 chuyển từ</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rủi ro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sang</w:t>
      </w:r>
      <w:r>
        <w:rPr>
          <w:rFonts w:ascii="Times New Roman" w:hAnsi="Times New Roman" w:eastAsia="Times New Roman" w:cs="Times New Roman"/>
          <w:sz w:val="26"/>
        </w:rPr>
        <w:t xml:space="preserve"> </w:t>
      </w:r>
      <w:r>
        <w:rPr>
          <w:rFonts w:ascii="Times New Roman" w:hAnsi="Times New Roman" w:eastAsia="Times New Roman" w:cs="Times New Roman"/>
          <w:smallCaps/>
          <w:sz w:val="26"/>
        </w:rPr>
        <w:t xml:space="preserve">đáp ứng có điều kiện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chỉ cho biết khoảng trống đã được hấp thụ ở cấp thiết kế; tám kịch bản còn ở mức có điều kiện vẫn đòi hỏi bằng chứng hiện thực hóa.</w:t>
      </w:r>
    </w:p>
    <w:bookmarkEnd w:id="58"/>
    <w:bookmarkStart w:id="59" w:name="X247917e86b60c128df70ca9f6b6c64e50d9322b"/>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7.3. Diễn giải và giới hạn của bằng chứng đánh giá</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B0 cho thấy một cấu hình tập trung có thể giảm số điểm cấu hình, đơn giản hóa một số thao tác tổng hợp và tránh một phần chi phí phối hợp khi chuyển dữ liệu; ngược lại, P-DIST làm rõ biên thực thi theo tỉnh nhưng phát sinh thêm yêu cầu điều phối quyền ghi, đồng bộ và tương thích phiên bản. Đây là các đánh đổi kiến trúc, không phải kết quả xếp hạng hiệu năng hay chi phí.</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Phép đánh giá là</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kiểm chứng kiến trúc theo kịch bản trước triển khai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i/>
          <w:iCs/>
          <w:sz w:val="26"/>
        </w:rPr>
        <w:t xml:space="preserve">scenario-based architecture verification/stress-test</w:t>
      </w:r>
      <w:r>
        <w:rPr>
          <w:rFonts w:ascii="Times New Roman" w:hAnsi="Times New Roman" w:eastAsia="Times New Roman" w:cs="Times New Roman"/>
          <w:sz w:val="26"/>
        </w:rPr>
        <w:t xml:space="preserve">). Các kịch bản được xây dựng và chấm bởi cùng nhóm tác giả; nghiên cứu chưa có prototype vận hành, tải thực, phép đo độ trễ/tính sẵn sàng, thời gian phục hồi, chi phí hay đánh giá người dùng. B0 và B1</w:t>
      </w:r>
      <w:r>
        <w:rPr>
          <w:rFonts w:ascii="Times New Roman" w:hAnsi="Times New Roman" w:eastAsia="Times New Roman" w:cs="Times New Roman"/>
          <w:sz w:val="26"/>
          <w:vertAlign w:val="subscript"/>
        </w:rPr>
        <w:t>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cũng khác nhau ở nhiều quyết định nên không hỗ trợ suy luận nhân quả cho một quyết định riêng lẻ. Vì vậy, kết quả chỉ chứng minh mức đầy đủ và tính nhất quán tương đối của artefact dưới các kịch bản đã chọn. Bằng chứng tiếp theo cần đến từ nguyên mẫu và các phép thử có thể lặp lại đối với chuyển quyền ghi, tương thích/nâng cấp, liên thông, phục hồi và an toàn.</w:t>
      </w:r>
    </w:p>
    <w:bookmarkEnd w:id="59"/>
    <w:bookmarkEnd w:id="60"/>
    <w:bookmarkStart w:id="64" w:name="bàn-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8. Bàn luận</w:t>
      </w:r>
    </w:p>
    <w:bookmarkStart w:id="61" w:name="ý-nghĩa-của-đóng-góp-kiến-trúc"/>
    <w:p>
      <w:pPr>
        <w:pStyle w:val="Heading2"/>
        <w:keepNext/>
        <w:keepLines w:val="0"/>
        <w:widowControl/>
        <w:spacing w:before="60" w:after="60" w:line="288" w:lineRule="auto"/>
        <w:jc w:val="left"/>
      </w:pPr>
      <w:r>
        <w:rPr>
          <w:rFonts w:ascii="Times New Roman" w:hAnsi="Times New Roman" w:eastAsia="Times New Roman" w:cs="Times New Roman"/>
          <w:b/>
          <w:i/>
          <w:sz w:val="26"/>
          <w:u w:val="none"/>
        </w:rPr>
        <w:t>8.1. Ý nghĩa của đóng góp kiến trúc</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Đóng góp của nghiên cứu không nằm ở một topology triển khai cụ thể mà ở cách SRA tách</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lõi ổn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khỏi</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điểm biến thiên</w:t>
      </w:r>
      <w:r>
        <w:rPr>
          <w:rFonts w:ascii="Times New Roman" w:hAnsi="Times New Roman" w:eastAsia="Times New Roman" w:cs="Times New Roman"/>
          <w:sz w:val="26"/>
        </w:rPr>
        <w:t xml:space="preserve">. Lõi ổn định bảo toàn quyền ghi theo thẩm quyền, nguồn gốc và hiệu lực dữ liệu, cùng trách nhiệm liên thông; còn bố trí kho dữ liệu, cơ chế tích hợp và chi tiết quy trình địa phương được để ở lớp biến thiên. Cách tách này cho phép thay đổi tổ chức hoặc công nghệ mà không phải diễn giải lại các nghĩa vụ nền tảng.</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Mô hình thẩm quyền theo</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nhóm thuộc tính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điểm khác biệt thứ hai: định danh pháp lý, trạng thái chuyên ngành, bằng chứng ngoài hệ thống và dữ liệu dẫn xuất có thể thuộc các nguồn có thẩm quyền khác nhau. Nhờ đó, nền tảng chuyên ngành không trở thành một nguồn pháp lý song song. Chuỗi truy vết từ nguồn tới quyết định kiến trúc đồng thời vận hành hóa yêu cầu về tính phù hợp kiến trúc trước đầu tư tại Khung kiến trúc số của Bộ KH&amp;CN [11]; giá trị của nó nằm ở khả năng giải thích vì sao một quyết định tồn tại và phần nào phải xem xét lại khi nguồn thay đổi, thay vì ở số lượng mã truy vết nội bộ.</w:t>
      </w:r>
    </w:p>
    <w:p>
      <w:pPr>
        <w:pStyle w:val="Heading2"/>
        <w:jc w:val="left"/>
      </w:pPr>
      <w:r>
        <w:rPr>
          <w:rFonts w:ascii="Times New Roman" w:hAnsi="Times New Roman"/>
          <w:sz w:val="26"/>
        </w:rPr>
        <w:t>8.2. Các nguyên tắc thiết kế có khả năng khái quát và đối sánh với khung hiện hành</w:t>
      </w:r>
    </w:p>
    <w:p>
      <w:pPr>
        <w:pStyle w:val="FirstParagraph"/>
        <w:jc w:val="both"/>
      </w:pPr>
      <w:r>
        <w:rPr>
          <w:rFonts w:ascii="Times New Roman" w:hAnsi="Times New Roman"/>
          <w:sz w:val="26"/>
        </w:rPr>
        <w:t>Từ hai đóng góp kiến trúc và các phát hiện của stress-test, nghiên cứu rút ra ba nguyên tắc thiết kế ở mức khái quát. Các nguyên tắc này không được trình bày như quy luật phổ quát; chúng là design knowledge có điều kiện, có khả năng chuyển giao cho các nền tảng khu vực công có phân cấp thẩm quyền, nhiều nguồn dữ liệu có thẩm quyền và yêu cầu liên thông đa cấp tương tự.</w:t>
      </w:r>
    </w:p>
    <w:p>
      <w:pPr>
        <w:pStyle w:val="BodyText"/>
        <w:jc w:val="both"/>
      </w:pPr>
      <w:r>
        <w:rPr>
          <w:rFonts w:ascii="Times New Roman" w:hAnsi="Times New Roman"/>
          <w:b/>
          <w:sz w:val="26"/>
        </w:rPr>
        <w:t xml:space="preserve">P1 – Phân rã thẩm quyền theo nhóm thuộc tính–phạm vi–thời gian. </w:t>
      </w:r>
      <w:r>
        <w:rPr>
          <w:rFonts w:ascii="Times New Roman" w:hAnsi="Times New Roman"/>
          <w:sz w:val="26"/>
        </w:rPr>
        <w:t>Nguồn có thẩm quyền và quyền ghi nên được xác định theo từng nhóm thuộc tính, phạm vi nghiệp vụ và khoảng hiệu lực thay vì gán toàn bộ thực thể cho một CSDL hoặc một cơ quan. Nguyên tắc này cho phép định danh pháp lý, trạng thái chuyên ngành và dữ liệu dẫn xuất cùng tồn tại mà không tạo các nguồn pháp lý song song.</w:t>
      </w:r>
    </w:p>
    <w:p>
      <w:pPr>
        <w:pStyle w:val="BodyText"/>
        <w:jc w:val="both"/>
      </w:pPr>
      <w:r>
        <w:rPr>
          <w:rFonts w:ascii="Times New Roman" w:hAnsi="Times New Roman"/>
          <w:b/>
          <w:sz w:val="26"/>
        </w:rPr>
        <w:t xml:space="preserve">P2 – Lõi pháp lý ổn định, biến thể vận hành có kiểm soát. </w:t>
      </w:r>
      <w:r>
        <w:rPr>
          <w:rFonts w:ascii="Times New Roman" w:hAnsi="Times New Roman"/>
          <w:sz w:val="26"/>
        </w:rPr>
        <w:t>Thẩm quyền, trạng thái quyết định, nguồn pháp lý và thời hạn bắt buộc thuộc stable core; bước xử lý nội bộ, vai trò phối hợp, biểu mẫu phụ trợ và cấu hình địa phương có thể biến thiên nếu được version hóa và không làm thay đổi lõi này. Cách tách đó cho phép thích nghi tổ chức mà không phải tái diễn giải nghĩa vụ pháp lý mỗi khi quy trình vận hành thay đổi.</w:t>
      </w:r>
    </w:p>
    <w:p>
      <w:pPr>
        <w:pStyle w:val="BodyText"/>
        <w:jc w:val="both"/>
      </w:pPr>
      <w:r>
        <w:rPr>
          <w:rFonts w:ascii="Times New Roman" w:hAnsi="Times New Roman"/>
          <w:b/>
          <w:sz w:val="26"/>
        </w:rPr>
        <w:t xml:space="preserve">P3 – Liên thông độc lập topology nhưng không độc lập provenance. </w:t>
      </w:r>
      <w:r>
        <w:rPr>
          <w:rFonts w:ascii="Times New Roman" w:hAnsi="Times New Roman"/>
          <w:sz w:val="26"/>
        </w:rPr>
        <w:t>Biên thẩm quyền, trách nhiệm liên thông và nguồn gốc dữ liệu phải được bảo toàn bất kể hệ thống dùng kho tập trung, phân vùng hay phân tán. Bản sao, mô hình đọc và dữ liệu tổng hợp chỉ có thể thay đổi nơi lưu và cách truy cập; chúng vẫn phải giữ nguồn, phiên bản, thời điểm hiệu lực và bằng chứng trao đổi để không bị diễn giải như nguồn quyết định gốc.</w:t>
      </w:r>
    </w:p>
    <w:p>
      <w:pPr>
        <w:pStyle w:val="BodyText"/>
        <w:jc w:val="both"/>
      </w:pPr>
      <w:r>
        <w:rPr>
          <w:rFonts w:ascii="Times New Roman" w:hAnsi="Times New Roman"/>
          <w:sz w:val="26"/>
        </w:rPr>
        <w:t>Để làm rõ mức độ mà SRA đã được neo vào các khung mới hiện hành, Bảng 6 đối sánh trực tiếp yêu cầu kiến trúc với biểu hiện trong artefact. Bảng này là bằng chứng truy vết/conformance ở mức thiết kế, không phải chứng nhận rằng một hệ thống chưa triển khai đã tuân thủ đầy đủ mọi yêu cầu kỹ thuật và an toàn.</w:t>
      </w:r>
    </w:p>
    <w:p>
      <w:pPr>
        <w:pStyle w:val="TableCaption"/>
        <w:keepNext/>
        <w:jc w:val="both"/>
      </w:pPr>
      <w:r>
        <w:rPr>
          <w:rFonts w:ascii="Times New Roman" w:hAnsi="Times New Roman"/>
          <w:b/>
          <w:i w:val="0"/>
          <w:sz w:val="26"/>
        </w:rPr>
        <w:t>Bảng 6. Đối sánh SRA với các khung kiến trúc, dữ liệu và liên thông hiện hành</w:t>
      </w:r>
    </w:p>
    <w:tbl>
      <w:tblPr>
        <w:tblStyle w:val="TableGrid"/>
        <w:tblW w:type="auto" w:w="0"/>
        <w:tblLayout w:type="fixed"/>
        <w:tblLook w:firstColumn="1" w:firstRow="1" w:lastColumn="0" w:lastRow="0" w:noHBand="0" w:noVBand="1" w:val="04A0"/>
      </w:tblPr>
      <w:tblGrid>
        <w:gridCol w:w="2256"/>
        <w:gridCol w:w="2256"/>
        <w:gridCol w:w="2256"/>
        <w:gridCol w:w="2256"/>
      </w:tblGrid>
      <w:tr>
        <w:trPr>
          <w:tblHeader w:val="true"/>
        </w:trPr>
        <w:tc>
          <w:tcPr>
            <w:tcW w:type="dxa" w:w="1800"/>
            <w:vAlign w:val="top"/>
            <w:tcMar>
              <w:top w:w="55" w:type="dxa"/>
              <w:left w:w="55" w:type="dxa"/>
              <w:bottom w:w="55" w:type="dxa"/>
              <w:right w:w="55" w:type="dxa"/>
            </w:tcMar>
          </w:tcPr>
          <w:p>
            <w:pPr>
              <w:pStyle w:val="Compact"/>
              <w:jc w:val="center"/>
            </w:pPr>
            <w:r>
              <w:rPr>
                <w:rFonts w:ascii="Times New Roman" w:hAnsi="Times New Roman"/>
                <w:b/>
                <w:sz w:val="19"/>
              </w:rPr>
              <w:t>Nguồn/vị trí</w:t>
            </w:r>
          </w:p>
        </w:tc>
        <w:tc>
          <w:tcPr>
            <w:tcW w:type="dxa" w:w="2232"/>
            <w:vAlign w:val="top"/>
            <w:tcMar>
              <w:top w:w="55" w:type="dxa"/>
              <w:left w:w="55" w:type="dxa"/>
              <w:bottom w:w="55" w:type="dxa"/>
              <w:right w:w="55" w:type="dxa"/>
            </w:tcMar>
          </w:tcPr>
          <w:p>
            <w:pPr>
              <w:pStyle w:val="Compact"/>
              <w:jc w:val="center"/>
            </w:pPr>
            <w:r>
              <w:rPr>
                <w:rFonts w:ascii="Times New Roman" w:hAnsi="Times New Roman"/>
                <w:b/>
                <w:sz w:val="19"/>
              </w:rPr>
              <w:t>Yêu cầu kiến trúc</w:t>
            </w:r>
          </w:p>
        </w:tc>
        <w:tc>
          <w:tcPr>
            <w:tcW w:type="dxa" w:w="3384"/>
            <w:vAlign w:val="top"/>
            <w:tcMar>
              <w:top w:w="55" w:type="dxa"/>
              <w:left w:w="55" w:type="dxa"/>
              <w:bottom w:w="55" w:type="dxa"/>
              <w:right w:w="55" w:type="dxa"/>
            </w:tcMar>
          </w:tcPr>
          <w:p>
            <w:pPr>
              <w:pStyle w:val="Compact"/>
              <w:jc w:val="center"/>
            </w:pPr>
            <w:r>
              <w:rPr>
                <w:rFonts w:ascii="Times New Roman" w:hAnsi="Times New Roman"/>
                <w:b/>
                <w:sz w:val="19"/>
              </w:rPr>
              <w:t>Biểu hiện trong SRA</w:t>
            </w:r>
          </w:p>
        </w:tc>
        <w:tc>
          <w:tcPr>
            <w:tcW w:type="dxa" w:w="1584"/>
            <w:vAlign w:val="top"/>
            <w:tcMar>
              <w:top w:w="55" w:type="dxa"/>
              <w:left w:w="55" w:type="dxa"/>
              <w:bottom w:w="55" w:type="dxa"/>
              <w:right w:w="55" w:type="dxa"/>
            </w:tcMar>
          </w:tcPr>
          <w:p>
            <w:pPr>
              <w:pStyle w:val="Compact"/>
              <w:jc w:val="center"/>
            </w:pPr>
            <w:r>
              <w:rPr>
                <w:rFonts w:ascii="Times New Roman" w:hAnsi="Times New Roman"/>
                <w:b/>
                <w:sz w:val="19"/>
              </w:rPr>
              <w:t>Bằng chứng</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QĐ 3090/QĐ-BKHCN, Điều 1 [9]</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Nền tảng chuyên ngành phải được đặt trong hệ quy chiếu kiến trúc số quốc gia, tránh hình thành kiến trúc biệt lập.</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Hình 1 định vị SRA giữa khung số, dữ liệu và nghiệp vụ; stable core/variation tách nghĩa vụ ổn định khỏi lựa chọn công nghệ.</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Hình 1; Mục 4.1–4.2</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QĐ 292/QĐ-BKHCN, Chương 2 Mục II; Chương 3 Mục II.6–7 [21]</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Kiểm tra theo các mô hình tham chiếu nghiệp vụ, dữ liệu, ứng dụng, công nghệ, ATTT; sử dụng lớp tích hợp/chia sẻ quốc gia và cấp bộ/tỉnh.</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Các góc nhìn năng lực–ứng dụng, dữ liệu–thẩm quyền và container tách ranh giới trách nhiệm; trao đổi liên cơ quan đi qua lớp tích hợp thay vì kết nối điểm–điểm tùy ý.</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Hình 2, 4; Mục 6</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QĐ 2439/QĐ-TTg [10]; NĐ 278, khoản 2,4 Điều 4; khoản 2 Điều 5; khoản 2–3 Điều 7 [22]</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Một nguồn tin cậy cho dữ liệu chủ; chia sẻ bắt buộc qua Nền tảng chia sẻ, điều phối; Agent Node tại bộ/địa phương.</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Thẩm quyền được xác định theo nhóm thuộc tính; bản sao giữ provenance/phiên bản; cổng tích hợp của SRA thích nghi với hạ tầng chia sẻ/điều phối.</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Hình 3, 5; Mục 5–6</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QĐ 1973/QĐ-BKHCN, Mục II.1(b), III.1.4, III.3.3 [11]</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Thu thập một lần, một nguồn dữ liệu gốc; đồng bộ qua nền tảng tích hợp của Bộ; dữ liệu tổ chức/doanh nghiệp nhận từ nguồn quốc gia.</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SRA không tạo master định danh doanh nghiệp song song; tỉnh quản trị trạng thái chuyên ngành theo thẩm quyền; Hình 5 ánh xạ logic tới LGSP/LDOP–Agent Node.</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Hình 3, 5; Mục 5.1, 6.4</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NĐ 268/2025/NĐ-CP, Điều 48; khoản 2 Điều 66 [1]</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Thẩm quyền nghiệp vụ chủ yếu ở cấp tỉnh nhưng có nghĩa vụ cập nhật/thông báo liên cấp và thời hạn luật định.</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Quyền ghi bám thẩm quyền có hiệu lực; trung ương đọc/tổng hợp; sự kiện trao đổi giữ bằng chứng gửi–nhận và không chuyển 15 ngày thành API SLA.</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Mục 5.2, 6.2; S9</w:t>
            </w:r>
          </w:p>
        </w:tc>
      </w:tr>
      <w:tr>
        <w:trPr/>
        <w:tc>
          <w:tcPr>
            <w:tcW w:type="dxa" w:w="1800"/>
            <w:vAlign w:val="top"/>
            <w:tcMar>
              <w:top w:w="55" w:type="dxa"/>
              <w:left w:w="55" w:type="dxa"/>
              <w:bottom w:w="55" w:type="dxa"/>
              <w:right w:w="55" w:type="dxa"/>
            </w:tcMar>
          </w:tcPr>
          <w:p>
            <w:pPr>
              <w:pStyle w:val="Compact"/>
              <w:jc w:val="left"/>
            </w:pPr>
            <w:r>
              <w:rPr>
                <w:rFonts w:ascii="Times New Roman" w:hAnsi="Times New Roman"/>
                <w:b w:val="0"/>
                <w:sz w:val="19"/>
              </w:rPr>
              <w:t>NĐ 69 [23]; Luật BV dữ liệu cá nhân [25]; NĐ 356 [26]</w:t>
            </w:r>
          </w:p>
        </w:tc>
        <w:tc>
          <w:tcPr>
            <w:tcW w:type="dxa" w:w="2232"/>
            <w:vAlign w:val="top"/>
            <w:tcMar>
              <w:top w:w="55" w:type="dxa"/>
              <w:left w:w="55" w:type="dxa"/>
              <w:bottom w:w="55" w:type="dxa"/>
              <w:right w:w="55" w:type="dxa"/>
            </w:tcMar>
          </w:tcPr>
          <w:p>
            <w:pPr>
              <w:pStyle w:val="Compact"/>
              <w:jc w:val="left"/>
            </w:pPr>
            <w:r>
              <w:rPr>
                <w:rFonts w:ascii="Times New Roman" w:hAnsi="Times New Roman"/>
                <w:b w:val="0"/>
                <w:sz w:val="19"/>
              </w:rPr>
              <w:t>Định danh/xác thực, phân quyền theo phạm vi, tối thiểu hóa và bảo vệ dữ liệu, truy vết/kiểm toán.</w:t>
            </w:r>
          </w:p>
        </w:tc>
        <w:tc>
          <w:tcPr>
            <w:tcW w:type="dxa" w:w="3384"/>
            <w:vAlign w:val="top"/>
            <w:tcMar>
              <w:top w:w="55" w:type="dxa"/>
              <w:left w:w="55" w:type="dxa"/>
              <w:bottom w:w="55" w:type="dxa"/>
              <w:right w:w="55" w:type="dxa"/>
            </w:tcMar>
          </w:tcPr>
          <w:p>
            <w:pPr>
              <w:pStyle w:val="Compact"/>
              <w:jc w:val="left"/>
            </w:pPr>
            <w:r>
              <w:rPr>
                <w:rFonts w:ascii="Times New Roman" w:hAnsi="Times New Roman"/>
                <w:b w:val="0"/>
                <w:sz w:val="19"/>
              </w:rPr>
              <w:t>Xác thực theo nguồn phù hợp; tách đặc quyền tỉnh–trung ương; kiểm soát trường trao đổi; lưu provenance, version và audit evidence.</w:t>
            </w:r>
          </w:p>
        </w:tc>
        <w:tc>
          <w:tcPr>
            <w:tcW w:type="dxa" w:w="1584"/>
            <w:vAlign w:val="top"/>
            <w:tcMar>
              <w:top w:w="55" w:type="dxa"/>
              <w:left w:w="55" w:type="dxa"/>
              <w:bottom w:w="55" w:type="dxa"/>
              <w:right w:w="55" w:type="dxa"/>
            </w:tcMar>
          </w:tcPr>
          <w:p>
            <w:pPr>
              <w:pStyle w:val="Compact"/>
              <w:jc w:val="left"/>
            </w:pPr>
            <w:r>
              <w:rPr>
                <w:rFonts w:ascii="Times New Roman" w:hAnsi="Times New Roman"/>
                <w:b w:val="0"/>
                <w:sz w:val="19"/>
              </w:rPr>
              <w:t>Mục 6.4; tài liệu bổ trợ</w:t>
            </w:r>
          </w:p>
        </w:tc>
      </w:tr>
    </w:tbl>
    <w:p>
      <w:pPr>
        <w:pStyle w:val="BodyText"/>
        <w:jc w:val="both"/>
      </w:pPr>
      <w:r>
        <w:rPr>
          <w:rFonts w:ascii="Times New Roman" w:hAnsi="Times New Roman"/>
          <w:sz w:val="26"/>
        </w:rPr>
        <w:t>Đối sánh cho thấy SRA đã có các điểm neo rõ vào hệ quy chiếu hiện hành ở mức nghiệp vụ, dữ liệu và liên thông. Tuy nhiên, các hàng trên không khóa công nghệ và không thay thế thẩm định triển khai: sản phẩm CSDL, giao thức, cấu hình bảo mật, chỉ tiêu hiệu năng và bằng chứng kết nối thực tế vẫn thuộc giai đoạn hiện thực hóa/kiểm thử. Các nguồn dự thảo chỉ tiếp tục được dùng như tín hiệu chẩn đoán, không được đưa vào bảng như nghĩa vụ bắt buộc.</w:t>
      </w:r>
    </w:p>
    <w:bookmarkEnd w:id="61"/>
    <w:bookmarkStart w:id="62" w:name="trade-off-p-dist-và-khả-năng-khái-quát"/>
    <w:p>
      <w:pPr>
        <w:pStyle w:val="Heading2"/>
        <w:keepNext/>
        <w:keepLines w:val="0"/>
        <w:widowControl/>
        <w:spacing w:before="60" w:after="60" w:line="288" w:lineRule="auto"/>
        <w:jc w:val="left"/>
      </w:pPr>
      <w:r>
        <w:rPr>
          <w:rFonts w:ascii="Times New Roman" w:hAnsi="Times New Roman"/>
          <w:sz w:val="26"/>
        </w:rPr>
        <w:t>8.3. Trade-off, P-DIST và khả năng khái quát</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Kết quả kịch bản không cho thấy P-DIST ưu việt hơn kiến trúc tập trung. P-DIST hỗ trợ biên vận hành địa phương và cô lập một số lỗi, nhưng làm tăng yêu cầu phối hợp phiên bản, tổng hợp toàn quốc và chuyển quyền ghi; phương án tập trung thuận lợi hơn cho phát hành thay đổi và tạo ảnh đọc toàn quốc. Vì vậy, P-DIST chỉ là một cấu hình dùng để kiểm tra xem các bất biến của SRA có được bảo toàn dưới phân tán hay không, không phải khuyến nghị mặc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mỗi tỉnh một kho vật lý</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Hai phát hiện S9–S10 có ý nghĩa rộng hơn cấu hình này. S9 cho thấy thẩm quyền ghi là quan hệ có hiệu lực theo thời gian, không chỉ là ánh xạ tĩnh theo địa bàn; S10 cho thấy một SRA dùng chung phải chịu được giai đoạn các đơn vị vận hành khác phiên bản. B1-R vì thế bổ sung chuyển quyền và quản trị tương thích ở mức kiến trúc, trong khi chi tiết hiện thực hóa vẫn phải được kiểm chứng bằng nguyên mẫu.</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Khả năng chuyển giao còn nằm ở việc tách biên thẩm quyền khỏi biên hệ sinh thái. Các nghiên cứu cho thấy quan hệ khởi nghiệp và đầu tư có thể vượt địa giới hành chính [13, pp. 28, 32]; [14, pp. 1483-1484]. Do đó, địa bàn phù hợp để xác định thẩm quyền và phạm vi xử lý nhưng không nên là ranh giới bắt buộc của quan hệ doanh nghiệp–quỹ–chuyên gia–viện/trường. Nguyên tắc này có thể áp dụng cho các nền tảng công khác có xử lý phân quyền nhưng dữ liệu/liên thông dùng chung; topology cụ thể vẫn phải được lựa chọn theo thẩm quyền, miền sự cố và yêu cầu đồng bộ của từng hệ thống.</w:t>
      </w:r>
    </w:p>
    <w:bookmarkEnd w:id="62"/>
    <w:bookmarkStart w:id="63" w:name="giới-hạn-nghiên-cứu"/>
    <w:p>
      <w:pPr>
        <w:pStyle w:val="Heading2"/>
        <w:keepNext/>
        <w:keepLines w:val="0"/>
        <w:widowControl/>
        <w:spacing w:before="60" w:after="60" w:line="288" w:lineRule="auto"/>
        <w:jc w:val="left"/>
      </w:pPr>
      <w:r>
        <w:rPr>
          <w:rFonts w:ascii="Times New Roman" w:hAnsi="Times New Roman"/>
          <w:sz w:val="26"/>
        </w:rPr>
        <w:t>8.4. Giới hạn nghiên cứu</w:t>
      </w:r>
    </w:p>
    <w:p>
      <w:pPr>
        <w:pStyle w:val="FirstParagraph"/>
        <w:keepNext w:val="0"/>
        <w:keepLines w:val="0"/>
        <w:widowControl/>
        <w:spacing w:before="60" w:after="60" w:line="288" w:lineRule="auto"/>
        <w:ind w:firstLine="720"/>
        <w:jc w:val="both"/>
      </w:pPr>
      <w:r>
        <w:rPr>
          <w:rFonts w:ascii="Times New Roman" w:hAnsi="Times New Roman" w:eastAsia="Times New Roman" w:cs="Times New Roman"/>
          <w:sz w:val="26"/>
        </w:rPr>
        <w:t xml:space="preserve">Bằng chứng hiện tại dừng ở</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scenario-based architecture verification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trước triển khai. Bộ mười kịch bản đã phát hiện khoảng trống thiết kế và dẫn tới B1-R, nhưng không chứng minh bộ kịch bản là đầy đủ; việc xây dựng và chấm kịch bản vẫn do nhóm tác giả thực hiện. Các nguồn dự thảo chỉ có vai trò chẩn đoán và không tạo nghĩa vụ bắt buộc cho SRA.</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Nghiên cứu chưa cung cấp bằng chứng thực nghiệm về hiệu năng, tính sẵn sàng, an toàn, phục hồi hoặc liên thông vận hành. Bước tiếp theo vì vậy là xây dựng nguyên mẫu và kiểm thử lặp lại đối với chuyển quyền ghi, nâng cấp lệch phiên bản, gián đoạn kết nối, trao đổi qua hạ tầng dùng chung và các thuộc tính chất lượng đo được. Chỉ khi đó mới có thể xác nhận các cơ chế L2 chuyển thành hành vi triển khai đúng với chi phí vận hành chấp nhận được.</w:t>
      </w:r>
    </w:p>
    <w:bookmarkEnd w:id="63"/>
    <w:bookmarkEnd w:id="64"/>
    <w:bookmarkStart w:id="65" w:name="kết-luận"/>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9. Kết luận</w:t>
      </w:r>
    </w:p>
    <w:p>
      <w:pPr>
        <w:pStyle w:val="FirstParagraph"/>
        <w:keepNext w:val="0"/>
        <w:keepLines w:val="0"/>
        <w:widowControl/>
        <w:spacing w:before="60" w:after="60" w:line="288" w:lineRule="auto"/>
        <w:ind w:firstLine="720"/>
        <w:jc w:val="both"/>
      </w:pPr>
      <w:r>
        <w:rPr>
          <w:rFonts w:ascii="Times New Roman" w:hAnsi="Times New Roman"/>
          <w:sz w:val="26"/>
        </w:rPr>
        <w:t>Bài báo đề xuất một kiến trúc tham chiếu phần mềm tỉnh–trung ương cho nền tảng quản lý DN KH&amp;CN và DN KNST, trong đó quyền xử lý nghiệp vụ chủ yếu thuộc cấp tỉnh nhưng dữ liệu, liên thông và tổng hợp phải bảo đảm tính thống nhất ở cấp Bộ/quốc gia. Đóng góp chính là cách tổ chức lõi ổn định và điểm biến thiên của SRA; mô hình thẩm quyền dữ liệu theo nhóm thuộc tính; ranh giới trách nhiệm liên thông; và chuỗi truy vết cho phép nối căn cứ nguồn với quyết định kiến trúc và tiêu chí đánh giá. SRA không bắt buộc một topology lưu trữ; P-DIST chỉ được dùng như một cấu hình để thử thách các bất biến kiến trúc dưới điều kiện phân tán. Ba nguyên tắc thiết kế được rút ra ở mức khái quát là: phân rã thẩm quyền theo nhóm thuộc tính–phạm vi–thời gian; tách lõi pháp lý ổn định khỏi biến thể vận hành có kiểm soát; và duy trì provenance/liên thông độc lập với topology lưu trữ.</w:t>
      </w:r>
    </w:p>
    <w:p>
      <w:pPr>
        <w:pStyle w:val="BodyText"/>
        <w:keepNext w:val="0"/>
        <w:keepLines w:val="0"/>
        <w:widowControl/>
        <w:spacing w:before="60" w:after="60" w:line="288" w:lineRule="auto"/>
        <w:ind w:firstLine="720"/>
        <w:jc w:val="both"/>
      </w:pPr>
      <w:r>
        <w:rPr>
          <w:rFonts w:ascii="Times New Roman" w:hAnsi="Times New Roman" w:eastAsia="Times New Roman" w:cs="Times New Roman"/>
          <w:sz w:val="26"/>
        </w:rPr>
        <w:t xml:space="preserve">Mười kịch bản cho thấy ứng viên ban đầu còn hai khoảng trống quan trọng: chuyển quyền ghi phải được biểu diễn theo thời gian và kiến trúc phải chịu được giai đoạn các đơn vị vận hành khác phiên bản. Sau khi hai vấn đề này được hấp thụ vào B1-R, hậu kiểm bằng cùng rubric cho kết quả 2 kịch bản đáp ứng trực tiếp, 8 kịch bản đáp ứng có điều kiện và không còn rủi ro kiến trúc chưa được hấp thụ ở mức L2 trong bộ kịch bản hiện tại. Kết quả này là</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scenario-based architecture verification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trước triển khai, không phải bằng chứng thực nghiệm về một hệ thống vận hành. Bước tiếp theo là xây dựng nguyên mẫu và kiểm thử lặp lại đối với chuyển quyền ghi, nâng cấp lệch phiên bản, liên thông, phục hồi, an toàn và các thuộc tính chất lượng đo được.</w:t>
      </w:r>
    </w:p>
    <w:bookmarkEnd w:id="65"/>
    <w:bookmarkStart w:id="81" w:name="tài-liệu-tham-khảo"/>
    <w:p>
      <w:pPr>
        <w:pStyle w:val="Heading1"/>
        <w:keepNext/>
        <w:keepLines w:val="0"/>
        <w:widowControl/>
        <w:spacing w:before="60" w:after="60" w:line="288" w:lineRule="auto"/>
        <w:jc w:val="left"/>
      </w:pPr>
      <w:r>
        <w:rPr>
          <w:rFonts w:ascii="Times New Roman" w:hAnsi="Times New Roman" w:eastAsia="Times New Roman" w:cs="Times New Roman"/>
          <w:b/>
          <w:i w:val="0"/>
          <w:sz w:val="26"/>
          <w:u w:val="none"/>
        </w:rPr>
        <w:t>TÀI LIỆU THAM KHẢO</w:t>
      </w:r>
    </w:p>
    <w:p>
      <w:pPr>
        <w:pStyle w:val="FirstParagraph"/>
        <w:keepNext w:val="0"/>
        <w:keepLines w:val="0"/>
        <w:widowControl/>
        <w:spacing w:before="60" w:after="60" w:line="276" w:lineRule="auto"/>
        <w:ind w:firstLine="720"/>
        <w:jc w:val="left"/>
      </w:pPr>
      <w:r>
        <w:rPr>
          <w:rFonts w:ascii="Times New Roman" w:hAnsi="Times New Roman" w:eastAsia="Times New Roman" w:cs="Times New Roman"/>
          <w:sz w:val="26"/>
        </w:rPr>
        <w:t>[1]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268/2025/ND-CP Detailing and Guiding a Number of Articles of the Law on Science, Technology and Innovation Concerning Innovation, Science, Technology and Innovation Activities in Enterprises, Recognition of Innovation Centers and Innovative Startups, and Startup Ecosystem Infrastructure</w:t>
      </w:r>
      <w:r>
        <w:rPr>
          <w:rFonts w:ascii="Times New Roman" w:hAnsi="Times New Roman" w:eastAsia="Times New Roman" w:cs="Times New Roman"/>
          <w:sz w:val="26"/>
        </w:rPr>
        <w:t xml:space="preserve">, 69pp,</w:t>
      </w:r>
      <w:r>
        <w:rPr>
          <w:rFonts w:ascii="Times New Roman" w:hAnsi="Times New Roman" w:eastAsia="Times New Roman" w:cs="Times New Roman"/>
          <w:sz w:val="26"/>
        </w:rPr>
        <w:t xml:space="preserve"> </w:t>
      </w:r>
      <w:hyperlink r:id="rId66">
        <w:r>
          <w:rPr>
            <w:rFonts w:ascii="Times New Roman" w:hAnsi="Times New Roman" w:eastAsia="Times New Roman" w:cs="Times New Roman"/>
            <w:rStyle w:val="Hyperlink"/>
          </w:rPr>
          <w:t xml:space="preserve">https://vanban.chinhphu.vn/?classid=1&amp;docid=215663&amp;orggroupid=2&amp;pageid=27160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 N.D. Quang, N.H. Cuong (2026),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governance platform for the innovative startup and science - technology enterprise ecosystem: Insights from Decree No. 268/2025/ND-CP and Korean’s experience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Science and Technology Policy and Management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15(2)</w:t>
      </w:r>
      <w:r>
        <w:rPr>
          <w:rFonts w:ascii="Times New Roman" w:hAnsi="Times New Roman" w:eastAsia="Times New Roman" w:cs="Times New Roman"/>
          <w:sz w:val="26"/>
        </w:rPr>
        <w:t xml:space="preserve">, pp.45–68,</w:t>
      </w:r>
      <w:r>
        <w:rPr>
          <w:rFonts w:ascii="Times New Roman" w:hAnsi="Times New Roman" w:eastAsia="Times New Roman" w:cs="Times New Roman"/>
          <w:sz w:val="26"/>
        </w:rPr>
        <w:t xml:space="preserve"> </w:t>
      </w:r>
      <w:hyperlink r:id="rId67">
        <w:r>
          <w:rPr>
            <w:rFonts w:ascii="Times New Roman" w:hAnsi="Times New Roman" w:eastAsia="Times New Roman" w:cs="Times New Roman"/>
            <w:rStyle w:val="Hyperlink"/>
          </w:rPr>
          <w:t xml:space="preserve">https://vietnamstijournal.net/index.php/JSTPM/article/view/534</w:t>
        </w:r>
      </w:hyperlink>
      <w:r>
        <w:rPr>
          <w:rFonts w:ascii="Times New Roman" w:hAnsi="Times New Roman" w:eastAsia="Times New Roman" w:cs="Times New Roman"/>
          <w:sz w:val="26"/>
        </w:rPr>
        <w:t xml:space="preserve">, accessed 10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 S. Angelov, P. Grefen, D. Greefhorst (2012),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framework for analysis and design of software reference architectures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54(4)</w:t>
      </w:r>
      <w:r>
        <w:rPr>
          <w:rFonts w:ascii="Times New Roman" w:hAnsi="Times New Roman" w:eastAsia="Times New Roman" w:cs="Times New Roman"/>
          <w:sz w:val="26"/>
        </w:rPr>
        <w:t xml:space="preserve">, pp.417–431, DOI: 10.1016/j.infsof.2011.11.009.</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[4] ISO/IEC/IEEE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ISO/IEC/IEEE 42010:2022 Software, Systems and Enterprise—Architecture Description</w:t>
      </w:r>
      <w:r>
        <w:rPr>
          <w:rFonts w:ascii="Times New Roman" w:hAnsi="Times New Roman" w:eastAsia="Times New Roman" w:cs="Times New Roman"/>
          <w:sz w:val="26"/>
        </w:rPr>
        <w:t xml:space="preserve">, 2nd ed., International Organization for Standardization, 62pp,</w:t>
      </w:r>
      <w:r>
        <w:rPr>
          <w:rFonts w:ascii="Times New Roman" w:hAnsi="Times New Roman" w:eastAsia="Times New Roman" w:cs="Times New Roman"/>
          <w:sz w:val="26"/>
        </w:rPr>
        <w:t xml:space="preserve"> </w:t>
      </w:r>
      <w:hyperlink r:id="rId68">
        <w:r>
          <w:rPr>
            <w:rFonts w:ascii="Times New Roman" w:hAnsi="Times New Roman" w:eastAsia="Times New Roman" w:cs="Times New Roman"/>
            <w:rStyle w:val="Hyperlink"/>
          </w:rPr>
          <w:t xml:space="preserve">https://www.iso.org/standard/74393.html</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[5] K. Manikas, K.M. Hansen (2013),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Software ecosystems—A systematic literature review</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Systems and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86(5)</w:t>
      </w:r>
      <w:r>
        <w:rPr>
          <w:rFonts w:ascii="Times New Roman" w:hAnsi="Times New Roman" w:eastAsia="Times New Roman" w:cs="Times New Roman"/>
          <w:sz w:val="26"/>
        </w:rPr>
        <w:t xml:space="preserve">, pp.1294–1306, DOI: 10.1016/j.jss.2012.12.026.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[6] P. Wang (2021),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Connecting the parts with the whole: Toward an information ecology theory of digital innovation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45(1)</w:t>
      </w:r>
      <w:r>
        <w:rPr>
          <w:rFonts w:ascii="Times New Roman" w:hAnsi="Times New Roman" w:eastAsia="Times New Roman" w:cs="Times New Roman"/>
          <w:sz w:val="26"/>
        </w:rPr>
        <w:t xml:space="preserve">, pp.397–422, DOI: 10.25300/MISQ/2021/15864.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[7] S. Winkler, J. von Pilgrim (2010),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survey of traceability in requirements engineering and model-driven development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Software &amp; Systems Modeling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9</w:t>
      </w:r>
      <w:r>
        <w:rPr>
          <w:rFonts w:ascii="Times New Roman" w:hAnsi="Times New Roman" w:eastAsia="Times New Roman" w:cs="Times New Roman"/>
          <w:sz w:val="26"/>
        </w:rPr>
        <w:t xml:space="preserve">, pp.529–565, DOI: 10.1007/s10270-009-0145-0.</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[8] O. Kosenkov, P. Elahidoost, T. Gorschek, et al.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Systematic mapping study on requirements engineering for regulatory compliance of software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Information and Software Technology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178</w:t>
      </w:r>
      <w:r>
        <w:rPr>
          <w:rFonts w:ascii="Times New Roman" w:hAnsi="Times New Roman" w:eastAsia="Times New Roman" w:cs="Times New Roman"/>
          <w:sz w:val="26"/>
        </w:rPr>
        <w:t xml:space="preserve">, Article 107622, DOI: 10.1016/j.infsof.2024.107622.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[9]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3090/QD-BKHCN Promulgating the National Overall Digital Architecture Framework</w:t>
      </w:r>
      <w:r>
        <w:rPr>
          <w:rFonts w:ascii="Times New Roman" w:hAnsi="Times New Roman" w:eastAsia="Times New Roman" w:cs="Times New Roman"/>
          <w:sz w:val="26"/>
        </w:rPr>
        <w:t xml:space="preserve">, issued 8 October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[10] Prime Minister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2439/QD-TTg Promulgating the National Data Architecture Framework, National Data Governance and Management Framework, and Common Data Dictionary (Version 1.0)</w:t>
      </w:r>
      <w:r>
        <w:rPr>
          <w:rFonts w:ascii="Times New Roman" w:hAnsi="Times New Roman" w:eastAsia="Times New Roman" w:cs="Times New Roman"/>
          <w:sz w:val="26"/>
        </w:rPr>
        <w:t xml:space="preserve">, issued 4 November 2025,</w:t>
      </w:r>
      <w:r>
        <w:rPr>
          <w:rFonts w:ascii="Times New Roman" w:hAnsi="Times New Roman" w:eastAsia="Times New Roman" w:cs="Times New Roman"/>
          <w:sz w:val="26"/>
        </w:rPr>
        <w:t xml:space="preserve"> </w:t>
      </w:r>
      <w:hyperlink r:id="rId69">
        <w:r>
          <w:rPr>
            <w:rFonts w:ascii="Times New Roman" w:hAnsi="Times New Roman" w:eastAsia="Times New Roman" w:cs="Times New Roman"/>
            <w:rStyle w:val="Hyperlink"/>
          </w:rPr>
          <w:t xml:space="preserve">https://vanban.chinhphu.vn/?classid=0&amp;docid=215785&amp;pageid=27160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[11]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1973/QD-BKHCN Promulgating the Data Architecture Framework and Data Governance and Management Framework of the Ministry of Science and Technology (Version 1.0)</w:t>
      </w:r>
      <w:r>
        <w:rPr>
          <w:rFonts w:ascii="Times New Roman" w:hAnsi="Times New Roman" w:eastAsia="Times New Roman" w:cs="Times New Roman"/>
          <w:sz w:val="26"/>
        </w:rPr>
        <w:t xml:space="preserve">, issued 31 March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[12] European Commission (2017),</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New European Interoperability Framework: Promoting Seamless Services and Data Flows for European Public Administrations</w:t>
      </w:r>
      <w:r>
        <w:rPr>
          <w:rFonts w:ascii="Times New Roman" w:hAnsi="Times New Roman" w:eastAsia="Times New Roman" w:cs="Times New Roman"/>
          <w:sz w:val="26"/>
        </w:rPr>
        <w:t xml:space="preserve">, Publications Office of the European Union, 48pp, DOI: 10.2799/78681.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[13] B. Fischer, D. Meissner, N. Vonortas, et al. (2022),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Spatial features of entrepreneurial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Business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147</w:t>
      </w:r>
      <w:r>
        <w:rPr>
          <w:rFonts w:ascii="Times New Roman" w:hAnsi="Times New Roman" w:eastAsia="Times New Roman" w:cs="Times New Roman"/>
          <w:sz w:val="26"/>
        </w:rPr>
        <w:t xml:space="preserve">, pp.27–36, DOI: 10.1016/j.jbusres.2022.04.018.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[14] N.V. Noak, L. Christian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Exploring spatial network structures in entrepreneurial ecosystems: A network and clustering analysis of global venture funding flows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Small Business Economics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65</w:t>
      </w:r>
      <w:r>
        <w:rPr>
          <w:rFonts w:ascii="Times New Roman" w:hAnsi="Times New Roman" w:eastAsia="Times New Roman" w:cs="Times New Roman"/>
          <w:sz w:val="26"/>
        </w:rPr>
        <w:t xml:space="preserve">, pp.1483–1500, DOI: 10.1007/s11187-025-01029-y.</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[15] P. Brown, J.A. Estefan, K. Laskey, et al. (eds.) (2012),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Reference Architecture Foundation for Service Oriented Architecture Version 1.0</w:t>
      </w:r>
      <w:r>
        <w:rPr>
          <w:rFonts w:ascii="Times New Roman" w:hAnsi="Times New Roman" w:eastAsia="Times New Roman" w:cs="Times New Roman"/>
          <w:sz w:val="26"/>
        </w:rPr>
        <w:t xml:space="preserve">, OASIS Committee Specification 01, 118pp,</w:t>
      </w:r>
      <w:r>
        <w:rPr>
          <w:rFonts w:ascii="Times New Roman" w:hAnsi="Times New Roman" w:eastAsia="Times New Roman" w:cs="Times New Roman"/>
          <w:sz w:val="26"/>
        </w:rPr>
        <w:t xml:space="preserve"> </w:t>
      </w:r>
      <w:hyperlink r:id="rId70">
        <w:r>
          <w:rPr>
            <w:rFonts w:ascii="Times New Roman" w:hAnsi="Times New Roman" w:eastAsia="Times New Roman" w:cs="Times New Roman"/>
            <w:rStyle w:val="Hyperlink"/>
          </w:rPr>
          <w:t xml:space="preserve">https://docs.oasis-open.org/soa-rm/soa-ra/v1.0/cs01/soa-ra-v1.0-cs01.pdf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[16] J. Knodel, K. Manikas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reference architectures as an enabler for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Proceedings of the 10th European Conference on Software Architecture Workshops (ECSAW 2016)</w:t>
      </w:r>
      <w:r>
        <w:rPr>
          <w:rFonts w:ascii="Times New Roman" w:hAnsi="Times New Roman" w:eastAsia="Times New Roman" w:cs="Times New Roman"/>
          <w:sz w:val="26"/>
        </w:rPr>
        <w:t xml:space="preserve">, Article 26, Association for Computing Machinery, DOI: 10.1145/2993412.3003387.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[17] J.W. Kruize, J. Wolfert, H. Scholten, et al. (2016),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reference architecture for Farm Software Ecosystems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Computers and Electronics in Agriculture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125</w:t>
      </w:r>
      <w:r>
        <w:rPr>
          <w:rFonts w:ascii="Times New Roman" w:hAnsi="Times New Roman" w:eastAsia="Times New Roman" w:cs="Times New Roman"/>
          <w:sz w:val="26"/>
        </w:rPr>
        <w:t xml:space="preserve">, pp.12–28, DOI: 10.1016/j.compag.2016.04.011.</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[18] T.D. Breaux, M.W. Vail, A.I. Antón (2006),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Towards regulatory compliance: Extracting rights and obligations to align requirements with regulations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14th IEEE International Requirements Engineering Conference (RE’06)</w:t>
      </w:r>
      <w:r>
        <w:rPr>
          <w:rFonts w:ascii="Times New Roman" w:hAnsi="Times New Roman" w:eastAsia="Times New Roman" w:cs="Times New Roman"/>
          <w:sz w:val="26"/>
        </w:rPr>
        <w:t xml:space="preserve">, pp.49–58, DOI: 10.1109/RE.2006.68.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[19] B.P. Gallagher (2000),</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Using the Architecture Tradeoff Analysis Method to Evaluate a Reference Architecture: A Case Study</w:t>
      </w:r>
      <w:r>
        <w:rPr>
          <w:rFonts w:ascii="Times New Roman" w:hAnsi="Times New Roman" w:eastAsia="Times New Roman" w:cs="Times New Roman"/>
          <w:sz w:val="26"/>
        </w:rPr>
        <w:t xml:space="preserve">, Technical Note CMU/SEI-2000-TN-007, Software Engineering Institute, Carnegie Mellon University, 25pp,</w:t>
      </w:r>
      <w:r>
        <w:rPr>
          <w:rFonts w:ascii="Times New Roman" w:hAnsi="Times New Roman" w:eastAsia="Times New Roman" w:cs="Times New Roman"/>
          <w:sz w:val="26"/>
        </w:rPr>
        <w:t xml:space="preserve"> </w:t>
      </w:r>
      <w:hyperlink r:id="rId71">
        <w:r>
          <w:rPr>
            <w:rFonts w:ascii="Times New Roman" w:hAnsi="Times New Roman" w:eastAsia="Times New Roman" w:cs="Times New Roman"/>
            <w:rStyle w:val="Hyperlink"/>
          </w:rPr>
          <w:t xml:space="preserve">https://www.sei.cmu.edu/documents/1960/2000_004_001_13679.pdf</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[20] European Parliament, Council of the European Union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Regulation (EU) 2024/903 of 13 March 2024 Laying Down Measures for a High Level of Public Sector Interoperability Across the Union (Interoperable Europe Act)</w:t>
      </w:r>
      <w:r>
        <w:rPr>
          <w:rFonts w:ascii="Times New Roman" w:hAnsi="Times New Roman" w:eastAsia="Times New Roman" w:cs="Times New Roman"/>
          <w:sz w:val="26"/>
        </w:rPr>
        <w:t xml:space="preserve">, Official Journal of the European Union, L series, 26pp,</w:t>
      </w:r>
      <w:r>
        <w:rPr>
          <w:rFonts w:ascii="Times New Roman" w:hAnsi="Times New Roman" w:eastAsia="Times New Roman" w:cs="Times New Roman"/>
          <w:sz w:val="26"/>
        </w:rPr>
        <w:t xml:space="preserve"> </w:t>
      </w:r>
      <w:hyperlink r:id="rId72">
        <w:r>
          <w:rPr>
            <w:rFonts w:ascii="Times New Roman" w:hAnsi="Times New Roman" w:eastAsia="Times New Roman" w:cs="Times New Roman"/>
            <w:rStyle w:val="Hyperlink"/>
          </w:rPr>
          <w:t xml:space="preserve">https://eur-lex.europa.eu/eli/reg/2024/903/oj</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[21]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292/QD-BKHCN Promulgating the Vietnam Digital Government Architecture Framework, Version 4.0</w:t>
      </w:r>
      <w:r>
        <w:rPr>
          <w:rFonts w:ascii="Times New Roman" w:hAnsi="Times New Roman" w:eastAsia="Times New Roman" w:cs="Times New Roman"/>
          <w:sz w:val="26"/>
        </w:rPr>
        <w:t xml:space="preserve">, issued 25 March 2025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[22]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278/2025/ND-CP on Mandatory Data Connection and Sharing Among Agencies in the Political System</w:t>
      </w:r>
      <w:r>
        <w:rPr>
          <w:rFonts w:ascii="Times New Roman" w:hAnsi="Times New Roman" w:eastAsia="Times New Roman" w:cs="Times New Roman"/>
          <w:sz w:val="26"/>
        </w:rPr>
        <w:t xml:space="preserve">, issued 22 October 2025,</w:t>
      </w:r>
      <w:r>
        <w:rPr>
          <w:rFonts w:ascii="Times New Roman" w:hAnsi="Times New Roman" w:eastAsia="Times New Roman" w:cs="Times New Roman"/>
          <w:sz w:val="26"/>
        </w:rPr>
        <w:t xml:space="preserve"> </w:t>
      </w:r>
      <w:hyperlink r:id="rId73">
        <w:r>
          <w:rPr>
            <w:rFonts w:ascii="Times New Roman" w:hAnsi="Times New Roman" w:eastAsia="Times New Roman" w:cs="Times New Roman"/>
            <w:rStyle w:val="Hyperlink"/>
          </w:rPr>
          <w:t xml:space="preserve">https://vanban.chinhphu.vn/?docid=215682&amp;pageid=27160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[23] Government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69/2024/ND-CP on Electronic Identification and Authentication</w:t>
      </w:r>
      <w:r>
        <w:rPr>
          <w:rFonts w:ascii="Times New Roman" w:hAnsi="Times New Roman" w:eastAsia="Times New Roman" w:cs="Times New Roman"/>
          <w:sz w:val="26"/>
        </w:rPr>
        <w:t xml:space="preserve">, issued 25 June 2024,</w:t>
      </w:r>
      <w:r>
        <w:rPr>
          <w:rFonts w:ascii="Times New Roman" w:hAnsi="Times New Roman" w:eastAsia="Times New Roman" w:cs="Times New Roman"/>
          <w:sz w:val="26"/>
        </w:rPr>
        <w:t xml:space="preserve"> </w:t>
      </w:r>
      <w:hyperlink r:id="rId74">
        <w:r>
          <w:rPr>
            <w:rFonts w:ascii="Times New Roman" w:hAnsi="Times New Roman" w:eastAsia="Times New Roman" w:cs="Times New Roman"/>
            <w:rStyle w:val="Hyperlink"/>
          </w:rPr>
          <w:t xml:space="preserve">https://vanban.chinhphu.vn/?classid=1&amp;docid=210491&amp;pageid=27160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[24]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169/2025/ND-CP on Science, Technology and Innovation Activities and Data Products and Services</w:t>
      </w:r>
      <w:r>
        <w:rPr>
          <w:rFonts w:ascii="Times New Roman" w:hAnsi="Times New Roman" w:eastAsia="Times New Roman" w:cs="Times New Roman"/>
          <w:sz w:val="26"/>
        </w:rPr>
        <w:t xml:space="preserve">, issued 30 June 2025,</w:t>
      </w:r>
      <w:r>
        <w:rPr>
          <w:rFonts w:ascii="Times New Roman" w:hAnsi="Times New Roman" w:eastAsia="Times New Roman" w:cs="Times New Roman"/>
          <w:sz w:val="26"/>
        </w:rPr>
        <w:t xml:space="preserve"> </w:t>
      </w:r>
      <w:hyperlink r:id="rId75">
        <w:r>
          <w:rPr>
            <w:rFonts w:ascii="Times New Roman" w:hAnsi="Times New Roman" w:eastAsia="Times New Roman" w:cs="Times New Roman"/>
            <w:rStyle w:val="Hyperlink"/>
          </w:rPr>
          <w:t xml:space="preserve">https://vanban.chinhphu.vn/?classid=0&amp;docid=214306&amp;pageid=27160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[25] National Assembly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Law on Personal Data Protection No. 91/2025/QH15</w:t>
      </w:r>
      <w:r>
        <w:rPr>
          <w:rFonts w:ascii="Times New Roman" w:hAnsi="Times New Roman" w:eastAsia="Times New Roman" w:cs="Times New Roman"/>
          <w:sz w:val="26"/>
        </w:rPr>
        <w:t xml:space="preserve">, adopted 26 June 2025,</w:t>
      </w:r>
      <w:r>
        <w:rPr>
          <w:rFonts w:ascii="Times New Roman" w:hAnsi="Times New Roman" w:eastAsia="Times New Roman" w:cs="Times New Roman"/>
          <w:sz w:val="26"/>
        </w:rPr>
        <w:t xml:space="preserve"> </w:t>
      </w:r>
      <w:hyperlink r:id="rId76">
        <w:r>
          <w:rPr>
            <w:rFonts w:ascii="Times New Roman" w:hAnsi="Times New Roman" w:eastAsia="Times New Roman" w:cs="Times New Roman"/>
            <w:rStyle w:val="Hyperlink"/>
          </w:rPr>
          <w:t xml:space="preserve">https://vanban.chinhphu.vn/?classid=1&amp;docid=214590&amp;pageid=27160&amp;typegroup=</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[26] Government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Decree No. 356/2025/ND-CP Detailing a Number of Articles and Measures for Implementing the Law on Personal Data Protection</w:t>
      </w:r>
      <w:r>
        <w:rPr>
          <w:rFonts w:ascii="Times New Roman" w:hAnsi="Times New Roman" w:eastAsia="Times New Roman" w:cs="Times New Roman"/>
          <w:sz w:val="26"/>
        </w:rPr>
        <w:t xml:space="preserve">, issued 31 December 2025,</w:t>
      </w:r>
      <w:r>
        <w:rPr>
          <w:rFonts w:ascii="Times New Roman" w:hAnsi="Times New Roman" w:eastAsia="Times New Roman" w:cs="Times New Roman"/>
          <w:sz w:val="26"/>
        </w:rPr>
        <w:t xml:space="preserve"> </w:t>
      </w:r>
      <w:hyperlink r:id="rId77">
        <w:r>
          <w:rPr>
            <w:rFonts w:ascii="Times New Roman" w:hAnsi="Times New Roman" w:eastAsia="Times New Roman" w:cs="Times New Roman"/>
            <w:rStyle w:val="Hyperlink"/>
          </w:rPr>
          <w:t xml:space="preserve">https://vanban.chinhphu.vn/?classid=1&amp;docid=216387&amp;pageid=27160</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[27] National Assembly of Vietnam (2024),</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Data Law No. 60/2024/QH15</w:t>
      </w:r>
      <w:r>
        <w:rPr>
          <w:rFonts w:ascii="Times New Roman" w:hAnsi="Times New Roman" w:eastAsia="Times New Roman" w:cs="Times New Roman"/>
          <w:sz w:val="26"/>
        </w:rPr>
        <w:t xml:space="preserve">, adopted 30 November 2024,</w:t>
      </w:r>
      <w:r>
        <w:rPr>
          <w:rFonts w:ascii="Times New Roman" w:hAnsi="Times New Roman" w:eastAsia="Times New Roman" w:cs="Times New Roman"/>
          <w:sz w:val="26"/>
        </w:rPr>
        <w:t xml:space="preserve"> </w:t>
      </w:r>
      <w:hyperlink r:id="rId78">
        <w:r>
          <w:rPr>
            <w:rFonts w:ascii="Times New Roman" w:hAnsi="Times New Roman" w:eastAsia="Times New Roman" w:cs="Times New Roman"/>
            <w:rStyle w:val="Hyperlink"/>
          </w:rPr>
          <w:t xml:space="preserve">https://vanban.chinhphu.vn/?classid=1&amp;docid=212488&amp;pageid=27160&amp;typegroupid=3</w:t>
        </w:r>
      </w:hyperlink>
      <w:r>
        <w:rPr>
          <w:rFonts w:ascii="Times New Roman" w:hAnsi="Times New Roman" w:eastAsia="Times New Roman" w:cs="Times New Roman"/>
          <w:sz w:val="26"/>
        </w:rPr>
        <w:t xml:space="preserve">, accessed 9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[28] A.R. Hevner, S.T. March, J. Park, et al. (2004),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Design science in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MIS Quarterly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28(1)</w:t>
      </w:r>
      <w:r>
        <w:rPr>
          <w:rFonts w:ascii="Times New Roman" w:hAnsi="Times New Roman" w:eastAsia="Times New Roman" w:cs="Times New Roman"/>
          <w:sz w:val="26"/>
        </w:rPr>
        <w:t xml:space="preserve">, pp.75–105.</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[29] K. Peffers, T. Tuunanen, M.A. Rothenberger, et al. (2007),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 design science research methodology for information systems research</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Journal of Management Information Systems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24(3)</w:t>
      </w:r>
      <w:r>
        <w:rPr>
          <w:rFonts w:ascii="Times New Roman" w:hAnsi="Times New Roman" w:eastAsia="Times New Roman" w:cs="Times New Roman"/>
          <w:sz w:val="26"/>
        </w:rPr>
        <w:t xml:space="preserve">, pp.45–77, DOI: 10.2753/MIS0742-1222240302.</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[30] J. Tyree, A. Akerman (2005),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Architecture decisions: Demystifying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IEEE Software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22(2)</w:t>
      </w:r>
      <w:r>
        <w:rPr>
          <w:rFonts w:ascii="Times New Roman" w:hAnsi="Times New Roman" w:eastAsia="Times New Roman" w:cs="Times New Roman"/>
          <w:sz w:val="26"/>
        </w:rPr>
        <w:t xml:space="preserve">, pp.19–27, DOI: 10.1109/MS.2005.27.</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[31] S. Brown (n.d.),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The C4 model for visualising software architecture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official C4 model website,</w:t>
      </w:r>
      <w:r>
        <w:rPr>
          <w:rFonts w:ascii="Times New Roman" w:hAnsi="Times New Roman" w:eastAsia="Times New Roman" w:cs="Times New Roman"/>
          <w:sz w:val="26"/>
        </w:rPr>
        <w:t xml:space="preserve"> </w:t>
      </w:r>
      <w:hyperlink r:id="rId79">
        <w:r>
          <w:rPr>
            <w:rFonts w:ascii="Times New Roman" w:hAnsi="Times New Roman" w:eastAsia="Times New Roman" w:cs="Times New Roman"/>
            <w:rStyle w:val="Hyperlink"/>
          </w:rPr>
          <w:t xml:space="preserve">https://c4model.com/</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[32] The Open Group (2022),</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ArchiMate</w:t>
      </w:r>
      <w:r>
        <w:rPr>
          <w:rFonts w:ascii="Times New Roman" w:hAnsi="Times New Roman" w:eastAsia="Times New Roman" w:cs="Times New Roman"/>
          <w:i/>
          <w:iCs/>
          <w:sz w:val="26"/>
        </w:rPr>
        <w:t xml:space="preserve"> </w:t>
      </w:r>
      <w:r>
        <w:rPr>
          <w:rFonts w:ascii="Times New Roman" w:hAnsi="Times New Roman" w:eastAsia="Times New Roman" w:cs="Times New Roman"/>
          <w:i/>
          <w:iCs/>
          <w:sz w:val="26"/>
        </w:rPr>
        <w:t xml:space="preserve">3.2 Specification</w:t>
      </w:r>
      <w:r>
        <w:rPr>
          <w:rFonts w:ascii="Times New Roman" w:hAnsi="Times New Roman" w:eastAsia="Times New Roman" w:cs="Times New Roman"/>
          <w:sz w:val="26"/>
        </w:rPr>
        <w:t xml:space="preserve">, Version 3.2, released October 2022,</w:t>
      </w:r>
      <w:r>
        <w:rPr>
          <w:rFonts w:ascii="Times New Roman" w:hAnsi="Times New Roman" w:eastAsia="Times New Roman" w:cs="Times New Roman"/>
          <w:sz w:val="26"/>
        </w:rPr>
        <w:t xml:space="preserve"> </w:t>
      </w:r>
      <w:hyperlink r:id="rId80">
        <w:r>
          <w:rPr>
            <w:rFonts w:ascii="Times New Roman" w:hAnsi="Times New Roman" w:eastAsia="Times New Roman" w:cs="Times New Roman"/>
            <w:rStyle w:val="Hyperlink"/>
          </w:rPr>
          <w:t xml:space="preserve">https://www.opengroup.org/archimate-licensed-downloads</w:t>
        </w:r>
      </w:hyperlink>
      <w:r>
        <w:rPr>
          <w:rFonts w:ascii="Times New Roman" w:hAnsi="Times New Roman" w:eastAsia="Times New Roman" w:cs="Times New Roman"/>
          <w:sz w:val="26"/>
        </w:rPr>
        <w:t xml:space="preserve">, accessed 9 August 2026.</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[33] F. Gottschalk, T.A.C. Wagemakers, M.H. Jansen-Vullers, et al. (2009),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Configurable process models: Experiences from a municipality case study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in P. Eck, J. Gordijn, R. Wieringa (eds.),</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Advanced Information Systems Engineering</w:t>
      </w:r>
      <w:r>
        <w:rPr>
          <w:rFonts w:ascii="Times New Roman" w:hAnsi="Times New Roman" w:eastAsia="Times New Roman" w:cs="Times New Roman"/>
          <w:sz w:val="26"/>
        </w:rPr>
        <w:t xml:space="preserve">, Lecture Notes in Computer Science, Vol. 5565, Springer, pp.486–500, DOI: 10.1007/978-3-642-02144-2_38.</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[34] A.P. Sheth, J.A. Larson (1990),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Federated database systems for managing distributed, heterogeneous, and autonomous databases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ACM Computing Surveys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b/>
          <w:bCs/>
          <w:sz w:val="26"/>
        </w:rPr>
        <w:t xml:space="preserve">22(3)</w:t>
      </w:r>
      <w:r>
        <w:rPr>
          <w:rFonts w:ascii="Times New Roman" w:hAnsi="Times New Roman" w:eastAsia="Times New Roman" w:cs="Times New Roman"/>
          <w:sz w:val="26"/>
        </w:rPr>
        <w:t xml:space="preserve">, pp.183–236, DOI: 10.1145/96602.96604.</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[35] National Agency for Technology Entrepreneurship and Commercialization, Ministry of Science and Technology of Vietnam (2026),</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Draft Decision on the Temporary Promulgation of Data Standards, Data Standardisation Rules and Specialised Data Catalogues for Science and Technology Enterprises and Innovative Startups</w:t>
      </w:r>
      <w:r>
        <w:rPr>
          <w:rFonts w:ascii="Times New Roman" w:hAnsi="Times New Roman" w:eastAsia="Times New Roman" w:cs="Times New Roman"/>
          <w:sz w:val="26"/>
        </w:rPr>
        <w:t xml:space="preserve">, draft version reviewed 8 August 2026 (in Vietnamese).</w:t>
      </w:r>
    </w:p>
    <w:p>
      <w:pPr>
        <w:pStyle w:val="BodyText"/>
        <w:keepNext w:val="0"/>
        <w:keepLines w:val="0"/>
        <w:widowControl/>
        <w:spacing w:before="60" w:after="60" w:line="276" w:lineRule="auto"/>
        <w:ind w:firstLine="720"/>
        <w:jc w:val="left"/>
      </w:pPr>
      <w:r>
        <w:rPr>
          <w:rFonts w:ascii="Times New Roman" w:hAnsi="Times New Roman" w:eastAsia="Times New Roman" w:cs="Times New Roman"/>
          <w:sz w:val="26"/>
        </w:rPr>
        <w:t>[36] Ministry of Science and Technology of Vietnam (2025),</w:t>
      </w:r>
      <w:r>
        <w:rPr>
          <w:rFonts w:ascii="Times New Roman" w:hAnsi="Times New Roman" w:eastAsia="Times New Roman" w:cs="Times New Roman"/>
          <w:sz w:val="26"/>
        </w:rPr>
        <w:t xml:space="preserve"> </w:t>
      </w:r>
      <w:r>
        <w:rPr>
          <w:rFonts w:ascii="Times New Roman" w:hAnsi="Times New Roman" w:eastAsia="Times New Roman" w:cs="Times New Roman"/>
          <w:i/>
          <w:iCs/>
          <w:sz w:val="26"/>
        </w:rPr>
        <w:t xml:space="preserve">Decision No. 1762/QD-BKHCN Promulgating the Catalogue of Specialised Databases Under the Management of the Ministry of Science and Technology</w:t>
      </w:r>
      <w:r>
        <w:rPr>
          <w:rFonts w:ascii="Times New Roman" w:hAnsi="Times New Roman" w:eastAsia="Times New Roman" w:cs="Times New Roman"/>
          <w:sz w:val="26"/>
        </w:rPr>
        <w:t xml:space="preserve">, issued 16 July 2025 (in Vietnamese).</w:t>
      </w:r>
    </w:p>
    <w:bookmarkEnd w:id="81"/>
    <w:sectPr w:rsidR="00B43D5A" w:rsidRPr="00B43D5A">
      <w:footerReference r:id="rId9" w:type="default"/>
      <w:footerReference w:type="first" r:id="rId10"/>
      <w:headerReference w:type="default" r:id="rId11"/>
      <w:headerReference w:type="first" r:id="rId12"/>
      <w:footnotePr>
        <w:numFmt w:val="chicago"/>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spacing w:before="0" w:after="0"/>
    </w:pPr>
    <w:r>
      <w:rPr>
        <w:rFonts w:ascii="Times New Roman" w:hAnsi="Times New Roman" w:eastAsia="Times New Roman" w:cs="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98348D4E"/>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043AA2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387C6E16"/>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3">
    <w:nsid w:val="00A99411"/>
    <w:multiLevelType w:val="multilevel"/>
    <w:tmpl w:val="71F65FE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4">
    <w:nsid w:val="12017610"/>
    <w:multiLevelType w:val="hybridMultilevel"/>
    <w:tmpl w:val="683C312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28F44A0C"/>
    <w:multiLevelType w:val="multilevel"/>
    <w:tmpl w:val="67C45CE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6">
    <w:nsid w:val="39E1252B"/>
    <w:multiLevelType w:val="multilevel"/>
    <w:tmpl w:val="555617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787752A6"/>
    <w:multiLevelType w:val="hybridMultilevel"/>
    <w:tmpl w:val="00F2C33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8">
    <w:nsid w:val="7E357AEA"/>
    <w:multiLevelType w:val="hybridMultilevel"/>
    <w:tmpl w:val="48B84C70"/>
    <w:lvl w:ilvl="0" w:tplc="AFE2E450">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57218506" w:numId="1">
    <w:abstractNumId w:val="1"/>
  </w:num>
  <w:num w16cid:durableId="1953704635" w:numId="2">
    <w:abstractNumId w:val="2"/>
  </w:num>
  <w:num w16cid:durableId="1336376142" w:numId="3">
    <w:abstractNumId w:val="2"/>
  </w:num>
  <w:num w16cid:durableId="1859586054" w:numId="4">
    <w:abstractNumId w:val="2"/>
  </w:num>
  <w:num w16cid:durableId="1884781094"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524419"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7648122" w:numId="7">
    <w:abstractNumId w:val="6"/>
  </w:num>
  <w:num w16cid:durableId="1022316992" w:numId="8">
    <w:abstractNumId w:val="0"/>
  </w:num>
  <w:num w16cid:durableId="768694814" w:numId="9">
    <w:abstractNumId w:val="0"/>
    <w:lvlOverride w:ilvl="0">
      <w:startOverride w:val="1"/>
    </w:lvlOverride>
  </w:num>
  <w:num w16cid:durableId="672030215" w:numId="10">
    <w:abstractNumId w:val="0"/>
    <w:lvlOverride w:ilvl="0">
      <w:startOverride w:val="1"/>
    </w:lvlOverride>
  </w:num>
  <w:num w16cid:durableId="355157775" w:numId="11">
    <w:abstractNumId w:val="0"/>
    <w:lvlOverride w:ilvl="0">
      <w:startOverride w:val="1"/>
    </w:lvlOverride>
  </w:num>
  <w:num w16cid:durableId="1415513585" w:numId="12">
    <w:abstractNumId w:val="0"/>
    <w:lvlOverride w:ilvl="0">
      <w:startOverride w:val="1"/>
    </w:lvlOverride>
  </w:num>
  <w:num w16cid:durableId="1577931086" w:numId="13">
    <w:abstractNumId w:val="0"/>
  </w:num>
  <w:num w16cid:durableId="1754011554" w:numId="14">
    <w:abstractNumId w:val="0"/>
    <w:lvlOverride w:ilvl="0">
      <w:startOverride w:val="1"/>
    </w:lvlOverride>
  </w:num>
  <w:num w16cid:durableId="334381444" w:numId="15">
    <w:abstractNumId w:val="0"/>
  </w:num>
  <w:num w16cid:durableId="1148204209" w:numId="16">
    <w:abstractNumId w:val="0"/>
    <w:lvlOverride w:ilvl="0">
      <w:startOverride w:val="1"/>
    </w:lvlOverride>
  </w:num>
  <w:num w16cid:durableId="1839416771" w:numId="17">
    <w:abstractNumId w:val="0"/>
  </w:num>
  <w:num w16cid:durableId="549616881" w:numId="18">
    <w:abstractNumId w:val="7"/>
  </w:num>
  <w:num w16cid:durableId="818422580" w:numId="19">
    <w:abstractNumId w:val="5"/>
  </w:num>
  <w:num w16cid:durableId="195578704" w:numId="20">
    <w:abstractNumId w:val="4"/>
  </w:num>
  <w:num w16cid:durableId="388040094" w:numId="21">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Fmt w:val="chicago"/>
    <w:footnote w:id="-1"/>
    <w:footnote w:id="0"/>
  </w:footnotePr>
  <w:compat>
    <w:compatSetting w:name="compatibilityMode" w:uri="http://schemas.microsoft.com/office/word" w:val="12"/>
    <w:compatSetting w:name="useWord2013TrackBottomHyphenation" w:uri="http://schemas.microsoft.com/office/word" w:val="1"/>
  </w:compat>
  <w:rsids>
    <w:rsidRoot w:val="007F44D5"/>
    <w:rsid w:val="00001D80"/>
    <w:rsid w:val="000059A4"/>
    <w:rsid w:val="00015CC5"/>
    <w:rsid w:val="00023D77"/>
    <w:rsid w:val="000418CC"/>
    <w:rsid w:val="00062DF4"/>
    <w:rsid w:val="0006331F"/>
    <w:rsid w:val="000642E1"/>
    <w:rsid w:val="00076EAF"/>
    <w:rsid w:val="0008193C"/>
    <w:rsid w:val="0008282C"/>
    <w:rsid w:val="00091D2F"/>
    <w:rsid w:val="00091D3E"/>
    <w:rsid w:val="000969EF"/>
    <w:rsid w:val="000A1225"/>
    <w:rsid w:val="000A4956"/>
    <w:rsid w:val="000A4AB4"/>
    <w:rsid w:val="000B209F"/>
    <w:rsid w:val="000B62FF"/>
    <w:rsid w:val="000B6F88"/>
    <w:rsid w:val="000C2726"/>
    <w:rsid w:val="000C4858"/>
    <w:rsid w:val="000C53C7"/>
    <w:rsid w:val="000C63B0"/>
    <w:rsid w:val="000D7CF1"/>
    <w:rsid w:val="000E2F0D"/>
    <w:rsid w:val="000E49A9"/>
    <w:rsid w:val="000E69BB"/>
    <w:rsid w:val="000F500A"/>
    <w:rsid w:val="00100BD0"/>
    <w:rsid w:val="00113B6C"/>
    <w:rsid w:val="00114184"/>
    <w:rsid w:val="00132B79"/>
    <w:rsid w:val="001349A6"/>
    <w:rsid w:val="00134C24"/>
    <w:rsid w:val="001368EC"/>
    <w:rsid w:val="00144265"/>
    <w:rsid w:val="001459C2"/>
    <w:rsid w:val="00146489"/>
    <w:rsid w:val="00161AD7"/>
    <w:rsid w:val="00162CD7"/>
    <w:rsid w:val="00165331"/>
    <w:rsid w:val="00166138"/>
    <w:rsid w:val="001710B0"/>
    <w:rsid w:val="00172882"/>
    <w:rsid w:val="00180187"/>
    <w:rsid w:val="00181561"/>
    <w:rsid w:val="00184022"/>
    <w:rsid w:val="00191122"/>
    <w:rsid w:val="00194311"/>
    <w:rsid w:val="001978E2"/>
    <w:rsid w:val="001A3B9C"/>
    <w:rsid w:val="001A4D2C"/>
    <w:rsid w:val="001B0034"/>
    <w:rsid w:val="001B380D"/>
    <w:rsid w:val="001B6B2D"/>
    <w:rsid w:val="001B7D55"/>
    <w:rsid w:val="001C2278"/>
    <w:rsid w:val="001C2A47"/>
    <w:rsid w:val="001C5C09"/>
    <w:rsid w:val="001E0C34"/>
    <w:rsid w:val="001F0D2E"/>
    <w:rsid w:val="001F3980"/>
    <w:rsid w:val="001F5823"/>
    <w:rsid w:val="001F6423"/>
    <w:rsid w:val="00204A54"/>
    <w:rsid w:val="00205E36"/>
    <w:rsid w:val="002252DC"/>
    <w:rsid w:val="00230E87"/>
    <w:rsid w:val="00234C40"/>
    <w:rsid w:val="00234E41"/>
    <w:rsid w:val="00243A34"/>
    <w:rsid w:val="0024791B"/>
    <w:rsid w:val="00250D56"/>
    <w:rsid w:val="00263164"/>
    <w:rsid w:val="00263DDC"/>
    <w:rsid w:val="00264A52"/>
    <w:rsid w:val="002663F9"/>
    <w:rsid w:val="00266A9F"/>
    <w:rsid w:val="00270F53"/>
    <w:rsid w:val="00276CFD"/>
    <w:rsid w:val="00293538"/>
    <w:rsid w:val="0029762F"/>
    <w:rsid w:val="002B04AD"/>
    <w:rsid w:val="002C45B7"/>
    <w:rsid w:val="002C6398"/>
    <w:rsid w:val="002C7D12"/>
    <w:rsid w:val="002F1596"/>
    <w:rsid w:val="002F4BF0"/>
    <w:rsid w:val="002F5381"/>
    <w:rsid w:val="002F72BC"/>
    <w:rsid w:val="00304462"/>
    <w:rsid w:val="00320329"/>
    <w:rsid w:val="003238C2"/>
    <w:rsid w:val="00332732"/>
    <w:rsid w:val="00336E5D"/>
    <w:rsid w:val="00341E0A"/>
    <w:rsid w:val="00341E52"/>
    <w:rsid w:val="00342B72"/>
    <w:rsid w:val="00352191"/>
    <w:rsid w:val="00355B92"/>
    <w:rsid w:val="0035778F"/>
    <w:rsid w:val="0037339B"/>
    <w:rsid w:val="00374BE5"/>
    <w:rsid w:val="00377673"/>
    <w:rsid w:val="0038065D"/>
    <w:rsid w:val="00394603"/>
    <w:rsid w:val="003A4C64"/>
    <w:rsid w:val="003B7368"/>
    <w:rsid w:val="003D63D8"/>
    <w:rsid w:val="003E247C"/>
    <w:rsid w:val="003E70A8"/>
    <w:rsid w:val="003F3187"/>
    <w:rsid w:val="0040044A"/>
    <w:rsid w:val="0040063F"/>
    <w:rsid w:val="004008B1"/>
    <w:rsid w:val="00402266"/>
    <w:rsid w:val="00416B56"/>
    <w:rsid w:val="00420664"/>
    <w:rsid w:val="00425322"/>
    <w:rsid w:val="004254C5"/>
    <w:rsid w:val="00442957"/>
    <w:rsid w:val="00442CB3"/>
    <w:rsid w:val="004447DB"/>
    <w:rsid w:val="00451473"/>
    <w:rsid w:val="0045168F"/>
    <w:rsid w:val="00455CD9"/>
    <w:rsid w:val="00470D28"/>
    <w:rsid w:val="00474A47"/>
    <w:rsid w:val="00475CE6"/>
    <w:rsid w:val="00477DE0"/>
    <w:rsid w:val="00487494"/>
    <w:rsid w:val="004B3670"/>
    <w:rsid w:val="004B50F2"/>
    <w:rsid w:val="004B5DA7"/>
    <w:rsid w:val="004C63D6"/>
    <w:rsid w:val="004C657A"/>
    <w:rsid w:val="004D0CC2"/>
    <w:rsid w:val="004D4E41"/>
    <w:rsid w:val="004E35A3"/>
    <w:rsid w:val="004E3636"/>
    <w:rsid w:val="004E70D1"/>
    <w:rsid w:val="004F21B6"/>
    <w:rsid w:val="005031EA"/>
    <w:rsid w:val="005038E8"/>
    <w:rsid w:val="0050548D"/>
    <w:rsid w:val="005176F0"/>
    <w:rsid w:val="00530E1D"/>
    <w:rsid w:val="00532EC0"/>
    <w:rsid w:val="0053562E"/>
    <w:rsid w:val="00537284"/>
    <w:rsid w:val="00537DA2"/>
    <w:rsid w:val="005537E5"/>
    <w:rsid w:val="00555E37"/>
    <w:rsid w:val="00556A78"/>
    <w:rsid w:val="00560FFF"/>
    <w:rsid w:val="00564C2A"/>
    <w:rsid w:val="00567A66"/>
    <w:rsid w:val="00571CBD"/>
    <w:rsid w:val="00573AA5"/>
    <w:rsid w:val="00575217"/>
    <w:rsid w:val="0057635A"/>
    <w:rsid w:val="00590E52"/>
    <w:rsid w:val="0059384D"/>
    <w:rsid w:val="005940D8"/>
    <w:rsid w:val="00594E16"/>
    <w:rsid w:val="005970CA"/>
    <w:rsid w:val="005A1647"/>
    <w:rsid w:val="005A306C"/>
    <w:rsid w:val="005B3037"/>
    <w:rsid w:val="005B423E"/>
    <w:rsid w:val="005B6F8F"/>
    <w:rsid w:val="005D60DC"/>
    <w:rsid w:val="005E0AC0"/>
    <w:rsid w:val="005E32CB"/>
    <w:rsid w:val="005E4299"/>
    <w:rsid w:val="005E7858"/>
    <w:rsid w:val="005F1769"/>
    <w:rsid w:val="005F3260"/>
    <w:rsid w:val="005F458B"/>
    <w:rsid w:val="00605EFF"/>
    <w:rsid w:val="006070BF"/>
    <w:rsid w:val="006123BB"/>
    <w:rsid w:val="00616887"/>
    <w:rsid w:val="006341B3"/>
    <w:rsid w:val="006358F2"/>
    <w:rsid w:val="006367F5"/>
    <w:rsid w:val="0064353B"/>
    <w:rsid w:val="00645C56"/>
    <w:rsid w:val="0065569E"/>
    <w:rsid w:val="00670A6B"/>
    <w:rsid w:val="00673FC7"/>
    <w:rsid w:val="006764A3"/>
    <w:rsid w:val="00684598"/>
    <w:rsid w:val="006853CD"/>
    <w:rsid w:val="00685968"/>
    <w:rsid w:val="00687A92"/>
    <w:rsid w:val="00693480"/>
    <w:rsid w:val="00694306"/>
    <w:rsid w:val="00694FB5"/>
    <w:rsid w:val="00697C84"/>
    <w:rsid w:val="006A20A7"/>
    <w:rsid w:val="006A7CDA"/>
    <w:rsid w:val="006B0A0D"/>
    <w:rsid w:val="006B1236"/>
    <w:rsid w:val="006B51C9"/>
    <w:rsid w:val="006C5D49"/>
    <w:rsid w:val="006D2C19"/>
    <w:rsid w:val="006E30C5"/>
    <w:rsid w:val="006F2547"/>
    <w:rsid w:val="006F5817"/>
    <w:rsid w:val="006F78DF"/>
    <w:rsid w:val="0071307E"/>
    <w:rsid w:val="00713E19"/>
    <w:rsid w:val="0072151A"/>
    <w:rsid w:val="00724AB1"/>
    <w:rsid w:val="007312B7"/>
    <w:rsid w:val="0075550F"/>
    <w:rsid w:val="007559D9"/>
    <w:rsid w:val="007621D9"/>
    <w:rsid w:val="0076262D"/>
    <w:rsid w:val="00765C43"/>
    <w:rsid w:val="00770B0D"/>
    <w:rsid w:val="0079351D"/>
    <w:rsid w:val="007A0D46"/>
    <w:rsid w:val="007A6C50"/>
    <w:rsid w:val="007B1DC3"/>
    <w:rsid w:val="007D114E"/>
    <w:rsid w:val="007D6132"/>
    <w:rsid w:val="007D780F"/>
    <w:rsid w:val="007E5048"/>
    <w:rsid w:val="007E58CD"/>
    <w:rsid w:val="007E6AEC"/>
    <w:rsid w:val="007F0FA6"/>
    <w:rsid w:val="007F44D5"/>
    <w:rsid w:val="007F65CC"/>
    <w:rsid w:val="00804143"/>
    <w:rsid w:val="00804B54"/>
    <w:rsid w:val="00826A1F"/>
    <w:rsid w:val="00840B9F"/>
    <w:rsid w:val="00852DCB"/>
    <w:rsid w:val="00863494"/>
    <w:rsid w:val="00864EDB"/>
    <w:rsid w:val="00865468"/>
    <w:rsid w:val="008665BE"/>
    <w:rsid w:val="00871F9C"/>
    <w:rsid w:val="0087715D"/>
    <w:rsid w:val="00877EEC"/>
    <w:rsid w:val="008800EF"/>
    <w:rsid w:val="00881D61"/>
    <w:rsid w:val="008844BF"/>
    <w:rsid w:val="00885F44"/>
    <w:rsid w:val="00890C2A"/>
    <w:rsid w:val="00891404"/>
    <w:rsid w:val="00892C5E"/>
    <w:rsid w:val="0089474D"/>
    <w:rsid w:val="00894989"/>
    <w:rsid w:val="008A20E9"/>
    <w:rsid w:val="008A4F4C"/>
    <w:rsid w:val="008B0D8C"/>
    <w:rsid w:val="008B3A81"/>
    <w:rsid w:val="008B4928"/>
    <w:rsid w:val="008B7BBA"/>
    <w:rsid w:val="008C029F"/>
    <w:rsid w:val="008C287B"/>
    <w:rsid w:val="008C6C20"/>
    <w:rsid w:val="008E55B5"/>
    <w:rsid w:val="008F0CB7"/>
    <w:rsid w:val="008F6A45"/>
    <w:rsid w:val="00914C21"/>
    <w:rsid w:val="00916128"/>
    <w:rsid w:val="0092010E"/>
    <w:rsid w:val="00923E50"/>
    <w:rsid w:val="00925A6E"/>
    <w:rsid w:val="009325A6"/>
    <w:rsid w:val="00936D61"/>
    <w:rsid w:val="00936DB6"/>
    <w:rsid w:val="0094402E"/>
    <w:rsid w:val="009453C6"/>
    <w:rsid w:val="00946962"/>
    <w:rsid w:val="0095132C"/>
    <w:rsid w:val="0096626C"/>
    <w:rsid w:val="00980F62"/>
    <w:rsid w:val="00981C6C"/>
    <w:rsid w:val="009833B5"/>
    <w:rsid w:val="009859C5"/>
    <w:rsid w:val="009902A2"/>
    <w:rsid w:val="009A299F"/>
    <w:rsid w:val="009B3FF3"/>
    <w:rsid w:val="009C1CB7"/>
    <w:rsid w:val="009C1F10"/>
    <w:rsid w:val="009C28EF"/>
    <w:rsid w:val="009C3B1F"/>
    <w:rsid w:val="009C569D"/>
    <w:rsid w:val="009D06D0"/>
    <w:rsid w:val="009D0922"/>
    <w:rsid w:val="009E2E69"/>
    <w:rsid w:val="009F0279"/>
    <w:rsid w:val="009F09A9"/>
    <w:rsid w:val="009F4ECA"/>
    <w:rsid w:val="009F6C7E"/>
    <w:rsid w:val="00A062AC"/>
    <w:rsid w:val="00A138AD"/>
    <w:rsid w:val="00A16DFB"/>
    <w:rsid w:val="00A30F09"/>
    <w:rsid w:val="00A31801"/>
    <w:rsid w:val="00A3322E"/>
    <w:rsid w:val="00A36B3D"/>
    <w:rsid w:val="00A42DD1"/>
    <w:rsid w:val="00A43034"/>
    <w:rsid w:val="00A45D28"/>
    <w:rsid w:val="00A54F97"/>
    <w:rsid w:val="00A65FF7"/>
    <w:rsid w:val="00A70829"/>
    <w:rsid w:val="00A70CA1"/>
    <w:rsid w:val="00A81F46"/>
    <w:rsid w:val="00A93EE3"/>
    <w:rsid w:val="00AA5A3B"/>
    <w:rsid w:val="00AA5B20"/>
    <w:rsid w:val="00AB025A"/>
    <w:rsid w:val="00AB4563"/>
    <w:rsid w:val="00AD7E26"/>
    <w:rsid w:val="00AE5BD5"/>
    <w:rsid w:val="00B22783"/>
    <w:rsid w:val="00B27241"/>
    <w:rsid w:val="00B307A7"/>
    <w:rsid w:val="00B40A93"/>
    <w:rsid w:val="00B43D5A"/>
    <w:rsid w:val="00B5761F"/>
    <w:rsid w:val="00B666E1"/>
    <w:rsid w:val="00B7183B"/>
    <w:rsid w:val="00B75661"/>
    <w:rsid w:val="00B76BEF"/>
    <w:rsid w:val="00B83F54"/>
    <w:rsid w:val="00B83F79"/>
    <w:rsid w:val="00B9043F"/>
    <w:rsid w:val="00B906BC"/>
    <w:rsid w:val="00B916A3"/>
    <w:rsid w:val="00BA3135"/>
    <w:rsid w:val="00BA7A21"/>
    <w:rsid w:val="00BB06F6"/>
    <w:rsid w:val="00BB20CA"/>
    <w:rsid w:val="00BB25CC"/>
    <w:rsid w:val="00BC3A2E"/>
    <w:rsid w:val="00BC695C"/>
    <w:rsid w:val="00BC726F"/>
    <w:rsid w:val="00BD1C7C"/>
    <w:rsid w:val="00BD2A33"/>
    <w:rsid w:val="00BD2A71"/>
    <w:rsid w:val="00BD70D4"/>
    <w:rsid w:val="00BE0BA8"/>
    <w:rsid w:val="00BE119E"/>
    <w:rsid w:val="00BE4C69"/>
    <w:rsid w:val="00BE572A"/>
    <w:rsid w:val="00BF06DC"/>
    <w:rsid w:val="00BF6303"/>
    <w:rsid w:val="00C01DF2"/>
    <w:rsid w:val="00C15192"/>
    <w:rsid w:val="00C2072F"/>
    <w:rsid w:val="00C20749"/>
    <w:rsid w:val="00C25CE7"/>
    <w:rsid w:val="00C31E15"/>
    <w:rsid w:val="00C34165"/>
    <w:rsid w:val="00C35C87"/>
    <w:rsid w:val="00C37AF6"/>
    <w:rsid w:val="00C426A0"/>
    <w:rsid w:val="00C44D05"/>
    <w:rsid w:val="00C55301"/>
    <w:rsid w:val="00C567E8"/>
    <w:rsid w:val="00C571FD"/>
    <w:rsid w:val="00C7065E"/>
    <w:rsid w:val="00C7146D"/>
    <w:rsid w:val="00C73D12"/>
    <w:rsid w:val="00C84C5A"/>
    <w:rsid w:val="00C85F34"/>
    <w:rsid w:val="00C862C9"/>
    <w:rsid w:val="00C9054F"/>
    <w:rsid w:val="00CA188A"/>
    <w:rsid w:val="00CA44EE"/>
    <w:rsid w:val="00CA6B54"/>
    <w:rsid w:val="00CB5721"/>
    <w:rsid w:val="00CB6A50"/>
    <w:rsid w:val="00CC0154"/>
    <w:rsid w:val="00CC03C4"/>
    <w:rsid w:val="00CC44E2"/>
    <w:rsid w:val="00CD65EE"/>
    <w:rsid w:val="00CF571B"/>
    <w:rsid w:val="00D0125C"/>
    <w:rsid w:val="00D137EA"/>
    <w:rsid w:val="00D21DA3"/>
    <w:rsid w:val="00D2386E"/>
    <w:rsid w:val="00D2511F"/>
    <w:rsid w:val="00D30827"/>
    <w:rsid w:val="00D33320"/>
    <w:rsid w:val="00D3770F"/>
    <w:rsid w:val="00D47920"/>
    <w:rsid w:val="00D544CF"/>
    <w:rsid w:val="00D55711"/>
    <w:rsid w:val="00D6376E"/>
    <w:rsid w:val="00D75B17"/>
    <w:rsid w:val="00D824EA"/>
    <w:rsid w:val="00D826EE"/>
    <w:rsid w:val="00D97E7A"/>
    <w:rsid w:val="00DA07A5"/>
    <w:rsid w:val="00DA355A"/>
    <w:rsid w:val="00DB01DC"/>
    <w:rsid w:val="00DB0CDA"/>
    <w:rsid w:val="00DB34B2"/>
    <w:rsid w:val="00DB39A1"/>
    <w:rsid w:val="00DB7129"/>
    <w:rsid w:val="00DD16F4"/>
    <w:rsid w:val="00DD32F5"/>
    <w:rsid w:val="00DD56BB"/>
    <w:rsid w:val="00DD690A"/>
    <w:rsid w:val="00DE583D"/>
    <w:rsid w:val="00DF3FF3"/>
    <w:rsid w:val="00E02B9B"/>
    <w:rsid w:val="00E0510B"/>
    <w:rsid w:val="00E05551"/>
    <w:rsid w:val="00E07ADE"/>
    <w:rsid w:val="00E1631C"/>
    <w:rsid w:val="00E17B0C"/>
    <w:rsid w:val="00E210A0"/>
    <w:rsid w:val="00E32A4B"/>
    <w:rsid w:val="00E32CE2"/>
    <w:rsid w:val="00E3478E"/>
    <w:rsid w:val="00E37101"/>
    <w:rsid w:val="00E41859"/>
    <w:rsid w:val="00E44222"/>
    <w:rsid w:val="00E4478E"/>
    <w:rsid w:val="00E50C51"/>
    <w:rsid w:val="00E72C88"/>
    <w:rsid w:val="00E9219C"/>
    <w:rsid w:val="00E9413F"/>
    <w:rsid w:val="00EA1787"/>
    <w:rsid w:val="00EA3842"/>
    <w:rsid w:val="00EA694F"/>
    <w:rsid w:val="00EB2D3A"/>
    <w:rsid w:val="00EB3355"/>
    <w:rsid w:val="00EC3D58"/>
    <w:rsid w:val="00EC47EC"/>
    <w:rsid w:val="00ED20D3"/>
    <w:rsid w:val="00EE1FFB"/>
    <w:rsid w:val="00EE5BBC"/>
    <w:rsid w:val="00EE6FCC"/>
    <w:rsid w:val="00EE762D"/>
    <w:rsid w:val="00EF1A9F"/>
    <w:rsid w:val="00F04DD2"/>
    <w:rsid w:val="00F05FF3"/>
    <w:rsid w:val="00F130A1"/>
    <w:rsid w:val="00F13786"/>
    <w:rsid w:val="00F16809"/>
    <w:rsid w:val="00F17E31"/>
    <w:rsid w:val="00F253C2"/>
    <w:rsid w:val="00F274AC"/>
    <w:rsid w:val="00F30D88"/>
    <w:rsid w:val="00F34EA7"/>
    <w:rsid w:val="00F435C5"/>
    <w:rsid w:val="00F54384"/>
    <w:rsid w:val="00F60BF4"/>
    <w:rsid w:val="00F63380"/>
    <w:rsid w:val="00F67744"/>
    <w:rsid w:val="00F67B60"/>
    <w:rsid w:val="00F71E97"/>
    <w:rsid w:val="00F75179"/>
    <w:rsid w:val="00F7701D"/>
    <w:rsid w:val="00F82B46"/>
    <w:rsid w:val="00F93CBB"/>
    <w:rsid w:val="00F94938"/>
    <w:rsid w:val="00F95AC9"/>
    <w:rsid w:val="00FA167F"/>
    <w:rsid w:val="00FA3BAA"/>
    <w:rsid w:val="00FA600F"/>
    <w:rsid w:val="00FB1955"/>
    <w:rsid w:val="00FC27FE"/>
    <w:rsid w:val="00FD181D"/>
    <w:rsid w:val="00FD2312"/>
    <w:rsid w:val="00FD3E5D"/>
    <w:rsid w:val="00FE3B42"/>
    <w:rsid w:val="00FE4D56"/>
    <w:rsid w:val="00FF1199"/>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pPr>
        <w:spacing w:after="120"/>
      </w:pPr>
    </w:pPrDefault>
  </w:docDefaults>
  <w:latentStyles w:count="376" w:defLockedState="0" w:defQFormat="0" w:defSemiHidden="0" w:defUIPriority="0" w:defUnhideWhenUsed="0">
    <w:lsdException w:name="heading 2" w:qFormat="1" w:uiPriority="9"/>
    <w:lsdException w:name="footnote text" w:uiPriority="99"/>
    <w:lsdException w:name="footer" w:uiPriority="99"/>
    <w:lsdException w:name="footnote reference" w:qFormat="1" w:uiPriority="99"/>
    <w:lsdException w:name="List Number" w:uiPriority="99"/>
    <w:lsdException w:name="Body Text" w:qFormat="1"/>
    <w:lsdException w:name="Strong" w:qFormat="1" w:uiPriority="22"/>
    <w:lsdException w:name="Emphasis" w:qFormat="1" w:uiPriority="20"/>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before="60" w:after="60" w:line="288" w:lineRule="auto"/>
    </w:pPr>
    <w:rPr>
      <w:rFonts w:ascii="Times New Roman" w:hAnsi="Times New Roman"/>
      <w:sz w:val="26"/>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0" w:before="200"/>
      <w:outlineLvl w:val="2"/>
    </w:pPr>
    <w:rPr>
      <w:b/>
      <w:bCs/>
      <w:color w:val="000000"/>
    </w:rPr>
  </w:style>
  <w:style w:styleId="Heading4" w:type="paragraph">
    <w:name w:val="heading 4"/>
    <w:basedOn w:val="Normal"/>
    <w:next w:val="BodyText"/>
    <w:uiPriority w:val="9"/>
    <w:unhideWhenUsed/>
    <w:qFormat/>
    <w:pPr>
      <w:keepNext/>
      <w:keepLines/>
      <w:spacing w:after="0" w:before="200"/>
      <w:outlineLvl w:val="3"/>
    </w:pPr>
    <w:rPr>
      <w:bCs/>
      <w:i/>
      <w:color w:val="000000"/>
    </w:rPr>
  </w:style>
  <w:style w:styleId="Heading5" w:type="paragraph">
    <w:name w:val="heading 5"/>
    <w:basedOn w:val="Normal"/>
    <w:next w:val="BodyText"/>
    <w:uiPriority w:val="9"/>
    <w:unhideWhenUsed/>
    <w:qFormat/>
    <w:pPr>
      <w:keepNext/>
      <w:keepLines/>
      <w:spacing w:after="0" w:before="200"/>
      <w:outlineLvl w:val="4"/>
    </w:pPr>
    <w:rPr>
      <w:iCs/>
      <w:color w:val="000000"/>
    </w:rPr>
  </w:style>
  <w:style w:styleId="Heading6" w:type="paragraph">
    <w:name w:val="heading 6"/>
    <w:basedOn w:val="Normal"/>
    <w:next w:val="BodyText"/>
    <w:uiPriority w:val="9"/>
    <w:unhideWhenUsed/>
    <w:qFormat/>
    <w:pPr>
      <w:keepNext/>
      <w:keepLines/>
      <w:spacing w:after="0" w:before="200"/>
      <w:outlineLvl w:val="5"/>
    </w:pPr>
    <w:rPr>
      <w:color w:val="000000"/>
    </w:rPr>
  </w:style>
  <w:style w:styleId="Heading7" w:type="paragraph">
    <w:name w:val="heading 7"/>
    <w:basedOn w:val="Normal"/>
    <w:next w:val="BodyText"/>
    <w:uiPriority w:val="9"/>
    <w:unhideWhenUsed/>
    <w:qFormat/>
    <w:pPr>
      <w:keepNext/>
      <w:keepLines/>
      <w:spacing w:after="0" w:before="200"/>
      <w:outlineLvl w:val="6"/>
    </w:pPr>
    <w:rPr>
      <w:color w:val="000000"/>
    </w:rPr>
  </w:style>
  <w:style w:styleId="Heading8" w:type="paragraph">
    <w:name w:val="heading 8"/>
    <w:basedOn w:val="Normal"/>
    <w:next w:val="BodyText"/>
    <w:uiPriority w:val="9"/>
    <w:unhideWhenUsed/>
    <w:qFormat/>
    <w:pPr>
      <w:keepNext/>
      <w:keepLines/>
      <w:spacing w:after="0" w:before="200"/>
      <w:outlineLvl w:val="7"/>
    </w:pPr>
    <w:rPr>
      <w:color w:val="000000"/>
    </w:rPr>
  </w:style>
  <w:style w:styleId="Heading9" w:type="paragraph">
    <w:name w:val="heading 9"/>
    <w:basedOn w:val="Normal"/>
    <w:next w:val="BodyText"/>
    <w:uiPriority w:val="9"/>
    <w:unhideWhenUsed/>
    <w:qFormat/>
    <w:pPr>
      <w:keepNext/>
      <w:keepLines/>
      <w:spacing w:after="0" w:before="200"/>
      <w:outlineLvl w:val="8"/>
    </w:pPr>
    <w:rPr>
      <w:color w:val="000000"/>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60" w:before="60" w:line="288" w:lineRule="auto"/>
    </w:pPr>
    <w:rPr>
      <w:rFonts w:ascii="Times New Roman" w:hAnsi="Times New Roman"/>
      <w:sz w:val="26"/>
    </w:rPr>
  </w:style>
  <w:style w:customStyle="1" w:styleId="FirstParagraph" w:type="paragraph">
    <w:name w:val="First Paragraph"/>
    <w:basedOn w:val="BodyText"/>
    <w:next w:val="BodyText"/>
    <w:qFormat/>
    <w:pPr>
      <w:spacing w:before="60" w:after="60" w:line="288" w:lineRule="auto"/>
    </w:pPr>
    <w:rPr>
      <w:rFonts w:ascii="Times New Roman" w:hAnsi="Times New Roman"/>
      <w:sz w:val="26"/>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color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uiPriority w:val="99"/>
    <w:qFormat/>
    <w:rPr>
      <w:vertAlign w:val="superscript"/>
    </w:rPr>
  </w:style>
  <w:style w:styleId="Hyperlink" w:type="character">
    <w:name w:val="Hyperlink"/>
    <w:basedOn w:val="CaptionChar"/>
    <w:rPr>
      <w:color w:val="000000"/>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UnresolvedMention1" w:type="character">
    <w:name w:val="Unresolved Mention1"/>
    <w:basedOn w:val="DefaultParagraphFont"/>
    <w:uiPriority w:val="99"/>
    <w:semiHidden/>
    <w:unhideWhenUsed/>
    <w:rsid w:val="008C287B"/>
    <w:rPr>
      <w:color w:val="605E5C"/>
      <w:shd w:color="auto" w:fill="E1DFDD" w:val="clear"/>
    </w:rPr>
  </w:style>
  <w:style w:styleId="Revision" w:type="paragraph">
    <w:name w:val="Revision"/>
    <w:hidden/>
    <w:rsid w:val="000C2726"/>
    <w:pPr>
      <w:spacing w:after="0"/>
    </w:pPr>
  </w:style>
  <w:style w:styleId="ListParagraph" w:type="paragraph">
    <w:name w:val="List Paragraph"/>
    <w:basedOn w:val="Normal"/>
    <w:rsid w:val="00F71E97"/>
    <w:pPr>
      <w:ind w:left="720"/>
      <w:contextualSpacing/>
    </w:pPr>
  </w:style>
  <w:style w:styleId="TableGrid" w:type="table">
    <w:name w:val="Table Grid"/>
    <w:basedOn w:val="TableNormal"/>
    <w:uiPriority w:val="59"/>
    <w:rsid w:val="00D824EA"/>
    <w:pPr>
      <w:spacing w:after="0"/>
    </w:pPr>
    <w:rPr>
      <w:rFonts w:asciiTheme="minorHAnsi" w:cstheme="minorBidi" w:eastAsiaTheme="minorEastAsia"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iPriority w:val="99"/>
    <w:unhideWhenUsed/>
    <w:rsid w:val="000D7CF1"/>
    <w:pPr>
      <w:numPr>
        <w:numId w:val="8"/>
      </w:numPr>
      <w:spacing w:after="200" w:line="276" w:lineRule="auto"/>
      <w:contextualSpacing/>
    </w:pPr>
    <w:rPr>
      <w:rFonts w:ascii="Arial" w:cstheme="minorBidi" w:eastAsia="Arial" w:hAnsi="Arial"/>
      <w:sz w:val="22"/>
      <w:szCs w:val="22"/>
    </w:rPr>
  </w:style>
  <w:style w:styleId="Header" w:type="paragraph">
    <w:name w:val="header"/>
    <w:basedOn w:val="Normal"/>
    <w:link w:val="HeaderChar"/>
    <w:rsid w:val="00ED20D3"/>
    <w:pPr>
      <w:tabs>
        <w:tab w:pos="4680" w:val="center"/>
        <w:tab w:pos="9360" w:val="right"/>
      </w:tabs>
      <w:spacing w:after="0"/>
    </w:pPr>
  </w:style>
  <w:style w:customStyle="1" w:styleId="HeaderChar" w:type="character">
    <w:name w:val="Header Char"/>
    <w:basedOn w:val="DefaultParagraphFont"/>
    <w:link w:val="Header"/>
    <w:rsid w:val="00ED20D3"/>
  </w:style>
  <w:style w:styleId="Footer" w:type="paragraph">
    <w:name w:val="footer"/>
    <w:basedOn w:val="Normal"/>
    <w:link w:val="FooterChar"/>
    <w:uiPriority w:val="99"/>
    <w:rsid w:val="00ED20D3"/>
    <w:pPr>
      <w:tabs>
        <w:tab w:pos="4680" w:val="center"/>
        <w:tab w:pos="9360" w:val="right"/>
      </w:tabs>
      <w:spacing w:after="0"/>
    </w:pPr>
  </w:style>
  <w:style w:customStyle="1" w:styleId="FooterChar" w:type="character">
    <w:name w:val="Footer Char"/>
    <w:basedOn w:val="DefaultParagraphFont"/>
    <w:link w:val="Footer"/>
    <w:uiPriority w:val="99"/>
    <w:rsid w:val="00ED20D3"/>
  </w:style>
  <w:style w:customStyle="1" w:styleId="FootnoteTextChar" w:type="character">
    <w:name w:val="Footnote Text Char"/>
    <w:basedOn w:val="DefaultParagraphFont"/>
    <w:link w:val="FootnoteText"/>
    <w:uiPriority w:val="99"/>
    <w:rsid w:val="00B83F79"/>
  </w:style>
  <w:style w:styleId="BalloonText" w:type="paragraph">
    <w:name w:val="Balloon Text"/>
    <w:basedOn w:val="Normal"/>
    <w:link w:val="BalloonTextChar"/>
    <w:rsid w:val="0092010E"/>
    <w:pPr>
      <w:spacing w:after="0"/>
    </w:pPr>
    <w:rPr>
      <w:rFonts w:ascii="Segoe UI" w:cs="Segoe UI" w:hAnsi="Segoe UI"/>
      <w:sz w:val="18"/>
      <w:szCs w:val="18"/>
    </w:rPr>
  </w:style>
  <w:style w:customStyle="1" w:styleId="BalloonTextChar" w:type="character">
    <w:name w:val="Balloon Text Char"/>
    <w:basedOn w:val="DefaultParagraphFont"/>
    <w:link w:val="BalloonText"/>
    <w:rsid w:val="0092010E"/>
    <w:rPr>
      <w:rFonts w:ascii="Segoe UI" w:cs="Segoe UI" w:hAnsi="Segoe UI"/>
      <w:sz w:val="18"/>
      <w:szCs w:val="18"/>
    </w:rPr>
  </w:style>
  <w:style w:customStyle="1" w:styleId="text-token-text-primary" w:type="character">
    <w:name w:val="text-token-text-primary"/>
    <w:basedOn w:val="DefaultParagraphFont"/>
    <w:rsid w:val="00EA1787"/>
  </w:style>
  <w:style w:styleId="Emphasis" w:type="character">
    <w:name w:val="Emphasis"/>
    <w:basedOn w:val="DefaultParagraphFont"/>
    <w:uiPriority w:val="20"/>
    <w:qFormat/>
    <w:rsid w:val="00EA1787"/>
    <w:rPr>
      <w:i/>
      <w:iCs/>
    </w:rPr>
  </w:style>
  <w:style w:customStyle="1" w:styleId="isselectedend" w:type="paragraph">
    <w:name w:val="isselectedend"/>
    <w:basedOn w:val="Normal"/>
    <w:rsid w:val="00EA1787"/>
    <w:pPr>
      <w:spacing w:after="100" w:afterAutospacing="1" w:before="100" w:beforeAutospacing="1"/>
    </w:pPr>
    <w:rPr>
      <w:lang w:eastAsia="ja-JP"/>
    </w:rPr>
  </w:style>
  <w:style w:styleId="Strong" w:type="character">
    <w:name w:val="Strong"/>
    <w:basedOn w:val="DefaultParagraphFont"/>
    <w:uiPriority w:val="22"/>
    <w:qFormat/>
    <w:rsid w:val="00EA1787"/>
    <w:rPr>
      <w:b/>
      <w:bCs/>
    </w:rPr>
  </w:style>
  <w:style w:styleId="NormalWeb" w:type="paragraph">
    <w:name w:val="Normal (Web)"/>
    <w:basedOn w:val="Normal"/>
    <w:uiPriority w:val="99"/>
    <w:unhideWhenUsed/>
    <w:rsid w:val="00EA1787"/>
    <w:pPr>
      <w:spacing w:after="100" w:afterAutospacing="1" w:before="100" w:beforeAutospacing="1"/>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1059">
      <w:bodyDiv w:val="1"/>
      <w:marLeft w:val="0"/>
      <w:marRight w:val="0"/>
      <w:marTop w:val="0"/>
      <w:marBottom w:val="0"/>
      <w:divBdr>
        <w:top w:val="none" w:sz="0" w:space="0" w:color="auto"/>
        <w:left w:val="none" w:sz="0" w:space="0" w:color="auto"/>
        <w:bottom w:val="none" w:sz="0" w:space="0" w:color="auto"/>
        <w:right w:val="none" w:sz="0" w:space="0" w:color="auto"/>
      </w:divBdr>
    </w:div>
    <w:div w:id="561252926">
      <w:bodyDiv w:val="1"/>
      <w:marLeft w:val="0"/>
      <w:marRight w:val="0"/>
      <w:marTop w:val="0"/>
      <w:marBottom w:val="0"/>
      <w:divBdr>
        <w:top w:val="none" w:sz="0" w:space="0" w:color="auto"/>
        <w:left w:val="none" w:sz="0" w:space="0" w:color="auto"/>
        <w:bottom w:val="none" w:sz="0" w:space="0" w:color="auto"/>
        <w:right w:val="none" w:sz="0" w:space="0" w:color="auto"/>
      </w:divBdr>
    </w:div>
    <w:div w:id="904415314">
      <w:bodyDiv w:val="1"/>
      <w:marLeft w:val="0"/>
      <w:marRight w:val="0"/>
      <w:marTop w:val="0"/>
      <w:marBottom w:val="0"/>
      <w:divBdr>
        <w:top w:val="none" w:sz="0" w:space="0" w:color="auto"/>
        <w:left w:val="none" w:sz="0" w:space="0" w:color="auto"/>
        <w:bottom w:val="none" w:sz="0" w:space="0" w:color="auto"/>
        <w:right w:val="none" w:sz="0" w:space="0" w:color="auto"/>
      </w:divBdr>
    </w:div>
    <w:div w:id="1367608840">
      <w:bodyDiv w:val="1"/>
      <w:marLeft w:val="0"/>
      <w:marRight w:val="0"/>
      <w:marTop w:val="0"/>
      <w:marBottom w:val="0"/>
      <w:divBdr>
        <w:top w:val="none" w:sz="0" w:space="0" w:color="auto"/>
        <w:left w:val="none" w:sz="0" w:space="0" w:color="auto"/>
        <w:bottom w:val="none" w:sz="0" w:space="0" w:color="auto"/>
        <w:right w:val="none" w:sz="0" w:space="0" w:color="auto"/>
      </w:divBdr>
    </w:div>
    <w:div w:id="1669668722">
      <w:bodyDiv w:val="1"/>
      <w:marLeft w:val="0"/>
      <w:marRight w:val="0"/>
      <w:marTop w:val="0"/>
      <w:marBottom w:val="0"/>
      <w:divBdr>
        <w:top w:val="none" w:sz="0" w:space="0" w:color="auto"/>
        <w:left w:val="none" w:sz="0" w:space="0" w:color="auto"/>
        <w:bottom w:val="none" w:sz="0" w:space="0" w:color="auto"/>
        <w:right w:val="none" w:sz="0" w:space="0" w:color="auto"/>
      </w:divBdr>
    </w:div>
    <w:div w:id="1674533487">
      <w:bodyDiv w:val="1"/>
      <w:marLeft w:val="0"/>
      <w:marRight w:val="0"/>
      <w:marTop w:val="0"/>
      <w:marBottom w:val="0"/>
      <w:divBdr>
        <w:top w:val="none" w:sz="0" w:space="0" w:color="auto"/>
        <w:left w:val="none" w:sz="0" w:space="0" w:color="auto"/>
        <w:bottom w:val="none" w:sz="0" w:space="0" w:color="auto"/>
        <w:right w:val="none" w:sz="0" w:space="0" w:color="auto"/>
      </w:divBdr>
    </w:div>
    <w:div w:id="1761632475">
      <w:bodyDiv w:val="1"/>
      <w:marLeft w:val="0"/>
      <w:marRight w:val="0"/>
      <w:marTop w:val="0"/>
      <w:marBottom w:val="0"/>
      <w:divBdr>
        <w:top w:val="none" w:sz="0" w:space="0" w:color="auto"/>
        <w:left w:val="none" w:sz="0" w:space="0" w:color="auto"/>
        <w:bottom w:val="none" w:sz="0" w:space="0" w:color="auto"/>
        <w:right w:val="none" w:sz="0" w:space="0" w:color="auto"/>
      </w:divBdr>
    </w:div>
    <w:div w:id="1963997109">
      <w:bodyDiv w:val="1"/>
      <w:marLeft w:val="0"/>
      <w:marRight w:val="0"/>
      <w:marTop w:val="0"/>
      <w:marBottom w:val="0"/>
      <w:divBdr>
        <w:top w:val="none" w:sz="0" w:space="0" w:color="auto"/>
        <w:left w:val="none" w:sz="0" w:space="0" w:color="auto"/>
        <w:bottom w:val="none" w:sz="0" w:space="0" w:color="auto"/>
        <w:right w:val="none" w:sz="0" w:space="0" w:color="auto"/>
      </w:divBdr>
    </w:div>
    <w:div w:id="2009137898">
      <w:bodyDiv w:val="1"/>
      <w:marLeft w:val="0"/>
      <w:marRight w:val="0"/>
      <w:marTop w:val="0"/>
      <w:marBottom w:val="0"/>
      <w:divBdr>
        <w:top w:val="none" w:sz="0" w:space="0" w:color="auto"/>
        <w:left w:val="none" w:sz="0" w:space="0" w:color="auto"/>
        <w:bottom w:val="none" w:sz="0" w:space="0" w:color="auto"/>
        <w:right w:val="none" w:sz="0" w:space="0" w:color="auto"/>
      </w:divBdr>
    </w:div>
    <w:div w:id="2097507528">
      <w:bodyDiv w:val="1"/>
      <w:marLeft w:val="0"/>
      <w:marRight w:val="0"/>
      <w:marTop w:val="0"/>
      <w:marBottom w:val="0"/>
      <w:divBdr>
        <w:top w:val="none" w:sz="0" w:space="0" w:color="auto"/>
        <w:left w:val="none" w:sz="0" w:space="0" w:color="auto"/>
        <w:bottom w:val="none" w:sz="0" w:space="0" w:color="auto"/>
        <w:right w:val="none" w:sz="0" w:space="0" w:color="auto"/>
      </w:divBdr>
    </w:div>
    <w:div w:id="2110540937">
      <w:bodyDiv w:val="1"/>
      <w:marLeft w:val="0"/>
      <w:marRight w:val="0"/>
      <w:marTop w:val="0"/>
      <w:marBottom w:val="0"/>
      <w:divBdr>
        <w:top w:val="none" w:sz="0" w:space="0" w:color="auto"/>
        <w:left w:val="none" w:sz="0" w:space="0" w:color="auto"/>
        <w:bottom w:val="none" w:sz="0" w:space="0" w:color="auto"/>
        <w:right w:val="none" w:sz="0" w:space="0" w:color="auto"/>
      </w:divBdr>
    </w:div>
    <w:div w:id="2113160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2" Type="http://schemas.openxmlformats.org/officeDocument/2006/relationships/image" Target="media/rId32.png"/><Relationship Id="rId35" Type="http://schemas.openxmlformats.org/officeDocument/2006/relationships/image" Target="media/rId35.png"/><Relationship Id="rId42" Type="http://schemas.openxmlformats.org/officeDocument/2006/relationships/image" Target="media/rId42.png"/><Relationship Id="rId51" Type="http://schemas.openxmlformats.org/officeDocument/2006/relationships/image" Target="media/rId51.png"/><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png"/></Relationships>
</file>

<file path=word/_rels/footnotes.xml.rels><?xml version='1.0' encoding='UTF-8' standalone='yes'?>
<Relationships xmlns="http://schemas.openxmlformats.org/package/2006/relationships"><Relationship Id="rId79" Type="http://schemas.openxmlformats.org/officeDocument/2006/relationships/hyperlink" Target="https://c4model.com/" TargetMode="External"/><Relationship Id="rId70" Type="http://schemas.openxmlformats.org/officeDocument/2006/relationships/hyperlink" Target="https://docs.oasis-open.org/soa-rm/soa-ra/v1.0/cs01/soa-ra-v1.0-cs01.pdf" TargetMode="External"/><Relationship Id="rId72" Type="http://schemas.openxmlformats.org/officeDocument/2006/relationships/hyperlink" Target="https://eur-lex.europa.eu/eli/reg/2024/903/oj" TargetMode="External"/><Relationship Id="rId75" Type="http://schemas.openxmlformats.org/officeDocument/2006/relationships/hyperlink" Target="https://vanban.chinhphu.vn/?classid=0&amp;docid=214306&amp;pageid=27160" TargetMode="External"/><Relationship Id="rId69" Type="http://schemas.openxmlformats.org/officeDocument/2006/relationships/hyperlink" Target="https://vanban.chinhphu.vn/?classid=0&amp;docid=215785&amp;pageid=27160" TargetMode="External"/><Relationship Id="rId74" Type="http://schemas.openxmlformats.org/officeDocument/2006/relationships/hyperlink" Target="https://vanban.chinhphu.vn/?classid=1&amp;docid=210491&amp;pageid=27160" TargetMode="External"/><Relationship Id="rId78" Type="http://schemas.openxmlformats.org/officeDocument/2006/relationships/hyperlink" Target="https://vanban.chinhphu.vn/?classid=1&amp;docid=212488&amp;pageid=27160&amp;typegroupid=3" TargetMode="External"/><Relationship Id="rId76" Type="http://schemas.openxmlformats.org/officeDocument/2006/relationships/hyperlink" Target="https://vanban.chinhphu.vn/?classid=1&amp;docid=214590&amp;pageid=27160&amp;typegroup=" TargetMode="External"/><Relationship Id="rId66" Type="http://schemas.openxmlformats.org/officeDocument/2006/relationships/hyperlink" Target="https://vanban.chinhphu.vn/?classid=1&amp;docid=215663&amp;orggroupid=2&amp;pageid=27160" TargetMode="External"/><Relationship Id="rId77" Type="http://schemas.openxmlformats.org/officeDocument/2006/relationships/hyperlink" Target="https://vanban.chinhphu.vn/?classid=1&amp;docid=216387&amp;pageid=27160" TargetMode="External"/><Relationship Id="rId73" Type="http://schemas.openxmlformats.org/officeDocument/2006/relationships/hyperlink" Target="https://vanban.chinhphu.vn/?docid=215682&amp;pageid=27160" TargetMode="External"/><Relationship Id="rId67" Type="http://schemas.openxmlformats.org/officeDocument/2006/relationships/hyperlink" Target="https://vietnamstijournal.net/index.php/JSTPM/article/view/534" TargetMode="External"/><Relationship Id="rId68" Type="http://schemas.openxmlformats.org/officeDocument/2006/relationships/hyperlink" Target="https://www.iso.org/standard/74393.html" TargetMode="External"/><Relationship Id="rId80" Type="http://schemas.openxmlformats.org/officeDocument/2006/relationships/hyperlink" Target="https://www.opengroup.org/archimate-licensed-downloads" TargetMode="External"/><Relationship Id="rId71" Type="http://schemas.openxmlformats.org/officeDocument/2006/relationships/hyperlink" Target="https://www.sei.cmu.edu/documents/1960/2000_004_001_136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1795</TotalTime>
  <Pages>28</Pages>
  <Words>10056</Words>
  <Characters>57323</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tham chiếu tỉnh--trung ương cho nền tảng số quản lý doanh nghiệp khoa học và công nghệ và doanh nghiệp khởi nghiệp sáng tạo</dc:title>
  <dc:creator/>
  <cp:keywords>VJST; kiến trúc tham chiếu; doanh nghiệp khoa học và công nghệ; khởi nghiệp sáng tạo</cp:keywords>
  <dcterms:created xsi:type="dcterms:W3CDTF">2026-08-10T09:18:26Z</dcterms:created>
  <dcterms:modified xsi:type="dcterms:W3CDTF">2026-08-10T09:18:26Z</dcterms:modified>
  <dc:subject>Software reference architecture; design principles; conformance evidence; logical deployment view</dc:subject>
</cp:coreProperties>
</file>

<file path=docProps/custom.xml><?xml version="1.0" encoding="utf-8"?>
<Properties xmlns="http://schemas.openxmlformats.org/officeDocument/2006/custom-properties" xmlns:vt="http://schemas.openxmlformats.org/officeDocument/2006/docPropsVTypes"/>
</file>