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keepNext w:val="0"/>
        <w:keepLines w:val="0"/>
        <w:widowControl/>
        <w:spacing w:before="60" w:after="60" w:line="288" w:lineRule="auto"/>
        <w:ind/>
        <w:jc w:val="center"/>
      </w:pPr>
      <w:r>
        <w:rPr>
          <w:rFonts w:ascii="Times New Roman" w:hAnsi="Times New Roman" w:eastAsia="Times New Roman" w:cs="Times New Roman"/>
          <w:b/>
          <w:i w:val="0"/>
          <w:sz w:val="26"/>
          <w:u w:val="none"/>
        </w:rPr>
        <w:t>Kiến trúc tham chiếu tỉnh–trung ương cho nền tảng số quản lý doanh nghiệp khoa học và công nghệ và doanh nghiệp khởi nghiệp sáng tạo</w:t>
      </w:r>
    </w:p>
    <w:p>
      <w:pPr>
        <w:pStyle w:val="BodyText"/>
        <w:keepNext w:val="0"/>
        <w:keepLines w:val="0"/>
        <w:widowControl/>
        <w:spacing w:before="60" w:after="60" w:line="288" w:lineRule="auto"/>
        <w:ind/>
        <w:jc w:val="center"/>
      </w:pPr>
      <w:r>
        <w:rPr>
          <w:rFonts w:ascii="Times New Roman" w:hAnsi="Times New Roman" w:eastAsia="Times New Roman" w:cs="Times New Roman"/>
          <w:b/>
          <w:i w:val="0"/>
          <w:sz w:val="26"/>
          <w:u w:val="none"/>
        </w:rPr>
        <w:t>Nguyễn Đình Quảng¹, Nguyễn Huy Cường²*</w:t>
      </w:r>
    </w:p>
    <w:p>
      <w:pPr>
        <w:pStyle w:val="BodyText"/>
        <w:keepNext w:val="0"/>
        <w:keepLines w:val="0"/>
        <w:widowControl/>
        <w:spacing w:before="60" w:after="60" w:line="288" w:lineRule="auto"/>
        <w:ind/>
        <w:jc w:val="center"/>
      </w:pPr>
      <w:r>
        <w:rPr>
          <w:rFonts w:ascii="Times New Roman" w:hAnsi="Times New Roman" w:eastAsia="Times New Roman" w:cs="Times New Roman"/>
          <w:b w:val="0"/>
          <w:i/>
          <w:sz w:val="26"/>
          <w:u w:val="none"/>
        </w:rPr>
        <w:t>¹Khoa Công nghệ thông tin, Học viện Công nghệ Bưu chính viễn thông,</w:t>
        <w:br/>
        <w:t>96A Trần Phú, phường Hà Đông, Hà Nội, Việt Nam</w:t>
      </w:r>
    </w:p>
    <w:p>
      <w:pPr>
        <w:pStyle w:val="BodyText"/>
        <w:keepNext w:val="0"/>
        <w:keepLines w:val="0"/>
        <w:widowControl/>
        <w:spacing w:before="60" w:after="60" w:line="288" w:lineRule="auto"/>
        <w:ind/>
        <w:jc w:val="center"/>
      </w:pPr>
      <w:r>
        <w:rPr>
          <w:rFonts w:ascii="Times New Roman" w:hAnsi="Times New Roman" w:eastAsia="Times New Roman" w:cs="Times New Roman"/>
          <w:b w:val="0"/>
          <w:i/>
          <w:sz w:val="26"/>
          <w:u w:val="none"/>
        </w:rPr>
        <w:t>²Trung tâm Phát triển doanh nghiệp khoa học và công nghệ, Cục Khởi nghiệp và Doanh nghiệp công nghệ, Bộ Khoa học và Công nghệ, 115 Trần Duy Hưng, phường Yên Hòa, Hà Nội, Việt Nam</w:t>
      </w:r>
    </w:p>
    <w:p>
      <w:pPr>
        <w:pStyle w:val="BodyText"/>
        <w:keepNext w:val="0"/>
        <w:keepLines w:val="0"/>
        <w:widowControl/>
        <w:spacing w:before="60" w:after="60" w:line="288" w:lineRule="auto"/>
        <w:ind/>
        <w:jc w:val="both"/>
      </w:pPr>
      <w:r>
        <w:rPr>
          <w:rFonts w:ascii="Times New Roman" w:hAnsi="Times New Roman" w:eastAsia="Times New Roman" w:cs="Times New Roman"/>
          <w:b/>
          <w:i/>
          <w:sz w:val="26"/>
          <w:u w:val="single"/>
        </w:rPr>
        <w:t>Tóm tắt:</w:t>
      </w:r>
    </w:p>
    <w:p>
      <w:pPr>
        <w:pStyle w:val="BodyText"/>
        <w:keepNext w:val="0"/>
        <w:keepLines w:val="0"/>
        <w:widowControl/>
        <w:spacing w:before="60" w:after="60" w:line="288" w:lineRule="auto"/>
        <w:ind/>
        <w:jc w:val="both"/>
      </w:pPr>
      <w:r>
        <w:rPr>
          <w:rFonts w:ascii="Times New Roman" w:hAnsi="Times New Roman" w:eastAsia="Times New Roman"/>
          <w:sz w:val="26"/>
        </w:rPr>
        <w:t>Quản lý doanh nghiệp khoa học và công nghệ (DN KH&amp;CN) và doanh nghiệp khởi nghiệp sáng tạo (DN KNST) cần sử dụng dữ liệu hình thành ở địa phương, hệ thống thủ tục hành chính/dịch vụ công, CSDL quốc gia về doanh nghiệp và các nguồn chuyên ngành, trong khi các nguồn này khác nhau về chủ thể quản lý, cấu trúc và chu kỳ cập nhật. Theo nghiên cứu khoa học thiết kế (Design Science Research, DSR), bài báo đề xuất một kiến trúc tham chiếu phần mềm (SRA) tỉnh–trung ương cho nền tảng chuyên ngành, tổ chức chuỗi tiếp nhận/thu thập, kiểm tra–chuẩn hóa, đối soát nguồn có thẩm quyền, đồng bộ và tổng hợp dữ liệu mà không thay thế các hệ thống nguồn hay dịch vụ công hiện hành. Từ 16 tài liệu, nghiên cứu xác lập 116 đơn vị nguồn và 128 dòng truy vết, trong đó 114 dòng từ nguồn hiện hành/có thẩm quyền. SRA tách lõi ổn định khỏi điểm biến thiên, gắn quyền ghi với thẩm quyền và thời gian hiệu lực, xác định nguồn dữ liệu theo nhóm thuộc tính và duy trì provenance khi dữ liệu được sao chép/tổng hợp. Mười kịch bản trước triển khai phát hiện hai khoảng trống về chuyển quyền ghi theo thời gian và cùng tồn tại của các phiên bản khác nhau. Sau tinh chỉnh, hậu kiểm bằng cùng rubric cho 2 kịch bản đáp ứng trực tiếp, 8 đáp ứng có điều kiện và không còn rủi ro kiến trúc chưa được hấp thụ ở mức L2 trong chính bộ kịch bản đã chọn. Kết quả là kiểm chứng kiến trúc dựa trên kịch bản trước triển khai; nguyên mẫu vẫn cần kiểm thử liên thông, đồng bộ, chuyển quyền, nâng cấp, phục hồi, an toàn và các thuộc tính chất lượng đo được.</w:t>
      </w:r>
    </w:p>
    <w:p>
      <w:pPr>
        <w:pStyle w:val="BodyText"/>
        <w:keepNext w:val="0"/>
        <w:keepLines w:val="0"/>
        <w:widowControl/>
        <w:spacing w:before="60" w:after="60" w:line="288" w:lineRule="auto"/>
        <w:ind/>
        <w:jc w:val="both"/>
      </w:pPr>
      <w:r>
        <w:rPr>
          <w:rFonts w:ascii="Times New Roman" w:hAnsi="Times New Roman" w:eastAsia="Times New Roman" w:cs="Times New Roman"/>
          <w:b/>
          <w:i/>
          <w:sz w:val="26"/>
          <w:u w:val="single"/>
        </w:rPr>
        <w:t>Từ khóa:</w:t>
      </w:r>
      <w:r>
        <w:rPr>
          <w:rFonts w:ascii="Times New Roman" w:hAnsi="Times New Roman" w:eastAsia="Times New Roman" w:cs="Times New Roman"/>
          <w:b/>
          <w:sz w:val="26"/>
        </w:rPr>
        <w:t xml:space="preserve"> doanh nghiệp khoa học và công nghệ, thẩm quyền dữ liệu, kiến trúc tham chiếu, khởi nghiệp sáng tạo, liên thông hệ thống, quy trình có thể cấu hình.</w:t>
      </w:r>
    </w:p>
    <w:p>
      <w:pPr>
        <w:pStyle w:val="BodyText"/>
        <w:keepNext w:val="0"/>
        <w:keepLines w:val="0"/>
        <w:widowControl/>
        <w:spacing w:before="60" w:after="60" w:line="288" w:lineRule="auto"/>
        <w:ind/>
        <w:jc w:val="both"/>
      </w:pPr>
      <w:r>
        <w:rPr>
          <w:rFonts w:ascii="Times New Roman" w:hAnsi="Times New Roman" w:eastAsia="Times New Roman" w:cs="Times New Roman"/>
          <w:b/>
          <w:i/>
          <w:sz w:val="26"/>
          <w:u w:val="single"/>
        </w:rPr>
        <w:t>Chỉ số phân loại:</w:t>
      </w:r>
      <w:r>
        <w:rPr>
          <w:rFonts w:ascii="Times New Roman" w:hAnsi="Times New Roman" w:eastAsia="Times New Roman" w:cs="Times New Roman"/>
          <w:b/>
          <w:sz w:val="26"/>
        </w:rPr>
        <w:t xml:space="preserve"> 1.2, 2.2</w:t>
      </w:r>
    </w:p>
    <w:p>
      <w:pPr>
        <w:keepLines/>
        <w:spacing w:before="1560" w:after="0" w:line="240" w:lineRule="auto"/>
        <w:jc w:val="left"/>
        <w:pBdr>
          <w:top w:val="single" w:sz="4" w:space="1" w:color="000000"/>
        </w:pBdr>
      </w:pPr>
      <w:r>
        <w:rPr>
          <w:rFonts w:ascii="Times New Roman" w:hAnsi="Times New Roman" w:eastAsia="Times New Roman" w:cs="Times New Roman"/>
          <w:i/>
          <w:sz w:val="18"/>
        </w:rPr>
        <w:t>* Tác giả liên hệ: Email: nguyenhuycuong@mst.gov.vn</w:t>
      </w:r>
    </w:p>
    <w:p>
      <w:pPr>
        <w:pStyle w:val="BodyText"/>
        <w:keepNext w:val="0"/>
        <w:keepLines w:val="0"/>
        <w:pageBreakBefore/>
        <w:widowControl/>
        <w:spacing w:before="60" w:after="60" w:line="288" w:lineRule="auto"/>
        <w:ind/>
        <w:jc w:val="center"/>
      </w:pPr>
      <w:r>
        <w:rPr>
          <w:rFonts w:ascii="Times New Roman" w:hAnsi="Times New Roman" w:eastAsia="Times New Roman" w:cs="Times New Roman"/>
          <w:b/>
          <w:i w:val="0"/>
          <w:sz w:val="26"/>
          <w:u w:val="none"/>
        </w:rPr>
        <w:t>A provincial–central reference architecture for a digital platform managing science and technology enterprises and innovative startups</w:t>
      </w:r>
    </w:p>
    <w:p>
      <w:pPr>
        <w:pStyle w:val="BodyText"/>
        <w:keepNext w:val="0"/>
        <w:keepLines w:val="0"/>
        <w:widowControl/>
        <w:spacing w:before="60" w:after="60" w:line="288" w:lineRule="auto"/>
        <w:ind/>
        <w:jc w:val="center"/>
      </w:pPr>
      <w:r>
        <w:rPr>
          <w:rFonts w:ascii="Times New Roman" w:hAnsi="Times New Roman" w:eastAsia="Times New Roman" w:cs="Times New Roman"/>
          <w:b/>
          <w:i w:val="0"/>
          <w:sz w:val="26"/>
          <w:u w:val="none"/>
        </w:rPr>
        <w:t>Dinh Quang Nguyen¹, Huy Cuong Nguyen²*</w:t>
      </w:r>
    </w:p>
    <w:p>
      <w:pPr>
        <w:pStyle w:val="BodyText"/>
        <w:keepNext w:val="0"/>
        <w:keepLines w:val="0"/>
        <w:widowControl/>
        <w:spacing w:before="60" w:after="60" w:line="288" w:lineRule="auto"/>
        <w:ind/>
        <w:jc w:val="center"/>
      </w:pPr>
      <w:r>
        <w:rPr>
          <w:rFonts w:ascii="Times New Roman" w:hAnsi="Times New Roman" w:eastAsia="Times New Roman" w:cs="Times New Roman"/>
          <w:b w:val="0"/>
          <w:i/>
          <w:sz w:val="26"/>
          <w:u w:val="none"/>
        </w:rPr>
        <w:t>¹Faculty of Information Technology, Posts and Telecommunications Institute of Technology, 96A Tran Phu Street, Ha Dong Ward, Hanoi, Vietnam</w:t>
      </w:r>
    </w:p>
    <w:p>
      <w:pPr>
        <w:pStyle w:val="BodyText"/>
        <w:keepNext w:val="0"/>
        <w:keepLines w:val="0"/>
        <w:widowControl/>
        <w:spacing w:before="60" w:after="60" w:line="288" w:lineRule="auto"/>
        <w:ind/>
        <w:jc w:val="center"/>
      </w:pPr>
      <w:r>
        <w:rPr>
          <w:rFonts w:ascii="Times New Roman" w:hAnsi="Times New Roman" w:eastAsia="Times New Roman" w:cs="Times New Roman"/>
          <w:b w:val="0"/>
          <w:i/>
          <w:sz w:val="26"/>
          <w:u w:val="none"/>
        </w:rPr>
        <w:t>²Technology and Science Enterprise Development Center, National Agency for Technology Entrepreneurship and Commercialization, Ministry of Science and Technology, 115 Tran Duy Hung Street, Yen Hoa Ward, Hanoi, Vietnam</w:t>
      </w:r>
    </w:p>
    <w:p>
      <w:pPr>
        <w:pStyle w:val="BodyText"/>
        <w:keepNext w:val="0"/>
        <w:keepLines w:val="0"/>
        <w:widowControl/>
        <w:spacing w:before="60" w:after="60" w:line="288" w:lineRule="auto"/>
        <w:ind/>
        <w:jc w:val="both"/>
      </w:pPr>
      <w:r>
        <w:rPr>
          <w:rFonts w:ascii="Times New Roman" w:hAnsi="Times New Roman" w:eastAsia="Times New Roman" w:cs="Times New Roman"/>
          <w:b w:val="0"/>
          <w:i/>
          <w:sz w:val="26"/>
          <w:u w:val="single"/>
        </w:rPr>
        <w:t>Abstract:</w:t>
      </w:r>
    </w:p>
    <w:p>
      <w:pPr>
        <w:pStyle w:val="BodyText"/>
        <w:keepNext w:val="0"/>
        <w:keepLines w:val="0"/>
        <w:widowControl/>
        <w:spacing w:before="60" w:after="60" w:line="288" w:lineRule="auto"/>
        <w:ind/>
        <w:jc w:val="both"/>
      </w:pPr>
      <w:r>
        <w:rPr>
          <w:rFonts w:ascii="Times New Roman" w:hAnsi="Times New Roman" w:eastAsia="Times New Roman"/>
          <w:sz w:val="26"/>
        </w:rPr>
        <w:t>Managing science and technology enterprises (STEs) and innovative startups requires data originating from provincial operations, public administrative-service systems, the national enterprise database and domain-specific sources, which differ in ownership, structure and update cycles. Following Design Science Research (DSR), this study proposes a provincial–central software reference architecture (SRA) for the domain platform, organizing data intake/collection, validation and standardization, reconciliation with authoritative sources, synchronization and aggregation without replacing existing source systems or public services. Sixteen documents yielded 116 source units and 128 traceability rows, including 114 from current or authoritative sources. The SRA separates a stable core from variation points, binds write authority to jurisdiction and effective time, assigns authoritative sources by attribute group, and preserves provenance when data are replicated or aggregated. Ten pre-implementation scenarios exposed two gaps concerning temporal transfer of write authority and coexistence of different operational versions. After refinement, a post-refinement check using the same rubric yielded two directly supported scenarios, eight conditionally supported scenarios and no remaining L2-unabsorbed risk within the selected scenario set. The results are scenario-based architecture verification rather than empirical system validation; prototype tests are still required for interoperability, synchronization, authority transfer, version-skew upgrades, recovery, security and measurable quality attributes.</w:t>
      </w:r>
    </w:p>
    <w:p>
      <w:pPr>
        <w:pStyle w:val="BodyText"/>
        <w:keepNext w:val="0"/>
        <w:keepLines w:val="0"/>
        <w:widowControl/>
        <w:spacing w:before="60" w:after="60" w:line="288" w:lineRule="auto"/>
        <w:ind/>
        <w:jc w:val="both"/>
      </w:pPr>
      <w:r>
        <w:rPr>
          <w:rFonts w:ascii="Times New Roman" w:hAnsi="Times New Roman" w:eastAsia="Times New Roman" w:cs="Times New Roman"/>
          <w:b/>
          <w:i/>
          <w:sz w:val="26"/>
          <w:u w:val="single"/>
        </w:rPr>
        <w:t>Keywords:</w:t>
      </w:r>
      <w:r>
        <w:rPr>
          <w:rFonts w:ascii="Times New Roman" w:hAnsi="Times New Roman" w:eastAsia="Times New Roman" w:cs="Times New Roman"/>
          <w:b/>
          <w:sz w:val="26"/>
        </w:rPr>
        <w:t xml:space="preserve"> configurable workflow, data authority, innovative startups, interoperability, reference architecture, science and technology enterprises.</w:t>
      </w:r>
    </w:p>
    <w:p>
      <w:pPr>
        <w:pStyle w:val="BodyText"/>
        <w:keepNext w:val="0"/>
        <w:keepLines w:val="0"/>
        <w:widowControl/>
        <w:spacing w:before="60" w:after="60" w:line="288" w:lineRule="auto"/>
        <w:ind/>
        <w:jc w:val="both"/>
      </w:pPr>
      <w:r>
        <w:rPr>
          <w:rFonts w:ascii="Times New Roman" w:hAnsi="Times New Roman" w:eastAsia="Times New Roman" w:cs="Times New Roman"/>
          <w:b/>
          <w:i/>
          <w:sz w:val="26"/>
          <w:u w:val="single"/>
        </w:rPr>
        <w:t>Classification numbers:</w:t>
      </w:r>
      <w:r>
        <w:rPr>
          <w:rFonts w:ascii="Times New Roman" w:hAnsi="Times New Roman" w:eastAsia="Times New Roman" w:cs="Times New Roman"/>
          <w:b/>
          <w:sz w:val="26"/>
        </w:rPr>
        <w:t xml:space="preserve"> 1.2, 2.2</w:t>
      </w:r>
    </w:p>
    <w:bookmarkStart w:id="20" w:name="giới-thiệu"/>
    <w:p>
      <w:pPr>
        <w:pStyle w:val="Heading1"/>
        <w:keepNext/>
        <w:keepLines w:val="0"/>
        <w:pageBreakBefore/>
        <w:widowControl/>
        <w:spacing w:before="60" w:after="60" w:line="288" w:lineRule="auto"/>
        <w:jc w:val="left"/>
      </w:pPr>
      <w:r>
        <w:rPr>
          <w:rFonts w:ascii="Times New Roman" w:hAnsi="Times New Roman" w:eastAsia="Times New Roman" w:cs="Times New Roman"/>
          <w:b/>
          <w:i w:val="0"/>
          <w:sz w:val="26"/>
          <w:u w:val="none"/>
        </w:rPr>
        <w:t>1. Giới thiệu</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Quản lý DN KH&amp;CN và DN KNST không bắt đầu từ một không gian dữ liệu thống nhất. Dữ liệu liên quan được hình thành qua nghiệp vụ địa phương, hệ thống thủ tục hành chính/dịch vụ công, CSDL quốc gia về doanh nghiệp và các nguồn KH&amp;CN/chuyên ngành; nghiên cứu trước đã nhận diện phân mảnh dữ liệu và khoảng cách giữa chính sách với vận hành như một vấn đề của hệ sinh thái [2, pp. 47-48]. Trong khi đó, Nghị định số 268/2025/NĐ-CP đặt phần lớn nghiệp vụ công nhận, chứng nhận ở cấp tỉnh nhưng đồng thời yêu cầu cập nhật, thông báo và tổng hợp liên cấp: khoản 1 Điều 48 xác lập thẩm quyền của Ủy ban nhân dân cấp tỉnh đối với Giấy chứng nhận DN KH&amp;CN; khoản 3 Điều 48 yêu cầu cập nhật định kỳ dữ liệu liên quan lên Nền tảng số quản lý KH,CN&amp;ĐMST quốc gia; khoản 2 Điều 66 quy định nghĩa vụ thông báo cho Bộ Khoa học và Công nghệ trong thời hạn 15 ngày [1]. Bài toán kiến trúc vì vậy là tổ chức thu thập, chuẩn hóa, đồng bộ và khai thác dữ liệu đa nguồn mà vẫn bảo toàn thẩm quyền nghiệp vụ và vai trò của các hệ thống hiện hữu.</w:t>
      </w:r>
    </w:p>
    <w:p>
      <w:pPr>
        <w:pStyle w:val="BodyText"/>
        <w:keepNext w:val="0"/>
        <w:keepLines w:val="0"/>
        <w:widowControl/>
        <w:spacing w:before="60" w:after="60" w:line="288" w:lineRule="auto"/>
        <w:ind w:firstLine="720"/>
        <w:jc w:val="both"/>
      </w:pPr>
      <w:r>
        <w:rPr>
          <w:rFonts w:ascii="Times New Roman" w:hAnsi="Times New Roman" w:eastAsia="Times New Roman"/>
          <w:sz w:val="26"/>
        </w:rPr>
        <w:t>Nghiên cứu trước của nhóm tác giả đã mã hóa yêu cầu chức năng, tổ chức một khung nền tảng sáu lớp và minh họa kiến trúc C4 ở mức vùng chứa [2, pp. 54, 58-59]. Công trình đó cung cấp bối cảnh về phân mảnh dữ liệu và nhu cầu liên kết hệ sinh thái nhưng chưa giải quyết kiến trúc thu thập–chuẩn hóa–đồng bộ dữ liệu tỉnh–trung ương theo các khung dữ liệu mới. Bài hiện tại không tái sử dụng các yêu cầu chức năng, sáu lớp hay hình của công trình đó để tổng hợp kiến trúc; nghiên cứu trước chỉ được dùng để xác lập bối cảnh và ranh giới đóng góp. Khác biệt cốt lõi được tóm tắt ở Bảng 1.</w:t>
      </w:r>
    </w:p>
    <w:p>
      <w:pPr>
        <w:pStyle w:val="TableCaption"/>
        <w:keepNext/>
        <w:keepLines w:val="0"/>
        <w:widowControl/>
        <w:spacing w:before="60" w:after="60" w:line="288" w:lineRule="auto"/>
        <w:jc w:val="both"/>
      </w:pPr>
      <w:r>
        <w:rPr>
          <w:rFonts w:ascii="Times New Roman" w:hAnsi="Times New Roman" w:eastAsia="Times New Roman" w:cs="Times New Roman"/>
          <w:b/>
          <w:i w:val="0"/>
          <w:sz w:val="26"/>
          <w:u w:val="none"/>
        </w:rPr>
        <w:t>Bảng 1. Ranh giới giữa nghiên cứu trước và nghiên cứu hiện tại</w:t>
      </w:r>
    </w:p>
    <w:tbl>
      <w:tblPr>
        <w:tblStyle w:val="TableGrid"/>
        <w:tblW w:type="auto" w:w="0"/>
        <w:jc w:val="center"/>
        <w:tblLayout w:type="fixed"/>
        <w:tblLook w:firstRow="0" w:lastRow="0" w:firstColumn="0" w:lastColumn="0" w:noHBand="0" w:noVBand="0" w:val="0000"/>
        <w:tblCaption w:val="Ranh giới giữa nghiên cứu trước và nghiên cứu hiện tại"/>
      </w:tblPr>
      <w:tblGrid>
        <w:gridCol w:w="2640"/>
        <w:gridCol w:w="2640"/>
        <w:gridCol w:w="2640"/>
      </w:tblGrid>
      <w:tr>
        <w:trPr>
          <w:tblHeader w:val="true"/>
          <w:cantSplit w:val="true"/>
        </w:trPr>
        <w:tc>
          <w:tcPr>
            <w:tcW w:type="dxa" w:w="1757"/>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19"/>
              </w:rPr>
              <w:t xml:space="preserve">Chiều so sánh</w:t>
            </w:r>
          </w:p>
        </w:tc>
        <w:tc>
          <w:tcPr>
            <w:tcW w:type="dxa" w:w="3344"/>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19"/>
              </w:rPr>
              <w:t xml:space="preserve">Nghiên cứu trước</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19"/>
              </w:rPr>
              <w:t xml:space="preserve">Nghiên cứu hiện tại</w:t>
            </w:r>
          </w:p>
        </w:tc>
      </w:tr>
      <w:tr>
        <w:trPr>
          <w:cantSplit w:val="true"/>
        </w:trPr>
        <w:tc>
          <w:tcPr>
            <w:tcW w:type="dxa" w:w="1757"/>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Trọng tâm</w:t>
            </w:r>
          </w:p>
        </w:tc>
        <w:tc>
          <w:tcPr>
            <w:tcW w:type="dxa" w:w="3344"/>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Yêu cầu của NĐ 268, đối sánh kinh nghiệm và khung nền tảng số phục vụ quản trị hệ sinh thái.</w:t>
            </w:r>
          </w:p>
        </w:tc>
        <w:tc>
          <w:tcPr>
            <w:tcW w:type="dxa" w:w="3911"/>
            <w:vAlign w:val="center"/>
            <w:tcMar>
              <w:top w:w="70" w:type="dxa"/>
              <w:start w:w="90" w:type="dxa"/>
              <w:bottom w:w="70" w:type="dxa"/>
              <w:end w:w="90" w:type="dxa"/>
            </w:tcMar>
          </w:tcPr>
          <w:p>
            <w:pPr>
              <w:pStyle w:val="Compact"/>
              <w:jc w:val="left"/>
            </w:pPr>
            <w:r>
              <w:rPr>
                <w:rFonts w:ascii="Times New Roman" w:hAnsi="Times New Roman" w:eastAsia="Times New Roman"/>
                <w:b w:val="0"/>
                <w:sz w:val="19"/>
              </w:rPr>
              <w:t>Lõi/điểm biến thiên của SRA tỉnh–trung ương; thu thập–chuẩn hóa–liên thông dữ liệu; thẩm quyền dữ liệu và đánh đổi của một profile đánh giá.</w:t>
            </w:r>
          </w:p>
        </w:tc>
      </w:tr>
      <w:tr>
        <w:trPr>
          <w:cantSplit w:val="true"/>
        </w:trPr>
        <w:tc>
          <w:tcPr>
            <w:tcW w:type="dxa" w:w="1757"/>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Bằng chứng và phương pháp</w:t>
            </w:r>
          </w:p>
        </w:tc>
        <w:tc>
          <w:tcPr>
            <w:tcW w:type="dxa" w:w="3344"/>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23 tài liệu thứ cấp; nghiên cứu khái niệm, phân tích chính sách và đối sánh quốc tế.</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16 tài liệu khóa ngày 08/08/2026; 116 đơn vị nguồn; DSR và chuỗi truy vết từ ràng buộc tới quyết định kiến trúc.</w:t>
            </w:r>
          </w:p>
        </w:tc>
      </w:tr>
      <w:tr>
        <w:trPr>
          <w:cantSplit w:val="true"/>
        </w:trPr>
        <w:tc>
          <w:tcPr>
            <w:tcW w:type="dxa" w:w="1757"/>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Sản phẩm</w:t>
            </w:r>
          </w:p>
        </w:tc>
        <w:tc>
          <w:tcPr>
            <w:tcW w:type="dxa" w:w="3344"/>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Khung sáu lớp, bốn nhóm người dùng và luồng dữ liệu đa cấp.</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SRA đa góc nhìn; mô hình thẩm quyền dữ liệu; ranh giới liên thông; lõi ổn định và điểm biến thiên.</w:t>
            </w:r>
          </w:p>
        </w:tc>
      </w:tr>
      <w:tr>
        <w:trPr>
          <w:cantSplit w:val="true"/>
        </w:trPr>
        <w:tc>
          <w:tcPr>
            <w:tcW w:type="dxa" w:w="1757"/>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Đánh giá</w:t>
            </w:r>
          </w:p>
        </w:tc>
        <w:tc>
          <w:tcPr>
            <w:tcW w:type="dxa" w:w="3344"/>
            <w:vAlign w:val="center"/>
            <w:tcMar>
              <w:top w:w="70" w:type="dxa"/>
              <w:start w:w="90" w:type="dxa"/>
              <w:bottom w:w="70" w:type="dxa"/>
              <w:end w:w="90" w:type="dxa"/>
            </w:tcMar>
          </w:tcPr>
          <w:p>
            <w:pPr>
              <w:pStyle w:val="Compact"/>
              <w:keepNext w:val="0"/>
              <w:keepLines/>
              <w:widowControl/>
              <w:spacing w:before="0" w:after="0" w:line="288" w:lineRule="auto"/>
              <w:jc w:val="left"/>
            </w:pPr>
            <w:r>
              <w:rPr>
                <w:rFonts w:ascii="Times New Roman" w:hAnsi="Times New Roman" w:eastAsia="Times New Roman" w:cs="Times New Roman"/>
                <w:b w:val="0"/>
                <w:sz w:val="19"/>
              </w:rPr>
              <w:t xml:space="preserve">Đối chiếu mức phù hợp chính sách/kinh nghiệm; chưa khảo sát hoặc thí điểm.</w:t>
            </w:r>
          </w:p>
        </w:tc>
        <w:tc>
          <w:tcPr>
            <w:tcW w:type="dxa" w:w="3911"/>
            <w:vAlign w:val="center"/>
            <w:tcMar>
              <w:top w:w="70" w:type="dxa"/>
              <w:start w:w="90" w:type="dxa"/>
              <w:bottom w:w="70" w:type="dxa"/>
              <w:end w:w="90" w:type="dxa"/>
            </w:tcMar>
          </w:tcPr>
          <w:p>
            <w:pPr>
              <w:pStyle w:val="Compact"/>
              <w:jc w:val="left"/>
            </w:pPr>
            <w:r>
              <w:rPr>
                <w:rFonts w:ascii="Times New Roman" w:hAnsi="Times New Roman" w:eastAsia="Times New Roman"/>
                <w:b w:val="0"/>
                <w:sz w:val="19"/>
              </w:rPr>
              <w:t>Mười kịch bản stress-test một profile đánh giá, tinh chỉnh kiến trúc và hậu kiểm bằng cùng rubric.</w:t>
            </w:r>
          </w:p>
        </w:tc>
      </w:tr>
    </w:tbl>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Về nền tảng học thuật, SRA cung cấp một cấu trúc tổng quát cho một lớp hệ thống [3], còn ISO/IEC/IEEE 42010:2022 đặt mô tả kiến trúc trong quan hệ giữa bên liên quan, mối quan tâm, góc nhìn và mô hình [4]. Nghiên cứu hệ sinh thái phần mềm và đổi mới số cho thấy các chủ thể tự chủ cần phối hợp quanh một hạ tầng hoặc nền tảng chung [5, 6]; truy vết yêu cầu giúp duy trì quan hệ giữa căn cứ nguồn và các tạo tác kỹ thuật [7, 8]. Trong bối cảnh Việt Nam, các khung kiến trúc và dữ liệu quốc gia/chuyên ngành đã tạo hệ quy chiếu cho kiến trúc, quản trị dữ liệu và tích hợp [9, 10, 11], trong khi EIF cung cấp một khung phân tích liên thông theo các lớp pháp lý, tổ chức, ngữ nghĩa và kỹ thuật [12, Hình 3, p. 22; pp. 27-30]. Đồng thời, các nghiên cứu về hệ sinh thái khởi nghiệp cho thấy quan hệ kinh tế–đổi mới có thể vượt địa giới hành chính [13, pp. 27-28]; [14, pp. 1483-1484]. Các nền tảng này được phân tích sâu hơn ở Mục 2; khoảng trống của bài nằm ở cách kết hợp chúng thành một kiến trúc tỉnh–trung ương mà không đồng nhất thẩm quyền với topology lưu trữ.</w:t>
      </w:r>
    </w:p>
    <w:p>
      <w:pPr>
        <w:pStyle w:val="BodyText"/>
        <w:keepNext w:val="0"/>
        <w:keepLines w:val="0"/>
        <w:widowControl/>
        <w:spacing w:before="60" w:after="60" w:line="288" w:lineRule="auto"/>
        <w:ind w:firstLine="720"/>
        <w:jc w:val="both"/>
      </w:pPr>
      <w:r>
        <w:rPr>
          <w:rFonts w:ascii="Times New Roman" w:hAnsi="Times New Roman" w:eastAsia="Times New Roman"/>
          <w:sz w:val="26"/>
        </w:rPr>
        <w:t>Từ khoảng trống đó, nghiên cứu trả lời ba câu hỏi: (i) SRA cần tổ chức các năng lực tiếp nhận, chuẩn hóa và quản trị dữ liệu như thế nào để kết nối các nguồn hiện hữu mà không tạo thêm một hệ thống dịch vụ công hoặc CSDL pháp lý song song; (ii) thẩm quyền dữ liệu và ranh giới trách nhiệm cần được biểu diễn thế nào để quyền ghi bám phạm vi/thời gian hiệu lực, dữ liệu được đồng bộ/tổng hợp nhưng vẫn giữ nguồn gốc; và (iii) một profile đánh giá phân tán của SRA bộc lộ những điều kiện, rủi ro và đánh đổi nào khi được thử thách bởi thay đổi quy định, gián đoạn, tổng hợp toàn quốc, quan hệ xuyên tỉnh, chuyển giao thẩm quyền và nâng cấp không đồng thời.</w:t>
      </w:r>
    </w:p>
    <w:p>
      <w:pPr>
        <w:pStyle w:val="BodyText"/>
        <w:keepNext w:val="0"/>
        <w:keepLines w:val="0"/>
        <w:widowControl/>
        <w:spacing w:before="60" w:after="60" w:line="288" w:lineRule="auto"/>
        <w:ind w:firstLine="720"/>
        <w:jc w:val="both"/>
      </w:pPr>
      <w:r>
        <w:rPr>
          <w:rFonts w:ascii="Times New Roman" w:hAnsi="Times New Roman" w:eastAsia="Times New Roman"/>
          <w:sz w:val="26"/>
        </w:rPr>
        <w:t>Bài đóng góp ba kết quả chính trong phạm vi nền tảng quản lý DN KH&amp;CN và DN KNST. Thứ nhất, một SRA đa góc nhìn xác lập rõ biên của nền tảng với hệ thống thủ tục hành chính/dịch vụ công, CSDL quốc gia và các nguồn chuyên ngành; lõi ổn định được tách khỏi các lựa chọn hiện thực hóa để không khóa một topology hay sản phẩm công nghệ cụ thể. Thứ hai, một kiến trúc dữ liệu–liên thông tổ chức chuỗi tiếp nhận/thu thập, kiểm tra–chuẩn hóa, đối soát nguồn, phân định thẩm quyền theo nhóm thuộc tính và thời gian, đồng bộ/tổng hợp có provenance; qua đó xử lý dữ liệu đa nguồn mà không biến nền tảng thành nguồn pháp lý cho mọi thuộc tính. Thứ ba, một quy trình tổng hợp và đánh giá có truy vết: 16 tài liệu tạo 116 đơn vị nguồn và 128 dòng truy vết; kiến trúc ứng viên được thử thách bằng mười kịch bản, tinh chỉnh khi phát hiện khoảng trống và hậu kiểm bằng cùng rubric. Profile P-DIST chỉ là cấu hình đánh giá do nghiên cứu lựa chọn để quan sát đánh đổi của phương án phân tán; kết quả không phải bằng chứng thực nghiệm về hiệu năng hoặc tính ưu việt của một hệ thống đã vận hành.</w:t>
      </w:r>
    </w:p>
    <w:bookmarkEnd w:id="20"/>
    <w:bookmarkStart w:id="24" w:name="cơ-sở-nghiên-cứu-và-định-vị-kiến-trúc"/>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2. Cơ sở nghiên cứu và định vị kiến trúc</w:t>
      </w:r>
    </w:p>
    <w:bookmarkStart w:id="21" w:name="Xb8ad4937076b42b6ab0fb113c0589bc90fde862"/>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2.1. Kiến trúc tham chiếu, hệ sinh thái nhiều chủ thể và truy vết</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Kiến trúc tham chiếu phần mềm (SRA) mô tả kiến trúc tổng quát cho một lớp hệ thống, thay vì một cấu hình triển khai cụ thể [3]. OASIS SOA-RAF cũng xem kiến trúc tham chiếu là tập phần tử trừu tượng của một miền, độc lập với sản phẩm và đặc biệt quan tâm tới tương tác qua ranh giới sở hữu [15, pp. 9-14]. Theo ISO/IEC/IEEE 42010:2022, mô tả kiến trúc được tổ chức theo bên liên quan, mối quan tâm, góc nhìn và mô hình [4]. Vì vậy, nghiên cứu này coi SRA là tập các quyết định và bất biến cần được bảo toàn qua nhiều hiện thực hóa, còn topology lưu trữ, cơ chế tích hợp và công nghệ thực thi là các lựa chọn có thể biến thiên.</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Cách tiếp cận này đặc biệt phù hợp với hệ sinh thái phần mềm nhiều chủ thể. SRA có thể đóng vai trò điều phối cả quan hệ kỹ thuật và tổ chức giữa các thành phần tự chủ [16]; các nghiên cứu về hệ sinh thái nhiều nhà cung cấp cũng sử dụng kiến trúc tham chiếu để làm rõ vai trò, giao diện và cách ánh xạ các cấu hình thực tế vào một cấu trúc chung [17]. Trong bài toán tỉnh–trung ương, các tỉnh, nền tảng quốc gia và CSDL chuyên ngành có chủ thể vận hành khác nhau, nên kiến trúc cần mô tả rõ trách nhiệm và thẩm quyền mà không đồng nhất chúng với vị trí vật lý của dữ liệu.</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Truy vết được dùng để nối căn cứ chuẩn tắc với quyết định kiến trúc. Breaux và cộng sự cho thấy quyền và nghĩa vụ trong quy định cần được trích xuất và căn chỉnh với yêu cầu hệ thống [18]; các nghiên cứu gần đây tiếp tục nhấn mạnh việc đưa tuân thủ vào kỹ nghệ yêu cầu từ sớm [8]. Nghiên cứu vì vậy sử dụng chuỗi</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nguồn/vị trí</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ràng buộc</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quyết định hoặc thành phần kiến trúc</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tiêu chí kiểm tra</w:t>
      </w:r>
      <w:r>
        <w:rPr>
          <w:rFonts w:ascii="Times New Roman" w:hAnsi="Times New Roman" w:eastAsia="Times New Roman" w:cs="Times New Roman"/>
          <w:sz w:val="26"/>
        </w:rPr>
        <w:t xml:space="preserve">. Đánh giá kiến trúc được thực hiện bằng các kịch bản nhằm làm lộ rủi ro, điểm nhạy và đánh đổi; cách tiếp cận này lấy cảm hứng từ ATAM nhưng không tuyên bố thực hiện đầy đủ quy trình ATAM [19, pp. 3, 5-7].</w:t>
      </w:r>
    </w:p>
    <w:bookmarkEnd w:id="21"/>
    <w:bookmarkStart w:id="22" w:name="Xa3de7d4167a6c4501d5848e8f79eed8afc713cf"/>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2.2. Liên thông và quản trị dữ liệu như ràng buộc thiết kế</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Khung liên thông châu Âu (EIF) phân biệt bốn lớp pháp lý, tổ chức, ngữ nghĩa và kỹ thuật [12, Hình 3, p. 22; pp. 27-30]; Quy định (EU) 2024/903 tiếp tục sử dụng EIF như một công cụ hỗ trợ đánh giá liên thông [20]. Trong nghiên cứu này, EIF chỉ là khung phân tích phương pháp. Ở Việt Nam, QĐ 292/QĐ-BKHCN tổ chức kiến trúc theo các mô hình tham chiếu nghiệp vụ, dữ liệu, ứng dụng, công nghệ và an toàn thông tin [21], còn QĐ 2439/QĐ-TTg đặt nền cho quản trị và chuẩn hóa dữ liệu quốc gia [10].</w:t>
      </w:r>
    </w:p>
    <w:p>
      <w:pPr>
        <w:pStyle w:val="BodyText"/>
        <w:keepNext w:val="0"/>
        <w:keepLines w:val="0"/>
        <w:widowControl/>
        <w:spacing w:before="60" w:after="60" w:line="288" w:lineRule="auto"/>
        <w:ind w:firstLine="720"/>
        <w:jc w:val="both"/>
      </w:pPr>
      <w:r>
        <w:rPr>
          <w:rFonts w:ascii="Times New Roman" w:hAnsi="Times New Roman" w:eastAsia="Times New Roman"/>
          <w:sz w:val="26"/>
        </w:rPr>
        <w:t>Các ràng buộc dữ liệu hiện hành cho thấy bài toán không thể giải bằng một CSDL nghiệp vụ đơn nhất. NĐ 278/2025/NĐ-CP yêu cầu kết nối/chia sẻ qua hạ tầng điều phối, tuân thủ khung và từ điển dữ liệu, xác định nguồn tin cậy cho dữ liệu chủ và hỗ trợ truy vấn hoặc đồng bộ qua hạ tầng dùng chung [22]. QĐ 1973/QĐ-BKHCN đặt mục tiêu dữ liệu của Bộ được quản lý thống nhất, chuẩn hóa, đồng bộ và liên thông; đồng thời xác định dữ liệu tổ chức/doanh nghiệp được nhận từ CSDL quốc gia về doanh nghiệp nhưng vẫn liệt kê DN KH&amp;CN và DN KNST trong dữ liệu chủ chuyên ngành của Bộ [11]. Do đó, nền tảng cần một chuỗi xử lý dữ liệu từ tiếp nhận, kiểm tra/chuẩn hóa tới đối soát nguồn, đồng bộ và tổng hợp; định danh pháp lý phải được tách khỏi trạng thái chuyên ngành và nguồn có thẩm quyền phải được xác định theo nhóm thuộc tính thay vì gán một nguồn duy nhất cho toàn bộ thực thể doanh nghiệp.</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Định danh, bảo vệ dữ liệu và liên thông cũng tạo các ranh giới riêng. NĐ 69/2024/NĐ-CP và NĐ 169/2025/NĐ-CP yêu cầu sử dụng các nguồn định danh/xác thực có thẩm quyền và đáp ứng điều kiện kết nối [23, 24]; Luật Bảo vệ dữ liệu cá nhân và NĐ 356/2025/NĐ-CP đặt yêu cầu về giới hạn truy cập, biện pháp quản lý/kỹ thuật và vòng đời dữ liệu [25, 26]. Do đó, SRA cần tách xác thực danh tính khỏi phân quyền nghiệp vụ, đồng thời duy trì nguồn gốc, phiên bản, nhật ký và biên tin cậy cho các luồng dữ liệu liên cơ quan.</w:t>
      </w:r>
    </w:p>
    <w:bookmarkEnd w:id="22"/>
    <w:bookmarkStart w:id="23" w:name="Xd6bca95f1a9bf42b8efa1f423812669c0313b87"/>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2.3. Khoảng trống thiết kế và hệ quả đối với SRA</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Tập nguồn của nghiên cứu được mã hóa thành 10 họ ràng buộc C01–C10 và 128 dòng truy vết nguyên tử; danh mục đầy đủ được chuyển sang tài liệu bổ trợ. Ở mức khái quát, các ràng buộc tạo bốn sức ép kiến trúc đồng thời. Thứ nhất, dữ liệu phục vụ quản lý DN KH&amp;CN/DN KNST đang được hình thành ở nhiều đầu mối và hệ thống khác nhau, trong khi nhu cầu quản trị đòi hỏi một ảnh dữ liệu có thể đối soát và cập nhật liên tục [2, pp. 47-48]; kiến trúc phải thu nhận và chuẩn hóa mà không sao chép vô điều kiện mọi nguồn. Thứ hai, Luật Dữ liệu, NĐ 278 và QĐ 1973 yêu cầu tránh tạo lại dữ liệu đã có nguồn chính thức, duy trì chất lượng, nguồn gốc và quản trị chia sẻ [27, 22, 11]. Thứ ba, NĐ 268 đặt phần lớn quyết định công nhận/chứng nhận ở cấp tỉnh nhưng yêu cầu cập nhật, thông báo và tổng hợp liên cấp, nên quyền ghi nghiệp vụ phải bám thẩm quyền địa phương trong khi trung ương vẫn cần quan sát nhất quán [1]. Thứ tư, quan hệ doanh nghiệp–quỹ–chuyên gia–viện/trường có thể vượt địa giới hành chính [13, pp. 27-28]; [14, pp. 1483-1484], vì vậy biên thẩm quyền không được dùng như biên quan hệ dữ liệu.</w:t>
      </w:r>
    </w:p>
    <w:p>
      <w:pPr>
        <w:pStyle w:val="BodyText"/>
        <w:keepNext w:val="0"/>
        <w:keepLines w:val="0"/>
        <w:widowControl/>
        <w:spacing w:before="60" w:after="60" w:line="288" w:lineRule="auto"/>
        <w:ind w:firstLine="720"/>
        <w:jc w:val="both"/>
      </w:pPr>
      <w:r>
        <w:rPr>
          <w:rFonts w:ascii="Times New Roman" w:hAnsi="Times New Roman" w:eastAsia="Times New Roman"/>
          <w:sz w:val="26"/>
        </w:rPr>
        <w:t>Các khung kiến trúc và dữ liệu hiện có xác định nguyên tắc nguồn dữ liệu, chuẩn hóa, chia sẻ và hạ tầng liên thông, nhưng không tự quyết định cách tổ chức chúng thành một nền tảng chuyên ngành cho DN KH&amp;CN/DN KNST. Khoảng trống mà bài giải quyết là xác lập một SRA có thể nối chuỗi: nguồn hiện hữu → tiếp nhận/thu thập → kiểm tra và chuẩn hóa → đối soát nguồn có thẩm quyền/xử lý trùng → dữ liệu nghiệp vụ theo phạm vi thẩm quyền → đồng bộ/tổng hợp có provenance → khai thác phục vụ quản lý hệ sinh thái; đồng thời xác định phần nào là lõi ổn định và phần nào được phép biến thiên. Đây là cơ sở trực tiếp cho thiết kế nghiên cứu ở Mục 3 và kiến trúc đề xuất ở Mục 4.</w:t>
      </w:r>
    </w:p>
    <w:bookmarkEnd w:id="23"/>
    <w:bookmarkEnd w:id="24"/>
    <w:bookmarkStart w:id="30" w:name="tư-liệu-và-phương-pháp-nghiên-cứu"/>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3. Tư liệu và phương pháp nghiên cứu</w:t>
      </w:r>
    </w:p>
    <w:bookmarkStart w:id="25" w:name="thiết-kế-nghiên-cứu"/>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3.1. Thiết kế nghiên cứu</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Nghiên cứu sử dụng nghiên cứu khoa học thiết kế (</w:t>
      </w:r>
      <w:r>
        <w:rPr>
          <w:rFonts w:ascii="Times New Roman" w:hAnsi="Times New Roman" w:eastAsia="Times New Roman" w:cs="Times New Roman"/>
          <w:i/>
          <w:iCs/>
          <w:sz w:val="26"/>
        </w:rPr>
        <w:t xml:space="preserve">Design Science Research</w:t>
      </w:r>
      <w:r>
        <w:rPr>
          <w:rFonts w:ascii="Times New Roman" w:hAnsi="Times New Roman" w:eastAsia="Times New Roman" w:cs="Times New Roman"/>
          <w:sz w:val="26"/>
        </w:rPr>
        <w:t xml:space="preserve">, DSR) để xây dựng và đánh giá một kiến trúc tham chiếu phần mềm (SRA) cho bài toán quản lý DN KH&amp;CN và DN KNST theo mô hình tỉnh–trung ương. DSR phù hợp với mục tiêu này vì đối tượng nghiên cứu là một sản phẩm thiết kế cần vừa giải quyết một vấn đề thực tiễn, vừa được lập luận và đánh giá có hệ thống [28, pp. 82-83]. Quy trình được tổ chức theo bốn bước chính, tương ứng với logic thiết kế–đánh giá của Peffers và cộng sự [29, pp. 52-56]: (i) xác lập các ràng buộc có hệ quả kiến trúc từ tập nguồn; (ii) tổng hợp các động lực, quyết định và thành phần của SRA; (iii) hiện thực hóa một cấu hình ứng viên để làm rõ các đánh đổi; và (iv) thử thách cấu hình đó bằng các kịch bản, sau đó tinh chỉnh và đánh giá lại.</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Sản phẩm nghiên cứu gồm SRA đa góc nhìn, mô hình thẩm quyền dữ liệu, mô hình liên thông và ranh giới trách nhiệm, cùng chuỗi truy vết nối căn cứ nguồn với quyết định kiến trúc và tiêu chí đánh giá. SRA được thiết kế theo nguyên tắc tách</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lõi ổn định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khỏi</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điểm biến thiên</w:t>
      </w:r>
      <w:r>
        <w:rPr>
          <w:rFonts w:ascii="Times New Roman" w:hAnsi="Times New Roman" w:eastAsia="Times New Roman" w:cs="Times New Roman"/>
          <w:sz w:val="26"/>
        </w:rPr>
        <w:t xml:space="preserve">: lõi chỉ giữ các bất biến cần bảo toàn khi triển khai, còn các lựa chọn như topology lưu trữ, cơ chế đồng bộ hoặc công nghệ tích hợp được xem là cấu hình dẫn xuất. Cách tách này cho phép nghiên cứu đánh giá một profile cụ thể mà không đồng nhất profile đó với toàn bộ kiến trúc tham chiếu.</w:t>
      </w:r>
    </w:p>
    <w:bookmarkEnd w:id="25"/>
    <w:bookmarkStart w:id="26" w:name="Xc16fb51eb5ba7160141fc610ec205809eaec2f6"/>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3.2. Tập nguồn và tổng hợp ràng buộc kiến trúc</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Tập nguồn được khóa theo trạng thái đến ngày 08/08/2026. Việc lựa chọn ưu tiên các văn bản hiện hành trực tiếp điều chỉnh đối tượng quản lý và các khung kiến trúc, dữ liệu, định danh, liên thông, bảo vệ dữ liệu có tác động tới nền tảng; văn bản sửa đổi hoặc được dẫn chiếu chỉ được bổ sung khi làm thay đổi một nghĩa vụ có hệ quả kiến trúc. Tài liệu học thuật được dùng để xây dựng nền tảng lý thuyết và phương pháp, không được dùng để tạo nghĩa vụ pháp lý. Để tránh trộn lẫn mức căn cứ, nguồn được phân thành ba lớp:</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A</w:t>
      </w:r>
      <w:r>
        <w:rPr>
          <w:rFonts w:ascii="Times New Roman" w:hAnsi="Times New Roman" w:eastAsia="Times New Roman" w:cs="Times New Roman"/>
          <w:sz w:val="26"/>
        </w:rPr>
        <w:t xml:space="preserve">–hiện hành/có thẩm quyền, tạo đường cơ sở;</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D</w:t>
      </w:r>
      <w:r>
        <w:rPr>
          <w:rFonts w:ascii="Times New Roman" w:hAnsi="Times New Roman" w:eastAsia="Times New Roman" w:cs="Times New Roman"/>
          <w:sz w:val="26"/>
        </w:rPr>
        <w:t xml:space="preserve">–dự thảo, chỉ dùng chẩn đoán; và</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M</w:t>
      </w:r>
      <w:r>
        <w:rPr>
          <w:rFonts w:ascii="Times New Roman" w:hAnsi="Times New Roman" w:eastAsia="Times New Roman" w:cs="Times New Roman"/>
          <w:sz w:val="26"/>
        </w:rPr>
        <w:t xml:space="preserve">–phương pháp hoặc tham chiếu quốc tế. Danh mục đầy đủ và lý do lựa chọn từng tài liệu được cung cấp trong tài liệu bổ trợ.</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Từ 16 tài liệu, nghiên cứu xác định 116 đơn vị nguồn và mã hóa thành 128 dòng truy vết, gồm 114 dòng lớp A, 8 dòng lớp D và 6 dòng lớp M. Mỗi dòng biểu diễn một mệnh đề ràng buộc nguồn có vị trí dẫn chiếu cụ thể; một đơn vị nguồn được tách thành nhiều dòng khi chứa các nghĩa vụ có thể kiểm tra độc lập, trong khi các mệnh đề tương đồng ở những nguồn khác nhau vẫn được giữ riêng để bảo toàn xuất xứ. Vì vậy, con số 128 phản ánh số dòng truy vết theo nguồn, không phải số yêu cầu ngữ nghĩa duy nhất sau khử trùng lặp. Quy tắc nguyên tử hóa và các ví dụ mã hóa được chuyển sang tài liệu bổ trợ để thân bài chỉ giữ logic phương pháp cần thiết cho việc đánh giá nghiên cứu.</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Để phân biệt căn cứ chuẩn tắc với lựa chọn thiết kế, nghiên cứu dùng ba mức:</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L1</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nghĩa vụ, cấu trúc hoặc mốc thời gian được nguồn lớp A quy định minh thị;</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L2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hệ quả kiến trúc suy ra trực tiếp để đáp ứng L1; và</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L3</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lựa chọn hiện thực hóa cần được kiểm chứng khi triển khai. Phân lớp này đặc biệt quan trọng đối với các nội dung như topology lưu trữ, cơ chế hàng đợi, đồng bộ sự kiện hoặc giao thức kỹ thuật: chúng chỉ được khóa trong SRA khi có căn cứ ở mức tương ứng, thay vì được suy đoán từ yêu cầu nghiệp vụ.</w:t>
      </w:r>
    </w:p>
    <w:bookmarkEnd w:id="26"/>
    <w:bookmarkStart w:id="27" w:name="tổng-hợp-kiến-trúc-và-truy-vết"/>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3.3. Tổng hợp kiến trúc và truy vết</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Các ràng buộc lớp A được tổng hợp thành động lực kiến trúc, sau đó ánh xạ tới quyết định và thành phần của SRA. Chuỗi truy vết sử dụng trong nghiên cứu có dạng</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nguồn/vị trí</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ràng buộc</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quyết định hoặc thành phần kiến trúc</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tiêu chí kiểm tra</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trạng thái</w:t>
      </w:r>
      <w:r>
        <w:rPr>
          <w:rFonts w:ascii="Times New Roman" w:hAnsi="Times New Roman" w:eastAsia="Times New Roman" w:cs="Times New Roman"/>
          <w:sz w:val="26"/>
        </w:rPr>
        <w:t xml:space="preserve">. Chiều thuận cho biết một quyết định kiến trúc được dẫn xuất từ đâu; chiều ngược giúp nhận diện thành phần không có căn cứ rõ ràng hoặc chỉ là lựa chọn thiết kế. Các quyết định kiến trúc được ghi kèm vấn đề, phương án, lý do và đánh đổi, phù hợp với yêu cầu mô tả kiến trúc theo ISO/IEC/IEEE 42010 và thực hành ghi nhận quyết định kiến trúc [30, pp. 19-27].</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SRA được biểu diễn bằng sáu góc nhìn nhằm tách các mối quan tâm: bối cảnh và trách nhiệm; năng lực–ứng dụng; dữ liệu–thẩm quyền; liên thông; triển khai; và an toàn/riêng tư. C4 được dùng cho ranh giới hệ thống và triển khai, ArchiMate cho quan hệ năng lực–ứng dụng và dữ liệu–ứng dụng, còn EIF và ma trận biên tin cậy được dùng để cấu trúc các vấn đề liên thông và kiểm soát. Việc sử dụng nhiều góc nhìn nhằm làm rõ các quyết định thiết kế chứ không nhằm đặc tả đầy đủ một hệ thống triển khai; các công nghệ và giao thức ở mức L3 được để mở khi nguồn và bằng chứng chưa đủ để khóa lựa chọn [31][32, Chs. 5, 7, 9; Apps. A-C].</w:t>
      </w:r>
    </w:p>
    <w:bookmarkEnd w:id="27"/>
    <w:bookmarkStart w:id="28" w:name="đánh-giá-theo-kịch-bản"/>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3.4. Đánh giá theo kịch bản</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Kiến trúc ứng viên ban đầu B10 được hình thành trước bước đánh giá từ các động lực về thẩm quyền ghi, thu thập/chuẩn hóa dữ liệu đa nguồn, khả năng cấu hình quy trình địa phương, khả năng tiếp tục xử lý khi lớp trung ương tạm gián đoạn, quản trị ngữ nghĩa/nguồn dữ liệu thống nhất và truy vết phiên bản. Để quan sát rõ các đánh đổi của một phương án triển khai, B10 được hiện thực hóa thành profile đánh giá P-DIST, trong đó mỗi tỉnh có kho vận hành vật lý tách biệt và trung ương duy trì mô hình đọc/tổng hợp. P-DIST là một cấu hình do nghiên cứu lựa chọn từ điểm biến thiên topology để stress-test kiến trúc; nó không phải nghĩa vụ L1, hệ quả bắt buộc L2 hay cấu hình mặc định của SRA.</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Một cấu hình tập trung</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B0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được dùng làm đường cơ sở đối chiếu. Mười kịch bản S1–S10 bao phủ năm nhóm mối quan tâm: vận hành bình thường và biến thể địa phương; thay đổi quy định/nguồn/phiên bản; gián đoạn hạ tầng hoặc lớp trung ương; tổng hợp toàn quốc và quan hệ xuyên địa bàn; và chuyển giao phạm vi quản lý. Bộ kịch bản không được xem là đầy đủ theo nghĩa thống kê; mục đích của nó là tạo các tình huống có khả năng làm lộ điểm nhạy, rủi ro và đánh đổi kiến trúc. Mỗi kịch bản được đánh giá theo ba mức:</w:t>
      </w:r>
      <w:r>
        <w:rPr>
          <w:rFonts w:ascii="Times New Roman" w:hAnsi="Times New Roman" w:eastAsia="Times New Roman" w:cs="Times New Roman"/>
          <w:sz w:val="26"/>
        </w:rPr>
        <w:t xml:space="preserve"> </w:t>
      </w:r>
      <w:r>
        <w:rPr>
          <w:rFonts w:ascii="Times New Roman" w:hAnsi="Times New Roman" w:eastAsia="Times New Roman" w:cs="Times New Roman"/>
          <w:smallCaps/>
          <w:sz w:val="26"/>
        </w:rPr>
        <w:t xml:space="preserve">đáp ứng trực tiếp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nếu lõi kiến trúc xử lý được mà không cần sửa quyết định ổn định;</w:t>
      </w:r>
      <w:r>
        <w:rPr>
          <w:rFonts w:ascii="Times New Roman" w:hAnsi="Times New Roman" w:eastAsia="Times New Roman" w:cs="Times New Roman"/>
          <w:sz w:val="26"/>
        </w:rPr>
        <w:t xml:space="preserve"> </w:t>
      </w:r>
      <w:r>
        <w:rPr>
          <w:rFonts w:ascii="Times New Roman" w:hAnsi="Times New Roman" w:eastAsia="Times New Roman" w:cs="Times New Roman"/>
          <w:smallCaps/>
          <w:sz w:val="26"/>
        </w:rPr>
        <w:t xml:space="preserve">đáp ứng có điều kiện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nếu cần hiện thực hóa hoặc kiểm chứng một cơ chế đã được kiến trúc cho phép; và</w:t>
      </w:r>
      <w:r>
        <w:rPr>
          <w:rFonts w:ascii="Times New Roman" w:hAnsi="Times New Roman" w:eastAsia="Times New Roman" w:cs="Times New Roman"/>
          <w:sz w:val="26"/>
        </w:rPr>
        <w:t xml:space="preserve"> </w:t>
      </w:r>
      <w:r>
        <w:rPr>
          <w:rFonts w:ascii="Times New Roman" w:hAnsi="Times New Roman" w:eastAsia="Times New Roman" w:cs="Times New Roman"/>
          <w:smallCaps/>
          <w:sz w:val="26"/>
        </w:rPr>
        <w:t xml:space="preserve">rủi ro kiến trúc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nếu kịch bản buộc phải xem xét lại một quyết định/lõi ổn định hoặc còn khoảng trống về thẩm quyền, toàn vẹn hay tương thích.</w:t>
      </w:r>
    </w:p>
    <w:p>
      <w:pPr>
        <w:pStyle w:val="BodyText"/>
        <w:keepNext w:val="0"/>
        <w:keepLines w:val="0"/>
        <w:widowControl/>
        <w:spacing w:before="60" w:after="60" w:line="288" w:lineRule="auto"/>
        <w:ind w:firstLine="720"/>
        <w:jc w:val="both"/>
      </w:pPr>
      <w:r>
        <w:rPr>
          <w:rFonts w:ascii="Times New Roman" w:hAnsi="Times New Roman" w:eastAsia="Times New Roman"/>
          <w:sz w:val="26"/>
        </w:rPr>
        <w:t>Khi một kịch bản làm lộ khoảng trống, kết quả được đưa trở lại sản phẩm thiết kế theo vòng DSR để tạo phiên bản tinh chỉnh B1-R; sau đó toàn bộ S1–S10 được áp dụng lại bằng cùng rubric như một hậu kiểm tính nhất quán sau tinh chỉnh, không phải một đánh giá độc lập mới. Nghiên cứu không cộng điểm và không xếp hạng tổng thể B0 với B10, vì hai cấu hình khác nhau đồng thời ở nhiều quyết định và không cho phép suy luận nhân quả về một yếu tố riêng lẻ. Cách đánh giá lấy cảm hứng từ việc sử dụng kịch bản để phát hiện rủi ro và đánh đổi trong ATAM, nhưng không phải một quy trình ATAM đầy đủ [19, pp. 3, 5-7].</w:t>
      </w:r>
    </w:p>
    <w:p>
      <w:pPr>
        <w:pStyle w:val="BodyText"/>
        <w:keepNext w:val="0"/>
        <w:keepLines w:val="0"/>
        <w:widowControl/>
        <w:spacing w:before="60" w:after="60" w:line="288" w:lineRule="auto"/>
        <w:ind w:firstLine="720"/>
        <w:jc w:val="both"/>
      </w:pPr>
      <w:r>
        <w:rPr>
          <w:rFonts w:ascii="Times New Roman" w:hAnsi="Times New Roman" w:eastAsia="Times New Roman"/>
          <w:sz w:val="26"/>
        </w:rPr>
        <w:t>Đây là đánh giá trước triển khai. Nghiên cứu không gán tải đỉnh, độ trễ, tính sẵn sàng, thời gian phục hồi hoặc các thuộc tính chất lượng chưa được đo; các mốc số chỉ được sử dụng khi có căn cứ chuẩn tắc. Vì vậy, kết quả chỉ cho phép kết luận về mức đầy đủ và tính nhất quán của đặc tả kiến trúc trong phạm vi bộ kịch bản đã chọn và rubric đã áp dụng. Kiểm chứng tiếp theo cần một nguyên mẫu và các phép thử lặp lại đối với thu thập/chuẩn hóa, đồng bộ/liên thông, chuyển quyền ghi, nâng cấp cuốn chiếu, phục hồi, an toàn và các thuộc tính chất lượng.</w:t>
      </w:r>
    </w:p>
    <w:bookmarkEnd w:id="28"/>
    <w:bookmarkStart w:id="29" w:name="dữ-liệu-bổ-trợ"/>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3.5. Dữ liệu bổ trợ</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Để hỗ trợ khả năng kiểm tra lại mà không biến thân bài thành đặc tả kỹ thuật, tài liệu bổ trợ lưu danh mục nguồn, quy tắc nguyên tử hóa, ma trận truy vết, các bảng chi tiết về quyết định/điểm biến thiên/quy tắc phù hợp, bộ kịch bản và rubric, cùng kết quả trước–sau tinh chỉnh. Các artefact này cung cấp mức chi tiết cần thiết để kiểm tra và tái lập quy trình nghiên cứu, trong khi thân bài chỉ trình bày các bước phương pháp và bằng chứng trực tiếp phục vụ câu hỏi nghiên cứu.</w:t>
      </w:r>
    </w:p>
    <w:bookmarkEnd w:id="29"/>
    <w:bookmarkEnd w:id="30"/>
    <w:bookmarkStart w:id="41" w:name="kiến-trúc-hệ-thống-đề-xuất"/>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4. Kiến trúc hệ thống đề xuất</w:t>
      </w:r>
    </w:p>
    <w:bookmarkStart w:id="31" w:name="X432c5c0a7f0244f3054feab0fdb202b7f9bfa8f"/>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4.1. Phạm vi và lõi ổn định của kiến trúc tham chiếu</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SRA được đề xuất riêng cho nền tảng số quản lý DN KH&amp;CN và DN KNST theo mô hình tỉnh–trung ương. Nền tảng phải phối hợp với hệ thống thủ tục hành chính/dịch vụ công, CSDL quốc gia về doanh nghiệp và các nguồn KH&amp;CN/chuyên ngành đang được quản trị độc lập; mục tiêu là bổ sung lớp quản trị dữ liệu và liên kết hệ sinh thái, không thay thế các hệ thống có thẩm quyền hiện hữu. Vì vậy, kiến trúc không được xây dựng như một cấu hình triển khai duy nhất mà như một tập các bất biến thiết kế kèm các điểm có thể thay đổi. Sáu góc nhìn được sử dụng gồm: hệ sinh thái–trách nhiệm, năng lực–ứng dụng, dữ liệu–thẩm quyền, liên thông, hiện thực hóa công nghệ và an toàn–riêng tư [4].</w:t>
      </w:r>
    </w:p>
    <w:p>
      <w:pPr>
        <w:pStyle w:val="BodyText"/>
        <w:keepNext w:val="0"/>
        <w:keepLines w:val="0"/>
        <w:widowControl/>
        <w:spacing w:before="60" w:after="60" w:line="288" w:lineRule="auto"/>
        <w:ind w:firstLine="720"/>
        <w:jc w:val="both"/>
      </w:pPr>
      <w:r>
        <w:rPr>
          <w:rFonts w:ascii="Times New Roman" w:hAnsi="Times New Roman" w:eastAsia="Times New Roman"/>
          <w:sz w:val="26"/>
        </w:rPr>
        <w:t>Phiên bản kiến trúc sau vòng tinh chỉnh B1-R giữ năm nguyên tắc ổn định trong phạm vi nền tảng. Thứ nhất, quyền thay đổi trạng thái nghiệp vụ phải bám thẩm quyền đang có hiệu lực, trong khi topology lưu trữ không được suy diễn trực tiếp từ thẩm quyền hành chính. Thứ hai, dữ liệu định danh và bằng chứng bên ngoài được tham chiếu từ nguồn có thẩm quyền thay vì tạo một bản chủ mới trong nền tảng. Thứ ba, quy trình địa phương được cấu hình trên một đường cơ sở chuẩn tắc có phiên bản, nên phần biến thiên không được nới thẩm quyền, trạng thái quyết định hoặc thời hạn bắt buộc. Thứ tư, dữ liệu đa nguồn phải đi qua các bước kiểm tra/chuẩn hóa, đối soát nguồn và trao đổi có provenance qua hạ tầng được quy định. Thứ năm, mạng quan hệ hệ sinh thái được tách khỏi biên địa giới quản lý để tránh nhân bản quan hệ xuyên tỉnh. Các lựa chọn về đồng bộ, công nghệ quy trình, phân quyền, bộ thích nghi nguồn và topology triển khai được giữ như điểm biến thiên; danh mục VP1–VP8 được chuyển sang tài liệu bổ trợ.</w:t>
      </w:r>
    </w:p>
    <w:bookmarkEnd w:id="31"/>
    <w:bookmarkStart w:id="38" w:name="Xdb1a68a3a383d45f1fb931897c5a0d1ab67ba06"/>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4.2. Định vị nền tảng và kiến trúc năng lực–ứng dụng</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Hình 1 đặt nền tảng tại giao điểm của các khung kiến trúc số, kiến trúc/quản trị dữ liệu và các ràng buộc nghiệp vụ của NĐ 268. Mục đích của hình không phải mô tả cấu trúc triển khai mà xác lập các ranh giới mà SRA phải tôn trọng: định danh pháp lý doanh nghiệp phải tham chiếu nguồn có thẩm quyền; dữ liệu và siêu dữ liệu phải phù hợp khung quản trị quốc gia/Bộ; còn các luồng chia sẻ liên cơ quan phải đi qua hạ tầng được quy định [27, 22, 11]. Trong ký pháp ArchiMate 3.2, các phần tử Constraint và Application Component được dùng để biểu diễn quan hệ giữa các ràng buộc thể chế và nền tảng ở mức kiến trúc, không phải để khẳng định một sản phẩm công nghệ cụ thể [32, Chs. 5, 7, 9; Apps. A-C].</w:t>
      </w:r>
    </w:p>
    <w:p>
      <w:pPr>
        <w:pStyle w:val="CaptionedFigure"/>
        <w:keepNext/>
        <w:keepLines/>
        <w:widowControl/>
        <w:spacing w:before="60" w:after="0" w:line="288" w:lineRule="auto"/>
        <w:jc w:val="center"/>
      </w:pPr>
      <w:r>
        <w:rPr>
          <w:rFonts w:ascii="Times New Roman" w:hAnsi="Times New Roman" w:eastAsia="Times New Roman" w:cs="Times New Roman"/>
          <w:sz w:val="26"/>
        </w:rPr>
        <w:drawing>
          <wp:inline>
            <wp:extent cx="5440527" cy="2422089"/>
            <wp:effectExtent b="0" l="0" r="0" t="0"/>
            <wp:docPr descr="Hình 1. Định vị nền tảng trong hệ quy chiếu kiến trúc số và dữ liệu – góc nhìn động lực–ứng dụng theo ArchiMate" title="Hình 1" id="33" name="Picture"/>
            <a:graphic>
              <a:graphicData uri="http://schemas.openxmlformats.org/drawingml/2006/picture">
                <pic:pic>
                  <pic:nvPicPr>
                    <pic:cNvPr descr="figpng/fig01_archimate_context.png" id="34" name="Picture"/>
                    <pic:cNvPicPr>
                      <a:picLocks noChangeArrowheads="1" noChangeAspect="1"/>
                    </pic:cNvPicPr>
                  </pic:nvPicPr>
                  <pic:blipFill>
                    <a:blip r:embed="rId32"/>
                    <a:stretch>
                      <a:fillRect/>
                    </a:stretch>
                  </pic:blipFill>
                  <pic:spPr bwMode="auto">
                    <a:xfrm>
                      <a:off x="0" y="0"/>
                      <a:ext cx="5440527" cy="2422089"/>
                    </a:xfrm>
                    <a:prstGeom prst="rect">
                      <a:avLst/>
                    </a:prstGeom>
                    <a:noFill/>
                    <a:ln w="9525">
                      <a:noFill/>
                      <a:headEnd/>
                      <a:tailEnd/>
                    </a:ln>
                  </pic:spPr>
                </pic:pic>
              </a:graphicData>
            </a:graphic>
          </wp:inline>
        </w:drawing>
      </w:r>
    </w:p>
    <w:p>
      <w:pPr>
        <w:pStyle w:val="ImageCaption"/>
        <w:keepNext w:val="0"/>
        <w:keepLines/>
        <w:widowControl/>
        <w:spacing w:before="60" w:after="60" w:line="288" w:lineRule="auto"/>
        <w:jc w:val="both"/>
      </w:pPr>
      <w:r>
        <w:rPr>
          <w:rFonts w:ascii="Times New Roman" w:hAnsi="Times New Roman" w:eastAsia="Times New Roman" w:cs="Times New Roman"/>
          <w:b/>
          <w:i w:val="0"/>
          <w:sz w:val="26"/>
          <w:u w:val="none"/>
        </w:rPr>
        <w:t>Hình 1. Định vị nền tảng trong hệ quy chiếu kiến trúc số và dữ liệu – góc nhìn động lực–ứng dụng theo ArchiMate</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Từ các ràng buộc trên, Hình 2 tổ chức kiến trúc ở mức năng lực thay vì mô-đun triển khai. Bốn nhóm năng lực chính là: quản lý hồ sơ và vòng đời; thẩm định/công nhận; điều phối và cấu hình; dữ liệu–liên thông–an toàn. Các nhóm này được hỗ trợ bởi năm nhóm thành phần ứng dụng logic. Việc dùng quan hệ Association ở mức này nhằm chỉ ra quan hệ hỗ trợ giữa năng lực và thành phần, không khóa quan hệ hiện thực hóa hay một sản phẩm phần mềm cụ thể; giao thức, middleware và bộ thích nghi nguồn chỉ được quyết định ở L3 khi có đặc tả triển khai.</w:t>
      </w:r>
    </w:p>
    <w:p>
      <w:pPr>
        <w:pStyle w:val="CaptionedFigure"/>
        <w:keepNext/>
        <w:keepLines/>
        <w:widowControl/>
        <w:spacing w:before="60" w:after="0" w:line="288" w:lineRule="auto"/>
        <w:jc w:val="center"/>
      </w:pPr>
      <w:r>
        <w:rPr>
          <w:rFonts w:ascii="Times New Roman" w:hAnsi="Times New Roman" w:eastAsia="Times New Roman" w:cs="Times New Roman"/>
          <w:sz w:val="26"/>
        </w:rPr>
        <w:drawing>
          <wp:inline>
            <wp:extent cx="5027670" cy="2299761"/>
            <wp:effectExtent b="0" l="0" r="0" t="0"/>
            <wp:docPr descr="Hình 2. Ánh xạ năng lực vào thành phần ứng dụng – góc nhìn năng lực–ứng dụng theo ArchiMate" title="Hình 2" id="36" name="Picture"/>
            <a:graphic>
              <a:graphicData uri="http://schemas.openxmlformats.org/drawingml/2006/picture">
                <pic:pic>
                  <pic:nvPicPr>
                    <pic:cNvPr descr="figpng/fig02_archimate_capability_application.png" id="37" name="Picture"/>
                    <pic:cNvPicPr>
                      <a:picLocks noChangeArrowheads="1" noChangeAspect="1"/>
                    </pic:cNvPicPr>
                  </pic:nvPicPr>
                  <pic:blipFill>
                    <a:blip r:embed="rId35"/>
                    <a:stretch>
                      <a:fillRect/>
                    </a:stretch>
                  </pic:blipFill>
                  <pic:spPr bwMode="auto">
                    <a:xfrm>
                      <a:off x="0" y="0"/>
                      <a:ext cx="5027670" cy="2299761"/>
                    </a:xfrm>
                    <a:prstGeom prst="rect">
                      <a:avLst/>
                    </a:prstGeom>
                    <a:noFill/>
                    <a:ln w="9525">
                      <a:noFill/>
                      <a:headEnd/>
                      <a:tailEnd/>
                    </a:ln>
                  </pic:spPr>
                </pic:pic>
              </a:graphicData>
            </a:graphic>
          </wp:inline>
        </w:drawing>
      </w:r>
    </w:p>
    <w:p>
      <w:pPr>
        <w:pStyle w:val="ImageCaption"/>
        <w:keepNext w:val="0"/>
        <w:keepLines/>
        <w:widowControl/>
        <w:spacing w:before="60" w:after="60" w:line="288" w:lineRule="auto"/>
        <w:jc w:val="both"/>
      </w:pPr>
      <w:r>
        <w:rPr>
          <w:rFonts w:ascii="Times New Roman" w:hAnsi="Times New Roman" w:eastAsia="Times New Roman" w:cs="Times New Roman"/>
          <w:b/>
          <w:i w:val="0"/>
          <w:sz w:val="26"/>
          <w:u w:val="none"/>
        </w:rPr>
        <w:t>Hình 2. Ánh xạ năng lực vào thành phần ứng dụng – góc nhìn năng lực–ứng dụng theo ArchiMate</w:t>
      </w:r>
    </w:p>
    <w:bookmarkEnd w:id="38"/>
    <w:bookmarkStart w:id="39" w:name="các-quyết-định-kiến-trúc-và-đánh-đổi"/>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4.3. Các quyết định kiến trúc và đánh đổi</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Năm quyết định kiến trúc được rút ra từ chuỗi truy vết nguồn–ràng buộc–động lực và được ghi nhận cùng phương án thay thế, lý do và đánh đổi theo thực hành ghi nhận quyết định kiến trúc [30, pp. 19-27]. Bảng 2 chỉ giữ các quyết định có ý nghĩa đối với lập luận nghiên cứu; phiên bản chi tiết, liên kết tới Cxx.yy/AE/VP và các điều kiện hiện thực hóa nằm trong tài liệu bổ trợ.</w:t>
      </w:r>
    </w:p>
    <w:p>
      <w:pPr>
        <w:pStyle w:val="TableCaption"/>
        <w:keepNext/>
        <w:keepLines w:val="0"/>
        <w:widowControl/>
        <w:spacing w:before="60" w:after="60" w:line="288" w:lineRule="auto"/>
        <w:jc w:val="both"/>
      </w:pPr>
      <w:r>
        <w:rPr>
          <w:rFonts w:ascii="Times New Roman" w:hAnsi="Times New Roman" w:eastAsia="Times New Roman" w:cs="Times New Roman"/>
          <w:b/>
          <w:i w:val="0"/>
          <w:sz w:val="26"/>
          <w:u w:val="none"/>
        </w:rPr>
        <w:t>Bảng 2. Các quyết định kiến trúc chính và đánh đổi</w:t>
      </w:r>
    </w:p>
    <w:tbl>
      <w:tblPr>
        <w:tblStyle w:val="TableGrid"/>
        <w:tblW w:type="auto" w:w="0"/>
        <w:jc w:val="center"/>
        <w:tblLayout w:type="fixed"/>
        <w:tblLook w:firstRow="0" w:lastRow="0" w:firstColumn="0" w:lastColumn="0" w:noHBand="0" w:noVBand="0" w:val="0000"/>
        <w:tblCaption w:val="Các quyết định kiến trúc chính và đánh đổi"/>
      </w:tblPr>
      <w:tblGrid>
        <w:gridCol w:w="2640"/>
        <w:gridCol w:w="2640"/>
        <w:gridCol w:w="2640"/>
      </w:tblGrid>
      <w:tr>
        <w:trPr>
          <w:tblHeader w:val="true"/>
          <w:cantSplit w:val="true"/>
        </w:trPr>
        <w:tc>
          <w:tcPr>
            <w:tcW w:type="dxa" w:w="93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Mã</w:t>
            </w:r>
          </w:p>
        </w:tc>
        <w:tc>
          <w:tcPr>
            <w:tcW w:type="dxa" w:w="3514"/>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Quyết định</w:t>
            </w:r>
          </w:p>
        </w:tc>
        <w:tc>
          <w:tcPr>
            <w:tcW w:type="dxa" w:w="4563"/>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Lý do và đánh đổi chính</w:t>
            </w:r>
          </w:p>
        </w:tc>
      </w:tr>
      <w:tr>
        <w:trPr>
          <w:cantSplit w:val="true"/>
        </w:trPr>
        <w:tc>
          <w:tcPr>
            <w:tcW w:type="dxa" w:w="93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sz w:val="20"/>
              </w:rPr>
              <w:t xml:space="preserve">AD01</w:t>
            </w:r>
          </w:p>
        </w:tc>
        <w:tc>
          <w:tcPr>
            <w:tcW w:type="dxa" w:w="35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Quyền ghi bám thẩm quyền đang hiệu lực; topology lưu trữ là điểm biến thiên.</w:t>
            </w:r>
          </w:p>
        </w:tc>
        <w:tc>
          <w:tcPr>
            <w:tcW w:type="dxa" w:w="4563"/>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Giữ ranh giới pháp lý mà không đồng nhất nó với biên vật lý. Sau S9, quyết định được tinh chỉnh để bảo toàn một writer hợp lệ trên mỗi phạm vi ghi và chuyển quyền có phiên bản; đổi lại, các profile phân tán phải xử lý cắt chuyển, đối soát và phục hồi phức tạp hơn.</w:t>
            </w:r>
          </w:p>
        </w:tc>
      </w:tr>
      <w:tr>
        <w:trPr>
          <w:cantSplit w:val="true"/>
        </w:trPr>
        <w:tc>
          <w:tcPr>
            <w:tcW w:type="dxa" w:w="93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sz w:val="20"/>
              </w:rPr>
              <w:t xml:space="preserve">AD02</w:t>
            </w:r>
          </w:p>
        </w:tc>
        <w:tc>
          <w:tcPr>
            <w:tcW w:type="dxa" w:w="35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Các luồng chia sẻ bắt buộc đi qua hạ tầng chia sẻ/điều phối được quy định.</w:t>
            </w:r>
          </w:p>
        </w:tc>
        <w:tc>
          <w:tcPr>
            <w:tcW w:type="dxa" w:w="4563"/>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Tăng khả năng kiểm toán và quản trị liên thông nhưng tạo thêm phụ thuộc vào hạ tầng trung gian.</w:t>
            </w:r>
          </w:p>
        </w:tc>
      </w:tr>
      <w:tr>
        <w:trPr>
          <w:cantSplit w:val="true"/>
        </w:trPr>
        <w:tc>
          <w:tcPr>
            <w:tcW w:type="dxa" w:w="93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sz w:val="20"/>
              </w:rPr>
              <w:t xml:space="preserve">AD03</w:t>
            </w:r>
          </w:p>
        </w:tc>
        <w:tc>
          <w:tcPr>
            <w:tcW w:type="dxa" w:w="35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Mô hình nền pháp lý trung ương kết hợp cấu hình địa phương có phiên bản.</w:t>
            </w:r>
          </w:p>
        </w:tc>
        <w:tc>
          <w:tcPr>
            <w:tcW w:type="dxa" w:w="4563"/>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Cho phép biến thể nội bộ nhưng giữ nguyên thẩm quyền, trạng thái quyết định và thời hạn L1. Sau S10, cần cửa sổ tương thích và quy tắc cho hồ sơ đang xử lý; đổi lại là chi phí quản trị và kiểm thử nhiều phiên bản [33, pp. 486-500].</w:t>
            </w:r>
          </w:p>
        </w:tc>
      </w:tr>
      <w:tr>
        <w:trPr>
          <w:cantSplit w:val="true"/>
        </w:trPr>
        <w:tc>
          <w:tcPr>
            <w:tcW w:type="dxa" w:w="93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sz w:val="20"/>
              </w:rPr>
              <w:t xml:space="preserve">AD04</w:t>
            </w:r>
          </w:p>
        </w:tc>
        <w:tc>
          <w:tcPr>
            <w:tcW w:type="dxa" w:w="35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Mẫu tương tác lai: truy vấn khi cần đọc và thông điệp/sự kiện cho thay đổi trạng thái khi hạ tầng hỗ trợ.</w:t>
            </w:r>
          </w:p>
        </w:tc>
        <w:tc>
          <w:tcPr>
            <w:tcW w:type="dxa" w:w="4563"/>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Cân bằng tính tức thời với khả năng chịu gián đoạn và bằng chứng giao nhận; đổi lại phải quản lý trùng, thứ tự và độ mới của mô hình đọc.</w:t>
            </w:r>
          </w:p>
        </w:tc>
      </w:tr>
      <w:tr>
        <w:trPr>
          <w:cantSplit w:val="true"/>
        </w:trPr>
        <w:tc>
          <w:tcPr>
            <w:tcW w:type="dxa" w:w="93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sz w:val="20"/>
              </w:rPr>
              <w:t xml:space="preserve">AD05</w:t>
            </w:r>
          </w:p>
        </w:tc>
        <w:tc>
          <w:tcPr>
            <w:tcW w:type="dxa" w:w="35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Tách phạm vi thẩm quyền khỏi mạng quan hệ hệ sinh thái.</w:t>
            </w:r>
          </w:p>
        </w:tc>
        <w:tc>
          <w:tcPr>
            <w:tcW w:type="dxa" w:w="4563"/>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Giữ đúng quyền quản lý hồ sơ theo địa bàn nhưng vẫn biểu diễn được quan hệ đầu tư/hỗ trợ xuyên tỉnh; đổi lại truy vấn và hợp nhất quan hệ phức tạp hơn.</w:t>
            </w:r>
          </w:p>
        </w:tc>
      </w:tr>
    </w:tbl>
    <w:p>
      <w:pPr>
        <w:pStyle w:val="BodyText"/>
        <w:keepNext w:val="0"/>
        <w:keepLines w:val="0"/>
        <w:widowControl/>
        <w:spacing w:before="60" w:after="60" w:line="288" w:lineRule="auto"/>
        <w:ind w:firstLine="720"/>
        <w:jc w:val="both"/>
      </w:pPr>
      <w:r>
        <w:rPr>
          <w:rFonts w:ascii="Times New Roman" w:hAnsi="Times New Roman" w:eastAsia="Times New Roman"/>
          <w:sz w:val="26"/>
        </w:rPr>
        <w:t>AD01 không mặc nhiên dẫn tới một kho vật lý cho mỗi tỉnh. NĐ 268 xác lập thẩm quyền/nghĩa vụ liên cấp, còn NĐ 278 cho phép truy vấn và đồng bộ qua hạ tầng dùng chung nhưng không ấn định topology lưu trữ [1, 22]. Vì vậy, lõi SRA có thể được hiện thực bằng kho tập trung đa tenant, phân vùng logic/schema, kho vật lý theo tỉnh hoặc mô hình lai nếu các bất biến về thẩm quyền, nguồn gốc và phiên bản được giữ nguyên. Nghiên cứu chọn P-DIST làm profile đánh giá để stress-test, trong đó các nút nghiệp vụ tỉnh có kho vận hành vật lý tách biệt và lớp trung ương duy trì mô hình đọc/tổng hợp. Đây là một hiện thực hóa của điểm biến thiên topology dùng để làm lộ đánh đổi, không phải hệ quả bắt buộc của L2 hay topology được khuyến nghị mặc định; profile có nét tương đồng với tư tưởng phối hợp các nút có quyền vận hành riêng trong CSDL liên bang [34].</w:t>
      </w:r>
    </w:p>
    <w:bookmarkEnd w:id="39"/>
    <w:bookmarkStart w:id="40" w:name="Xcbc05a588faceb8ac9b55d1f051099d59f9110f"/>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4.4. Điều kiện phù hợp và ranh giới của đề xuất</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Một hiện thực hóa được xem là phù hợp với lõi SRA khi bảo toàn bốn nhóm điều kiện. Nhóm thứ nhất là</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truy vết và thẩm quyền</w:t>
      </w:r>
      <w:r>
        <w:rPr>
          <w:rFonts w:ascii="Times New Roman" w:hAnsi="Times New Roman" w:eastAsia="Times New Roman" w:cs="Times New Roman"/>
          <w:sz w:val="26"/>
        </w:rPr>
        <w:t xml:space="preserve">: hành vi pháp lý phải truy về căn cứ nguồn, thao tác thay đổi trạng thái phải kiểm tra quyền ghi hiện hành và không cho phép hai writer hợp lệ đồng thời trên cùng phạm vi. Nhóm thứ hai là</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quản trị dữ liệu và cấu hình</w:t>
      </w:r>
      <w:r>
        <w:rPr>
          <w:rFonts w:ascii="Times New Roman" w:hAnsi="Times New Roman" w:eastAsia="Times New Roman" w:cs="Times New Roman"/>
          <w:sz w:val="26"/>
        </w:rPr>
        <w:t xml:space="preserve">: thẩm quyền dữ liệu được xác định theo nhóm thuộc tính; cấu hình địa phương không được nới các bất biến L1; hợp đồng, lược đồ và quy trình phải có phiên bản và quy tắc tương thích. Nhóm thứ ba là</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nguồn gốc và liên thông</w:t>
      </w:r>
      <w:r>
        <w:rPr>
          <w:rFonts w:ascii="Times New Roman" w:hAnsi="Times New Roman" w:eastAsia="Times New Roman" w:cs="Times New Roman"/>
          <w:sz w:val="26"/>
        </w:rPr>
        <w:t xml:space="preserve">: mô hình đọc trung ương phải công bố nguồn/độ mới và không thay thế quyết định gốc; trao đổi bắt buộc phải giữ định danh và bằng chứng giao nhận. Nhóm cuối cùng là</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quan hệ hệ sinh thái</w:t>
      </w:r>
      <w:r>
        <w:rPr>
          <w:rFonts w:ascii="Times New Roman" w:hAnsi="Times New Roman" w:eastAsia="Times New Roman" w:cs="Times New Roman"/>
          <w:sz w:val="26"/>
        </w:rPr>
        <w:t xml:space="preserve">: quan hệ xuyên địa bàn phải giữ định danh, nguồn và khoảng hiệu lực thay vì bị nhân bản theo biên quản lý. Chín quy tắc CR1–CR9 và hai điều kiện bổ sung PD1–PD2 cho profile P-DIST được công bố đầy đủ trong tài liệu bổ trợ.</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Cách xác định phù hợp này cố ý tách</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kiến trúc tham chiếu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khỏi</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đặc tả triển khai</w:t>
      </w:r>
      <w:r>
        <w:rPr>
          <w:rFonts w:ascii="Times New Roman" w:hAnsi="Times New Roman" w:eastAsia="Times New Roman" w:cs="Times New Roman"/>
          <w:sz w:val="26"/>
        </w:rPr>
        <w:t xml:space="preserve">. SRA trả lời thành phần trách nhiệm nào phải tồn tại, dữ liệu nào thuộc nguồn nào, các biên quyền và biên trao đổi nào phải được bảo toàn, cùng những điểm nào được phép biến thiên. Nó không quy định sản phẩm CSDL, middleware, giao thức cụ thể, số cụm triển khai, thuật toán đồng thuận hay chỉ tiêu hiệu năng khi chưa có bằng chứng đo kiểm. Tương tự, các thời hạn 05/15 ngày, 03/15 ngày, chu kỳ 03 năm hoặc mốc báo cáo trong NĐ 268 được xem là ràng buộc thời gian nghiệp vụ, không phải SLA kỹ thuật [1]. Việc kiểm chứng các lựa chọn L3 và thuộc tính chất lượng được để cho giai đoạn nguyên mẫu/triển khai; phần đánh giá của nghiên cứu chỉ kiểm tra mức đầy đủ và nhất quán của kiến trúc dưới các kịch bản đã xác định.</w:t>
      </w:r>
    </w:p>
    <w:bookmarkEnd w:id="40"/>
    <w:bookmarkEnd w:id="41"/>
    <w:bookmarkStart w:id="48" w:name="kiến-trúc-dữ-liệu-của-nền-tảng"/>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5. Kiến trúc dữ liệu của nền tảng</w:t>
      </w:r>
    </w:p>
    <w:bookmarkStart w:id="45" w:name="X18693695e6d703e1698ac4450e15c6a7f06d6d1"/>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5.1. Biên thẩm quyền dữ liệu và topology độc lập</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Đề xuất dữ liệu của SRA dựa trên một phân biệt quan trọng:</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thẩm quyền ghi là bất biến logic, còn cách bố trí dữ liệu vật lý là điểm biến thiên</w:t>
      </w:r>
      <w:r>
        <w:rPr>
          <w:rFonts w:ascii="Times New Roman" w:hAnsi="Times New Roman" w:eastAsia="Times New Roman" w:cs="Times New Roman"/>
          <w:sz w:val="26"/>
        </w:rPr>
        <w:t xml:space="preserve">. Quyền thay đổi trạng thái nghiệp vụ được gắn với cơ quan đang có thẩm quyền đối với chủ thể hoặc hồ sơ trong một khoảng thời gian xác định; lớp trung ương giữ sổ định tuyến, siêu dữ liệu, mô hình đọc và dữ liệu tổng hợp nhưng không thay thế quyết định gốc của địa phương. Vì vậy, cùng một SRA có thể được hiện thực bằng kho tập trung đa tenant, phân vùng logic/schema, kho vật lý theo tỉnh hoặc mô hình lai nếu vẫn bảo toàn quyền ghi, nguồn gốc và phiên bản. Profile P-DIST dùng trong đánh giá chỉ là một cấu hình cụ thể của điểm biến thiên này.</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Cách tách thẩm quyền khỏi topology phù hợp với yêu cầu xác định điểm tạo lập, tránh trùng lặp dữ liệu và duy trì một nguồn tin cậy theo từng loại dữ liệu trong QĐ 1973 và NĐ 278 [11, 22]. Nó cũng tránh suy rộng nguyên tắc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một nguồn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thành yêu cầu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một doanh nghiệp chỉ có một CSDL vật lý</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định danh pháp lý có thể đến từ CSDL quốc gia về doanh nghiệp, trong khi trạng thái công nhận/chứng nhận chuyên ngành phát sinh từ quyết định của cơ quan có thẩm quyền cấp tỉnh. Nền tảng vì thế quản trị một không gian dữ liệu hợp nhất về logic nhưng không tự nhận vai trò nguồn pháp lý cho mọi thuộc tính.</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Hình 3 biểu diễn góc nhìn ứng dụng–dữ liệu theo ArchiMate 3.2. Application Component truy cập Data Object bằng quan hệ Access, còn Flow chỉ biểu diễn trao đổi giữa các thành phần ứng dụng [32, Chs. 5, 9; Apps. A-B]. Hình cố ý không khóa topology vật lý: điều cần bảo toàn là ranh giới giữa nguồn định danh, nút nghiệp vụ tỉnh, lớp điều phối trung ương và các đối tượng dữ liệu dùng chung.</w:t>
      </w:r>
    </w:p>
    <w:p>
      <w:pPr>
        <w:pStyle w:val="CaptionedFigure"/>
        <w:keepNext/>
        <w:keepLines/>
        <w:widowControl/>
        <w:spacing w:before="60" w:after="0" w:line="288" w:lineRule="auto"/>
        <w:jc w:val="center"/>
      </w:pPr>
      <w:r>
        <w:rPr>
          <w:rFonts w:ascii="Times New Roman" w:hAnsi="Times New Roman" w:eastAsia="Times New Roman" w:cs="Times New Roman"/>
          <w:sz w:val="26"/>
        </w:rPr>
        <w:drawing>
          <wp:inline>
            <wp:extent cx="5244802" cy="3220278"/>
            <wp:effectExtent b="0" l="0" r="0" t="0"/>
            <wp:docPr descr="Hình 3. Kiến trúc dữ liệu tỉnh–trung ương; topology vật lý là điểm biến thiên" title="Hình 3" id="43" name="Picture"/>
            <a:graphic>
              <a:graphicData uri="http://schemas.openxmlformats.org/drawingml/2006/picture">
                <pic:pic>
                  <pic:nvPicPr>
                    <pic:cNvPr descr="figpng/fig03_archimate_data_authority.png" id="44" name="Picture"/>
                    <pic:cNvPicPr>
                      <a:picLocks noChangeArrowheads="1" noChangeAspect="1"/>
                    </pic:cNvPicPr>
                  </pic:nvPicPr>
                  <pic:blipFill>
                    <a:blip r:embed="rId42"/>
                    <a:stretch>
                      <a:fillRect/>
                    </a:stretch>
                  </pic:blipFill>
                  <pic:spPr bwMode="auto">
                    <a:xfrm>
                      <a:off x="0" y="0"/>
                      <a:ext cx="5244802" cy="3220278"/>
                    </a:xfrm>
                    <a:prstGeom prst="rect">
                      <a:avLst/>
                    </a:prstGeom>
                    <a:noFill/>
                    <a:ln w="9525">
                      <a:noFill/>
                      <a:headEnd/>
                      <a:tailEnd/>
                    </a:ln>
                  </pic:spPr>
                </pic:pic>
              </a:graphicData>
            </a:graphic>
          </wp:inline>
        </w:drawing>
      </w:r>
    </w:p>
    <w:p>
      <w:pPr>
        <w:pStyle w:val="ImageCaption"/>
        <w:keepNext w:val="0"/>
        <w:keepLines/>
        <w:widowControl/>
        <w:spacing w:before="60" w:after="60" w:line="288" w:lineRule="auto"/>
        <w:jc w:val="both"/>
      </w:pPr>
      <w:r>
        <w:rPr>
          <w:rFonts w:ascii="Times New Roman" w:hAnsi="Times New Roman" w:eastAsia="Times New Roman" w:cs="Times New Roman"/>
          <w:b/>
          <w:i w:val="0"/>
          <w:sz w:val="26"/>
          <w:u w:val="none"/>
        </w:rPr>
        <w:t>Hình 3. Kiến trúc dữ liệu tỉnh–trung ương; topology vật lý là điểm biến thiên</w:t>
      </w:r>
    </w:p>
    <w:bookmarkEnd w:id="45"/>
    <w:bookmarkStart w:id="46" w:name="Xa3e844dd1128c376a6558c57f86ff795b767afc"/>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5.2. Thẩm quyền theo nhóm dữ liệu và chuyển giao quyền ghi</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Mô hình thẩm quyền dữ liệu không gán một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chủ sở hữu</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duy nhất cho toàn bộ thực thể doanh nghiệp. Thay vào đó, nghiên cứu phân biệt bốn vai trò theo từng nhóm thuộc tính:</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thẩm quyền pháp lý</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thẩm quyền tạo/cập nhật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hệ thống lưu bản ghi nghiệp vụ chính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(SoR); và</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nguồn phân phối/tham chiếu</w:t>
      </w:r>
      <w:r>
        <w:rPr>
          <w:rFonts w:ascii="Times New Roman" w:hAnsi="Times New Roman" w:eastAsia="Times New Roman" w:cs="Times New Roman"/>
          <w:sz w:val="26"/>
        </w:rPr>
        <w:t xml:space="preserve">. Phân biệt này xuất phát từ việc QĐ 1973 đặt dữ liệu tổ chức/doanh nghiệp ở nguồn quốc gia nhưng vẫn coi DN KH&amp;CN và DN KNST là dữ liệu chủ chuyên ngành, trong khi NĐ 268 giao quyết định công nhận/chứng nhận cho cấp tỉnh [1, 11]. Bảng 3 tóm tắt các miền dữ liệu quyết định đối với kiến trúc; ánh xạ chi tiết từng nhóm thuộc tính được đưa sang tài liệu bổ trợ.</w:t>
      </w:r>
    </w:p>
    <w:p>
      <w:pPr>
        <w:pStyle w:val="TableCaption"/>
        <w:keepNext/>
        <w:keepLines w:val="0"/>
        <w:widowControl/>
        <w:spacing w:before="60" w:after="60" w:line="288" w:lineRule="auto"/>
        <w:jc w:val="both"/>
      </w:pPr>
      <w:r>
        <w:rPr>
          <w:rFonts w:ascii="Times New Roman" w:hAnsi="Times New Roman" w:eastAsia="Times New Roman" w:cs="Times New Roman"/>
          <w:b/>
          <w:i w:val="0"/>
          <w:sz w:val="26"/>
          <w:u w:val="none"/>
        </w:rPr>
        <w:t>Bảng 3. Thẩm quyền dữ liệu ở mức khái quát</w:t>
      </w:r>
    </w:p>
    <w:tbl>
      <w:tblPr>
        <w:tblStyle w:val="TableGrid"/>
        <w:tblW w:type="auto" w:w="0"/>
        <w:jc w:val="center"/>
        <w:tblLayout w:type="fixed"/>
        <w:tblLook w:firstRow="0" w:lastRow="0" w:firstColumn="0" w:lastColumn="0" w:noHBand="0" w:noVBand="0" w:val="0000"/>
        <w:tblCaption w:val="Thẩm quyền dữ liệu ở mức khái quát"/>
      </w:tblPr>
      <w:tblGrid>
        <w:gridCol w:w="2640"/>
        <w:gridCol w:w="2640"/>
        <w:gridCol w:w="2640"/>
      </w:tblGrid>
      <w:tr>
        <w:trPr>
          <w:tblHeader w:val="true"/>
          <w:cantSplit w:val="true"/>
        </w:trPr>
        <w:tc>
          <w:tcPr>
            <w:tcW w:type="dxa" w:w="1927"/>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Miền dữ liệu</w:t>
            </w:r>
          </w:p>
        </w:tc>
        <w:tc>
          <w:tcPr>
            <w:tcW w:type="dxa" w:w="3231"/>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Nguồn/thẩm quyền chính</w:t>
            </w:r>
          </w:p>
        </w:tc>
        <w:tc>
          <w:tcPr>
            <w:tcW w:type="dxa" w:w="385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Vai trò của nền tảng</w:t>
            </w:r>
          </w:p>
        </w:tc>
      </w:tr>
      <w:tr>
        <w:trPr>
          <w:cantSplit w:val="true"/>
        </w:trPr>
        <w:tc>
          <w:tcPr>
            <w:tcW w:type="dxa" w:w="1927"/>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Định danh pháp lý DN</w:t>
            </w:r>
          </w:p>
        </w:tc>
        <w:tc>
          <w:tcPr>
            <w:tcW w:type="dxa" w:w="323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CSDL quốc gia về doanh nghiệp theo Luật Dữ liệu, NĐ 278 và QĐ 1973 [27, 22, 11].</w:t>
            </w:r>
          </w:p>
        </w:tc>
        <w:tc>
          <w:tcPr>
            <w:tcW w:type="dxa" w:w="3855"/>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Tham chiếu/đồng bộ khóa và thuộc tính cần thiết; không tạo một bản chủ pháp lý mới.</w:t>
            </w:r>
          </w:p>
        </w:tc>
      </w:tr>
      <w:tr>
        <w:trPr>
          <w:cantSplit w:val="true"/>
        </w:trPr>
        <w:tc>
          <w:tcPr>
            <w:tcW w:type="dxa" w:w="1927"/>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Trạng thái DN KH&amp;CN/DN KNST</w:t>
            </w:r>
          </w:p>
        </w:tc>
        <w:tc>
          <w:tcPr>
            <w:tcW w:type="dxa" w:w="323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Cơ quan cấp tỉnh có thẩm quyền ban hành quyết định theo NĐ 268 [1].</w:t>
            </w:r>
          </w:p>
        </w:tc>
        <w:tc>
          <w:tcPr>
            <w:tcW w:type="dxa" w:w="3855"/>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Nút đang có quyền ghi là SoR nghiệp vụ; trung ương giữ bản đọc, định tuyến và tổng hợp có provenance.</w:t>
            </w:r>
          </w:p>
        </w:tc>
      </w:tr>
      <w:tr>
        <w:trPr>
          <w:cantSplit w:val="true"/>
        </w:trPr>
        <w:tc>
          <w:tcPr>
            <w:tcW w:type="dxa" w:w="1927"/>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Bằng chứng chuyên ngành</w:t>
            </w:r>
          </w:p>
        </w:tc>
        <w:tc>
          <w:tcPr>
            <w:tcW w:type="dxa" w:w="323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Hệ thống/cơ quan tạo hoặc xác nhận kết quả KH&amp;CN, SHTT và loại bằng chứng tương ứng.</w:t>
            </w:r>
          </w:p>
        </w:tc>
        <w:tc>
          <w:tcPr>
            <w:tcW w:type="dxa" w:w="3855"/>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Lưu tham chiếu hoặc bản nghiệp vụ cần thiết kèm nguồn và trạng thái xác minh; không biến dữ liệu tự khai thành dữ liệu đã xác thực.</w:t>
            </w:r>
          </w:p>
        </w:tc>
      </w:tr>
      <w:tr>
        <w:trPr>
          <w:cantSplit w:val="true"/>
        </w:trPr>
        <w:tc>
          <w:tcPr>
            <w:tcW w:type="dxa" w:w="1927"/>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Danh mục, quan hệ và dữ liệu dẫn xuất</w:t>
            </w:r>
          </w:p>
        </w:tc>
        <w:tc>
          <w:tcPr>
            <w:tcW w:type="dxa" w:w="323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Danh mục dùng chung theo khung quốc gia/Bộ; quan hệ và dữ liệu dẫn xuất được quản trị trên nền tảng với nguồn gốc rõ ràng [22, 11].</w:t>
            </w:r>
          </w:p>
        </w:tc>
        <w:tc>
          <w:tcPr>
            <w:tcW w:type="dxa" w:w="3855"/>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Quản lý phiên bản, ánh xạ, provenance và khoảng hiệu lực; dữ liệu dẫn xuất không thay thế nguồn đầu vào có thẩm quyền.</w:t>
            </w:r>
          </w:p>
        </w:tc>
      </w:tr>
    </w:tbl>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Một rủi ro đặc thù của mô hình nhiều địa phương là thay đổi thẩm quyền trong khi hồ sơ hoặc trạng thái nghiệp vụ vẫn đang tồn tại. Sau stress-test S9, B1-R biểu diễn quyền ghi như một gán có phạm vi và khoảng hiệu lực thay vì thuộc tính địa bàn cố định. Đối với cùng một phạm vi, tại một thời điểm chỉ có một writer hợp lệ; việc chuyển quyền phải xác nhận đóng băng writer cũ, đối soát dữ liệu/nguồn gốc rồi mới kích hoạt writer mới. Một epoch tăng đơn điệu được dùng để phát hiện ghi từ gán quyền cũ. Đây là ngữ nghĩa thiết kế L2 nhằm bảo toàn single-active-writer và tính truy vết; thuật toán khóa, consensus hay middleware cụ thể vẫn thuộc L3. Chi tiết trường dữ liệu và máy trạng thái chuyển giao nằm trong tài liệu bổ trợ.</w:t>
      </w:r>
    </w:p>
    <w:bookmarkEnd w:id="46"/>
    <w:bookmarkStart w:id="47" w:name="X0bba020a53228a88d9b55f72323d1668cad9353"/>
    <w:p>
      <w:pPr>
        <w:pStyle w:val="Heading2"/>
        <w:keepNext/>
        <w:keepLines w:val="0"/>
        <w:widowControl/>
        <w:spacing w:before="60" w:after="60" w:line="288" w:lineRule="auto"/>
        <w:jc w:val="left"/>
      </w:pPr>
      <w:r>
        <w:rPr>
          <w:rFonts w:ascii="Times New Roman" w:hAnsi="Times New Roman" w:eastAsia="Times New Roman"/>
          <w:b/>
          <w:sz w:val="26"/>
        </w:rPr>
        <w:t>5.3. Thu thập, chuẩn hóa, đồng bộ và chất lượng dữ liệu</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Để xử lý dữ liệu hình thành ở nhiều nguồn và cấp quản lý, SRA tổ chức một chuỗi năng lực logic thay vì giả định có thể hợp nhất ngay vào một CSDL duy nhất. Chuỗi này gồm: (i) tiếp nhận/thu thập từ hệ thống nghiệp vụ hiện hữu hoặc nguồn được phép cung cấp; (ii) kiểm tra định danh, cấu trúc và tính đầy đủ; (iii) chuẩn hóa danh mục, lược đồ và ngữ nghĩa theo từ điển dùng chung; (iv) đối soát với nguồn có thẩm quyền và xử lý trùng/xung đột; (v) gắn provenance, trạng thái xác minh, phiên bản và khoảng hiệu lực; và (vi) định tuyến vào dữ liệu nghiệp vụ hoặc mô hình đọc/tổng hợp tương ứng rồi đồng bộ qua biên liên thông được quản trị. Đây là các năng lực kiến trúc; ETL/CDC, hàng đợi, API hay công cụ chất lượng dữ liệu cụ thể vẫn là lựa chọn hiện thực hóa. QĐ 1973 và NĐ 278 cung cấp căn cứ cho yêu cầu chuẩn hóa, từ điển, nguồn tin cậy, kết nối/chia sẻ và đồng bộ [11, 22].</w:t>
      </w:r>
    </w:p>
    <w:p>
      <w:pPr>
        <w:pStyle w:val="BodyText"/>
        <w:keepNext w:val="0"/>
        <w:keepLines w:val="0"/>
        <w:widowControl/>
        <w:spacing w:before="60" w:after="60" w:line="288" w:lineRule="auto"/>
        <w:ind w:firstLine="720"/>
        <w:jc w:val="both"/>
      </w:pPr>
      <w:r>
        <w:rPr>
          <w:rFonts w:ascii="Times New Roman" w:hAnsi="Times New Roman" w:eastAsia="Times New Roman"/>
          <w:sz w:val="26"/>
        </w:rPr>
        <w:t>Dự thảo khung tiêu chí [35] mô tả chi tiết hơn một chuỗi chuẩn hóa gồm tiếp nhận, kiểm tra, đối soát nguồn chính thức, xử lý trùng lặp, chuẩn hóa mã và lưu vết chất lượng; nghiên cứu chỉ dùng chuỗi này như nguồn chẩn đoán lớp D để kiểm tra tính đầy đủ của các năng lực trên, không coi là nghĩa vụ bắt buộc. Đối sánh với nguồn hiện hành còn cho thấy ba điểm cần theo dõi: dự thảo vẫn viện dẫn NĐ 47/2020/NĐ-CP đã hết hiệu lực theo NĐ 278; khái niệm MD001 cần tách định danh pháp lý khỏi trạng thái chuyên ngành; và phạm vi CSDL trong QĐ 1762 chưa hoàn toàn trùng với hai miền DN KH&amp;CN/DN KNST của dự thảo [22, 36, 35]. Các điểm này không làm thay đổi lõi SRA cho đến khi có văn bản có thẩm quyền mới.</w:t>
      </w:r>
    </w:p>
    <w:p>
      <w:pPr>
        <w:pStyle w:val="BodyText"/>
        <w:keepNext w:val="0"/>
        <w:keepLines w:val="0"/>
        <w:widowControl/>
        <w:spacing w:before="60" w:after="60" w:line="288" w:lineRule="auto"/>
        <w:ind w:firstLine="720"/>
        <w:jc w:val="both"/>
      </w:pPr>
      <w:r>
        <w:rPr>
          <w:rFonts w:ascii="Times New Roman" w:hAnsi="Times New Roman" w:eastAsia="Times New Roman"/>
          <w:sz w:val="26"/>
        </w:rPr>
        <w:t>Như vậy, đóng góp của kiến trúc dữ liệu không nằm ở một schema hay sản phẩm CSDL cụ thể mà ở việc tổ chức được đường đi của dữ liệu từ các nguồn phân tán tới một không gian khai thác nhất quán: dữ liệu được tiếp nhận và chuẩn hóa có kiểm soát; thẩm quyền được xác định theo nhóm thuộc tính và thời gian; topology vật lý không làm thay đổi nguồn pháp lý hoặc quyền ghi; mọi bản sao, tổng hợp hay quan hệ dẫn xuất đều bảo toàn provenance, phiên bản và khoảng hiệu lực. Các điều kiện này trở thành căn cứ cho thiết kế liên thông ở Mục 6 và cho các kịch bản đánh giá ở Mục 7.</w:t>
      </w:r>
    </w:p>
    <w:bookmarkEnd w:id="47"/>
    <w:bookmarkEnd w:id="48"/>
    <w:bookmarkStart w:id="56" w:name="liên-thông-và-ranh-giới-hệ-thống"/>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6. Liên thông và ranh giới hệ thống</w:t>
      </w:r>
    </w:p>
    <w:bookmarkStart w:id="49" w:name="liên-thông-như-một-vấn-đề-kiến-trúc"/>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6.1. Liên thông như một vấn đề kiến trúc</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EIF được dùng như một khung phân tích bốn lớp pháp lý–tổ chức–ngữ nghĩa–kỹ thuật, không phải nguồn nghĩa vụ Việt Nam [12, Hình 3, p. 22; pp. 27-30]. Đối với SRA này, phân tích cho thấy năm ranh giới liên thông có ý nghĩa kiến trúc: định danh/xác thực; trao đổi tỉnh–trung ương; CSDL quốc gia về doanh nghiệp; hệ thống thủ tục hành chính/dịch vụ công; và các nguồn bằng chứng chuyên ngành. Nền tảng không thay thế các ranh giới này: hệ thống TTHC/DVC tiếp tục giữ kênh tiếp nhận/trả kết quả theo quy định, CSDL quốc gia/chuyên ngành tiếp tục giữ dữ liệu thuộc thẩm quyền của chúng, còn nền tảng bổ sung năng lực tiếp nhận, chuẩn hóa, quản trị trạng thái chuyên ngành, provenance, tổng hợp và kết nối hệ sinh thái. Bảng 4 tóm tắt các hệ quả thiết kế chính; ma trận bốn lớp đầy đủ được đưa vào tài liệu bổ trợ.</w:t>
      </w:r>
    </w:p>
    <w:p>
      <w:pPr>
        <w:pStyle w:val="TableCaption"/>
        <w:keepNext/>
        <w:keepLines w:val="0"/>
        <w:widowControl/>
        <w:spacing w:before="60" w:after="60" w:line="288" w:lineRule="auto"/>
        <w:jc w:val="both"/>
      </w:pPr>
      <w:r>
        <w:rPr>
          <w:rFonts w:ascii="Times New Roman" w:hAnsi="Times New Roman" w:eastAsia="Times New Roman" w:cs="Times New Roman"/>
          <w:b/>
          <w:i w:val="0"/>
          <w:sz w:val="26"/>
          <w:u w:val="none"/>
        </w:rPr>
        <w:t>Bảng 4. Các ranh giới liên thông và hệ quả kiến trúc chính</w:t>
      </w:r>
    </w:p>
    <w:tbl>
      <w:tblPr>
        <w:tblStyle w:val="TableGrid"/>
        <w:tblW w:type="auto" w:w="0"/>
        <w:jc w:val="center"/>
        <w:tblLayout w:type="fixed"/>
        <w:tblLook w:firstRow="0" w:lastRow="0" w:firstColumn="0" w:lastColumn="0" w:noHBand="0" w:noVBand="0" w:val="0000"/>
        <w:tblCaption w:val="Các ranh giới liên thông và hệ quả kiến trúc chính"/>
      </w:tblPr>
      <w:tblGrid>
        <w:gridCol w:w="2640"/>
        <w:gridCol w:w="2640"/>
        <w:gridCol w:w="2640"/>
      </w:tblGrid>
      <w:tr>
        <w:trPr>
          <w:tblHeader w:val="true"/>
          <w:cantSplit w:val="true"/>
        </w:trPr>
        <w:tc>
          <w:tcPr>
            <w:tcW w:type="dxa" w:w="1814"/>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Ranh giới</w:t>
            </w:r>
          </w:p>
        </w:tc>
        <w:tc>
          <w:tcPr>
            <w:tcW w:type="dxa" w:w="328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Nguồn/thẩm quyền cần bảo toàn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Hệ quả kiến trúc</w:t>
            </w:r>
          </w:p>
        </w:tc>
      </w:tr>
      <w:tr>
        <w:trPr>
          <w:cantSplit w:val="true"/>
        </w:trPr>
        <w:tc>
          <w:tcPr>
            <w:tcW w:type="dxa" w:w="18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b/>
                <w:bCs/>
                <w:sz w:val="20"/>
              </w:rPr>
              <w:t xml:space="preserve">Định danh/xác thực</w:t>
            </w:r>
          </w:p>
        </w:tc>
        <w:tc>
          <w:tcPr>
            <w:tcW w:type="dxa" w:w="3288"/>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Dịch vụ định danh và CSDL đăng ký doanh nghiệp giữ định danh pháp lý; nền tảng là bên sử dụng dịch vụ [23, 24].</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Không tạo định danh pháp lý song song; lưu khóa định danh chính thức và thực hiện xác thực/đối soát theo điều kiện kết nối được quy định.</w:t>
            </w:r>
          </w:p>
        </w:tc>
      </w:tr>
      <w:tr>
        <w:trPr>
          <w:cantSplit w:val="true"/>
        </w:trPr>
        <w:tc>
          <w:tcPr>
            <w:tcW w:type="dxa" w:w="18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b/>
                <w:bCs/>
                <w:sz w:val="20"/>
              </w:rPr>
              <w:t xml:space="preserve">Tỉnh–trung ương</w:t>
            </w:r>
          </w:p>
        </w:tc>
        <w:tc>
          <w:tcPr>
            <w:tcW w:type="dxa" w:w="3288"/>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Cơ quan tỉnh giữ thẩm quyền đối với hồ sơ/quyết định thuộc phạm vi; trung ương nhận thông tin để tổng hợp, giám sát và quản trị chung [1, 22].</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Hợp đồng dữ liệu chung giữ mã địa bàn, hồ sơ/quyết định, trạng thái, hiệu lực, nguồn và phiên bản; trao đổi phải truy vết được và kiểm soát xử lý trùng.</w:t>
            </w:r>
          </w:p>
        </w:tc>
      </w:tr>
      <w:tr>
        <w:trPr>
          <w:cantSplit w:val="true"/>
        </w:trPr>
        <w:tc>
          <w:tcPr>
            <w:tcW w:type="dxa" w:w="18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b/>
                <w:bCs/>
                <w:sz w:val="20"/>
              </w:rPr>
              <w:t xml:space="preserve">CSDL quốc gia về doanh nghiệp</w:t>
            </w:r>
          </w:p>
        </w:tc>
        <w:tc>
          <w:tcPr>
            <w:tcW w:type="dxa" w:w="3288"/>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Nguồn quốc gia giữ dữ liệu định danh doanh nghiệp có thẩm quyền [27, 22, 11].</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Nền tảng tiêu thụ/tham chiếu thay vì tái sở hữu; mỗi bản ghi phụ thuộc phải giữ nguồn, phiên bản hoặc thời điểm đồng bộ.</w:t>
            </w:r>
          </w:p>
        </w:tc>
      </w:tr>
      <w:tr>
        <w:trPr>
          <w:cantSplit w:val="true"/>
        </w:trPr>
        <w:tc>
          <w:tcPr>
            <w:tcW w:type="dxa" w:w="18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b/>
                <w:bCs/>
                <w:sz w:val="20"/>
              </w:rPr>
              <w:t xml:space="preserve">Hệ thống TTHC</w:t>
            </w:r>
          </w:p>
        </w:tc>
        <w:tc>
          <w:tcPr>
            <w:tcW w:type="dxa" w:w="3288"/>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Hệ thống thủ tục hành chính giữ kênh tiếp nhận/trả kết quả; nền tảng thực hiện nghiệp vụ chuyên ngành [1, 22].</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Hai miền được nối bằng định danh hồ sơ, chủ thể, thủ tục, trạng thái và kết quả; API, sự kiện hay dịch vụ dữ liệu là lựa chọn L3.</w:t>
            </w:r>
          </w:p>
        </w:tc>
      </w:tr>
      <w:tr>
        <w:trPr>
          <w:cantSplit w:val="true"/>
        </w:trPr>
        <w:tc>
          <w:tcPr>
            <w:tcW w:type="dxa" w:w="18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b/>
                <w:bCs/>
                <w:sz w:val="20"/>
              </w:rPr>
              <w:t xml:space="preserve">Nguồn bằng chứng chuyên ngành</w:t>
            </w:r>
          </w:p>
        </w:tc>
        <w:tc>
          <w:tcPr>
            <w:tcW w:type="dxa" w:w="3288"/>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Hệ thống nguồn tạo hoặc xác nhận kết quả nhiệm vụ KH,CN&amp;ĐMST, văn bằng SHTT và bằng chứng liên quan [1].</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Nền tảng tham chiếu/xác minh và giữ xuất xứ; không giả định API bắt buộc khi nguồn hiện hành mới xác lập giá trị dữ liệu/tài liệu.</w:t>
            </w:r>
          </w:p>
        </w:tc>
      </w:tr>
    </w:tbl>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Ranh giới tổ chức vì vậy không trùng ranh giới kỹ thuật. Cơ quan trung ương quản trị chuẩn và mô hình đọc; cơ quan tỉnh chịu trách nhiệm đối với quyết định thuộc thẩm quyền; chủ quản hệ thống nguồn chịu trách nhiệm dữ liệu gốc; còn đơn vị vận hành nền tảng chịu trách nhiệm về tích hợp, truy vết và kiểm soát kỹ thuật. Cách phân vai này giúp tránh một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CSDL trung tâm</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trở thành nguồn sự thật cho mọi loại dữ liệu chỉ vì nó thuận tiện về triển khai.</w:t>
      </w:r>
    </w:p>
    <w:bookmarkEnd w:id="49"/>
    <w:bookmarkStart w:id="50" w:name="từ-nghĩa-vụ-thời-hạn-đến-cơ-chế-tích-hợp"/>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6.2. Từ nghĩa vụ thời hạn đến cơ chế tích hợp</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Khoản 2 Điều 66 NĐ 268 quy định thời hạn thông báo cho Bộ đối với các quyết định liên quan [1]. Đây là ràng buộc nghiệp vụ L1, không phải cam kết về độ trễ API. Hệ quả kiến trúc L2 là các thay đổi có hiệu lực phải mang định danh sự kiện, quyết định/cơ quan phát hành, ngày quyết định hoặc hiệu lực, dấu thời gian gửi–nhận và bằng chứng tiếp nhận; cơ chế gửi lại phải tránh tạo xử lý trùng và phải cho phép phát hiện nguy cơ quá hạn. Hàng đợi, middleware, kiểu API hay chế độ đồng bộ là lựa chọn L3. Phân biệt này ngăn yêu cầu pháp lý bị chuyển trực tiếp thành một đặc tả công nghệ không có căn cứ.</w:t>
      </w:r>
    </w:p>
    <w:bookmarkEnd w:id="50"/>
    <w:bookmarkStart w:id="54" w:name="Xb83f7363030e7f6c512a8c33dff85494c0ec806"/>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6.3. Ranh giới logic của nền tảng tỉnh–trung ương</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Hình 4 biểu diễn cấu trúc vùng chứa logic theo C4 [31]. Mục tiêu của hình là làm rõ trách nhiệm và hướng phụ thuộc giữa dịch vụ nghiệp vụ cấp tỉnh, điều phối/đọc trung ương, quản trị cấu hình, kho vận hành, mô hình đọc hợp nhất và cổng tích hợp. Công nghệ lưu trữ và giao thức được giữ ở L3 để SRA không bị đồng nhất với một sản phẩm triển khai cụ thể. Đặc biệt, nền tảng không sở hữu định danh pháp lý doanh nghiệp, không thay thế kênh TTHC/DVC và không trở thành nguồn gốc của dữ liệu bằng chứng chuyên ngành; các hệ thống đó nằm ngoài biên và được kết nối qua các quan hệ có kiểm soát.</w:t>
      </w:r>
    </w:p>
    <w:p>
      <w:pPr>
        <w:pStyle w:val="CaptionedFigure"/>
        <w:keepNext/>
        <w:keepLines/>
        <w:widowControl/>
        <w:spacing w:before="60" w:after="0" w:line="288" w:lineRule="auto"/>
        <w:jc w:val="center"/>
      </w:pPr>
      <w:r>
        <w:rPr>
          <w:rFonts w:ascii="Times New Roman" w:hAnsi="Times New Roman" w:eastAsia="Times New Roman" w:cs="Times New Roman"/>
          <w:sz w:val="26"/>
        </w:rPr>
        <w:drawing>
          <wp:inline>
            <wp:extent cx="5244802" cy="3312024"/>
            <wp:effectExtent b="0" l="0" r="0" t="0"/>
            <wp:docPr descr="Hình 4. Cấu trúc vùng chứa và ranh giới trách nhiệm – góc nhìn vùng chứa logic dùng các phần tử C4; công nghệ/giao thức cụ thể được giữ ở L3" title="Hình 4" id="52" name="Picture"/>
            <a:graphic>
              <a:graphicData uri="http://schemas.openxmlformats.org/drawingml/2006/picture">
                <pic:pic>
                  <pic:nvPicPr>
                    <pic:cNvPr descr="figpng/fig04_c4_container_boundaries.png" id="53" name="Picture"/>
                    <pic:cNvPicPr>
                      <a:picLocks noChangeArrowheads="1" noChangeAspect="1"/>
                    </pic:cNvPicPr>
                  </pic:nvPicPr>
                  <pic:blipFill>
                    <a:blip r:embed="rId51"/>
                    <a:stretch>
                      <a:fillRect/>
                    </a:stretch>
                  </pic:blipFill>
                  <pic:spPr bwMode="auto">
                    <a:xfrm>
                      <a:off x="0" y="0"/>
                      <a:ext cx="5244802" cy="3312024"/>
                    </a:xfrm>
                    <a:prstGeom prst="rect">
                      <a:avLst/>
                    </a:prstGeom>
                    <a:noFill/>
                    <a:ln w="9525">
                      <a:noFill/>
                      <a:headEnd/>
                      <a:tailEnd/>
                    </a:ln>
                  </pic:spPr>
                </pic:pic>
              </a:graphicData>
            </a:graphic>
          </wp:inline>
        </w:drawing>
      </w:r>
    </w:p>
    <w:p>
      <w:pPr>
        <w:pStyle w:val="ImageCaption"/>
        <w:keepNext w:val="0"/>
        <w:keepLines/>
        <w:widowControl/>
        <w:spacing w:before="60" w:after="60" w:line="288" w:lineRule="auto"/>
        <w:jc w:val="both"/>
      </w:pPr>
      <w:r>
        <w:rPr>
          <w:rFonts w:ascii="Times New Roman" w:hAnsi="Times New Roman" w:eastAsia="Times New Roman" w:cs="Times New Roman"/>
          <w:b/>
          <w:i w:val="0"/>
          <w:sz w:val="26"/>
          <w:u w:val="none"/>
        </w:rPr>
        <w:t>Hình 4. Cấu trúc vùng chứa và ranh giới trách nhiệm – góc nhìn vùng chứa logic dùng các phần tử C4; công nghệ/giao thức cụ thể được giữ ở L3</w:t>
      </w:r>
    </w:p>
    <w:bookmarkEnd w:id="54"/>
    <w:bookmarkStart w:id="55" w:name="X1074b13ab6cbcf1e814cecbed43cfc3eb1983b6"/>
    <w:p>
      <w:pPr>
        <w:pStyle w:val="Heading2"/>
        <w:keepNext/>
        <w:keepLines w:val="0"/>
        <w:widowControl/>
        <w:spacing w:before="60" w:after="60" w:line="288" w:lineRule="auto"/>
        <w:jc w:val="left"/>
      </w:pPr>
      <w:r>
        <w:rPr>
          <w:rFonts w:ascii="Times New Roman" w:hAnsi="Times New Roman" w:eastAsia="Times New Roman"/>
          <w:b/>
          <w:sz w:val="26"/>
        </w:rPr>
        <w:t>6.4. Profile đánh giá P-DIST và luồng thu thập–liên thông dữ liệu</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P-DIST được dùng để cụ thể hóa một điểm biến thiên topology cho mục đích đánh giá, không phải để định nghĩa lõi SRA. Trong profile này, mỗi tỉnh có kho vận hành vật lý tách biệt và trung ương duy trì mô hình đọc/tổng hợp; các hiện thực hóa đa tenant, phân vùng logic/schema hoặc mô hình lai vẫn có thể phù hợp nếu bảo toàn cùng biên quyền ghi, nguồn gốc dữ liệu và trách nhiệm liên thông. Hình 5 vì vậy không chỉ mô tả vị trí nút triển khai mà nhấn mạnh đường đi logic của dữ liệu: từ các hệ thống/nguồn hiện hữu qua lớp tiếp nhận–chuẩn hóa–đối soát, vào dữ liệu nghiệp vụ theo thẩm quyền và mô hình đọc/tổng hợp, rồi trao đổi qua hạ tầng chia sẻ/điều phối. Hình không ấn định sản phẩm CSDL, middleware hay giao thức cụ thể.</w:t>
      </w:r>
    </w:p>
    <w:p>
      <w:pPr>
        <w:pStyle w:val="CaptionedFigure"/>
        <w:jc w:val="center"/>
      </w:pPr>
      <w:r>
        <w:drawing>
          <wp:inline>
            <wp:extent cx="5623560" cy="3685074"/>
            <wp:docPr id="54" name="Picture 54"/>
            <wp:cNvGraphicFramePr>
              <a:graphicFrameLocks noChangeAspect="1"/>
            </wp:cNvGraphicFramePr>
            <a:graphic>
              <a:graphicData uri="http://schemas.openxmlformats.org/drawingml/2006/picture">
                <pic:pic>
                  <pic:nvPicPr>
                    <pic:cNvPr id="0" name="fig05_pdist_word.png"/>
                    <pic:cNvPicPr/>
                  </pic:nvPicPr>
                  <pic:blipFill>
                    <a:blip r:embed="rId13"/>
                    <a:stretch>
                      <a:fillRect/>
                    </a:stretch>
                  </pic:blipFill>
                  <pic:spPr>
                    <a:xfrm>
                      <a:off x="0" y="0"/>
                      <a:ext cx="5623560" cy="3685074"/>
                    </a:xfrm>
                    <a:prstGeom prst="rect"/>
                  </pic:spPr>
                </pic:pic>
              </a:graphicData>
            </a:graphic>
          </wp:inline>
        </w:drawing>
      </w:r>
    </w:p>
    <w:p>
      <w:pPr>
        <w:pStyle w:val="ImageCaption"/>
        <w:keepNext/>
        <w:jc w:val="both"/>
      </w:pPr>
      <w:r>
        <w:rPr>
          <w:rFonts w:ascii="Times New Roman" w:hAnsi="Times New Roman" w:eastAsia="Times New Roman"/>
          <w:i/>
          <w:sz w:val="26"/>
        </w:rPr>
        <w:t>Hình 5. Luồng thu thập–chuẩn hóa–đồng bộ và liên thông trong profile đánh giá P-DIST; các hệ thống nguồn/TTHC giữ nguyên vai trò có thẩm quyền</w:t>
      </w:r>
    </w:p>
    <w:p>
      <w:pPr>
        <w:pStyle w:val="BodyText"/>
        <w:jc w:val="both"/>
      </w:pPr>
      <w:r>
        <w:rPr>
          <w:rFonts w:ascii="Times New Roman" w:hAnsi="Times New Roman" w:eastAsia="Times New Roman"/>
          <w:sz w:val="26"/>
        </w:rPr>
        <w:t>Trong ánh xạ này, “Cổng tích hợp và tiếp nhận” cùng các bước kiểm tra–chuẩn hóa–đối soát là các vai trò logic của nền tảng. Khi hiện thực hóa trong hệ sinh thái Bộ Khoa học và Công nghệ, kết nối liên cơ quan phải tương thích với lớp tích hợp, chia sẻ và điều phối của QĐ 1973 (LGSP/LDOP, API Gateway, Agent Node) và cơ chế kết nối qua Nền tảng chia sẻ, điều phối dữ liệu/Agent Node theo NĐ 278 [11, Mục III.1.4; 22, khoản 2 Điều 4, khoản 3 Điều 7]. Hình 5 là một profile đánh giá do nghiên cứu lựa chọn; nó không phải sơ đồ triển khai chính thức, không thay thế hệ thống TTHC/DVC hoặc CSDL nguồn và không được các văn bản dẫn chiếu bắt buộc về topology.</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Tương tự, góc nhìn an toàn/riêng tư chỉ khóa các bất biến kiến trúc: xác thực theo nguồn phù hợp, ủy quyền theo vai trò và phạm vi, tách đặc quyền tỉnh–trung ương, kiểm soát trường dữ liệu được trao đổi, lưu nguồn gốc/phiên bản và bằng chứng gửi–nhận, cùng trách nhiệm kiểm toán. Các yêu cầu này được dẫn xuất từ NĐ 69, NĐ 278, Luật Bảo vệ dữ liệu cá nhân và NĐ 356 [23, 22, 25, 26]. Chúng không chứng minh rằng một hệ thống chưa triển khai đã đạt cấp độ an toàn thông tin, thông lượng, tính sẵn sàng hay thời gian phục hồi cụ thể; các thuộc tính đó phải được kiểm chứng trên hiện thực hóa thực tế. Ma trận biên tin cậy–kiểm soát chi tiết được cung cấp trong tài liệu bổ trợ.</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Cuối cùng, biến thể địa phương được giới hạn ở bước nội bộ, vai trò phối hợp và biểu mẫu phụ trợ; không được thay đổi thẩm quyền, trạng thái quyết định hoặc thời hạn L1, và phải có phiên bản/ngày hiệu lực. Cấu trúc mô hình chung–biến thể địa phương phù hợp với tiền lệ về quy trình cấu hình trong chính quyền đô thị [33, pp. 486-500]. Đồng thời, địa bàn được dùng để xác định thẩm quyền chứ không làm ranh giới của toàn bộ hệ sinh thái: quan hệ doanh nghiệp–quỹ–chuyên gia–viện/trường cần được lưu xuyên địa bàn [13, pp. 27-28]; [14, pp. 1483-1484].</w:t>
      </w:r>
    </w:p>
    <w:bookmarkEnd w:id="55"/>
    <w:bookmarkEnd w:id="56"/>
    <w:bookmarkStart w:id="60" w:name="đánh-giá-kiến-trúc-theo-kịch-bản"/>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7. Đánh giá kiến trúc theo kịch bản</w:t>
      </w:r>
    </w:p>
    <w:bookmarkStart w:id="57" w:name="thiết-lập-đánh-giá-và-kết-quả-tổng-quát"/>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7.1. Thiết lập đánh giá và kết quả tổng quát</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B1</w:t>
      </w:r>
      <w:r>
        <w:rPr>
          <w:rFonts w:ascii="Times New Roman" w:hAnsi="Times New Roman" w:eastAsia="Times New Roman" w:cs="Times New Roman"/>
          <w:sz w:val="26"/>
          <w:vertAlign w:val="subscript"/>
        </w:rPr>
        <w:t>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cấu hình ứng viên của SRA theo profile P-DIST trước vòng đánh giá; B0 là một cấu hình tập trung dùng làm đường cơ sở định tính để làm rõ các đánh đổi. Hai cấu hình khác nhau đồng thời ở nhiều quyết định, vì vậy B0 không được dùng như đối chứng thực nghiệm và kết quả không được diễn giải như bằng chứng rằng một topology tốt hơn topology khác. Mười kịch bản S1–S10 và rubric ba mức đã trình bày ở Mục 3.4 được áp dụng trước cho B1</w:t>
      </w:r>
      <w:r>
        <w:rPr>
          <w:rFonts w:ascii="Times New Roman" w:hAnsi="Times New Roman" w:eastAsia="Times New Roman" w:cs="Times New Roman"/>
          <w:sz w:val="26"/>
          <w:vertAlign w:val="subscript"/>
        </w:rPr>
        <w:t>0</w:t>
      </w:r>
      <w:r>
        <w:rPr>
          <w:rFonts w:ascii="Times New Roman" w:hAnsi="Times New Roman" w:eastAsia="Times New Roman" w:cs="Times New Roman"/>
          <w:sz w:val="26"/>
        </w:rPr>
        <w:t xml:space="preserve">, sau đó áp dụng lại cho B1-R sau tinh chỉnh.</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Kết quả ban đầu gồm</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2 kịch bản đáp ứng trực tiếp, 7 đáp ứng có điều kiện và 1 rủi ro kiến trúc</w:t>
      </w:r>
      <w:r>
        <w:rPr>
          <w:rFonts w:ascii="Times New Roman" w:hAnsi="Times New Roman" w:eastAsia="Times New Roman" w:cs="Times New Roman"/>
          <w:sz w:val="26"/>
        </w:rPr>
        <w:t xml:space="preserve">. Sau vòng tinh chỉnh, B1-R đạt</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2 đáp ứng trực tiếp, 8 đáp ứng có điều kiện và không còn rủi ro kiến trúc chưa được hấp thụ ở mức thiết kế L2</w:t>
      </w:r>
      <w:r>
        <w:rPr>
          <w:rFonts w:ascii="Times New Roman" w:hAnsi="Times New Roman" w:eastAsia="Times New Roman" w:cs="Times New Roman"/>
          <w:sz w:val="26"/>
        </w:rPr>
        <w:t xml:space="preserve">. Bảng 5 giữ toàn bộ mười kịch bản nhưng chỉ trình bày phát hiện có ý nghĩa đối với lập luận kiến trúc; các mã thành phần, quy tắc phù hợp và phép kiểm tra chi tiết được chuyển sang tài liệu bổ trợ.</w:t>
      </w:r>
    </w:p>
    <w:p>
      <w:pPr>
        <w:pStyle w:val="TableCaption"/>
        <w:keepNext/>
        <w:keepLines w:val="0"/>
        <w:widowControl/>
        <w:spacing w:before="60" w:after="60" w:line="288" w:lineRule="auto"/>
        <w:jc w:val="both"/>
      </w:pPr>
      <w:r>
        <w:rPr>
          <w:rFonts w:ascii="Times New Roman" w:hAnsi="Times New Roman" w:eastAsia="Times New Roman" w:cs="Times New Roman"/>
          <w:b/>
          <w:i w:val="0"/>
          <w:sz w:val="26"/>
          <w:u w:val="none"/>
        </w:rPr>
        <w:t>Bảng 5. Kết quả stress-test B1 và kiểm tra lại B1-R bằng cùng rubric</w:t>
      </w:r>
    </w:p>
    <w:tbl>
      <w:tblPr>
        <w:tblStyle w:val="TableGrid"/>
        <w:tblW w:type="auto" w:w="0"/>
        <w:jc w:val="center"/>
        <w:tblLayout w:type="fixed"/>
        <w:tblLook w:firstRow="0" w:lastRow="0" w:firstColumn="0" w:lastColumn="0" w:noHBand="0" w:noVBand="0" w:val="0000"/>
        <w:tblCaption w:val="Kết quả stress-test B1_0 và kiểm tra lại B1-R bằng cùng rubric"/>
      </w:tblPr>
      <w:tblGrid>
        <w:gridCol w:w="1980"/>
        <w:gridCol w:w="1980"/>
        <w:gridCol w:w="1980"/>
        <w:gridCol w:w="1980"/>
      </w:tblGrid>
      <w:tr>
        <w:trPr>
          <w:tblHeader w:val="true"/>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Kịch bản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B1</w:t>
            </w:r>
            <w:r>
              <w:rPr>
                <w:rFonts w:ascii="Times New Roman" w:hAnsi="Times New Roman" w:eastAsia="Times New Roman" w:cs="Times New Roman"/>
                <w:sz w:val="20"/>
                <w:vertAlign w:val="subscript"/>
              </w:rPr>
              <w:t>0</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B1-R</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Hàm ý kiến trúc chính</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S1. Tỉnh xử lý và quyết định theo thẩm quyền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Trực tiếp</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Trực tiếp</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Biên quyền ghi theo phạm vi thẩm quyền là phù hợp với nghiệp vụ phân cấp.</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S2. Hai tỉnh khác bước nội bộ nhưng cùng nghĩa vụ pháp lý</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Trực tiếp</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Trực tiếp</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Cần tách mô hình nền pháp lý khỏi cấu hình nội bộ có kiểm soát.</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S3. Quy định thay đổi trạng thái, biểu mẫu hoặc thời hạn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Thay đổi phải đi qua quản trị phiên bản và xử lý hồ sơ đang chạy.</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S4. Chia sẻ trung ương gián đoạn sau quyết định của tỉnh</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Xử lý cục bộ và đồng bộ lại chỉ khả thi nếu bảo toàn trạng thái, thời hạn và chống lặp.</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S5. Trung ương cần ảnh dữ liệu toàn quốc</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Mô hình đọc hợp nhất phải công bố nguồn, phiên bản và độ mới thay vì trở thành nguồn pháp lý mới.</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S6. Định danh doanh nghiệp thay đổi tại nguồn quốc gia</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Dữ liệu tham chiếu phải được làm mới và xác minh lại từ nguồn có thẩm quyền ở các bước nhạy cảm.</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S7. Lớp trung ương không sẵn sàng khi tỉnh đang xử lý</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Khả năng tiếp tục cục bộ phụ thuộc ranh giới rõ giữa bước địa phương và bước bắt buộc dùng dịch vụ ngoài.</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S8. Quan hệ đầu tư/hỗ trợ vượt địa giới</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Quan hệ hệ sinh thái phải độc lập với biên thẩm quyền và giữ nguồn cùng thời gian hiệu lực.</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S9. Chuyển phạm vi quản lý từ tỉnh A sang B</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Rủi ro</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Biên ghi theo địa bàn là chưa đủ; quyền ghi phải được biểu diễn như một gán quyền có hiệu lực theo thời gian.</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S10. Các tỉnh nâng lược đồ/quy trình lệch thời điểm</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Kiến trúc cần quản trị tương thích phiên bản và quy tắc chuyển đổi minh thị.</w:t>
            </w:r>
          </w:p>
        </w:tc>
      </w:tr>
    </w:tbl>
    <w:bookmarkEnd w:id="57"/>
    <w:bookmarkStart w:id="58" w:name="phát-hiện-dẫn-tới-tinh-chỉnh-b1-r"/>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7.2. Phát hiện dẫn tới tinh chỉnh B1-R</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Phát hiện quan trọng nhất là S9. B1</w:t>
      </w:r>
      <w:r>
        <w:rPr>
          <w:rFonts w:ascii="Times New Roman" w:hAnsi="Times New Roman" w:eastAsia="Times New Roman" w:cs="Times New Roman"/>
          <w:sz w:val="26"/>
          <w:vertAlign w:val="subscript"/>
        </w:rPr>
        <w:t>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đã tách quyền ghi theo địa bàn nhưng chưa mô hình hóa việc quyền đó thay đổi theo thời gian. Khi phạm vi quản lý một chủ thể chuyển từ tỉnh A sang tỉnh B, chỉ di chuyển hoặc sao chép dữ liệu không bảo đảm rằng tại cùng một thời điểm chỉ một phía có quyền thay đổi trạng thái, cũng không bảo toàn đầy đủ lịch sử và nguồn gốc của quyết định. Vòng DSR vì vậy tinh chỉnh nguyên tắc quyền ghi của B1-R thành một quan hệ có phạm vi, thời gian hiệu lực và bằng chứng chuyển giao, với bất biến chỉ một writer đang hiệu lực cho cùng phạm vi. Chi tiết biểu diễn và giao thức chuyển quyền được giữ trong tài liệu bổ trợ vì chúng là phương án L2 cần được kiểm chứng khi hiện thực hóa, không phải đặc tả bắt buộc của SRA.</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S10 làm lộ một vấn đề khác: phiên bản của hợp đồng dữ liệu và quy trình không thể giả định được nâng đồng thời ở mọi tỉnh. B1-R do đó bổ sung cửa sổ tương thích, phiên bản tối thiểu còn hỗ trợ, ghim phiên bản cho hồ sơ đang xử lý và quy tắc chuyển đổi minh thị. Tinh chỉnh này không thay đổi mục tiêu chức năng của SRA nhưng làm rõ điều kiện để các nút có thể tiến hóa độc lập mà vẫn duy trì liên thông và khả năng đọc dữ liệu lịch sử.</w:t>
      </w:r>
    </w:p>
    <w:p>
      <w:pPr>
        <w:pStyle w:val="BodyText"/>
        <w:keepNext w:val="0"/>
        <w:keepLines w:val="0"/>
        <w:widowControl/>
        <w:spacing w:before="60" w:after="60" w:line="288" w:lineRule="auto"/>
        <w:ind w:firstLine="720"/>
        <w:jc w:val="both"/>
      </w:pPr>
      <w:r>
        <w:rPr>
          <w:rFonts w:ascii="Times New Roman" w:hAnsi="Times New Roman" w:eastAsia="Times New Roman"/>
          <w:sz w:val="26"/>
        </w:rPr>
        <w:t>Hai phát hiện trên cho thấy giá trị của phép đánh giá nằm ở việc làm lộ điểm chưa đầy đủ và buộc sửa artefact, chứ không chỉ xác nhận kiến trúc đã xây dựng. Chuỗi B10 → stress-test → tinh chỉnh → B1-R vì vậy đóng vai trò vòng đánh giá–thiết kế của nghiên cứu. Việc áp dụng lại cùng mười kịch bản chỉ là hậu kiểm tính nhất quán sau tinh chỉnh: S9 chuyển từ rủi ro sang đáp ứng có điều kiện cho biết khoảng trống đã được hấp thụ ở cấp thiết kế trong bộ kịch bản hiện tại; tám kịch bản còn ở mức có điều kiện vẫn đòi hỏi bằng chứng hiện thực hóa.</w:t>
      </w:r>
    </w:p>
    <w:bookmarkEnd w:id="58"/>
    <w:bookmarkStart w:id="59" w:name="X247917e86b60c128df70ca9f6b6c64e50d9322b"/>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7.3. Diễn giải và giới hạn của bằng chứng đánh giá</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B0 cho thấy một cấu hình tập trung có thể giảm số điểm cấu hình, đơn giản hóa một số thao tác tổng hợp và tránh một phần chi phí phối hợp khi chuyển dữ liệu; ngược lại, P-DIST làm rõ biên thực thi theo tỉnh nhưng phát sinh thêm yêu cầu điều phối quyền ghi, đồng bộ và tương thích phiên bản. Đây là các đánh đổi kiến trúc, không phải kết quả xếp hạng hiệu năng hay chi phí.</w:t>
      </w:r>
    </w:p>
    <w:p>
      <w:pPr>
        <w:pStyle w:val="BodyText"/>
        <w:keepNext w:val="0"/>
        <w:keepLines w:val="0"/>
        <w:widowControl/>
        <w:spacing w:before="60" w:after="60" w:line="288" w:lineRule="auto"/>
        <w:ind w:firstLine="720"/>
        <w:jc w:val="both"/>
      </w:pPr>
      <w:r>
        <w:rPr>
          <w:rFonts w:ascii="Times New Roman" w:hAnsi="Times New Roman" w:eastAsia="Times New Roman"/>
          <w:sz w:val="26"/>
        </w:rPr>
        <w:t>Phép đánh giá là kiểm chứng kiến trúc theo kịch bản trước triển khai (scenario-based architecture verification/stress-test). Các kịch bản được xây dựng và chấm bởi cùng nhóm tác giả; nghiên cứu chưa có prototype vận hành, tải thực, phép đo độ trễ/tính sẵn sàng, thời gian phục hồi, chi phí hay đánh giá người dùng. B0 và B10 cũng khác nhau ở nhiều quyết định nên không hỗ trợ suy luận nhân quả cho một quyết định riêng lẻ; lần áp dụng lại sau tinh chỉnh sử dụng chính bộ kịch bản và rubric ban đầu nên không phải kiểm chứng độc lập. Vì vậy, kết quả chỉ chứng minh mức đầy đủ và tính nhất quán tương đối của artefact trong phạm vi các kịch bản đã chọn. Bằng chứng tiếp theo cần đến từ nguyên mẫu và các phép thử có thể lặp lại đối với thu thập/chuẩn hóa, đồng bộ/liên thông, chuyển quyền ghi, tương thích/nâng cấp, phục hồi và an toàn.</w:t>
      </w:r>
    </w:p>
    <w:bookmarkEnd w:id="59"/>
    <w:bookmarkEnd w:id="60"/>
    <w:bookmarkStart w:id="64" w:name="bàn-luận"/>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8. Bàn luận</w:t>
      </w:r>
    </w:p>
    <w:bookmarkStart w:id="61" w:name="ý-nghĩa-của-đóng-góp-kiến-trúc"/>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8.1. Ý nghĩa của đóng góp kiến trúc</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Đóng góp của nghiên cứu không nằm ở một topology triển khai cụ thể mà ở cách SRA tách</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lõi ổn định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khỏi</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điểm biến thiên</w:t>
      </w:r>
      <w:r>
        <w:rPr>
          <w:rFonts w:ascii="Times New Roman" w:hAnsi="Times New Roman" w:eastAsia="Times New Roman" w:cs="Times New Roman"/>
          <w:sz w:val="26"/>
        </w:rPr>
        <w:t xml:space="preserve">. Lõi ổn định bảo toàn quyền ghi theo thẩm quyền, nguồn gốc và hiệu lực dữ liệu, cùng trách nhiệm liên thông; còn bố trí kho dữ liệu, cơ chế tích hợp và chi tiết quy trình địa phương được để ở lớp biến thiên. Cách tách này cho phép thay đổi tổ chức hoặc công nghệ mà không phải diễn giải lại các nghĩa vụ nền tảng.</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Mô hình thẩm quyền theo</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nhóm thuộc tính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điểm khác biệt thứ hai: định danh pháp lý, trạng thái chuyên ngành, bằng chứng ngoài hệ thống và dữ liệu dẫn xuất có thể thuộc các nguồn có thẩm quyền khác nhau. Nhờ đó, nền tảng chuyên ngành không trở thành một nguồn pháp lý song song. Chuỗi truy vết từ nguồn tới quyết định kiến trúc đồng thời vận hành hóa yêu cầu về tính phù hợp kiến trúc trước đầu tư tại Khung kiến trúc số của Bộ KH&amp;CN [11]; giá trị của nó nằm ở khả năng giải thích vì sao một quyết định tồn tại và phần nào phải xem xét lại khi nguồn thay đổi, thay vì ở số lượng mã truy vết nội bộ.</w:t>
      </w:r>
    </w:p>
    <w:p>
      <w:pPr>
        <w:pStyle w:val="Heading2"/>
        <w:jc w:val="left"/>
      </w:pPr>
      <w:r>
        <w:rPr>
          <w:rFonts w:ascii="Times New Roman" w:hAnsi="Times New Roman" w:eastAsia="Times New Roman"/>
          <w:b/>
          <w:sz w:val="26"/>
        </w:rPr>
        <w:t>8.2. Từ yêu cầu hiện hành tới đáp ứng kiến trúc</w:t>
      </w:r>
    </w:p>
    <w:p>
      <w:pPr>
        <w:pStyle w:val="FirstParagraph"/>
        <w:jc w:val="both"/>
      </w:pPr>
      <w:r>
        <w:rPr>
          <w:rFonts w:ascii="Times New Roman" w:hAnsi="Times New Roman" w:eastAsia="Times New Roman"/>
          <w:sz w:val="26"/>
        </w:rPr>
        <w:t>Phạm vi bàn luận của nghiên cứu là nền tảng quản lý DN KH&amp;CN và DN KNST. Vấn đề trọng tâm là đưa các nguồn dữ liệu và hệ thống đang tách rời vào một cơ chế thu thập, chuẩn hóa, đồng bộ và khai thác nhất quán mà vẫn bảo toàn thẩm quyền và không tạo thêm một kênh dịch vụ công song song. Trong phạm vi này, ba nguyên tắc chi phối thiết kế là phân định đúng thẩm quyền dữ liệu, giữ một đường cơ sở chuẩn tắc chung cho các biến thể địa phương và bảo toàn provenance qua các biên liên thông.</w:t>
      </w:r>
    </w:p>
    <w:p>
      <w:pPr>
        <w:pStyle w:val="BodyText"/>
        <w:jc w:val="both"/>
      </w:pPr>
      <w:r>
        <w:rPr>
          <w:rFonts w:ascii="Times New Roman" w:hAnsi="Times New Roman" w:eastAsia="Times New Roman"/>
          <w:sz w:val="26"/>
        </w:rPr>
        <w:t>Thứ nhất, thẩm quyền phải được phân rã theo nhóm thuộc tính, phạm vi và thời gian hiệu lực. Cách này cho phép định danh pháp lý tiếp tục tham chiếu CSDL quốc gia về doanh nghiệp, trạng thái DN KH&amp;CN/DN KNST phát sinh từ cơ quan có thẩm quyền và dữ liệu dẫn xuất được quản trị riêng mà không tạo các nguồn pháp lý song song. Đây cũng là cơ sở để đối soát dữ liệu khi cùng một doanh nghiệp xuất hiện ở nhiều nguồn.</w:t>
      </w:r>
    </w:p>
    <w:p>
      <w:pPr>
        <w:pStyle w:val="BodyText"/>
        <w:jc w:val="both"/>
      </w:pPr>
      <w:r>
        <w:rPr>
          <w:rFonts w:ascii="Times New Roman" w:hAnsi="Times New Roman" w:eastAsia="Times New Roman"/>
          <w:sz w:val="26"/>
        </w:rPr>
        <w:t>Thứ hai, nền tảng cần một đường cơ sở chuẩn tắc ổn định cho thẩm quyền, trạng thái quyết định, nguồn dữ liệu và thời hạn bắt buộc, trong khi bước xử lý nội bộ, vai trò phối hợp, biểu mẫu phụ trợ và cấu hình địa phương có thể biến thiên có kiểm soát. Sự tách biệt này cho phép thu thập dữ liệu từ các quy trình địa phương khác nhau nhưng vẫn chuẩn hóa được đầu ra dùng chung cho đồng bộ và tổng hợp.</w:t>
      </w:r>
    </w:p>
    <w:p>
      <w:pPr>
        <w:pStyle w:val="BodyText"/>
        <w:jc w:val="both"/>
      </w:pPr>
      <w:r>
        <w:rPr>
          <w:rFonts w:ascii="Times New Roman" w:hAnsi="Times New Roman" w:eastAsia="Times New Roman"/>
          <w:sz w:val="26"/>
        </w:rPr>
        <w:t>Thứ ba, liên thông phải bảo toàn provenance độc lập với cách bố trí lưu trữ. Bản sao, mô hình đọc và dữ liệu tổng hợp có thể thay đổi nơi lưu hoặc nhịp cập nhật, nhưng phải giữ nguồn, phiên bản, thời điểm hiệu lực và bằng chứng trao đổi. Điều này đặc biệt quan trọng khi nền tảng nhận dữ liệu từ hệ thống TTHC/DVC, CSDL quốc gia và các nguồn chuyên ngành: nền tảng có thể chuẩn hóa và tổng hợp nhưng không được làm mất dấu nguồn có thẩm quyền hoặc thay thế vai trò nghiệp vụ của hệ thống nguồn.</w:t>
      </w:r>
    </w:p>
    <w:p>
      <w:pPr>
        <w:pStyle w:val="BodyText"/>
        <w:jc w:val="both"/>
      </w:pPr>
      <w:r>
        <w:rPr>
          <w:rFonts w:ascii="Times New Roman" w:hAnsi="Times New Roman" w:eastAsia="Times New Roman"/>
          <w:sz w:val="26"/>
        </w:rPr>
        <w:t>Để kiểm tra kiến trúc đề xuất bám tới đâu vào các yêu cầu và định hướng mới hiện hành, Bảng 6 tách rõ nội dung từ nguồn, vấn đề đặt ra đối với nền tảng DN KH&amp;CN/DN KNST và cách SRA đáp ứng. Đây là đối sánh thiết kế nhằm giải thích căn cứ của các quyết định kiến trúc, không phải chứng nhận tuân thủ cho một hệ thống chưa triển khai.</w:t>
      </w:r>
    </w:p>
    <w:p>
      <w:pPr>
        <w:pStyle w:val="TableCaption"/>
        <w:keepNext/>
        <w:jc w:val="both"/>
      </w:pPr>
      <w:r>
        <w:rPr>
          <w:rFonts w:ascii="Times New Roman" w:hAnsi="Times New Roman" w:eastAsia="Times New Roman"/>
          <w:b/>
          <w:sz w:val="26"/>
        </w:rPr>
        <w:t>Bảng 6. Đối sánh yêu cầu/định hướng hiện hành với đáp ứng của kiến trúc đề xuất</w:t>
      </w:r>
    </w:p>
    <w:tbl>
      <w:tblPr>
        <w:tblStyle w:val="TableGrid"/>
        <w:tblW w:type="auto" w:w="0"/>
        <w:tblLayout w:type="fixed"/>
        <w:tblLook w:firstColumn="1" w:firstRow="1" w:lastColumn="0" w:lastRow="0" w:noHBand="0" w:noVBand="1" w:val="04A0"/>
      </w:tblPr>
      <w:tblGrid>
        <w:gridCol w:w="2256"/>
        <w:gridCol w:w="2256"/>
        <w:gridCol w:w="2256"/>
        <w:gridCol w:w="2256"/>
      </w:tblGrid>
      <w:tr>
        <w:trPr>
          <w:tblHeader w:val="true"/>
          <w:cantSplit/>
        </w:trPr>
        <w:tc>
          <w:tcPr>
            <w:tcW w:type="dxa" w:w="1701"/>
            <w:vAlign w:val="top"/>
            <w:tcMar>
              <w:top w:w="55" w:type="dxa"/>
              <w:left w:w="55" w:type="dxa"/>
              <w:bottom w:w="55" w:type="dxa"/>
              <w:right w:w="55" w:type="dxa"/>
            </w:tcMar>
          </w:tcPr>
          <w:p>
            <w:pPr>
              <w:pStyle w:val="Compact"/>
              <w:jc w:val="center"/>
            </w:pPr>
            <w:r>
              <w:rPr>
                <w:rFonts w:ascii="Times New Roman" w:hAnsi="Times New Roman" w:eastAsia="Times New Roman"/>
                <w:b/>
                <w:sz w:val="19"/>
              </w:rPr>
              <w:t>Nguồn/vị trí</w:t>
            </w:r>
          </w:p>
        </w:tc>
        <w:tc>
          <w:tcPr>
            <w:tcW w:type="dxa" w:w="2098"/>
            <w:vAlign w:val="top"/>
            <w:tcMar>
              <w:top w:w="55" w:type="dxa"/>
              <w:left w:w="55" w:type="dxa"/>
              <w:bottom w:w="55" w:type="dxa"/>
              <w:right w:w="55" w:type="dxa"/>
            </w:tcMar>
          </w:tcPr>
          <w:p>
            <w:pPr>
              <w:pStyle w:val="Compact"/>
              <w:jc w:val="center"/>
            </w:pPr>
            <w:r>
              <w:rPr>
                <w:rFonts w:ascii="Times New Roman" w:hAnsi="Times New Roman" w:eastAsia="Times New Roman"/>
                <w:b/>
                <w:sz w:val="19"/>
              </w:rPr>
              <w:t>Yêu cầu/định hướng từ nguồn</w:t>
            </w:r>
          </w:p>
        </w:tc>
        <w:tc>
          <w:tcPr>
            <w:tcW w:type="dxa" w:w="2438"/>
            <w:vAlign w:val="top"/>
            <w:tcMar>
              <w:top w:w="55" w:type="dxa"/>
              <w:left w:w="55" w:type="dxa"/>
              <w:bottom w:w="55" w:type="dxa"/>
              <w:right w:w="55" w:type="dxa"/>
            </w:tcMar>
          </w:tcPr>
          <w:p>
            <w:pPr>
              <w:pStyle w:val="Compact"/>
              <w:jc w:val="center"/>
            </w:pPr>
            <w:r>
              <w:rPr>
                <w:rFonts w:ascii="Times New Roman" w:hAnsi="Times New Roman" w:eastAsia="Times New Roman"/>
                <w:b/>
                <w:sz w:val="19"/>
              </w:rPr>
              <w:t>Vấn đề đối với nền tảng DN KH&amp;CN/DN KNST</w:t>
            </w:r>
          </w:p>
        </w:tc>
        <w:tc>
          <w:tcPr>
            <w:tcW w:type="dxa" w:w="2778"/>
            <w:vAlign w:val="top"/>
            <w:tcMar>
              <w:top w:w="55" w:type="dxa"/>
              <w:left w:w="55" w:type="dxa"/>
              <w:bottom w:w="55" w:type="dxa"/>
              <w:right w:w="55" w:type="dxa"/>
            </w:tcMar>
          </w:tcPr>
          <w:p>
            <w:pPr>
              <w:pStyle w:val="Compact"/>
              <w:jc w:val="center"/>
            </w:pPr>
            <w:r>
              <w:rPr>
                <w:rFonts w:ascii="Times New Roman" w:hAnsi="Times New Roman" w:eastAsia="Times New Roman"/>
                <w:b/>
                <w:sz w:val="19"/>
              </w:rPr>
              <w:t>Đáp ứng kiến trúc đề xuất</w:t>
            </w:r>
          </w:p>
        </w:tc>
      </w:tr>
      <w:tr>
        <w:trPr>
          <w:cantSplit/>
        </w:trPr>
        <w:tc>
          <w:tcPr>
            <w:tcW w:type="dxa" w:w="1701"/>
            <w:vAlign w:val="top"/>
            <w:tcMar>
              <w:top w:w="55" w:type="dxa"/>
              <w:left w:w="55" w:type="dxa"/>
              <w:bottom w:w="55" w:type="dxa"/>
              <w:right w:w="55" w:type="dxa"/>
            </w:tcMar>
          </w:tcPr>
          <w:p>
            <w:pPr>
              <w:pStyle w:val="Compact"/>
              <w:jc w:val="left"/>
            </w:pPr>
            <w:r>
              <w:rPr>
                <w:rFonts w:ascii="Times New Roman" w:hAnsi="Times New Roman" w:eastAsia="Times New Roman"/>
                <w:b w:val="0"/>
                <w:sz w:val="19"/>
              </w:rPr>
              <w:t>QĐ 3090/QĐ-BKHCN, Điều 1 [9]</w:t>
            </w:r>
          </w:p>
        </w:tc>
        <w:tc>
          <w:tcPr>
            <w:tcW w:type="dxa" w:w="2098"/>
            <w:vAlign w:val="top"/>
            <w:tcMar>
              <w:top w:w="55" w:type="dxa"/>
              <w:left w:w="55" w:type="dxa"/>
              <w:bottom w:w="55" w:type="dxa"/>
              <w:right w:w="55" w:type="dxa"/>
            </w:tcMar>
          </w:tcPr>
          <w:p>
            <w:pPr>
              <w:pStyle w:val="Compact"/>
              <w:jc w:val="left"/>
            </w:pPr>
            <w:r>
              <w:rPr>
                <w:rFonts w:ascii="Times New Roman" w:hAnsi="Times New Roman" w:eastAsia="Times New Roman"/>
                <w:b w:val="0"/>
                <w:sz w:val="19"/>
              </w:rPr>
              <w:t>Khung kiến trúc tổng thể quốc gia số định vị các thành phần dùng chung và yêu cầu hệ thống chuyên ngành được đặt trong hệ quy chiếu chung, hỗ trợ kết nối/chia sẻ thay vì phát triển biệt lập.</w:t>
            </w:r>
          </w:p>
        </w:tc>
        <w:tc>
          <w:tcPr>
            <w:tcW w:type="dxa" w:w="2438"/>
            <w:vAlign w:val="top"/>
            <w:tcMar>
              <w:top w:w="55" w:type="dxa"/>
              <w:left w:w="55" w:type="dxa"/>
              <w:bottom w:w="55" w:type="dxa"/>
              <w:right w:w="55" w:type="dxa"/>
            </w:tcMar>
          </w:tcPr>
          <w:p>
            <w:pPr>
              <w:pStyle w:val="Compact"/>
              <w:jc w:val="left"/>
            </w:pPr>
            <w:r>
              <w:rPr>
                <w:rFonts w:ascii="Times New Roman" w:hAnsi="Times New Roman" w:eastAsia="Times New Roman"/>
                <w:b w:val="0"/>
                <w:sz w:val="19"/>
              </w:rPr>
              <w:t>Một nền tảng mới dễ trở thành silo nếu tự tạo lại định danh, dữ liệu hoặc kênh tích hợp đã có.</w:t>
            </w:r>
          </w:p>
        </w:tc>
        <w:tc>
          <w:tcPr>
            <w:tcW w:type="dxa" w:w="2778"/>
            <w:vAlign w:val="top"/>
            <w:tcMar>
              <w:top w:w="55" w:type="dxa"/>
              <w:left w:w="55" w:type="dxa"/>
              <w:bottom w:w="55" w:type="dxa"/>
              <w:right w:w="55" w:type="dxa"/>
            </w:tcMar>
          </w:tcPr>
          <w:p>
            <w:pPr>
              <w:pStyle w:val="Compact"/>
              <w:jc w:val="left"/>
            </w:pPr>
            <w:r>
              <w:rPr>
                <w:rFonts w:ascii="Times New Roman" w:hAnsi="Times New Roman" w:eastAsia="Times New Roman"/>
                <w:b w:val="0"/>
                <w:sz w:val="19"/>
              </w:rPr>
              <w:t>Hình 1 đặt SRA trong hệ quy chiếu quốc gia/Bộ; Hình 4 giữ các hệ thống hiện hữu ngoài biên và kết nối qua vai trò tích hợp. SRA chỉ bổ sung năng lực chuyên ngành, không thay thế hạ tầng dùng chung.</w:t>
            </w:r>
          </w:p>
        </w:tc>
      </w:tr>
      <w:tr>
        <w:trPr>
          <w:cantSplit/>
        </w:trPr>
        <w:tc>
          <w:tcPr>
            <w:tcW w:type="dxa" w:w="1701"/>
            <w:vAlign w:val="top"/>
            <w:tcMar>
              <w:top w:w="55" w:type="dxa"/>
              <w:left w:w="55" w:type="dxa"/>
              <w:bottom w:w="55" w:type="dxa"/>
              <w:right w:w="55" w:type="dxa"/>
            </w:tcMar>
          </w:tcPr>
          <w:p>
            <w:pPr>
              <w:pStyle w:val="Compact"/>
              <w:jc w:val="left"/>
            </w:pPr>
            <w:r>
              <w:rPr>
                <w:rFonts w:ascii="Times New Roman" w:hAnsi="Times New Roman" w:eastAsia="Times New Roman"/>
                <w:b w:val="0"/>
                <w:sz w:val="19"/>
              </w:rPr>
              <w:t>QĐ 292/QĐ-BKHCN, Chương 2 Mục II; Chương 3 Mục II.6–7 [21]</w:t>
            </w:r>
          </w:p>
        </w:tc>
        <w:tc>
          <w:tcPr>
            <w:tcW w:type="dxa" w:w="2098"/>
            <w:vAlign w:val="top"/>
            <w:tcMar>
              <w:top w:w="55" w:type="dxa"/>
              <w:left w:w="55" w:type="dxa"/>
              <w:bottom w:w="55" w:type="dxa"/>
              <w:right w:w="55" w:type="dxa"/>
            </w:tcMar>
          </w:tcPr>
          <w:p>
            <w:pPr>
              <w:pStyle w:val="Compact"/>
              <w:jc w:val="left"/>
            </w:pPr>
            <w:r>
              <w:rPr>
                <w:rFonts w:ascii="Times New Roman" w:hAnsi="Times New Roman" w:eastAsia="Times New Roman"/>
                <w:b w:val="0"/>
                <w:sz w:val="19"/>
              </w:rPr>
              <w:t>Khung Chính phủ số sử dụng các mô hình tham chiếu nghiệp vụ, dữ liệu, ứng dụng, công nghệ, ATTT và các lớp tích hợp/chia sẻ ở cấp quốc gia, bộ/tỉnh.</w:t>
            </w:r>
          </w:p>
        </w:tc>
        <w:tc>
          <w:tcPr>
            <w:tcW w:type="dxa" w:w="2438"/>
            <w:vAlign w:val="top"/>
            <w:tcMar>
              <w:top w:w="55" w:type="dxa"/>
              <w:left w:w="55" w:type="dxa"/>
              <w:bottom w:w="55" w:type="dxa"/>
              <w:right w:w="55" w:type="dxa"/>
            </w:tcMar>
          </w:tcPr>
          <w:p>
            <w:pPr>
              <w:pStyle w:val="Compact"/>
              <w:jc w:val="left"/>
            </w:pPr>
            <w:r>
              <w:rPr>
                <w:rFonts w:ascii="Times New Roman" w:hAnsi="Times New Roman" w:eastAsia="Times New Roman"/>
                <w:b w:val="0"/>
                <w:sz w:val="19"/>
              </w:rPr>
              <w:t>Thu thập dữ liệu đa nguồn cần tách rõ trách nhiệm nghiệp vụ, dữ liệu, ứng dụng và biên tích hợp; kết nối điểm–điểm tùy ý sẽ khó quản trị.</w:t>
            </w:r>
          </w:p>
        </w:tc>
        <w:tc>
          <w:tcPr>
            <w:tcW w:type="dxa" w:w="2778"/>
            <w:vAlign w:val="top"/>
            <w:tcMar>
              <w:top w:w="55" w:type="dxa"/>
              <w:left w:w="55" w:type="dxa"/>
              <w:bottom w:w="55" w:type="dxa"/>
              <w:right w:w="55" w:type="dxa"/>
            </w:tcMar>
          </w:tcPr>
          <w:p>
            <w:pPr>
              <w:pStyle w:val="Compact"/>
              <w:jc w:val="left"/>
            </w:pPr>
            <w:r>
              <w:rPr>
                <w:rFonts w:ascii="Times New Roman" w:hAnsi="Times New Roman" w:eastAsia="Times New Roman"/>
                <w:b w:val="0"/>
                <w:sz w:val="19"/>
              </w:rPr>
              <w:t>Các góc nhìn năng lực–ứng dụng, dữ liệu–thẩm quyền và C4 container tách trách nhiệm; luồng liên cơ quan đi qua cổng tích hợp/biên chia sẻ được quản trị (Hình 2, 4, 5; Mục 6).</w:t>
            </w:r>
          </w:p>
        </w:tc>
      </w:tr>
      <w:tr>
        <w:trPr>
          <w:cantSplit/>
        </w:trPr>
        <w:tc>
          <w:tcPr>
            <w:tcW w:type="dxa" w:w="1701"/>
            <w:vAlign w:val="top"/>
            <w:tcMar>
              <w:top w:w="55" w:type="dxa"/>
              <w:left w:w="55" w:type="dxa"/>
              <w:bottom w:w="55" w:type="dxa"/>
              <w:right w:w="55" w:type="dxa"/>
            </w:tcMar>
          </w:tcPr>
          <w:p>
            <w:pPr>
              <w:pStyle w:val="Compact"/>
              <w:jc w:val="left"/>
            </w:pPr>
            <w:r>
              <w:rPr>
                <w:rFonts w:ascii="Times New Roman" w:hAnsi="Times New Roman" w:eastAsia="Times New Roman"/>
                <w:b w:val="0"/>
                <w:sz w:val="19"/>
              </w:rPr>
              <w:t>QĐ 2439/QĐ-TTg [10]; NĐ 278, khoản 2,4 Điều 4; khoản 2 Điều 5; khoản 2–3 Điều 7 [22]</w:t>
            </w:r>
          </w:p>
        </w:tc>
        <w:tc>
          <w:tcPr>
            <w:tcW w:type="dxa" w:w="2098"/>
            <w:vAlign w:val="top"/>
            <w:tcMar>
              <w:top w:w="55" w:type="dxa"/>
              <w:left w:w="55" w:type="dxa"/>
              <w:bottom w:w="55" w:type="dxa"/>
              <w:right w:w="55" w:type="dxa"/>
            </w:tcMar>
          </w:tcPr>
          <w:p>
            <w:pPr>
              <w:pStyle w:val="Compact"/>
              <w:jc w:val="left"/>
            </w:pPr>
            <w:r>
              <w:rPr>
                <w:rFonts w:ascii="Times New Roman" w:hAnsi="Times New Roman" w:eastAsia="Times New Roman"/>
                <w:b w:val="0"/>
                <w:sz w:val="19"/>
              </w:rPr>
              <w:t>Quản trị dữ liệu chủ cần nguồn tin cậy; dữ liệu phải chuẩn hóa theo từ điển/khung dùng chung; các luồng chia sẻ bắt buộc đi qua Nền tảng chia sẻ, điều phối/Agent Node.</w:t>
            </w:r>
          </w:p>
        </w:tc>
        <w:tc>
          <w:tcPr>
            <w:tcW w:type="dxa" w:w="2438"/>
            <w:vAlign w:val="top"/>
            <w:tcMar>
              <w:top w:w="55" w:type="dxa"/>
              <w:left w:w="55" w:type="dxa"/>
              <w:bottom w:w="55" w:type="dxa"/>
              <w:right w:w="55" w:type="dxa"/>
            </w:tcMar>
          </w:tcPr>
          <w:p>
            <w:pPr>
              <w:pStyle w:val="Compact"/>
              <w:jc w:val="left"/>
            </w:pPr>
            <w:r>
              <w:rPr>
                <w:rFonts w:ascii="Times New Roman" w:hAnsi="Times New Roman" w:eastAsia="Times New Roman"/>
                <w:b w:val="0"/>
                <w:sz w:val="19"/>
              </w:rPr>
              <w:t>Định danh doanh nghiệp, trạng thái chuyên ngành và dữ liệu dẫn xuất đến từ các nguồn khác nhau; nếu hợp nhất thiếu nguồn gốc sẽ tạo dữ liệu trùng hoặc nguồn sự thật giả.</w:t>
            </w:r>
          </w:p>
        </w:tc>
        <w:tc>
          <w:tcPr>
            <w:tcW w:type="dxa" w:w="2778"/>
            <w:vAlign w:val="top"/>
            <w:tcMar>
              <w:top w:w="55" w:type="dxa"/>
              <w:left w:w="55" w:type="dxa"/>
              <w:bottom w:w="55" w:type="dxa"/>
              <w:right w:w="55" w:type="dxa"/>
            </w:tcMar>
          </w:tcPr>
          <w:p>
            <w:pPr>
              <w:pStyle w:val="Compact"/>
              <w:jc w:val="left"/>
            </w:pPr>
            <w:r>
              <w:rPr>
                <w:rFonts w:ascii="Times New Roman" w:hAnsi="Times New Roman" w:eastAsia="Times New Roman"/>
                <w:b w:val="0"/>
                <w:sz w:val="19"/>
              </w:rPr>
              <w:t>SRA xác định authority theo nhóm thuộc tính, giữ provenance/phiên bản, chuẩn hóa trước khi hợp nhất và trao đổi qua hạ tầng chia sẻ/điều phối (Hình 3, 5; Mục 5–6).</w:t>
            </w:r>
          </w:p>
        </w:tc>
      </w:tr>
      <w:tr>
        <w:trPr>
          <w:cantSplit/>
        </w:trPr>
        <w:tc>
          <w:tcPr>
            <w:tcW w:type="dxa" w:w="1701"/>
            <w:vAlign w:val="top"/>
            <w:tcMar>
              <w:top w:w="55" w:type="dxa"/>
              <w:left w:w="55" w:type="dxa"/>
              <w:bottom w:w="55" w:type="dxa"/>
              <w:right w:w="55" w:type="dxa"/>
            </w:tcMar>
          </w:tcPr>
          <w:p>
            <w:pPr>
              <w:pStyle w:val="Compact"/>
              <w:jc w:val="left"/>
            </w:pPr>
            <w:r>
              <w:rPr>
                <w:rFonts w:ascii="Times New Roman" w:hAnsi="Times New Roman" w:eastAsia="Times New Roman"/>
                <w:b w:val="0"/>
                <w:sz w:val="19"/>
              </w:rPr>
              <w:t>QĐ 1973/QĐ-BKHCN, Mục I.1–2, II.1(b), III.1.4, III.3.3 [11]</w:t>
            </w:r>
          </w:p>
        </w:tc>
        <w:tc>
          <w:tcPr>
            <w:tcW w:type="dxa" w:w="2098"/>
            <w:vAlign w:val="top"/>
            <w:tcMar>
              <w:top w:w="55" w:type="dxa"/>
              <w:left w:w="55" w:type="dxa"/>
              <w:bottom w:w="55" w:type="dxa"/>
              <w:right w:w="55" w:type="dxa"/>
            </w:tcMar>
          </w:tcPr>
          <w:p>
            <w:pPr>
              <w:pStyle w:val="Compact"/>
              <w:jc w:val="left"/>
            </w:pPr>
            <w:r>
              <w:rPr>
                <w:rFonts w:ascii="Times New Roman" w:hAnsi="Times New Roman" w:eastAsia="Times New Roman"/>
                <w:b w:val="0"/>
                <w:sz w:val="19"/>
              </w:rPr>
              <w:t>Khung dữ liệu Bộ hướng tới dữ liệu thống nhất, chuẩn hóa, đồng bộ và liên thông; dữ liệu tổ chức/doanh nghiệp lấy từ nguồn quốc gia; lớp tích hợp của Bộ gồm các vai trò LGSP/LDOP, API Gateway, Agent Node.</w:t>
            </w:r>
          </w:p>
        </w:tc>
        <w:tc>
          <w:tcPr>
            <w:tcW w:type="dxa" w:w="2438"/>
            <w:vAlign w:val="top"/>
            <w:tcMar>
              <w:top w:w="55" w:type="dxa"/>
              <w:left w:w="55" w:type="dxa"/>
              <w:bottom w:w="55" w:type="dxa"/>
              <w:right w:w="55" w:type="dxa"/>
            </w:tcMar>
          </w:tcPr>
          <w:p>
            <w:pPr>
              <w:pStyle w:val="Compact"/>
              <w:jc w:val="left"/>
            </w:pPr>
            <w:r>
              <w:rPr>
                <w:rFonts w:ascii="Times New Roman" w:hAnsi="Times New Roman" w:eastAsia="Times New Roman"/>
                <w:b w:val="0"/>
                <w:sz w:val="19"/>
              </w:rPr>
              <w:t>Nền tảng phải thu nhận dữ liệu từ quốc gia, địa phương và nguồn chuyên ngành rồi chuẩn hóa/đối soát trước khi tạo ảnh dữ liệu dùng cho quản trị, nhưng không được tạo master định danh doanh nghiệp song song.</w:t>
            </w:r>
          </w:p>
        </w:tc>
        <w:tc>
          <w:tcPr>
            <w:tcW w:type="dxa" w:w="2778"/>
            <w:vAlign w:val="top"/>
            <w:tcMar>
              <w:top w:w="55" w:type="dxa"/>
              <w:left w:w="55" w:type="dxa"/>
              <w:bottom w:w="55" w:type="dxa"/>
              <w:right w:w="55" w:type="dxa"/>
            </w:tcMar>
          </w:tcPr>
          <w:p>
            <w:pPr>
              <w:pStyle w:val="Compact"/>
              <w:jc w:val="left"/>
            </w:pPr>
            <w:r>
              <w:rPr>
                <w:rFonts w:ascii="Times New Roman" w:hAnsi="Times New Roman" w:eastAsia="Times New Roman"/>
                <w:b w:val="0"/>
                <w:sz w:val="19"/>
              </w:rPr>
              <w:t>Hình 5 tổ chức chuỗi tiếp nhận → kiểm tra/chuẩn hóa → đối soát/provenance → dữ liệu nghiệp vụ/ảnh đọc; cổng tích hợp thích nghi với lớp chia sẻ của Bộ. Định danh pháp lý tiếp tục tham chiếu nguồn quốc gia.</w:t>
            </w:r>
          </w:p>
        </w:tc>
      </w:tr>
      <w:tr>
        <w:trPr>
          <w:cantSplit/>
        </w:trPr>
        <w:tc>
          <w:tcPr>
            <w:tcW w:type="dxa" w:w="1701"/>
            <w:vAlign w:val="top"/>
            <w:tcMar>
              <w:top w:w="55" w:type="dxa"/>
              <w:left w:w="55" w:type="dxa"/>
              <w:bottom w:w="55" w:type="dxa"/>
              <w:right w:w="55" w:type="dxa"/>
            </w:tcMar>
          </w:tcPr>
          <w:p>
            <w:pPr>
              <w:pStyle w:val="Compact"/>
              <w:jc w:val="left"/>
            </w:pPr>
            <w:r>
              <w:rPr>
                <w:rFonts w:ascii="Times New Roman" w:hAnsi="Times New Roman" w:eastAsia="Times New Roman"/>
                <w:b w:val="0"/>
                <w:sz w:val="19"/>
              </w:rPr>
              <w:t>NĐ 268/2025/NĐ-CP, Điều 48; khoản 2 Điều 66 [1]</w:t>
            </w:r>
          </w:p>
        </w:tc>
        <w:tc>
          <w:tcPr>
            <w:tcW w:type="dxa" w:w="2098"/>
            <w:vAlign w:val="top"/>
            <w:tcMar>
              <w:top w:w="55" w:type="dxa"/>
              <w:left w:w="55" w:type="dxa"/>
              <w:bottom w:w="55" w:type="dxa"/>
              <w:right w:w="55" w:type="dxa"/>
            </w:tcMar>
          </w:tcPr>
          <w:p>
            <w:pPr>
              <w:pStyle w:val="Compact"/>
              <w:jc w:val="left"/>
            </w:pPr>
            <w:r>
              <w:rPr>
                <w:rFonts w:ascii="Times New Roman" w:hAnsi="Times New Roman" w:eastAsia="Times New Roman"/>
                <w:b w:val="0"/>
                <w:sz w:val="19"/>
              </w:rPr>
              <w:t>Thẩm quyền công nhận/chứng nhận chủ yếu ở cấp tỉnh nhưng có nghĩa vụ cập nhật, thông báo và tổng hợp liên cấp với các mốc thời gian luật định.</w:t>
            </w:r>
          </w:p>
        </w:tc>
        <w:tc>
          <w:tcPr>
            <w:tcW w:type="dxa" w:w="2438"/>
            <w:vAlign w:val="top"/>
            <w:tcMar>
              <w:top w:w="55" w:type="dxa"/>
              <w:left w:w="55" w:type="dxa"/>
              <w:bottom w:w="55" w:type="dxa"/>
              <w:right w:w="55" w:type="dxa"/>
            </w:tcMar>
          </w:tcPr>
          <w:p>
            <w:pPr>
              <w:pStyle w:val="Compact"/>
              <w:jc w:val="left"/>
            </w:pPr>
            <w:r>
              <w:rPr>
                <w:rFonts w:ascii="Times New Roman" w:hAnsi="Times New Roman" w:eastAsia="Times New Roman"/>
                <w:b w:val="0"/>
                <w:sz w:val="19"/>
              </w:rPr>
              <w:t>Cần vừa giữ quyền quyết định và ghi trạng thái tại cơ quan có thẩm quyền, vừa tạo ảnh dữ liệu trung ương đủ mới để tổng hợp/giám sát.</w:t>
            </w:r>
          </w:p>
        </w:tc>
        <w:tc>
          <w:tcPr>
            <w:tcW w:type="dxa" w:w="2778"/>
            <w:vAlign w:val="top"/>
            <w:tcMar>
              <w:top w:w="55" w:type="dxa"/>
              <w:left w:w="55" w:type="dxa"/>
              <w:bottom w:w="55" w:type="dxa"/>
              <w:right w:w="55" w:type="dxa"/>
            </w:tcMar>
          </w:tcPr>
          <w:p>
            <w:pPr>
              <w:pStyle w:val="Compact"/>
              <w:jc w:val="left"/>
            </w:pPr>
            <w:r>
              <w:rPr>
                <w:rFonts w:ascii="Times New Roman" w:hAnsi="Times New Roman" w:eastAsia="Times New Roman"/>
                <w:b w:val="0"/>
                <w:sz w:val="19"/>
              </w:rPr>
              <w:t>Quyền ghi bám phạm vi và thời gian hiệu lực; trung ương giữ mô hình đọc/tổng hợp có provenance; trao đổi giữ bằng chứng gửi–nhận và không biến thời hạn 15 ngày thành API SLA (Mục 5.2, 6.2; S9).</w:t>
            </w:r>
          </w:p>
        </w:tc>
      </w:tr>
      <w:tr>
        <w:trPr>
          <w:cantSplit/>
        </w:trPr>
        <w:tc>
          <w:tcPr>
            <w:tcW w:type="dxa" w:w="1701"/>
            <w:vAlign w:val="top"/>
            <w:tcMar>
              <w:top w:w="55" w:type="dxa"/>
              <w:left w:w="55" w:type="dxa"/>
              <w:bottom w:w="55" w:type="dxa"/>
              <w:right w:w="55" w:type="dxa"/>
            </w:tcMar>
          </w:tcPr>
          <w:p>
            <w:pPr>
              <w:pStyle w:val="Compact"/>
              <w:jc w:val="left"/>
            </w:pPr>
            <w:r>
              <w:rPr>
                <w:rFonts w:ascii="Times New Roman" w:hAnsi="Times New Roman" w:eastAsia="Times New Roman"/>
                <w:b w:val="0"/>
                <w:sz w:val="19"/>
              </w:rPr>
              <w:t>NĐ 69 [23]; Luật BV dữ liệu cá nhân [25]; NĐ 356 [26]</w:t>
            </w:r>
          </w:p>
        </w:tc>
        <w:tc>
          <w:tcPr>
            <w:tcW w:type="dxa" w:w="2098"/>
            <w:vAlign w:val="top"/>
            <w:tcMar>
              <w:top w:w="55" w:type="dxa"/>
              <w:left w:w="55" w:type="dxa"/>
              <w:bottom w:w="55" w:type="dxa"/>
              <w:right w:w="55" w:type="dxa"/>
            </w:tcMar>
          </w:tcPr>
          <w:p>
            <w:pPr>
              <w:pStyle w:val="Compact"/>
              <w:jc w:val="left"/>
            </w:pPr>
            <w:r>
              <w:rPr>
                <w:rFonts w:ascii="Times New Roman" w:hAnsi="Times New Roman" w:eastAsia="Times New Roman"/>
                <w:b w:val="0"/>
                <w:sz w:val="19"/>
              </w:rPr>
              <w:t>Định danh/xác thực, kiểm soát truy cập, bảo vệ dữ liệu cá nhân và khả năng truy vết phải được duy trì trong kết nối và khai thác dữ liệu.</w:t>
            </w:r>
          </w:p>
        </w:tc>
        <w:tc>
          <w:tcPr>
            <w:tcW w:type="dxa" w:w="2438"/>
            <w:vAlign w:val="top"/>
            <w:tcMar>
              <w:top w:w="55" w:type="dxa"/>
              <w:left w:w="55" w:type="dxa"/>
              <w:bottom w:w="55" w:type="dxa"/>
              <w:right w:w="55" w:type="dxa"/>
            </w:tcMar>
          </w:tcPr>
          <w:p>
            <w:pPr>
              <w:pStyle w:val="Compact"/>
              <w:jc w:val="left"/>
            </w:pPr>
            <w:r>
              <w:rPr>
                <w:rFonts w:ascii="Times New Roman" w:hAnsi="Times New Roman" w:eastAsia="Times New Roman"/>
                <w:b w:val="0"/>
                <w:sz w:val="19"/>
              </w:rPr>
              <w:t>Dữ liệu đến từ nhiều nguồn và nhiều cấp nên quyền truy cập, trường được chia sẻ và bằng chứng xử lý phải được kiểm soát xuyên suốt chuỗi thu thập–đồng bộ.</w:t>
            </w:r>
          </w:p>
        </w:tc>
        <w:tc>
          <w:tcPr>
            <w:tcW w:type="dxa" w:w="2778"/>
            <w:vAlign w:val="top"/>
            <w:tcMar>
              <w:top w:w="55" w:type="dxa"/>
              <w:left w:w="55" w:type="dxa"/>
              <w:bottom w:w="55" w:type="dxa"/>
              <w:right w:w="55" w:type="dxa"/>
            </w:tcMar>
          </w:tcPr>
          <w:p>
            <w:pPr>
              <w:pStyle w:val="Compact"/>
              <w:jc w:val="left"/>
            </w:pPr>
            <w:r>
              <w:rPr>
                <w:rFonts w:ascii="Times New Roman" w:hAnsi="Times New Roman" w:eastAsia="Times New Roman"/>
                <w:b w:val="0"/>
                <w:sz w:val="19"/>
              </w:rPr>
              <w:t>SRA tách xác thực khỏi phân quyền nghiệp vụ, giới hạn trường trao đổi theo mục đích, giữ provenance/version/audit evidence và tách đặc quyền tỉnh–trung ương (Mục 6.4; tài liệu bổ trợ).</w:t>
            </w:r>
          </w:p>
        </w:tc>
      </w:tr>
    </w:tbl>
    <w:p>
      <w:pPr>
        <w:pStyle w:val="BodyText"/>
        <w:jc w:val="both"/>
      </w:pPr>
      <w:r>
        <w:rPr>
          <w:rFonts w:ascii="Times New Roman" w:hAnsi="Times New Roman" w:eastAsia="Times New Roman"/>
          <w:sz w:val="26"/>
        </w:rPr>
        <w:t>Đối sánh cho thấy trọng tâm thực hiện không nằm ở việc xây thêm một CSDL độc lập mà ở việc tổ chức đúng nguồn, chuẩn hóa dữ liệu và sử dụng các biên liên thông hiện hữu. Những lựa chọn về sản phẩm CSDL, công cụ ETL/CDC, giao thức, cấu hình bảo mật, chỉ tiêu hiệu năng và bằng chứng kết nối thực tế vẫn thuộc giai đoạn hiện thực hóa/kiểm thử. Các nguồn dự thảo chỉ tiếp tục được dùng như tín hiệu chẩn đoán, không được đưa vào Bảng 6 như nghĩa vụ bắt buộc.</w:t>
      </w:r>
    </w:p>
    <w:bookmarkEnd w:id="61"/>
    <w:bookmarkStart w:id="62" w:name="trade-off-p-dist-và-khả-năng-khái-quát"/>
    <w:p>
      <w:pPr>
        <w:pStyle w:val="Heading2"/>
        <w:keepNext/>
        <w:keepLines w:val="0"/>
        <w:widowControl/>
        <w:spacing w:before="60" w:after="60" w:line="288" w:lineRule="auto"/>
        <w:jc w:val="left"/>
      </w:pPr>
      <w:r>
        <w:rPr>
          <w:rFonts w:ascii="Times New Roman" w:hAnsi="Times New Roman" w:eastAsia="Times New Roman"/>
          <w:b/>
          <w:sz w:val="26"/>
        </w:rPr>
        <w:t>8.3. Trade-off của profile đánh giá P-DIST</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Kết quả kịch bản không cho thấy P-DIST ưu việt hơn kiến trúc tập trung. P-DIST hỗ trợ biên vận hành địa phương và cô lập một số lỗi, nhưng làm tăng yêu cầu phối hợp phiên bản, tổng hợp toàn quốc và chuyển quyền ghi; phương án tập trung thuận lợi hơn cho phát hành thay đổi và tạo ảnh đọc toàn quốc. Vì vậy, P-DIST chỉ là profile đánh giá dùng để kiểm tra xem các bất biến về thẩm quyền, provenance, chuẩn hóa và liên thông có được bảo toàn dưới phân tán hay không, không phải khuyến nghị mặc định “mỗi tỉnh một kho vật lý”.</w:t>
      </w:r>
    </w:p>
    <w:p>
      <w:pPr>
        <w:pStyle w:val="BodyText"/>
        <w:keepNext w:val="0"/>
        <w:keepLines w:val="0"/>
        <w:widowControl/>
        <w:spacing w:before="60" w:after="60" w:line="288" w:lineRule="auto"/>
        <w:ind w:firstLine="720"/>
        <w:jc w:val="both"/>
      </w:pPr>
      <w:r>
        <w:rPr>
          <w:rFonts w:ascii="Times New Roman" w:hAnsi="Times New Roman" w:eastAsia="Times New Roman"/>
          <w:sz w:val="26"/>
        </w:rPr>
        <w:t>Hai phát hiện S9–S10 trực tiếp hoàn thiện SRA cho chính bài toán này. S9 cho thấy dữ liệu chuyên ngành không thể chỉ gắn quyền ghi tĩnh theo địa bàn khi phạm vi quản lý thay đổi; S10 cho thấy cơ chế đồng bộ/liên thông phải chịu được giai đoạn các tỉnh vận hành khác phiên bản. B1-R vì thế bổ sung chuyển quyền theo thời gian và quản trị tương thích ở mức kiến trúc, trong khi chi tiết hiện thực hóa vẫn phải được kiểm chứng bằng nguyên mẫu.</w:t>
      </w:r>
    </w:p>
    <w:p>
      <w:pPr>
        <w:pStyle w:val="BodyText"/>
        <w:keepNext w:val="0"/>
        <w:keepLines w:val="0"/>
        <w:widowControl/>
        <w:spacing w:before="60" w:after="60" w:line="288" w:lineRule="auto"/>
        <w:ind w:firstLine="720"/>
        <w:jc w:val="both"/>
      </w:pPr>
      <w:r>
        <w:rPr>
          <w:rFonts w:ascii="Times New Roman" w:hAnsi="Times New Roman" w:eastAsia="Times New Roman"/>
          <w:sz w:val="26"/>
        </w:rPr>
        <w:t>Một yêu cầu khác của miền DN KH&amp;CN/DN KNST là tách biên thẩm quyền khỏi biên quan hệ hệ sinh thái. Các nghiên cứu cho thấy quan hệ khởi nghiệp và đầu tư có thể vượt địa giới hành chính [13, pp. 28, 32]; [14, pp. 1483-1484]. Do đó, địa bàn vẫn được dùng để xác định thẩm quyền và phạm vi xử lý hồ sơ, nhưng quan hệ doanh nghiệp–quỹ–chuyên gia–viện/trường phải có thể được thu thập và liên kết xuyên tỉnh với định danh, nguồn và khoảng hiệu lực rõ ràng. Yêu cầu này thuộc trực tiếp miền dữ liệu hệ sinh thái mà nền tảng hướng tới.</w:t>
      </w:r>
    </w:p>
    <w:bookmarkEnd w:id="62"/>
    <w:bookmarkStart w:id="63" w:name="giới-hạn-nghiên-cứu"/>
    <w:p>
      <w:pPr>
        <w:pStyle w:val="Heading2"/>
        <w:keepNext/>
        <w:keepLines w:val="0"/>
        <w:widowControl/>
        <w:spacing w:before="60" w:after="60" w:line="288" w:lineRule="auto"/>
        <w:jc w:val="left"/>
      </w:pPr>
      <w:r>
        <w:rPr>
          <w:rFonts w:ascii="Times New Roman" w:hAnsi="Times New Roman"/>
          <w:sz w:val="26"/>
        </w:rPr>
        <w:t>8.4. Giới hạn nghiên cứu</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Bằng chứng hiện tại dừng ở</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scenario-based architecture verification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trước triển khai. Bộ mười kịch bản đã phát hiện khoảng trống thiết kế và dẫn tới B1-R, nhưng không chứng minh bộ kịch bản là đầy đủ; việc xây dựng và chấm kịch bản vẫn do nhóm tác giả thực hiện. Các nguồn dự thảo chỉ có vai trò chẩn đoán và không tạo nghĩa vụ bắt buộc cho SRA.</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Nghiên cứu chưa cung cấp bằng chứng thực nghiệm về hiệu năng, tính sẵn sàng, an toàn, phục hồi hoặc liên thông vận hành. Bước tiếp theo vì vậy là xây dựng nguyên mẫu và kiểm thử lặp lại đối với chuyển quyền ghi, nâng cấp lệch phiên bản, gián đoạn kết nối, trao đổi qua hạ tầng dùng chung và các thuộc tính chất lượng đo được. Chỉ khi đó mới có thể xác nhận các cơ chế L2 chuyển thành hành vi triển khai đúng với chi phí vận hành chấp nhận được.</w:t>
      </w:r>
    </w:p>
    <w:bookmarkEnd w:id="63"/>
    <w:bookmarkEnd w:id="64"/>
    <w:bookmarkStart w:id="65" w:name="kết-luận"/>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9. Kết luận</w:t>
      </w:r>
    </w:p>
    <w:p>
      <w:pPr>
        <w:pStyle w:val="FirstParagraph"/>
        <w:keepNext w:val="0"/>
        <w:keepLines w:val="0"/>
        <w:widowControl/>
        <w:spacing w:before="60" w:after="60" w:line="288" w:lineRule="auto"/>
        <w:ind w:firstLine="720"/>
        <w:jc w:val="both"/>
      </w:pPr>
      <w:r>
        <w:rPr>
          <w:rFonts w:ascii="Times New Roman" w:hAnsi="Times New Roman" w:eastAsia="Times New Roman"/>
          <w:sz w:val="26"/>
        </w:rPr>
        <w:t>Bài báo đề xuất một SRA tỉnh–trung ương cho nền tảng quản lý DN KH&amp;CN và DN KNST nhằm xử lý một khoảng trống thực tế: dữ liệu phục vụ quản lý và kết nối hệ sinh thái hình thành ở nhiều đầu mối nhưng cần được thu thập, chuẩn hóa, đối soát, đồng bộ và tổng hợp trong khi thẩm quyền nghiệp vụ vẫn phân bố theo cấp quản lý. Kiến trúc tổ chức rõ biên với hệ thống TTHC/DVC, CSDL quốc gia về doanh nghiệp và các nguồn chuyên ngành; nền tảng không thay thế các hệ thống này mà bổ sung lớp quản trị dữ liệu chuyên ngành, provenance, trạng thái nghiệp vụ và liên kết hệ sinh thái. Đóng góp chính gồm SRA đa góc nhìn; mô hình thẩm quyền theo nhóm thuộc tính/thời gian; chuỗi dữ liệu từ tiếp nhận–chuẩn hóa tới đồng bộ/tổng hợp; ranh giới liên thông; và truy vết từ căn cứ nguồn tới quyết định kiến trúc.</w:t>
      </w:r>
    </w:p>
    <w:p>
      <w:pPr>
        <w:pStyle w:val="BodyText"/>
        <w:keepNext w:val="0"/>
        <w:keepLines w:val="0"/>
        <w:widowControl/>
        <w:spacing w:before="60" w:after="60" w:line="288" w:lineRule="auto"/>
        <w:ind w:firstLine="720"/>
        <w:jc w:val="both"/>
      </w:pPr>
      <w:r>
        <w:rPr>
          <w:rFonts w:ascii="Times New Roman" w:hAnsi="Times New Roman" w:eastAsia="Times New Roman"/>
          <w:sz w:val="26"/>
        </w:rPr>
        <w:t>Mười kịch bản cho thấy ứng viên ban đầu còn hai khoảng trống quan trọng: chuyển quyền ghi phải được biểu diễn theo thời gian và kiến trúc phải chịu được giai đoạn các đơn vị vận hành khác phiên bản. Sau khi hai vấn đề này được hấp thụ vào B1-R, hậu kiểm bằng cùng rubric cho 2 kịch bản đáp ứng trực tiếp, 8 kịch bản đáp ứng có điều kiện và không còn rủi ro kiến trúc chưa được hấp thụ ở mức L2 trong chính bộ kịch bản đã chọn; đây là hậu kiểm tính nhất quán sau tinh chỉnh, không phải xác nhận độc lập. Kết quả là scenario-based architecture verification trước triển khai. Bước tiếp theo là xây dựng nguyên mẫu và kiểm thử lặp lại đối với thu thập/chuẩn hóa, đồng bộ/liên thông, chuyển quyền ghi, nâng cấp lệch phiên bản, phục hồi, an toàn và các thuộc tính chất lượng đo được.</w:t>
      </w:r>
    </w:p>
    <w:bookmarkEnd w:id="65"/>
    <w:bookmarkStart w:id="81" w:name="tài-liệu-tham-khảo"/>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TÀI LIỆU THAM KHẢO</w:t>
      </w:r>
    </w:p>
    <w:p>
      <w:pPr>
        <w:pStyle w:val="FirstParagraph"/>
        <w:keepNext w:val="0"/>
        <w:keepLines w:val="0"/>
        <w:widowControl/>
        <w:spacing w:before="60" w:after="60" w:line="276" w:lineRule="auto"/>
        <w:ind w:firstLine="720"/>
        <w:jc w:val="left"/>
      </w:pPr>
      <w:r>
        <w:rPr>
          <w:rFonts w:ascii="Times New Roman" w:hAnsi="Times New Roman" w:eastAsia="Times New Roman" w:cs="Times New Roman"/>
          <w:sz w:val="26"/>
        </w:rPr>
        <w:t>[1] Government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Decree No. 268/2025/ND-CP Detailing and Guiding a Number of Articles of the Law on Science, Technology and Innovation Concerning Innovation, Science, Technology and Innovation Activities in Enterprises, Recognition of Innovation Centers and Innovative Startups, and Startup Ecosystem Infrastructure</w:t>
      </w:r>
      <w:r>
        <w:rPr>
          <w:rFonts w:ascii="Times New Roman" w:hAnsi="Times New Roman" w:eastAsia="Times New Roman" w:cs="Times New Roman"/>
          <w:sz w:val="26"/>
        </w:rPr>
        <w:t xml:space="preserve">, 69pp,</w:t>
      </w:r>
      <w:r>
        <w:rPr>
          <w:rFonts w:ascii="Times New Roman" w:hAnsi="Times New Roman" w:eastAsia="Times New Roman" w:cs="Times New Roman"/>
          <w:sz w:val="26"/>
        </w:rPr>
        <w:t xml:space="preserve"> </w:t>
      </w:r>
      <w:hyperlink r:id="rId66">
        <w:r>
          <w:rPr>
            <w:rFonts w:ascii="Times New Roman" w:hAnsi="Times New Roman" w:eastAsia="Times New Roman" w:cs="Times New Roman"/>
            <w:rStyle w:val="Hyperlink"/>
          </w:rPr>
          <w:t xml:space="preserve">https://vanban.chinhphu.vn/?classid=1&amp;docid=215663&amp;orggroupid=2&amp;pageid=27160</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 N.D. Quang, N.H. Cuong (2026),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Digital governance platform for the innovative startup and science - technology enterprise ecosystem: Insights from Decree No. 268/2025/ND-CP and Korean’s experience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Journal of Science and Technology Policy and Management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15(2)</w:t>
      </w:r>
      <w:r>
        <w:rPr>
          <w:rFonts w:ascii="Times New Roman" w:hAnsi="Times New Roman" w:eastAsia="Times New Roman" w:cs="Times New Roman"/>
          <w:sz w:val="26"/>
        </w:rPr>
        <w:t xml:space="preserve">, pp.45–68,</w:t>
      </w:r>
      <w:r>
        <w:rPr>
          <w:rFonts w:ascii="Times New Roman" w:hAnsi="Times New Roman" w:eastAsia="Times New Roman" w:cs="Times New Roman"/>
          <w:sz w:val="26"/>
        </w:rPr>
        <w:t xml:space="preserve"> </w:t>
      </w:r>
      <w:hyperlink r:id="rId67">
        <w:r>
          <w:rPr>
            <w:rFonts w:ascii="Times New Roman" w:hAnsi="Times New Roman" w:eastAsia="Times New Roman" w:cs="Times New Roman"/>
            <w:rStyle w:val="Hyperlink"/>
          </w:rPr>
          <w:t xml:space="preserve">https://vietnamstijournal.net/index.php/JSTPM/article/view/534</w:t>
        </w:r>
      </w:hyperlink>
      <w:r>
        <w:rPr>
          <w:rFonts w:ascii="Times New Roman" w:hAnsi="Times New Roman" w:eastAsia="Times New Roman" w:cs="Times New Roman"/>
          <w:sz w:val="26"/>
        </w:rPr>
        <w:t xml:space="preserve">, accessed 10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 S. Angelov, P. Grefen, D. Greefhorst (2012),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A framework for analysis and design of software reference architectures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Information and Software Technology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54(4)</w:t>
      </w:r>
      <w:r>
        <w:rPr>
          <w:rFonts w:ascii="Times New Roman" w:hAnsi="Times New Roman" w:eastAsia="Times New Roman" w:cs="Times New Roman"/>
          <w:sz w:val="26"/>
        </w:rPr>
        <w:t xml:space="preserve">, pp.417–431, DOI: 10.1016/j.infsof.2011.11.009.</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[4] ISO/IEC/IEEE (2022),</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ISO/IEC/IEEE 42010:2022 Software, Systems and Enterprise—Architecture Description</w:t>
      </w:r>
      <w:r>
        <w:rPr>
          <w:rFonts w:ascii="Times New Roman" w:hAnsi="Times New Roman" w:eastAsia="Times New Roman" w:cs="Times New Roman"/>
          <w:sz w:val="26"/>
        </w:rPr>
        <w:t xml:space="preserve">, 2nd ed., International Organization for Standardization, 62pp,</w:t>
      </w:r>
      <w:r>
        <w:rPr>
          <w:rFonts w:ascii="Times New Roman" w:hAnsi="Times New Roman" w:eastAsia="Times New Roman" w:cs="Times New Roman"/>
          <w:sz w:val="26"/>
        </w:rPr>
        <w:t xml:space="preserve"> </w:t>
      </w:r>
      <w:hyperlink r:id="rId68">
        <w:r>
          <w:rPr>
            <w:rFonts w:ascii="Times New Roman" w:hAnsi="Times New Roman" w:eastAsia="Times New Roman" w:cs="Times New Roman"/>
            <w:rStyle w:val="Hyperlink"/>
          </w:rPr>
          <w:t xml:space="preserve">https://www.iso.org/standard/74393.html</w:t>
        </w:r>
      </w:hyperlink>
      <w:r>
        <w:rPr>
          <w:rFonts w:ascii="Times New Roman" w:hAnsi="Times New Roman" w:eastAsia="Times New Roman" w:cs="Times New Roman"/>
          <w:sz w:val="26"/>
        </w:rPr>
        <w:t xml:space="preserve">, accessed 9 August 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[5] K. Manikas, K.M. Hansen (2013),</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Software ecosystems—A systematic literature review</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Journal of Systems and Software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86(5)</w:t>
      </w:r>
      <w:r>
        <w:rPr>
          <w:rFonts w:ascii="Times New Roman" w:hAnsi="Times New Roman" w:eastAsia="Times New Roman" w:cs="Times New Roman"/>
          <w:sz w:val="26"/>
        </w:rPr>
        <w:t xml:space="preserve">, pp.1294–1306, DOI: 10.1016/j.jss.2012.12.026.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[6] P. Wang (2021),</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Connecting the parts with the whole: Toward an information ecology theory of digital innovation ecosystems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MIS Quarterly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45(1)</w:t>
      </w:r>
      <w:r>
        <w:rPr>
          <w:rFonts w:ascii="Times New Roman" w:hAnsi="Times New Roman" w:eastAsia="Times New Roman" w:cs="Times New Roman"/>
          <w:sz w:val="26"/>
        </w:rPr>
        <w:t xml:space="preserve">, pp.397–422, DOI: 10.25300/MISQ/2021/15864.</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[7] S. Winkler, J. von Pilgrim (2010),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A survey of traceability in requirements engineering and model-driven development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Software &amp; Systems Modeling</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9</w:t>
      </w:r>
      <w:r>
        <w:rPr>
          <w:rFonts w:ascii="Times New Roman" w:hAnsi="Times New Roman" w:eastAsia="Times New Roman" w:cs="Times New Roman"/>
          <w:sz w:val="26"/>
        </w:rPr>
        <w:t xml:space="preserve">, pp.529–565, DOI: 10.1007/s10270-009-0145-0.</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[8] O. Kosenkov, P. Elahidoost, T. Gorschek, et al. (2025),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Systematic mapping study on requirements engineering for regulatory compliance of software systems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Information and Software Technology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178</w:t>
      </w:r>
      <w:r>
        <w:rPr>
          <w:rFonts w:ascii="Times New Roman" w:hAnsi="Times New Roman" w:eastAsia="Times New Roman" w:cs="Times New Roman"/>
          <w:sz w:val="26"/>
        </w:rPr>
        <w:t xml:space="preserve">, Article 107622, DOI: 10.1016/j.infsof.2024.107622.</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[9] Ministry of Science and Technology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Decision No. 3090/QD-BKHCN Promulgating the National Overall Digital Architecture Framework</w:t>
      </w:r>
      <w:r>
        <w:rPr>
          <w:rFonts w:ascii="Times New Roman" w:hAnsi="Times New Roman" w:eastAsia="Times New Roman" w:cs="Times New Roman"/>
          <w:sz w:val="26"/>
        </w:rPr>
        <w:t xml:space="preserve">, issued 8 October 2025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[10] Prime Minister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Decision No. 2439/QD-TTg Promulgating the National Data Architecture Framework, National Data Governance and Management Framework, and Common Data Dictionary (Version 1.0)</w:t>
      </w:r>
      <w:r>
        <w:rPr>
          <w:rFonts w:ascii="Times New Roman" w:hAnsi="Times New Roman" w:eastAsia="Times New Roman" w:cs="Times New Roman"/>
          <w:sz w:val="26"/>
        </w:rPr>
        <w:t xml:space="preserve">, issued 4 November 2025,</w:t>
      </w:r>
      <w:r>
        <w:rPr>
          <w:rFonts w:ascii="Times New Roman" w:hAnsi="Times New Roman" w:eastAsia="Times New Roman" w:cs="Times New Roman"/>
          <w:sz w:val="26"/>
        </w:rPr>
        <w:t xml:space="preserve"> </w:t>
      </w:r>
      <w:hyperlink r:id="rId69">
        <w:r>
          <w:rPr>
            <w:rFonts w:ascii="Times New Roman" w:hAnsi="Times New Roman" w:eastAsia="Times New Roman" w:cs="Times New Roman"/>
            <w:rStyle w:val="Hyperlink"/>
          </w:rPr>
          <w:t xml:space="preserve">https://vanban.chinhphu.vn/?classid=0&amp;docid=215785&amp;pageid=27160</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[11] Ministry of Science and Technology of Vietnam (2026),</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Decision No. 1973/QD-BKHCN Promulgating the Data Architecture Framework and Data Governance and Management Framework of the Ministry of Science and Technology (Version 1.0)</w:t>
      </w:r>
      <w:r>
        <w:rPr>
          <w:rFonts w:ascii="Times New Roman" w:hAnsi="Times New Roman" w:eastAsia="Times New Roman" w:cs="Times New Roman"/>
          <w:sz w:val="26"/>
        </w:rPr>
        <w:t xml:space="preserve">, issued 31 March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[12] European Commission (2017),</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New European Interoperability Framework: Promoting Seamless Services and Data Flows for European Public Administrations</w:t>
      </w:r>
      <w:r>
        <w:rPr>
          <w:rFonts w:ascii="Times New Roman" w:hAnsi="Times New Roman" w:eastAsia="Times New Roman" w:cs="Times New Roman"/>
          <w:sz w:val="26"/>
        </w:rPr>
        <w:t xml:space="preserve">, Publications Office of the European Union, 48pp, DOI: 10.2799/78681.</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[13] B. Fischer, D. Meissner, N. Vonortas, et al. (2022),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Spatial features of entrepreneurial ecosystems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Journal of Business Research</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147</w:t>
      </w:r>
      <w:r>
        <w:rPr>
          <w:rFonts w:ascii="Times New Roman" w:hAnsi="Times New Roman" w:eastAsia="Times New Roman" w:cs="Times New Roman"/>
          <w:sz w:val="26"/>
        </w:rPr>
        <w:t xml:space="preserve">, pp.27–36, DOI: 10.1016/j.jbusres.2022.04.018.</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[14] N.V. Noak, L. Christian (2025),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Exploring spatial network structures in entrepreneurial ecosystems: A network and clustering analysis of global venture funding flows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Small Business Economics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65</w:t>
      </w:r>
      <w:r>
        <w:rPr>
          <w:rFonts w:ascii="Times New Roman" w:hAnsi="Times New Roman" w:eastAsia="Times New Roman" w:cs="Times New Roman"/>
          <w:sz w:val="26"/>
        </w:rPr>
        <w:t xml:space="preserve">, pp.1483–1500, DOI: 10.1007/s11187-025-01029-y.</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[15] P. Brown, J.A. Estefan, K. Laskey, et al. (eds.) (2012),</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Reference Architecture Foundation for Service Oriented Architecture Version 1.0</w:t>
      </w:r>
      <w:r>
        <w:rPr>
          <w:rFonts w:ascii="Times New Roman" w:hAnsi="Times New Roman" w:eastAsia="Times New Roman" w:cs="Times New Roman"/>
          <w:sz w:val="26"/>
        </w:rPr>
        <w:t xml:space="preserve">, OASIS Committee Specification 01, 118pp,</w:t>
      </w:r>
      <w:r>
        <w:rPr>
          <w:rFonts w:ascii="Times New Roman" w:hAnsi="Times New Roman" w:eastAsia="Times New Roman" w:cs="Times New Roman"/>
          <w:sz w:val="26"/>
        </w:rPr>
        <w:t xml:space="preserve"> </w:t>
      </w:r>
      <w:hyperlink r:id="rId70">
        <w:r>
          <w:rPr>
            <w:rFonts w:ascii="Times New Roman" w:hAnsi="Times New Roman" w:eastAsia="Times New Roman" w:cs="Times New Roman"/>
            <w:rStyle w:val="Hyperlink"/>
          </w:rPr>
          <w:t xml:space="preserve">https://docs.oasis-open.org/soa-rm/soa-ra/v1.0/cs01/soa-ra-v1.0-cs01.pdf</w:t>
        </w:r>
      </w:hyperlink>
      <w:r>
        <w:rPr>
          <w:rFonts w:ascii="Times New Roman" w:hAnsi="Times New Roman" w:eastAsia="Times New Roman" w:cs="Times New Roman"/>
          <w:sz w:val="26"/>
        </w:rPr>
        <w:t xml:space="preserve">, accessed 9 August 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[16] J. Knodel, K. Manikas (2016),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Towards reference architectures as an enabler for software ecosystems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in</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Proceedings of the 10th European Conference on Software Architecture Workshops (ECSAW 2016)</w:t>
      </w:r>
      <w:r>
        <w:rPr>
          <w:rFonts w:ascii="Times New Roman" w:hAnsi="Times New Roman" w:eastAsia="Times New Roman" w:cs="Times New Roman"/>
          <w:sz w:val="26"/>
        </w:rPr>
        <w:t xml:space="preserve">, Article 26, Association for Computing Machinery, DOI: 10.1145/2993412.3003387.</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[17] J.W. Kruize, J. Wolfert, H. Scholten, et al. (2016),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A reference architecture for Farm Software Ecosystems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Computers and Electronics in Agriculture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125</w:t>
      </w:r>
      <w:r>
        <w:rPr>
          <w:rFonts w:ascii="Times New Roman" w:hAnsi="Times New Roman" w:eastAsia="Times New Roman" w:cs="Times New Roman"/>
          <w:sz w:val="26"/>
        </w:rPr>
        <w:t xml:space="preserve">, pp.12–28, DOI: 10.1016/j.compag.2016.04.011.</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[18] T.D. Breaux, M.W. Vail, A.I. Antón (2006),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Towards regulatory compliance: Extracting rights and obligations to align requirements with regulations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in</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14th IEEE International Requirements Engineering Conference (RE’06)</w:t>
      </w:r>
      <w:r>
        <w:rPr>
          <w:rFonts w:ascii="Times New Roman" w:hAnsi="Times New Roman" w:eastAsia="Times New Roman" w:cs="Times New Roman"/>
          <w:sz w:val="26"/>
        </w:rPr>
        <w:t xml:space="preserve">, pp.49–58, DOI: 10.1109/RE.2006.68.</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[19] B.P. Gallagher (2000),</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Using the Architecture Tradeoff Analysis Method to Evaluate a Reference Architecture: A Case Study</w:t>
      </w:r>
      <w:r>
        <w:rPr>
          <w:rFonts w:ascii="Times New Roman" w:hAnsi="Times New Roman" w:eastAsia="Times New Roman" w:cs="Times New Roman"/>
          <w:sz w:val="26"/>
        </w:rPr>
        <w:t xml:space="preserve">, Technical Note CMU/SEI-2000-TN-007, Software Engineering Institute, Carnegie Mellon University, 25pp,</w:t>
      </w:r>
      <w:r>
        <w:rPr>
          <w:rFonts w:ascii="Times New Roman" w:hAnsi="Times New Roman" w:eastAsia="Times New Roman" w:cs="Times New Roman"/>
          <w:sz w:val="26"/>
        </w:rPr>
        <w:t xml:space="preserve"> </w:t>
      </w:r>
      <w:hyperlink r:id="rId71">
        <w:r>
          <w:rPr>
            <w:rFonts w:ascii="Times New Roman" w:hAnsi="Times New Roman" w:eastAsia="Times New Roman" w:cs="Times New Roman"/>
            <w:rStyle w:val="Hyperlink"/>
          </w:rPr>
          <w:t xml:space="preserve">https://www.sei.cmu.edu/documents/1960/2000_004_001_13679.pdf</w:t>
        </w:r>
      </w:hyperlink>
      <w:r>
        <w:rPr>
          <w:rFonts w:ascii="Times New Roman" w:hAnsi="Times New Roman" w:eastAsia="Times New Roman" w:cs="Times New Roman"/>
          <w:sz w:val="26"/>
        </w:rPr>
        <w:t xml:space="preserve">, accessed 9 August 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[20] European Parliament, Council of the European Union (2024),</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Regulation (EU) 2024/903 of 13 March 2024 Laying Down Measures for a High Level of Public Sector Interoperability Across the Union (Interoperable Europe Act)</w:t>
      </w:r>
      <w:r>
        <w:rPr>
          <w:rFonts w:ascii="Times New Roman" w:hAnsi="Times New Roman" w:eastAsia="Times New Roman" w:cs="Times New Roman"/>
          <w:sz w:val="26"/>
        </w:rPr>
        <w:t xml:space="preserve">, Official Journal of the European Union, L series, 26pp,</w:t>
      </w:r>
      <w:r>
        <w:rPr>
          <w:rFonts w:ascii="Times New Roman" w:hAnsi="Times New Roman" w:eastAsia="Times New Roman" w:cs="Times New Roman"/>
          <w:sz w:val="26"/>
        </w:rPr>
        <w:t xml:space="preserve"> </w:t>
      </w:r>
      <w:hyperlink r:id="rId72">
        <w:r>
          <w:rPr>
            <w:rFonts w:ascii="Times New Roman" w:hAnsi="Times New Roman" w:eastAsia="Times New Roman" w:cs="Times New Roman"/>
            <w:rStyle w:val="Hyperlink"/>
          </w:rPr>
          <w:t xml:space="preserve">https://eur-lex.europa.eu/eli/reg/2024/903/oj</w:t>
        </w:r>
      </w:hyperlink>
      <w:r>
        <w:rPr>
          <w:rFonts w:ascii="Times New Roman" w:hAnsi="Times New Roman" w:eastAsia="Times New Roman" w:cs="Times New Roman"/>
          <w:sz w:val="26"/>
        </w:rPr>
        <w:t xml:space="preserve">, accessed 9 August 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[21] Ministry of Science and Technology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Decision No. 292/QD-BKHCN Promulgating the Vietnam Digital Government Architecture Framework, Version 4.0</w:t>
      </w:r>
      <w:r>
        <w:rPr>
          <w:rFonts w:ascii="Times New Roman" w:hAnsi="Times New Roman" w:eastAsia="Times New Roman" w:cs="Times New Roman"/>
          <w:sz w:val="26"/>
        </w:rPr>
        <w:t xml:space="preserve">, issued 25 March 2025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[22] Government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Decree No. 278/2025/ND-CP on Mandatory Data Connection and Sharing Among Agencies in the Political System</w:t>
      </w:r>
      <w:r>
        <w:rPr>
          <w:rFonts w:ascii="Times New Roman" w:hAnsi="Times New Roman" w:eastAsia="Times New Roman" w:cs="Times New Roman"/>
          <w:sz w:val="26"/>
        </w:rPr>
        <w:t xml:space="preserve">, issued 22 October 2025,</w:t>
      </w:r>
      <w:r>
        <w:rPr>
          <w:rFonts w:ascii="Times New Roman" w:hAnsi="Times New Roman" w:eastAsia="Times New Roman" w:cs="Times New Roman"/>
          <w:sz w:val="26"/>
        </w:rPr>
        <w:t xml:space="preserve"> </w:t>
      </w:r>
      <w:hyperlink r:id="rId73">
        <w:r>
          <w:rPr>
            <w:rFonts w:ascii="Times New Roman" w:hAnsi="Times New Roman" w:eastAsia="Times New Roman" w:cs="Times New Roman"/>
            <w:rStyle w:val="Hyperlink"/>
          </w:rPr>
          <w:t xml:space="preserve">https://vanban.chinhphu.vn/?docid=215682&amp;pageid=27160</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[23] Government of Vietnam (2024),</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Decree No. 69/2024/ND-CP on Electronic Identification and Authentication</w:t>
      </w:r>
      <w:r>
        <w:rPr>
          <w:rFonts w:ascii="Times New Roman" w:hAnsi="Times New Roman" w:eastAsia="Times New Roman" w:cs="Times New Roman"/>
          <w:sz w:val="26"/>
        </w:rPr>
        <w:t xml:space="preserve">, issued 25 June 2024,</w:t>
      </w:r>
      <w:r>
        <w:rPr>
          <w:rFonts w:ascii="Times New Roman" w:hAnsi="Times New Roman" w:eastAsia="Times New Roman" w:cs="Times New Roman"/>
          <w:sz w:val="26"/>
        </w:rPr>
        <w:t xml:space="preserve"> </w:t>
      </w:r>
      <w:hyperlink r:id="rId74">
        <w:r>
          <w:rPr>
            <w:rFonts w:ascii="Times New Roman" w:hAnsi="Times New Roman" w:eastAsia="Times New Roman" w:cs="Times New Roman"/>
            <w:rStyle w:val="Hyperlink"/>
          </w:rPr>
          <w:t xml:space="preserve">https://vanban.chinhphu.vn/?classid=1&amp;docid=210491&amp;pageid=27160</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[24] Government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Decree No. 169/2025/ND-CP on Science, Technology and Innovation Activities and Data Products and Services</w:t>
      </w:r>
      <w:r>
        <w:rPr>
          <w:rFonts w:ascii="Times New Roman" w:hAnsi="Times New Roman" w:eastAsia="Times New Roman" w:cs="Times New Roman"/>
          <w:sz w:val="26"/>
        </w:rPr>
        <w:t xml:space="preserve">, issued 30 June 2025,</w:t>
      </w:r>
      <w:r>
        <w:rPr>
          <w:rFonts w:ascii="Times New Roman" w:hAnsi="Times New Roman" w:eastAsia="Times New Roman" w:cs="Times New Roman"/>
          <w:sz w:val="26"/>
        </w:rPr>
        <w:t xml:space="preserve"> </w:t>
      </w:r>
      <w:hyperlink r:id="rId75">
        <w:r>
          <w:rPr>
            <w:rFonts w:ascii="Times New Roman" w:hAnsi="Times New Roman" w:eastAsia="Times New Roman" w:cs="Times New Roman"/>
            <w:rStyle w:val="Hyperlink"/>
          </w:rPr>
          <w:t xml:space="preserve">https://vanban.chinhphu.vn/?classid=0&amp;docid=214306&amp;pageid=27160</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[25] National Assembly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Law on Personal Data Protection No. 91/2025/QH15</w:t>
      </w:r>
      <w:r>
        <w:rPr>
          <w:rFonts w:ascii="Times New Roman" w:hAnsi="Times New Roman" w:eastAsia="Times New Roman" w:cs="Times New Roman"/>
          <w:sz w:val="26"/>
        </w:rPr>
        <w:t xml:space="preserve">, adopted 26 June 2025,</w:t>
      </w:r>
      <w:r>
        <w:rPr>
          <w:rFonts w:ascii="Times New Roman" w:hAnsi="Times New Roman" w:eastAsia="Times New Roman" w:cs="Times New Roman"/>
          <w:sz w:val="26"/>
        </w:rPr>
        <w:t xml:space="preserve"> </w:t>
      </w:r>
      <w:hyperlink r:id="rId76">
        <w:r>
          <w:rPr>
            <w:rFonts w:ascii="Times New Roman" w:hAnsi="Times New Roman" w:eastAsia="Times New Roman" w:cs="Times New Roman"/>
            <w:rStyle w:val="Hyperlink"/>
          </w:rPr>
          <w:t xml:space="preserve">https://vanban.chinhphu.vn/?classid=1&amp;docid=214590&amp;pageid=27160&amp;typegroup=</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[26] Government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Decree No. 356/2025/ND-CP Detailing a Number of Articles and Measures for Implementing the Law on Personal Data Protection</w:t>
      </w:r>
      <w:r>
        <w:rPr>
          <w:rFonts w:ascii="Times New Roman" w:hAnsi="Times New Roman" w:eastAsia="Times New Roman" w:cs="Times New Roman"/>
          <w:sz w:val="26"/>
        </w:rPr>
        <w:t xml:space="preserve">, issued 31 December 2025,</w:t>
      </w:r>
      <w:r>
        <w:rPr>
          <w:rFonts w:ascii="Times New Roman" w:hAnsi="Times New Roman" w:eastAsia="Times New Roman" w:cs="Times New Roman"/>
          <w:sz w:val="26"/>
        </w:rPr>
        <w:t xml:space="preserve"> </w:t>
      </w:r>
      <w:hyperlink r:id="rId77">
        <w:r>
          <w:rPr>
            <w:rFonts w:ascii="Times New Roman" w:hAnsi="Times New Roman" w:eastAsia="Times New Roman" w:cs="Times New Roman"/>
            <w:rStyle w:val="Hyperlink"/>
          </w:rPr>
          <w:t xml:space="preserve">https://vanban.chinhphu.vn/?classid=1&amp;docid=216387&amp;pageid=27160</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[27] National Assembly of Vietnam (2024),</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Data Law No. 60/2024/QH15</w:t>
      </w:r>
      <w:r>
        <w:rPr>
          <w:rFonts w:ascii="Times New Roman" w:hAnsi="Times New Roman" w:eastAsia="Times New Roman" w:cs="Times New Roman"/>
          <w:sz w:val="26"/>
        </w:rPr>
        <w:t xml:space="preserve">, adopted 30 November 2024,</w:t>
      </w:r>
      <w:r>
        <w:rPr>
          <w:rFonts w:ascii="Times New Roman" w:hAnsi="Times New Roman" w:eastAsia="Times New Roman" w:cs="Times New Roman"/>
          <w:sz w:val="26"/>
        </w:rPr>
        <w:t xml:space="preserve"> </w:t>
      </w:r>
      <w:hyperlink r:id="rId78">
        <w:r>
          <w:rPr>
            <w:rFonts w:ascii="Times New Roman" w:hAnsi="Times New Roman" w:eastAsia="Times New Roman" w:cs="Times New Roman"/>
            <w:rStyle w:val="Hyperlink"/>
          </w:rPr>
          <w:t xml:space="preserve">https://vanban.chinhphu.vn/?classid=1&amp;docid=212488&amp;pageid=27160&amp;typegroupid=3</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[28] A.R. Hevner, S.T. March, J. Park, et al. (2004),</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Design science in information systems research</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MIS Quarterly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28(1)</w:t>
      </w:r>
      <w:r>
        <w:rPr>
          <w:rFonts w:ascii="Times New Roman" w:hAnsi="Times New Roman" w:eastAsia="Times New Roman" w:cs="Times New Roman"/>
          <w:sz w:val="26"/>
        </w:rPr>
        <w:t xml:space="preserve">, pp.75–105.</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[29] K. Peffers, T. Tuunanen, M.A. Rothenberger, et al. (2007),</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A design science research methodology for information systems research</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Journal of Management Information Systems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24(3)</w:t>
      </w:r>
      <w:r>
        <w:rPr>
          <w:rFonts w:ascii="Times New Roman" w:hAnsi="Times New Roman" w:eastAsia="Times New Roman" w:cs="Times New Roman"/>
          <w:sz w:val="26"/>
        </w:rPr>
        <w:t xml:space="preserve">, pp.45–77, DOI: 10.2753/MIS0742-1222240302.</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[30] J. Tyree, A. Akerman (2005),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Architecture decisions: Demystifying architecture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IEEE Software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22(2)</w:t>
      </w:r>
      <w:r>
        <w:rPr>
          <w:rFonts w:ascii="Times New Roman" w:hAnsi="Times New Roman" w:eastAsia="Times New Roman" w:cs="Times New Roman"/>
          <w:sz w:val="26"/>
        </w:rPr>
        <w:t xml:space="preserve">, pp.19–27, DOI: 10.1109/MS.2005.27.</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[31] S. Brown (n.d.),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The C4 model for visualising software architecture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official C4 model website,</w:t>
      </w:r>
      <w:r>
        <w:rPr>
          <w:rFonts w:ascii="Times New Roman" w:hAnsi="Times New Roman" w:eastAsia="Times New Roman" w:cs="Times New Roman"/>
          <w:sz w:val="26"/>
        </w:rPr>
        <w:t xml:space="preserve"> </w:t>
      </w:r>
      <w:hyperlink r:id="rId79">
        <w:r>
          <w:rPr>
            <w:rFonts w:ascii="Times New Roman" w:hAnsi="Times New Roman" w:eastAsia="Times New Roman" w:cs="Times New Roman"/>
            <w:rStyle w:val="Hyperlink"/>
          </w:rPr>
          <w:t xml:space="preserve">https://c4model.com/</w:t>
        </w:r>
      </w:hyperlink>
      <w:r>
        <w:rPr>
          <w:rFonts w:ascii="Times New Roman" w:hAnsi="Times New Roman" w:eastAsia="Times New Roman" w:cs="Times New Roman"/>
          <w:sz w:val="26"/>
        </w:rPr>
        <w:t xml:space="preserve">, accessed 9 August 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[32] The Open Group (2022),</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ArchiMate</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3.2 Specification</w:t>
      </w:r>
      <w:r>
        <w:rPr>
          <w:rFonts w:ascii="Times New Roman" w:hAnsi="Times New Roman" w:eastAsia="Times New Roman" w:cs="Times New Roman"/>
          <w:sz w:val="26"/>
        </w:rPr>
        <w:t xml:space="preserve">, Version 3.2, released October 2022,</w:t>
      </w:r>
      <w:r>
        <w:rPr>
          <w:rFonts w:ascii="Times New Roman" w:hAnsi="Times New Roman" w:eastAsia="Times New Roman" w:cs="Times New Roman"/>
          <w:sz w:val="26"/>
        </w:rPr>
        <w:t xml:space="preserve"> </w:t>
      </w:r>
      <w:hyperlink r:id="rId80">
        <w:r>
          <w:rPr>
            <w:rFonts w:ascii="Times New Roman" w:hAnsi="Times New Roman" w:eastAsia="Times New Roman" w:cs="Times New Roman"/>
            <w:rStyle w:val="Hyperlink"/>
          </w:rPr>
          <w:t xml:space="preserve">https://www.opengroup.org/archimate-licensed-downloads</w:t>
        </w:r>
      </w:hyperlink>
      <w:r>
        <w:rPr>
          <w:rFonts w:ascii="Times New Roman" w:hAnsi="Times New Roman" w:eastAsia="Times New Roman" w:cs="Times New Roman"/>
          <w:sz w:val="26"/>
        </w:rPr>
        <w:t xml:space="preserve">, accessed 9 August 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[33] F. Gottschalk, T.A.C. Wagemakers, M.H. Jansen-Vullers, et al. (2009),</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Configurable process models: Experiences from a municipality case study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in P. Eck, J. Gordijn, R. Wieringa (eds.),</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Advanced Information Systems Engineering</w:t>
      </w:r>
      <w:r>
        <w:rPr>
          <w:rFonts w:ascii="Times New Roman" w:hAnsi="Times New Roman" w:eastAsia="Times New Roman" w:cs="Times New Roman"/>
          <w:sz w:val="26"/>
        </w:rPr>
        <w:t xml:space="preserve">, Lecture Notes in Computer Science, Vol. 5565, Springer, pp.486–500, DOI: 10.1007/978-3-642-02144-2_38.</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[34] A.P. Sheth, J.A. Larson (1990),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Federated database systems for managing distributed, heterogeneous, and autonomous databases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ACM Computing Surveys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22(3)</w:t>
      </w:r>
      <w:r>
        <w:rPr>
          <w:rFonts w:ascii="Times New Roman" w:hAnsi="Times New Roman" w:eastAsia="Times New Roman" w:cs="Times New Roman"/>
          <w:sz w:val="26"/>
        </w:rPr>
        <w:t xml:space="preserve">, pp.183–236, DOI: 10.1145/96602.96604.</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[35] National Agency for Technology Entrepreneurship and Commercialization, Ministry of Science and Technology of Vietnam (2026),</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Draft Decision on the Temporary Promulgation of Data Standards, Data Standardisation Rules and Specialised Data Catalogues for Science and Technology Enterprises and Innovative Startups</w:t>
      </w:r>
      <w:r>
        <w:rPr>
          <w:rFonts w:ascii="Times New Roman" w:hAnsi="Times New Roman" w:eastAsia="Times New Roman" w:cs="Times New Roman"/>
          <w:sz w:val="26"/>
        </w:rPr>
        <w:t xml:space="preserve">, draft version reviewed 8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[36] Ministry of Science and Technology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Decision No. 1762/QD-BKHCN Promulgating the Catalogue of Specialised Databases Under the Management of the Ministry of Science and Technology</w:t>
      </w:r>
      <w:r>
        <w:rPr>
          <w:rFonts w:ascii="Times New Roman" w:hAnsi="Times New Roman" w:eastAsia="Times New Roman" w:cs="Times New Roman"/>
          <w:sz w:val="26"/>
        </w:rPr>
        <w:t xml:space="preserve">, issued 16 July 2025 (in Vietnamese).</w:t>
      </w:r>
    </w:p>
    <w:bookmarkEnd w:id="81"/>
    <w:sectPr w:rsidR="00B43D5A" w:rsidRPr="00B43D5A">
      <w:footerReference r:id="rId9" w:type="default"/>
      <w:footerReference w:type="first" r:id="rId10"/>
      <w:headerReference w:type="default" r:id="rId11"/>
      <w:headerReference w:type="first" r:id="rId12"/>
      <w:footnotePr>
        <w:numFmt w:val="chicago"/>
      </w:footnotePr>
      <w:pgSz w:h="16838" w:w="11906"/>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spacing w:before="0" w:after="0"/>
    </w:pPr>
    <w:r>
      <w:rPr>
        <w:rFonts w:ascii="Times New Roman" w:hAnsi="Times New Roman" w:eastAsia="Times New Roman" w:cs="Times New Roman"/>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8"/>
    <w:multiLevelType w:val="singleLevel"/>
    <w:tmpl w:val="98348D4E"/>
    <w:lvl w:ilvl="0">
      <w:start w:val="1"/>
      <w:numFmt w:val="decimal"/>
      <w:pStyle w:val="ListNumber"/>
      <w:lvlText w:val="%1."/>
      <w:lvlJc w:val="left"/>
      <w:pPr>
        <w:tabs>
          <w:tab w:pos="360" w:val="num"/>
        </w:tabs>
        <w:ind w:hanging="360" w:left="360"/>
      </w:pPr>
    </w:lvl>
  </w:abstractNum>
  <w:abstractNum w15:restartNumberingAfterBreak="0" w:abstractNumId="1">
    <w:nsid w:val="0000A990"/>
    <w:multiLevelType w:val="multilevel"/>
    <w:tmpl w:val="043AA2B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2">
    <w:nsid w:val="0000A991"/>
    <w:multiLevelType w:val="multilevel"/>
    <w:tmpl w:val="387C6E16"/>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3">
    <w:nsid w:val="00A99411"/>
    <w:multiLevelType w:val="multilevel"/>
    <w:tmpl w:val="71F65FE8"/>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4">
    <w:nsid w:val="12017610"/>
    <w:multiLevelType w:val="hybridMultilevel"/>
    <w:tmpl w:val="683C3120"/>
    <w:lvl w:ilvl="0" w:tplc="AFE2E450">
      <w:numFmt w:val="bullet"/>
      <w:lvlText w:val="-"/>
      <w:lvlJc w:val="left"/>
      <w:pPr>
        <w:ind w:hanging="360" w:left="720"/>
      </w:pPr>
      <w:rPr>
        <w:rFonts w:ascii="Times New Roman" w:cs="Times New Roman" w:eastAsia="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28F44A0C"/>
    <w:multiLevelType w:val="multilevel"/>
    <w:tmpl w:val="67C45CEA"/>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6">
    <w:nsid w:val="39E1252B"/>
    <w:multiLevelType w:val="multilevel"/>
    <w:tmpl w:val="555617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787752A6"/>
    <w:multiLevelType w:val="hybridMultilevel"/>
    <w:tmpl w:val="00F2C33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8">
    <w:nsid w:val="7E357AEA"/>
    <w:multiLevelType w:val="hybridMultilevel"/>
    <w:tmpl w:val="48B84C70"/>
    <w:lvl w:ilvl="0" w:tplc="AFE2E450">
      <w:numFmt w:val="bullet"/>
      <w:lvlText w:val="-"/>
      <w:lvlJc w:val="left"/>
      <w:pPr>
        <w:ind w:hanging="360" w:left="720"/>
      </w:pPr>
      <w:rPr>
        <w:rFonts w:ascii="Times New Roman" w:cs="Times New Roman" w:eastAsia="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657218506" w:numId="1">
    <w:abstractNumId w:val="1"/>
  </w:num>
  <w:num w16cid:durableId="1953704635" w:numId="2">
    <w:abstractNumId w:val="2"/>
  </w:num>
  <w:num w16cid:durableId="1336376142" w:numId="3">
    <w:abstractNumId w:val="2"/>
  </w:num>
  <w:num w16cid:durableId="1859586054" w:numId="4">
    <w:abstractNumId w:val="2"/>
  </w:num>
  <w:num w16cid:durableId="1884781094"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4524419"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7648122" w:numId="7">
    <w:abstractNumId w:val="6"/>
  </w:num>
  <w:num w16cid:durableId="1022316992" w:numId="8">
    <w:abstractNumId w:val="0"/>
  </w:num>
  <w:num w16cid:durableId="768694814" w:numId="9">
    <w:abstractNumId w:val="0"/>
    <w:lvlOverride w:ilvl="0">
      <w:startOverride w:val="1"/>
    </w:lvlOverride>
  </w:num>
  <w:num w16cid:durableId="672030215" w:numId="10">
    <w:abstractNumId w:val="0"/>
    <w:lvlOverride w:ilvl="0">
      <w:startOverride w:val="1"/>
    </w:lvlOverride>
  </w:num>
  <w:num w16cid:durableId="355157775" w:numId="11">
    <w:abstractNumId w:val="0"/>
    <w:lvlOverride w:ilvl="0">
      <w:startOverride w:val="1"/>
    </w:lvlOverride>
  </w:num>
  <w:num w16cid:durableId="1415513585" w:numId="12">
    <w:abstractNumId w:val="0"/>
    <w:lvlOverride w:ilvl="0">
      <w:startOverride w:val="1"/>
    </w:lvlOverride>
  </w:num>
  <w:num w16cid:durableId="1577931086" w:numId="13">
    <w:abstractNumId w:val="0"/>
  </w:num>
  <w:num w16cid:durableId="1754011554" w:numId="14">
    <w:abstractNumId w:val="0"/>
    <w:lvlOverride w:ilvl="0">
      <w:startOverride w:val="1"/>
    </w:lvlOverride>
  </w:num>
  <w:num w16cid:durableId="334381444" w:numId="15">
    <w:abstractNumId w:val="0"/>
  </w:num>
  <w:num w16cid:durableId="1148204209" w:numId="16">
    <w:abstractNumId w:val="0"/>
    <w:lvlOverride w:ilvl="0">
      <w:startOverride w:val="1"/>
    </w:lvlOverride>
  </w:num>
  <w:num w16cid:durableId="1839416771" w:numId="17">
    <w:abstractNumId w:val="0"/>
  </w:num>
  <w:num w16cid:durableId="549616881" w:numId="18">
    <w:abstractNumId w:val="7"/>
  </w:num>
  <w:num w16cid:durableId="818422580" w:numId="19">
    <w:abstractNumId w:val="5"/>
  </w:num>
  <w:num w16cid:durableId="195578704" w:numId="20">
    <w:abstractNumId w:val="4"/>
  </w:num>
  <w:num w16cid:durableId="388040094" w:numId="21">
    <w:abstractNumId w:va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Fmt w:val="chicago"/>
    <w:footnote w:id="-1"/>
    <w:footnote w:id="0"/>
  </w:footnotePr>
  <w:compat>
    <w:compatSetting w:name="compatibilityMode" w:uri="http://schemas.microsoft.com/office/word" w:val="12"/>
    <w:compatSetting w:name="useWord2013TrackBottomHyphenation" w:uri="http://schemas.microsoft.com/office/word" w:val="1"/>
  </w:compat>
  <w:rsids>
    <w:rsidRoot w:val="007F44D5"/>
    <w:rsid w:val="00001D80"/>
    <w:rsid w:val="000059A4"/>
    <w:rsid w:val="00015CC5"/>
    <w:rsid w:val="00023D77"/>
    <w:rsid w:val="000418CC"/>
    <w:rsid w:val="00062DF4"/>
    <w:rsid w:val="0006331F"/>
    <w:rsid w:val="000642E1"/>
    <w:rsid w:val="00076EAF"/>
    <w:rsid w:val="0008193C"/>
    <w:rsid w:val="0008282C"/>
    <w:rsid w:val="00091D2F"/>
    <w:rsid w:val="00091D3E"/>
    <w:rsid w:val="000969EF"/>
    <w:rsid w:val="000A1225"/>
    <w:rsid w:val="000A4956"/>
    <w:rsid w:val="000A4AB4"/>
    <w:rsid w:val="000B209F"/>
    <w:rsid w:val="000B62FF"/>
    <w:rsid w:val="000B6F88"/>
    <w:rsid w:val="000C2726"/>
    <w:rsid w:val="000C4858"/>
    <w:rsid w:val="000C53C7"/>
    <w:rsid w:val="000C63B0"/>
    <w:rsid w:val="000D7CF1"/>
    <w:rsid w:val="000E2F0D"/>
    <w:rsid w:val="000E49A9"/>
    <w:rsid w:val="000E69BB"/>
    <w:rsid w:val="000F500A"/>
    <w:rsid w:val="00100BD0"/>
    <w:rsid w:val="00113B6C"/>
    <w:rsid w:val="00114184"/>
    <w:rsid w:val="00132B79"/>
    <w:rsid w:val="001349A6"/>
    <w:rsid w:val="00134C24"/>
    <w:rsid w:val="001368EC"/>
    <w:rsid w:val="00144265"/>
    <w:rsid w:val="001459C2"/>
    <w:rsid w:val="00146489"/>
    <w:rsid w:val="00161AD7"/>
    <w:rsid w:val="00162CD7"/>
    <w:rsid w:val="00165331"/>
    <w:rsid w:val="00166138"/>
    <w:rsid w:val="001710B0"/>
    <w:rsid w:val="00172882"/>
    <w:rsid w:val="00180187"/>
    <w:rsid w:val="00181561"/>
    <w:rsid w:val="00184022"/>
    <w:rsid w:val="00191122"/>
    <w:rsid w:val="00194311"/>
    <w:rsid w:val="001978E2"/>
    <w:rsid w:val="001A3B9C"/>
    <w:rsid w:val="001A4D2C"/>
    <w:rsid w:val="001B0034"/>
    <w:rsid w:val="001B380D"/>
    <w:rsid w:val="001B6B2D"/>
    <w:rsid w:val="001B7D55"/>
    <w:rsid w:val="001C2278"/>
    <w:rsid w:val="001C2A47"/>
    <w:rsid w:val="001C5C09"/>
    <w:rsid w:val="001E0C34"/>
    <w:rsid w:val="001F0D2E"/>
    <w:rsid w:val="001F3980"/>
    <w:rsid w:val="001F5823"/>
    <w:rsid w:val="001F6423"/>
    <w:rsid w:val="00204A54"/>
    <w:rsid w:val="00205E36"/>
    <w:rsid w:val="002252DC"/>
    <w:rsid w:val="00230E87"/>
    <w:rsid w:val="00234C40"/>
    <w:rsid w:val="00234E41"/>
    <w:rsid w:val="00243A34"/>
    <w:rsid w:val="0024791B"/>
    <w:rsid w:val="00250D56"/>
    <w:rsid w:val="00263164"/>
    <w:rsid w:val="00263DDC"/>
    <w:rsid w:val="00264A52"/>
    <w:rsid w:val="002663F9"/>
    <w:rsid w:val="00266A9F"/>
    <w:rsid w:val="00270F53"/>
    <w:rsid w:val="00276CFD"/>
    <w:rsid w:val="00293538"/>
    <w:rsid w:val="0029762F"/>
    <w:rsid w:val="002B04AD"/>
    <w:rsid w:val="002C45B7"/>
    <w:rsid w:val="002C6398"/>
    <w:rsid w:val="002C7D12"/>
    <w:rsid w:val="002F1596"/>
    <w:rsid w:val="002F4BF0"/>
    <w:rsid w:val="002F5381"/>
    <w:rsid w:val="002F72BC"/>
    <w:rsid w:val="00304462"/>
    <w:rsid w:val="00320329"/>
    <w:rsid w:val="003238C2"/>
    <w:rsid w:val="00332732"/>
    <w:rsid w:val="00336E5D"/>
    <w:rsid w:val="00341E0A"/>
    <w:rsid w:val="00341E52"/>
    <w:rsid w:val="00342B72"/>
    <w:rsid w:val="00352191"/>
    <w:rsid w:val="00355B92"/>
    <w:rsid w:val="0035778F"/>
    <w:rsid w:val="0037339B"/>
    <w:rsid w:val="00374BE5"/>
    <w:rsid w:val="00377673"/>
    <w:rsid w:val="0038065D"/>
    <w:rsid w:val="00394603"/>
    <w:rsid w:val="003A4C64"/>
    <w:rsid w:val="003B7368"/>
    <w:rsid w:val="003D63D8"/>
    <w:rsid w:val="003E247C"/>
    <w:rsid w:val="003E70A8"/>
    <w:rsid w:val="003F3187"/>
    <w:rsid w:val="0040044A"/>
    <w:rsid w:val="0040063F"/>
    <w:rsid w:val="004008B1"/>
    <w:rsid w:val="00402266"/>
    <w:rsid w:val="00416B56"/>
    <w:rsid w:val="00420664"/>
    <w:rsid w:val="00425322"/>
    <w:rsid w:val="004254C5"/>
    <w:rsid w:val="00442957"/>
    <w:rsid w:val="00442CB3"/>
    <w:rsid w:val="004447DB"/>
    <w:rsid w:val="00451473"/>
    <w:rsid w:val="0045168F"/>
    <w:rsid w:val="00455CD9"/>
    <w:rsid w:val="00470D28"/>
    <w:rsid w:val="00474A47"/>
    <w:rsid w:val="00475CE6"/>
    <w:rsid w:val="00477DE0"/>
    <w:rsid w:val="00487494"/>
    <w:rsid w:val="004B3670"/>
    <w:rsid w:val="004B50F2"/>
    <w:rsid w:val="004B5DA7"/>
    <w:rsid w:val="004C63D6"/>
    <w:rsid w:val="004C657A"/>
    <w:rsid w:val="004D0CC2"/>
    <w:rsid w:val="004D4E41"/>
    <w:rsid w:val="004E35A3"/>
    <w:rsid w:val="004E3636"/>
    <w:rsid w:val="004E70D1"/>
    <w:rsid w:val="004F21B6"/>
    <w:rsid w:val="005031EA"/>
    <w:rsid w:val="005038E8"/>
    <w:rsid w:val="0050548D"/>
    <w:rsid w:val="005176F0"/>
    <w:rsid w:val="00530E1D"/>
    <w:rsid w:val="00532EC0"/>
    <w:rsid w:val="0053562E"/>
    <w:rsid w:val="00537284"/>
    <w:rsid w:val="00537DA2"/>
    <w:rsid w:val="005537E5"/>
    <w:rsid w:val="00555E37"/>
    <w:rsid w:val="00556A78"/>
    <w:rsid w:val="00560FFF"/>
    <w:rsid w:val="00564C2A"/>
    <w:rsid w:val="00567A66"/>
    <w:rsid w:val="00571CBD"/>
    <w:rsid w:val="00573AA5"/>
    <w:rsid w:val="00575217"/>
    <w:rsid w:val="0057635A"/>
    <w:rsid w:val="00590E52"/>
    <w:rsid w:val="0059384D"/>
    <w:rsid w:val="005940D8"/>
    <w:rsid w:val="00594E16"/>
    <w:rsid w:val="005970CA"/>
    <w:rsid w:val="005A1647"/>
    <w:rsid w:val="005A306C"/>
    <w:rsid w:val="005B3037"/>
    <w:rsid w:val="005B423E"/>
    <w:rsid w:val="005B6F8F"/>
    <w:rsid w:val="005D60DC"/>
    <w:rsid w:val="005E0AC0"/>
    <w:rsid w:val="005E32CB"/>
    <w:rsid w:val="005E4299"/>
    <w:rsid w:val="005E7858"/>
    <w:rsid w:val="005F1769"/>
    <w:rsid w:val="005F3260"/>
    <w:rsid w:val="005F458B"/>
    <w:rsid w:val="00605EFF"/>
    <w:rsid w:val="006070BF"/>
    <w:rsid w:val="006123BB"/>
    <w:rsid w:val="00616887"/>
    <w:rsid w:val="006341B3"/>
    <w:rsid w:val="006358F2"/>
    <w:rsid w:val="006367F5"/>
    <w:rsid w:val="0064353B"/>
    <w:rsid w:val="00645C56"/>
    <w:rsid w:val="0065569E"/>
    <w:rsid w:val="00670A6B"/>
    <w:rsid w:val="00673FC7"/>
    <w:rsid w:val="006764A3"/>
    <w:rsid w:val="00684598"/>
    <w:rsid w:val="006853CD"/>
    <w:rsid w:val="00685968"/>
    <w:rsid w:val="00687A92"/>
    <w:rsid w:val="00693480"/>
    <w:rsid w:val="00694306"/>
    <w:rsid w:val="00694FB5"/>
    <w:rsid w:val="00697C84"/>
    <w:rsid w:val="006A20A7"/>
    <w:rsid w:val="006A7CDA"/>
    <w:rsid w:val="006B0A0D"/>
    <w:rsid w:val="006B1236"/>
    <w:rsid w:val="006B51C9"/>
    <w:rsid w:val="006C5D49"/>
    <w:rsid w:val="006D2C19"/>
    <w:rsid w:val="006E30C5"/>
    <w:rsid w:val="006F2547"/>
    <w:rsid w:val="006F5817"/>
    <w:rsid w:val="006F78DF"/>
    <w:rsid w:val="0071307E"/>
    <w:rsid w:val="00713E19"/>
    <w:rsid w:val="0072151A"/>
    <w:rsid w:val="00724AB1"/>
    <w:rsid w:val="007312B7"/>
    <w:rsid w:val="0075550F"/>
    <w:rsid w:val="007559D9"/>
    <w:rsid w:val="007621D9"/>
    <w:rsid w:val="0076262D"/>
    <w:rsid w:val="00765C43"/>
    <w:rsid w:val="00770B0D"/>
    <w:rsid w:val="0079351D"/>
    <w:rsid w:val="007A0D46"/>
    <w:rsid w:val="007A6C50"/>
    <w:rsid w:val="007B1DC3"/>
    <w:rsid w:val="007D114E"/>
    <w:rsid w:val="007D6132"/>
    <w:rsid w:val="007D780F"/>
    <w:rsid w:val="007E5048"/>
    <w:rsid w:val="007E58CD"/>
    <w:rsid w:val="007E6AEC"/>
    <w:rsid w:val="007F0FA6"/>
    <w:rsid w:val="007F44D5"/>
    <w:rsid w:val="007F65CC"/>
    <w:rsid w:val="00804143"/>
    <w:rsid w:val="00804B54"/>
    <w:rsid w:val="00826A1F"/>
    <w:rsid w:val="00840B9F"/>
    <w:rsid w:val="00852DCB"/>
    <w:rsid w:val="00863494"/>
    <w:rsid w:val="00864EDB"/>
    <w:rsid w:val="00865468"/>
    <w:rsid w:val="008665BE"/>
    <w:rsid w:val="00871F9C"/>
    <w:rsid w:val="0087715D"/>
    <w:rsid w:val="00877EEC"/>
    <w:rsid w:val="008800EF"/>
    <w:rsid w:val="00881D61"/>
    <w:rsid w:val="008844BF"/>
    <w:rsid w:val="00885F44"/>
    <w:rsid w:val="00890C2A"/>
    <w:rsid w:val="00891404"/>
    <w:rsid w:val="00892C5E"/>
    <w:rsid w:val="0089474D"/>
    <w:rsid w:val="00894989"/>
    <w:rsid w:val="008A20E9"/>
    <w:rsid w:val="008A4F4C"/>
    <w:rsid w:val="008B0D8C"/>
    <w:rsid w:val="008B3A81"/>
    <w:rsid w:val="008B4928"/>
    <w:rsid w:val="008B7BBA"/>
    <w:rsid w:val="008C029F"/>
    <w:rsid w:val="008C287B"/>
    <w:rsid w:val="008C6C20"/>
    <w:rsid w:val="008E55B5"/>
    <w:rsid w:val="008F0CB7"/>
    <w:rsid w:val="008F6A45"/>
    <w:rsid w:val="00914C21"/>
    <w:rsid w:val="00916128"/>
    <w:rsid w:val="0092010E"/>
    <w:rsid w:val="00923E50"/>
    <w:rsid w:val="00925A6E"/>
    <w:rsid w:val="009325A6"/>
    <w:rsid w:val="00936D61"/>
    <w:rsid w:val="00936DB6"/>
    <w:rsid w:val="0094402E"/>
    <w:rsid w:val="009453C6"/>
    <w:rsid w:val="00946962"/>
    <w:rsid w:val="0095132C"/>
    <w:rsid w:val="0096626C"/>
    <w:rsid w:val="00980F62"/>
    <w:rsid w:val="00981C6C"/>
    <w:rsid w:val="009833B5"/>
    <w:rsid w:val="009859C5"/>
    <w:rsid w:val="009902A2"/>
    <w:rsid w:val="009A299F"/>
    <w:rsid w:val="009B3FF3"/>
    <w:rsid w:val="009C1CB7"/>
    <w:rsid w:val="009C1F10"/>
    <w:rsid w:val="009C28EF"/>
    <w:rsid w:val="009C3B1F"/>
    <w:rsid w:val="009C569D"/>
    <w:rsid w:val="009D06D0"/>
    <w:rsid w:val="009D0922"/>
    <w:rsid w:val="009E2E69"/>
    <w:rsid w:val="009F0279"/>
    <w:rsid w:val="009F09A9"/>
    <w:rsid w:val="009F4ECA"/>
    <w:rsid w:val="009F6C7E"/>
    <w:rsid w:val="00A062AC"/>
    <w:rsid w:val="00A138AD"/>
    <w:rsid w:val="00A16DFB"/>
    <w:rsid w:val="00A30F09"/>
    <w:rsid w:val="00A31801"/>
    <w:rsid w:val="00A3322E"/>
    <w:rsid w:val="00A36B3D"/>
    <w:rsid w:val="00A42DD1"/>
    <w:rsid w:val="00A43034"/>
    <w:rsid w:val="00A45D28"/>
    <w:rsid w:val="00A54F97"/>
    <w:rsid w:val="00A65FF7"/>
    <w:rsid w:val="00A70829"/>
    <w:rsid w:val="00A70CA1"/>
    <w:rsid w:val="00A81F46"/>
    <w:rsid w:val="00A93EE3"/>
    <w:rsid w:val="00AA5A3B"/>
    <w:rsid w:val="00AA5B20"/>
    <w:rsid w:val="00AB025A"/>
    <w:rsid w:val="00AB4563"/>
    <w:rsid w:val="00AD7E26"/>
    <w:rsid w:val="00AE5BD5"/>
    <w:rsid w:val="00B22783"/>
    <w:rsid w:val="00B27241"/>
    <w:rsid w:val="00B307A7"/>
    <w:rsid w:val="00B40A93"/>
    <w:rsid w:val="00B43D5A"/>
    <w:rsid w:val="00B5761F"/>
    <w:rsid w:val="00B666E1"/>
    <w:rsid w:val="00B7183B"/>
    <w:rsid w:val="00B75661"/>
    <w:rsid w:val="00B76BEF"/>
    <w:rsid w:val="00B83F54"/>
    <w:rsid w:val="00B83F79"/>
    <w:rsid w:val="00B9043F"/>
    <w:rsid w:val="00B906BC"/>
    <w:rsid w:val="00B916A3"/>
    <w:rsid w:val="00BA3135"/>
    <w:rsid w:val="00BA7A21"/>
    <w:rsid w:val="00BB06F6"/>
    <w:rsid w:val="00BB20CA"/>
    <w:rsid w:val="00BB25CC"/>
    <w:rsid w:val="00BC3A2E"/>
    <w:rsid w:val="00BC695C"/>
    <w:rsid w:val="00BC726F"/>
    <w:rsid w:val="00BD1C7C"/>
    <w:rsid w:val="00BD2A33"/>
    <w:rsid w:val="00BD2A71"/>
    <w:rsid w:val="00BD70D4"/>
    <w:rsid w:val="00BE0BA8"/>
    <w:rsid w:val="00BE119E"/>
    <w:rsid w:val="00BE4C69"/>
    <w:rsid w:val="00BE572A"/>
    <w:rsid w:val="00BF06DC"/>
    <w:rsid w:val="00BF6303"/>
    <w:rsid w:val="00C01DF2"/>
    <w:rsid w:val="00C15192"/>
    <w:rsid w:val="00C2072F"/>
    <w:rsid w:val="00C20749"/>
    <w:rsid w:val="00C25CE7"/>
    <w:rsid w:val="00C31E15"/>
    <w:rsid w:val="00C34165"/>
    <w:rsid w:val="00C35C87"/>
    <w:rsid w:val="00C37AF6"/>
    <w:rsid w:val="00C426A0"/>
    <w:rsid w:val="00C44D05"/>
    <w:rsid w:val="00C55301"/>
    <w:rsid w:val="00C567E8"/>
    <w:rsid w:val="00C571FD"/>
    <w:rsid w:val="00C7065E"/>
    <w:rsid w:val="00C7146D"/>
    <w:rsid w:val="00C73D12"/>
    <w:rsid w:val="00C84C5A"/>
    <w:rsid w:val="00C85F34"/>
    <w:rsid w:val="00C862C9"/>
    <w:rsid w:val="00C9054F"/>
    <w:rsid w:val="00CA188A"/>
    <w:rsid w:val="00CA44EE"/>
    <w:rsid w:val="00CA6B54"/>
    <w:rsid w:val="00CB5721"/>
    <w:rsid w:val="00CB6A50"/>
    <w:rsid w:val="00CC0154"/>
    <w:rsid w:val="00CC03C4"/>
    <w:rsid w:val="00CC44E2"/>
    <w:rsid w:val="00CD65EE"/>
    <w:rsid w:val="00CF571B"/>
    <w:rsid w:val="00D0125C"/>
    <w:rsid w:val="00D137EA"/>
    <w:rsid w:val="00D21DA3"/>
    <w:rsid w:val="00D2386E"/>
    <w:rsid w:val="00D2511F"/>
    <w:rsid w:val="00D30827"/>
    <w:rsid w:val="00D33320"/>
    <w:rsid w:val="00D3770F"/>
    <w:rsid w:val="00D47920"/>
    <w:rsid w:val="00D544CF"/>
    <w:rsid w:val="00D55711"/>
    <w:rsid w:val="00D6376E"/>
    <w:rsid w:val="00D75B17"/>
    <w:rsid w:val="00D824EA"/>
    <w:rsid w:val="00D826EE"/>
    <w:rsid w:val="00D97E7A"/>
    <w:rsid w:val="00DA07A5"/>
    <w:rsid w:val="00DA355A"/>
    <w:rsid w:val="00DB01DC"/>
    <w:rsid w:val="00DB0CDA"/>
    <w:rsid w:val="00DB34B2"/>
    <w:rsid w:val="00DB39A1"/>
    <w:rsid w:val="00DB7129"/>
    <w:rsid w:val="00DD16F4"/>
    <w:rsid w:val="00DD32F5"/>
    <w:rsid w:val="00DD56BB"/>
    <w:rsid w:val="00DD690A"/>
    <w:rsid w:val="00DE583D"/>
    <w:rsid w:val="00DF3FF3"/>
    <w:rsid w:val="00E02B9B"/>
    <w:rsid w:val="00E0510B"/>
    <w:rsid w:val="00E05551"/>
    <w:rsid w:val="00E07ADE"/>
    <w:rsid w:val="00E1631C"/>
    <w:rsid w:val="00E17B0C"/>
    <w:rsid w:val="00E210A0"/>
    <w:rsid w:val="00E32A4B"/>
    <w:rsid w:val="00E32CE2"/>
    <w:rsid w:val="00E3478E"/>
    <w:rsid w:val="00E37101"/>
    <w:rsid w:val="00E41859"/>
    <w:rsid w:val="00E44222"/>
    <w:rsid w:val="00E4478E"/>
    <w:rsid w:val="00E50C51"/>
    <w:rsid w:val="00E72C88"/>
    <w:rsid w:val="00E9219C"/>
    <w:rsid w:val="00E9413F"/>
    <w:rsid w:val="00EA1787"/>
    <w:rsid w:val="00EA3842"/>
    <w:rsid w:val="00EA694F"/>
    <w:rsid w:val="00EB2D3A"/>
    <w:rsid w:val="00EB3355"/>
    <w:rsid w:val="00EC3D58"/>
    <w:rsid w:val="00EC47EC"/>
    <w:rsid w:val="00ED20D3"/>
    <w:rsid w:val="00EE1FFB"/>
    <w:rsid w:val="00EE5BBC"/>
    <w:rsid w:val="00EE6FCC"/>
    <w:rsid w:val="00EE762D"/>
    <w:rsid w:val="00EF1A9F"/>
    <w:rsid w:val="00F04DD2"/>
    <w:rsid w:val="00F05FF3"/>
    <w:rsid w:val="00F130A1"/>
    <w:rsid w:val="00F13786"/>
    <w:rsid w:val="00F16809"/>
    <w:rsid w:val="00F17E31"/>
    <w:rsid w:val="00F253C2"/>
    <w:rsid w:val="00F274AC"/>
    <w:rsid w:val="00F30D88"/>
    <w:rsid w:val="00F34EA7"/>
    <w:rsid w:val="00F435C5"/>
    <w:rsid w:val="00F54384"/>
    <w:rsid w:val="00F60BF4"/>
    <w:rsid w:val="00F63380"/>
    <w:rsid w:val="00F67744"/>
    <w:rsid w:val="00F67B60"/>
    <w:rsid w:val="00F71E97"/>
    <w:rsid w:val="00F75179"/>
    <w:rsid w:val="00F7701D"/>
    <w:rsid w:val="00F82B46"/>
    <w:rsid w:val="00F93CBB"/>
    <w:rsid w:val="00F94938"/>
    <w:rsid w:val="00F95AC9"/>
    <w:rsid w:val="00FA167F"/>
    <w:rsid w:val="00FA3BAA"/>
    <w:rsid w:val="00FA600F"/>
    <w:rsid w:val="00FB1955"/>
    <w:rsid w:val="00FC27FE"/>
    <w:rsid w:val="00FD181D"/>
    <w:rsid w:val="00FD2312"/>
    <w:rsid w:val="00FD3E5D"/>
    <w:rsid w:val="00FE3B42"/>
    <w:rsid w:val="00FE4D56"/>
    <w:rsid w:val="00FF1199"/>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4"/>
        <w:szCs w:val="24"/>
        <w:lang w:bidi="ar-SA" w:eastAsia="en-US" w:val="en-US"/>
      </w:rPr>
    </w:rPrDefault>
    <w:pPrDefault>
      <w:pPr>
        <w:spacing w:after="120"/>
      </w:pPr>
    </w:pPrDefault>
  </w:docDefaults>
  <w:latentStyles w:count="376" w:defLockedState="0" w:defQFormat="0" w:defSemiHidden="0" w:defUIPriority="0" w:defUnhideWhenUsed="0">
    <w:lsdException w:name="heading 2" w:qFormat="1" w:uiPriority="9"/>
    <w:lsdException w:name="footnote text" w:uiPriority="99"/>
    <w:lsdException w:name="footer" w:uiPriority="99"/>
    <w:lsdException w:name="footnote reference" w:qFormat="1" w:uiPriority="99"/>
    <w:lsdException w:name="List Number" w:uiPriority="99"/>
    <w:lsdException w:name="Body Text" w:qFormat="1"/>
    <w:lsdException w:name="Strong" w:qFormat="1" w:uiPriority="22"/>
    <w:lsdException w:name="Emphasis" w:qFormat="1" w:uiPriority="20"/>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before="60" w:after="60" w:line="288" w:lineRule="auto"/>
    </w:pPr>
    <w:rPr>
      <w:rFonts w:ascii="Times New Roman" w:hAnsi="Times New Roman"/>
      <w:sz w:val="26"/>
    </w:rPr>
  </w:style>
  <w:style w:styleId="Heading1" w:type="paragraph">
    <w:name w:val="heading 1"/>
    <w:basedOn w:val="Normal"/>
    <w:next w:val="BodyText"/>
    <w:uiPriority w:val="9"/>
    <w:qFormat/>
    <w:pPr>
      <w:keepNext/>
      <w:keepLines/>
      <w:spacing w:after="0" w:before="480"/>
      <w:outlineLvl w:val="0"/>
    </w:pPr>
    <w:rPr>
      <w:rFonts w:ascii="Times New Roman" w:hAnsi="Times New Roman"/>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b/>
      <w:bCs/>
      <w:color w:val="000000"/>
      <w:sz w:val="26"/>
      <w:szCs w:val="28"/>
    </w:rPr>
  </w:style>
  <w:style w:styleId="Heading3" w:type="paragraph">
    <w:name w:val="heading 3"/>
    <w:basedOn w:val="Normal"/>
    <w:next w:val="BodyText"/>
    <w:uiPriority w:val="9"/>
    <w:unhideWhenUsed/>
    <w:qFormat/>
    <w:pPr>
      <w:keepNext/>
      <w:keepLines/>
      <w:spacing w:after="0" w:before="200"/>
      <w:outlineLvl w:val="2"/>
    </w:pPr>
    <w:rPr>
      <w:b/>
      <w:bCs/>
      <w:color w:val="000000"/>
    </w:rPr>
  </w:style>
  <w:style w:styleId="Heading4" w:type="paragraph">
    <w:name w:val="heading 4"/>
    <w:basedOn w:val="Normal"/>
    <w:next w:val="BodyText"/>
    <w:uiPriority w:val="9"/>
    <w:unhideWhenUsed/>
    <w:qFormat/>
    <w:pPr>
      <w:keepNext/>
      <w:keepLines/>
      <w:spacing w:after="0" w:before="200"/>
      <w:outlineLvl w:val="3"/>
    </w:pPr>
    <w:rPr>
      <w:bCs/>
      <w:i/>
      <w:color w:val="000000"/>
    </w:rPr>
  </w:style>
  <w:style w:styleId="Heading5" w:type="paragraph">
    <w:name w:val="heading 5"/>
    <w:basedOn w:val="Normal"/>
    <w:next w:val="BodyText"/>
    <w:uiPriority w:val="9"/>
    <w:unhideWhenUsed/>
    <w:qFormat/>
    <w:pPr>
      <w:keepNext/>
      <w:keepLines/>
      <w:spacing w:after="0" w:before="200"/>
      <w:outlineLvl w:val="4"/>
    </w:pPr>
    <w:rPr>
      <w:iCs/>
      <w:color w:val="000000"/>
    </w:rPr>
  </w:style>
  <w:style w:styleId="Heading6" w:type="paragraph">
    <w:name w:val="heading 6"/>
    <w:basedOn w:val="Normal"/>
    <w:next w:val="BodyText"/>
    <w:uiPriority w:val="9"/>
    <w:unhideWhenUsed/>
    <w:qFormat/>
    <w:pPr>
      <w:keepNext/>
      <w:keepLines/>
      <w:spacing w:after="0" w:before="200"/>
      <w:outlineLvl w:val="5"/>
    </w:pPr>
    <w:rPr>
      <w:color w:val="000000"/>
    </w:rPr>
  </w:style>
  <w:style w:styleId="Heading7" w:type="paragraph">
    <w:name w:val="heading 7"/>
    <w:basedOn w:val="Normal"/>
    <w:next w:val="BodyText"/>
    <w:uiPriority w:val="9"/>
    <w:unhideWhenUsed/>
    <w:qFormat/>
    <w:pPr>
      <w:keepNext/>
      <w:keepLines/>
      <w:spacing w:after="0" w:before="200"/>
      <w:outlineLvl w:val="6"/>
    </w:pPr>
    <w:rPr>
      <w:color w:val="000000"/>
    </w:rPr>
  </w:style>
  <w:style w:styleId="Heading8" w:type="paragraph">
    <w:name w:val="heading 8"/>
    <w:basedOn w:val="Normal"/>
    <w:next w:val="BodyText"/>
    <w:uiPriority w:val="9"/>
    <w:unhideWhenUsed/>
    <w:qFormat/>
    <w:pPr>
      <w:keepNext/>
      <w:keepLines/>
      <w:spacing w:after="0" w:before="200"/>
      <w:outlineLvl w:val="7"/>
    </w:pPr>
    <w:rPr>
      <w:color w:val="000000"/>
    </w:rPr>
  </w:style>
  <w:style w:styleId="Heading9" w:type="paragraph">
    <w:name w:val="heading 9"/>
    <w:basedOn w:val="Normal"/>
    <w:next w:val="BodyText"/>
    <w:uiPriority w:val="9"/>
    <w:unhideWhenUsed/>
    <w:qFormat/>
    <w:pPr>
      <w:keepNext/>
      <w:keepLines/>
      <w:spacing w:after="0" w:before="200"/>
      <w:outlineLvl w:val="8"/>
    </w:pPr>
    <w:rPr>
      <w:color w:val="000000"/>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60" w:before="60" w:line="288" w:lineRule="auto"/>
    </w:pPr>
    <w:rPr>
      <w:rFonts w:ascii="Times New Roman" w:hAnsi="Times New Roman"/>
      <w:sz w:val="26"/>
    </w:rPr>
  </w:style>
  <w:style w:customStyle="1" w:styleId="FirstParagraph" w:type="paragraph">
    <w:name w:val="First Paragraph"/>
    <w:basedOn w:val="BodyText"/>
    <w:next w:val="BodyText"/>
    <w:qFormat/>
    <w:pPr>
      <w:spacing w:before="60" w:after="60" w:line="288" w:lineRule="auto"/>
    </w:pPr>
    <w:rPr>
      <w:rFonts w:ascii="Times New Roman" w:hAnsi="Times New Roman"/>
      <w:sz w:val="26"/>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b/>
      <w:bCs/>
      <w:color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uiPriority w:val="9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uiPriority w:val="99"/>
    <w:qFormat/>
    <w:rPr>
      <w:vertAlign w:val="superscript"/>
    </w:rPr>
  </w:style>
  <w:style w:styleId="Hyperlink" w:type="character">
    <w:name w:val="Hyperlink"/>
    <w:basedOn w:val="CaptionChar"/>
    <w:rPr>
      <w:color w:val="000000"/>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UnresolvedMention1" w:type="character">
    <w:name w:val="Unresolved Mention1"/>
    <w:basedOn w:val="DefaultParagraphFont"/>
    <w:uiPriority w:val="99"/>
    <w:semiHidden/>
    <w:unhideWhenUsed/>
    <w:rsid w:val="008C287B"/>
    <w:rPr>
      <w:color w:val="605E5C"/>
      <w:shd w:color="auto" w:fill="E1DFDD" w:val="clear"/>
    </w:rPr>
  </w:style>
  <w:style w:styleId="Revision" w:type="paragraph">
    <w:name w:val="Revision"/>
    <w:hidden/>
    <w:rsid w:val="000C2726"/>
    <w:pPr>
      <w:spacing w:after="0"/>
    </w:pPr>
  </w:style>
  <w:style w:styleId="ListParagraph" w:type="paragraph">
    <w:name w:val="List Paragraph"/>
    <w:basedOn w:val="Normal"/>
    <w:rsid w:val="00F71E97"/>
    <w:pPr>
      <w:ind w:left="720"/>
      <w:contextualSpacing/>
    </w:pPr>
  </w:style>
  <w:style w:styleId="TableGrid" w:type="table">
    <w:name w:val="Table Grid"/>
    <w:basedOn w:val="TableNormal"/>
    <w:uiPriority w:val="59"/>
    <w:rsid w:val="00D824EA"/>
    <w:pPr>
      <w:spacing w:after="0"/>
    </w:pPr>
    <w:rPr>
      <w:rFonts w:asciiTheme="minorHAnsi" w:cstheme="minorBidi" w:eastAsiaTheme="minorEastAsia"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Number" w:type="paragraph">
    <w:name w:val="List Number"/>
    <w:basedOn w:val="Normal"/>
    <w:uiPriority w:val="99"/>
    <w:unhideWhenUsed/>
    <w:rsid w:val="000D7CF1"/>
    <w:pPr>
      <w:numPr>
        <w:numId w:val="8"/>
      </w:numPr>
      <w:spacing w:after="200" w:line="276" w:lineRule="auto"/>
      <w:contextualSpacing/>
    </w:pPr>
    <w:rPr>
      <w:rFonts w:ascii="Arial" w:cstheme="minorBidi" w:eastAsia="Arial" w:hAnsi="Arial"/>
      <w:sz w:val="22"/>
      <w:szCs w:val="22"/>
    </w:rPr>
  </w:style>
  <w:style w:styleId="Header" w:type="paragraph">
    <w:name w:val="header"/>
    <w:basedOn w:val="Normal"/>
    <w:link w:val="HeaderChar"/>
    <w:rsid w:val="00ED20D3"/>
    <w:pPr>
      <w:tabs>
        <w:tab w:pos="4680" w:val="center"/>
        <w:tab w:pos="9360" w:val="right"/>
      </w:tabs>
      <w:spacing w:after="0"/>
    </w:pPr>
  </w:style>
  <w:style w:customStyle="1" w:styleId="HeaderChar" w:type="character">
    <w:name w:val="Header Char"/>
    <w:basedOn w:val="DefaultParagraphFont"/>
    <w:link w:val="Header"/>
    <w:rsid w:val="00ED20D3"/>
  </w:style>
  <w:style w:styleId="Footer" w:type="paragraph">
    <w:name w:val="footer"/>
    <w:basedOn w:val="Normal"/>
    <w:link w:val="FooterChar"/>
    <w:uiPriority w:val="99"/>
    <w:rsid w:val="00ED20D3"/>
    <w:pPr>
      <w:tabs>
        <w:tab w:pos="4680" w:val="center"/>
        <w:tab w:pos="9360" w:val="right"/>
      </w:tabs>
      <w:spacing w:after="0"/>
    </w:pPr>
  </w:style>
  <w:style w:customStyle="1" w:styleId="FooterChar" w:type="character">
    <w:name w:val="Footer Char"/>
    <w:basedOn w:val="DefaultParagraphFont"/>
    <w:link w:val="Footer"/>
    <w:uiPriority w:val="99"/>
    <w:rsid w:val="00ED20D3"/>
  </w:style>
  <w:style w:customStyle="1" w:styleId="FootnoteTextChar" w:type="character">
    <w:name w:val="Footnote Text Char"/>
    <w:basedOn w:val="DefaultParagraphFont"/>
    <w:link w:val="FootnoteText"/>
    <w:uiPriority w:val="99"/>
    <w:rsid w:val="00B83F79"/>
  </w:style>
  <w:style w:styleId="BalloonText" w:type="paragraph">
    <w:name w:val="Balloon Text"/>
    <w:basedOn w:val="Normal"/>
    <w:link w:val="BalloonTextChar"/>
    <w:rsid w:val="0092010E"/>
    <w:pPr>
      <w:spacing w:after="0"/>
    </w:pPr>
    <w:rPr>
      <w:rFonts w:ascii="Segoe UI" w:cs="Segoe UI" w:hAnsi="Segoe UI"/>
      <w:sz w:val="18"/>
      <w:szCs w:val="18"/>
    </w:rPr>
  </w:style>
  <w:style w:customStyle="1" w:styleId="BalloonTextChar" w:type="character">
    <w:name w:val="Balloon Text Char"/>
    <w:basedOn w:val="DefaultParagraphFont"/>
    <w:link w:val="BalloonText"/>
    <w:rsid w:val="0092010E"/>
    <w:rPr>
      <w:rFonts w:ascii="Segoe UI" w:cs="Segoe UI" w:hAnsi="Segoe UI"/>
      <w:sz w:val="18"/>
      <w:szCs w:val="18"/>
    </w:rPr>
  </w:style>
  <w:style w:customStyle="1" w:styleId="text-token-text-primary" w:type="character">
    <w:name w:val="text-token-text-primary"/>
    <w:basedOn w:val="DefaultParagraphFont"/>
    <w:rsid w:val="00EA1787"/>
  </w:style>
  <w:style w:styleId="Emphasis" w:type="character">
    <w:name w:val="Emphasis"/>
    <w:basedOn w:val="DefaultParagraphFont"/>
    <w:uiPriority w:val="20"/>
    <w:qFormat/>
    <w:rsid w:val="00EA1787"/>
    <w:rPr>
      <w:i/>
      <w:iCs/>
    </w:rPr>
  </w:style>
  <w:style w:customStyle="1" w:styleId="isselectedend" w:type="paragraph">
    <w:name w:val="isselectedend"/>
    <w:basedOn w:val="Normal"/>
    <w:rsid w:val="00EA1787"/>
    <w:pPr>
      <w:spacing w:after="100" w:afterAutospacing="1" w:before="100" w:beforeAutospacing="1"/>
    </w:pPr>
    <w:rPr>
      <w:lang w:eastAsia="ja-JP"/>
    </w:rPr>
  </w:style>
  <w:style w:styleId="Strong" w:type="character">
    <w:name w:val="Strong"/>
    <w:basedOn w:val="DefaultParagraphFont"/>
    <w:uiPriority w:val="22"/>
    <w:qFormat/>
    <w:rsid w:val="00EA1787"/>
    <w:rPr>
      <w:b/>
      <w:bCs/>
    </w:rPr>
  </w:style>
  <w:style w:styleId="NormalWeb" w:type="paragraph">
    <w:name w:val="Normal (Web)"/>
    <w:basedOn w:val="Normal"/>
    <w:uiPriority w:val="99"/>
    <w:unhideWhenUsed/>
    <w:rsid w:val="00EA1787"/>
    <w:pPr>
      <w:spacing w:after="100" w:afterAutospacing="1" w:before="100" w:beforeAutospacing="1"/>
    </w:pPr>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1059">
      <w:bodyDiv w:val="1"/>
      <w:marLeft w:val="0"/>
      <w:marRight w:val="0"/>
      <w:marTop w:val="0"/>
      <w:marBottom w:val="0"/>
      <w:divBdr>
        <w:top w:val="none" w:sz="0" w:space="0" w:color="auto"/>
        <w:left w:val="none" w:sz="0" w:space="0" w:color="auto"/>
        <w:bottom w:val="none" w:sz="0" w:space="0" w:color="auto"/>
        <w:right w:val="none" w:sz="0" w:space="0" w:color="auto"/>
      </w:divBdr>
    </w:div>
    <w:div w:id="561252926">
      <w:bodyDiv w:val="1"/>
      <w:marLeft w:val="0"/>
      <w:marRight w:val="0"/>
      <w:marTop w:val="0"/>
      <w:marBottom w:val="0"/>
      <w:divBdr>
        <w:top w:val="none" w:sz="0" w:space="0" w:color="auto"/>
        <w:left w:val="none" w:sz="0" w:space="0" w:color="auto"/>
        <w:bottom w:val="none" w:sz="0" w:space="0" w:color="auto"/>
        <w:right w:val="none" w:sz="0" w:space="0" w:color="auto"/>
      </w:divBdr>
    </w:div>
    <w:div w:id="904415314">
      <w:bodyDiv w:val="1"/>
      <w:marLeft w:val="0"/>
      <w:marRight w:val="0"/>
      <w:marTop w:val="0"/>
      <w:marBottom w:val="0"/>
      <w:divBdr>
        <w:top w:val="none" w:sz="0" w:space="0" w:color="auto"/>
        <w:left w:val="none" w:sz="0" w:space="0" w:color="auto"/>
        <w:bottom w:val="none" w:sz="0" w:space="0" w:color="auto"/>
        <w:right w:val="none" w:sz="0" w:space="0" w:color="auto"/>
      </w:divBdr>
    </w:div>
    <w:div w:id="1367608840">
      <w:bodyDiv w:val="1"/>
      <w:marLeft w:val="0"/>
      <w:marRight w:val="0"/>
      <w:marTop w:val="0"/>
      <w:marBottom w:val="0"/>
      <w:divBdr>
        <w:top w:val="none" w:sz="0" w:space="0" w:color="auto"/>
        <w:left w:val="none" w:sz="0" w:space="0" w:color="auto"/>
        <w:bottom w:val="none" w:sz="0" w:space="0" w:color="auto"/>
        <w:right w:val="none" w:sz="0" w:space="0" w:color="auto"/>
      </w:divBdr>
    </w:div>
    <w:div w:id="1669668722">
      <w:bodyDiv w:val="1"/>
      <w:marLeft w:val="0"/>
      <w:marRight w:val="0"/>
      <w:marTop w:val="0"/>
      <w:marBottom w:val="0"/>
      <w:divBdr>
        <w:top w:val="none" w:sz="0" w:space="0" w:color="auto"/>
        <w:left w:val="none" w:sz="0" w:space="0" w:color="auto"/>
        <w:bottom w:val="none" w:sz="0" w:space="0" w:color="auto"/>
        <w:right w:val="none" w:sz="0" w:space="0" w:color="auto"/>
      </w:divBdr>
    </w:div>
    <w:div w:id="1674533487">
      <w:bodyDiv w:val="1"/>
      <w:marLeft w:val="0"/>
      <w:marRight w:val="0"/>
      <w:marTop w:val="0"/>
      <w:marBottom w:val="0"/>
      <w:divBdr>
        <w:top w:val="none" w:sz="0" w:space="0" w:color="auto"/>
        <w:left w:val="none" w:sz="0" w:space="0" w:color="auto"/>
        <w:bottom w:val="none" w:sz="0" w:space="0" w:color="auto"/>
        <w:right w:val="none" w:sz="0" w:space="0" w:color="auto"/>
      </w:divBdr>
    </w:div>
    <w:div w:id="1761632475">
      <w:bodyDiv w:val="1"/>
      <w:marLeft w:val="0"/>
      <w:marRight w:val="0"/>
      <w:marTop w:val="0"/>
      <w:marBottom w:val="0"/>
      <w:divBdr>
        <w:top w:val="none" w:sz="0" w:space="0" w:color="auto"/>
        <w:left w:val="none" w:sz="0" w:space="0" w:color="auto"/>
        <w:bottom w:val="none" w:sz="0" w:space="0" w:color="auto"/>
        <w:right w:val="none" w:sz="0" w:space="0" w:color="auto"/>
      </w:divBdr>
    </w:div>
    <w:div w:id="1963997109">
      <w:bodyDiv w:val="1"/>
      <w:marLeft w:val="0"/>
      <w:marRight w:val="0"/>
      <w:marTop w:val="0"/>
      <w:marBottom w:val="0"/>
      <w:divBdr>
        <w:top w:val="none" w:sz="0" w:space="0" w:color="auto"/>
        <w:left w:val="none" w:sz="0" w:space="0" w:color="auto"/>
        <w:bottom w:val="none" w:sz="0" w:space="0" w:color="auto"/>
        <w:right w:val="none" w:sz="0" w:space="0" w:color="auto"/>
      </w:divBdr>
    </w:div>
    <w:div w:id="2009137898">
      <w:bodyDiv w:val="1"/>
      <w:marLeft w:val="0"/>
      <w:marRight w:val="0"/>
      <w:marTop w:val="0"/>
      <w:marBottom w:val="0"/>
      <w:divBdr>
        <w:top w:val="none" w:sz="0" w:space="0" w:color="auto"/>
        <w:left w:val="none" w:sz="0" w:space="0" w:color="auto"/>
        <w:bottom w:val="none" w:sz="0" w:space="0" w:color="auto"/>
        <w:right w:val="none" w:sz="0" w:space="0" w:color="auto"/>
      </w:divBdr>
    </w:div>
    <w:div w:id="2097507528">
      <w:bodyDiv w:val="1"/>
      <w:marLeft w:val="0"/>
      <w:marRight w:val="0"/>
      <w:marTop w:val="0"/>
      <w:marBottom w:val="0"/>
      <w:divBdr>
        <w:top w:val="none" w:sz="0" w:space="0" w:color="auto"/>
        <w:left w:val="none" w:sz="0" w:space="0" w:color="auto"/>
        <w:bottom w:val="none" w:sz="0" w:space="0" w:color="auto"/>
        <w:right w:val="none" w:sz="0" w:space="0" w:color="auto"/>
      </w:divBdr>
    </w:div>
    <w:div w:id="2110540937">
      <w:bodyDiv w:val="1"/>
      <w:marLeft w:val="0"/>
      <w:marRight w:val="0"/>
      <w:marTop w:val="0"/>
      <w:marBottom w:val="0"/>
      <w:divBdr>
        <w:top w:val="none" w:sz="0" w:space="0" w:color="auto"/>
        <w:left w:val="none" w:sz="0" w:space="0" w:color="auto"/>
        <w:bottom w:val="none" w:sz="0" w:space="0" w:color="auto"/>
        <w:right w:val="none" w:sz="0" w:space="0" w:color="auto"/>
      </w:divBdr>
    </w:div>
    <w:div w:id="21131600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2" Type="http://schemas.openxmlformats.org/officeDocument/2006/relationships/image" Target="media/rId32.png"/><Relationship Id="rId35" Type="http://schemas.openxmlformats.org/officeDocument/2006/relationships/image" Target="media/rId35.png"/><Relationship Id="rId42" Type="http://schemas.openxmlformats.org/officeDocument/2006/relationships/image" Target="media/rId42.png"/><Relationship Id="rId51" Type="http://schemas.openxmlformats.org/officeDocument/2006/relationships/image" Target="media/rId51.png"/><Relationship Id="rId79" Type="http://schemas.openxmlformats.org/officeDocument/2006/relationships/hyperlink" Target="https://c4model.com/" TargetMode="External"/><Relationship Id="rId70" Type="http://schemas.openxmlformats.org/officeDocument/2006/relationships/hyperlink" Target="https://docs.oasis-open.org/soa-rm/soa-ra/v1.0/cs01/soa-ra-v1.0-cs01.pdf" TargetMode="External"/><Relationship Id="rId72" Type="http://schemas.openxmlformats.org/officeDocument/2006/relationships/hyperlink" Target="https://eur-lex.europa.eu/eli/reg/2024/903/oj" TargetMode="External"/><Relationship Id="rId75" Type="http://schemas.openxmlformats.org/officeDocument/2006/relationships/hyperlink" Target="https://vanban.chinhphu.vn/?classid=0&amp;docid=214306&amp;pageid=27160" TargetMode="External"/><Relationship Id="rId69" Type="http://schemas.openxmlformats.org/officeDocument/2006/relationships/hyperlink" Target="https://vanban.chinhphu.vn/?classid=0&amp;docid=215785&amp;pageid=27160" TargetMode="External"/><Relationship Id="rId74" Type="http://schemas.openxmlformats.org/officeDocument/2006/relationships/hyperlink" Target="https://vanban.chinhphu.vn/?classid=1&amp;docid=210491&amp;pageid=27160" TargetMode="External"/><Relationship Id="rId78" Type="http://schemas.openxmlformats.org/officeDocument/2006/relationships/hyperlink" Target="https://vanban.chinhphu.vn/?classid=1&amp;docid=212488&amp;pageid=27160&amp;typegroupid=3" TargetMode="External"/><Relationship Id="rId76" Type="http://schemas.openxmlformats.org/officeDocument/2006/relationships/hyperlink" Target="https://vanban.chinhphu.vn/?classid=1&amp;docid=214590&amp;pageid=27160&amp;typegroup=" TargetMode="External"/><Relationship Id="rId66" Type="http://schemas.openxmlformats.org/officeDocument/2006/relationships/hyperlink" Target="https://vanban.chinhphu.vn/?classid=1&amp;docid=215663&amp;orggroupid=2&amp;pageid=27160" TargetMode="External"/><Relationship Id="rId77" Type="http://schemas.openxmlformats.org/officeDocument/2006/relationships/hyperlink" Target="https://vanban.chinhphu.vn/?classid=1&amp;docid=216387&amp;pageid=27160" TargetMode="External"/><Relationship Id="rId73" Type="http://schemas.openxmlformats.org/officeDocument/2006/relationships/hyperlink" Target="https://vanban.chinhphu.vn/?docid=215682&amp;pageid=27160" TargetMode="External"/><Relationship Id="rId67" Type="http://schemas.openxmlformats.org/officeDocument/2006/relationships/hyperlink" Target="https://vietnamstijournal.net/index.php/JSTPM/article/view/534" TargetMode="External"/><Relationship Id="rId68" Type="http://schemas.openxmlformats.org/officeDocument/2006/relationships/hyperlink" Target="https://www.iso.org/standard/74393.html" TargetMode="External"/><Relationship Id="rId80" Type="http://schemas.openxmlformats.org/officeDocument/2006/relationships/hyperlink" Target="https://www.opengroup.org/archimate-licensed-downloads" TargetMode="External"/><Relationship Id="rId71" Type="http://schemas.openxmlformats.org/officeDocument/2006/relationships/hyperlink" Target="https://www.sei.cmu.edu/documents/1960/2000_004_001_13679.pdf" TargetMode="Externa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image" Target="media/image1.png"/></Relationships>
</file>

<file path=word/_rels/footnotes.xml.rels><?xml version='1.0' encoding='UTF-8' standalone='yes'?>
<Relationships xmlns="http://schemas.openxmlformats.org/package/2006/relationships"><Relationship Id="rId79" Type="http://schemas.openxmlformats.org/officeDocument/2006/relationships/hyperlink" Target="https://c4model.com/" TargetMode="External"/><Relationship Id="rId70" Type="http://schemas.openxmlformats.org/officeDocument/2006/relationships/hyperlink" Target="https://docs.oasis-open.org/soa-rm/soa-ra/v1.0/cs01/soa-ra-v1.0-cs01.pdf" TargetMode="External"/><Relationship Id="rId72" Type="http://schemas.openxmlformats.org/officeDocument/2006/relationships/hyperlink" Target="https://eur-lex.europa.eu/eli/reg/2024/903/oj" TargetMode="External"/><Relationship Id="rId75" Type="http://schemas.openxmlformats.org/officeDocument/2006/relationships/hyperlink" Target="https://vanban.chinhphu.vn/?classid=0&amp;docid=214306&amp;pageid=27160" TargetMode="External"/><Relationship Id="rId69" Type="http://schemas.openxmlformats.org/officeDocument/2006/relationships/hyperlink" Target="https://vanban.chinhphu.vn/?classid=0&amp;docid=215785&amp;pageid=27160" TargetMode="External"/><Relationship Id="rId74" Type="http://schemas.openxmlformats.org/officeDocument/2006/relationships/hyperlink" Target="https://vanban.chinhphu.vn/?classid=1&amp;docid=210491&amp;pageid=27160" TargetMode="External"/><Relationship Id="rId78" Type="http://schemas.openxmlformats.org/officeDocument/2006/relationships/hyperlink" Target="https://vanban.chinhphu.vn/?classid=1&amp;docid=212488&amp;pageid=27160&amp;typegroupid=3" TargetMode="External"/><Relationship Id="rId76" Type="http://schemas.openxmlformats.org/officeDocument/2006/relationships/hyperlink" Target="https://vanban.chinhphu.vn/?classid=1&amp;docid=214590&amp;pageid=27160&amp;typegroup=" TargetMode="External"/><Relationship Id="rId66" Type="http://schemas.openxmlformats.org/officeDocument/2006/relationships/hyperlink" Target="https://vanban.chinhphu.vn/?classid=1&amp;docid=215663&amp;orggroupid=2&amp;pageid=27160" TargetMode="External"/><Relationship Id="rId77" Type="http://schemas.openxmlformats.org/officeDocument/2006/relationships/hyperlink" Target="https://vanban.chinhphu.vn/?classid=1&amp;docid=216387&amp;pageid=27160" TargetMode="External"/><Relationship Id="rId73" Type="http://schemas.openxmlformats.org/officeDocument/2006/relationships/hyperlink" Target="https://vanban.chinhphu.vn/?docid=215682&amp;pageid=27160" TargetMode="External"/><Relationship Id="rId67" Type="http://schemas.openxmlformats.org/officeDocument/2006/relationships/hyperlink" Target="https://vietnamstijournal.net/index.php/JSTPM/article/view/534" TargetMode="External"/><Relationship Id="rId68" Type="http://schemas.openxmlformats.org/officeDocument/2006/relationships/hyperlink" Target="https://www.iso.org/standard/74393.html" TargetMode="External"/><Relationship Id="rId80" Type="http://schemas.openxmlformats.org/officeDocument/2006/relationships/hyperlink" Target="https://www.opengroup.org/archimate-licensed-downloads" TargetMode="External"/><Relationship Id="rId71" Type="http://schemas.openxmlformats.org/officeDocument/2006/relationships/hyperlink" Target="https://www.sei.cmu.edu/documents/1960/2000_004_001_1367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1795</TotalTime>
  <Pages>28</Pages>
  <Words>10056</Words>
  <Characters>57323</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tham chiếu tỉnh--trung ương cho nền tảng số quản lý doanh nghiệp khoa học và công nghệ và doanh nghiệp khởi nghiệp sáng tạo</dc:title>
  <dc:creator/>
  <cp:keywords>VJST; kiến trúc tham chiếu; doanh nghiệp khoa học và công nghệ; khởi nghiệp sáng tạo</cp:keywords>
  <dcterms:created xsi:type="dcterms:W3CDTF">2026-08-10T09:18:26Z</dcterms:created>
  <dcterms:modified xsi:type="dcterms:W3CDTF">2026-08-10T09:18:26Z</dcterms:modified>
  <dc:subject>Software reference architecture; design principles; conformance evidence; logical deployment view</dc:subject>
</cp:coreProperties>
</file>

<file path=docProps/custom.xml><?xml version="1.0" encoding="utf-8"?>
<Properties xmlns="http://schemas.openxmlformats.org/officeDocument/2006/custom-properties" xmlns:vt="http://schemas.openxmlformats.org/officeDocument/2006/docPropsVTypes"/>
</file>