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val="0"/>
        <w:keepLines w:val="0"/>
        <w:widowControl/>
        <w:spacing w:before="60" w:after="60" w:line="288" w:lineRule="auto"/>
        <w:ind/>
        <w:jc w:val="center"/>
      </w:pPr>
      <w:r>
        <w:rPr>
          <w:rFonts w:ascii="Times New Roman" w:hAnsi="Times New Roman" w:eastAsia="Times New Roman" w:cs="Times New Roman"/>
          <w:b/>
          <w:i w:val="0"/>
          <w:sz w:val="26"/>
          <w:u w:val="none"/>
        </w:rPr>
        <w:t>Kiến trúc tham chiếu tỉnh–trung ương cho nền tảng số quản lý doanh nghiệp khoa học và công nghệ và doanh nghiệp khởi nghiệp sáng tạo</w:t>
      </w:r>
    </w:p>
    <w:p>
      <w:pPr>
        <w:pStyle w:val="BodyText"/>
        <w:keepNext w:val="0"/>
        <w:keepLines w:val="0"/>
        <w:widowControl/>
        <w:spacing w:before="60" w:after="60" w:line="288" w:lineRule="auto"/>
        <w:ind/>
        <w:jc w:val="center"/>
      </w:pPr>
      <w:r>
        <w:rPr>
          <w:rFonts w:ascii="Times New Roman" w:hAnsi="Times New Roman" w:eastAsia="Times New Roman" w:cs="Times New Roman"/>
          <w:b/>
          <w:i w:val="0"/>
          <w:sz w:val="26"/>
          <w:u w:val="none"/>
        </w:rPr>
        <w:t>Nguyễn Đình Quảng¹, Nguyễn Huy Cường²*</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¹Khoa Công nghệ thông tin, Học viện Công nghệ Bưu chính viễn thông,</w:t>
        <w:br/>
        <w:t>96A Trần Phú, phường Hà Đông, Hà Nội, Việt Nam</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²Trung tâm Phát triển doanh nghiệp khoa học và công nghệ, Cục Khởi nghiệp và Doanh nghiệp công nghệ, Bộ Khoa học và Công nghệ, 115 Trần Duy Hưng, phường Yên Hòa, Hà Nội, Việt Nam</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Tóm tắt:</w:t>
      </w:r>
    </w:p>
    <w:p>
      <w:pPr>
        <w:pStyle w:val="BodyText"/>
        <w:keepNext w:val="0"/>
        <w:keepLines w:val="0"/>
        <w:widowControl/>
        <w:spacing w:before="60" w:after="60" w:line="288" w:lineRule="auto"/>
        <w:ind/>
        <w:jc w:val="both"/>
      </w:pPr>
      <w:r>
        <w:rPr>
          <w:rFonts w:ascii="Times New Roman" w:hAnsi="Times New Roman" w:eastAsia="Times New Roman"/>
          <w:sz w:val="26"/>
        </w:rPr>
        <w:t>Quản lý doanh nghiệp khoa học và công nghệ (DN KH&amp;CN) và doanh nghiệp khởi nghiệp sáng tạo (DN KNST) cần sử dụng dữ liệu đa nguồn, trong khi dữ liệu thực tế còn phân tán và không đồng đều về độ đầy đủ, chất lượng. Theo nghiên cứu khoa học thiết kế (Design Science Research, DSR), bài vận dụng các khung kiến trúc, dữ liệu và liên thông hiện hành - không đề xuất một chuẩn mới - để xây dựng kiến trúc tham chiếu phần mềm (SRA) tỉnh–trung ương cho nền tảng chuyên ngành. SRA tổ chức tiếp nhận/thu thập, kiểm tra–chuẩn hóa, đối soát nguồn có thẩm quyền, đồng bộ/tổng hợp dữ liệu mà không thay thế hệ thống nguồn hay dịch vụ công. Từ 16 tài liệu, nghiên cứu xác lập 116 đơn vị nguồn và 128 dòng truy vết, trong đó 114 dòng từ nguồn hiện hành/có thẩm quyền. Lõi kiến trúc gắn quyền ghi với thẩm quyền và thời gian hiệu lực, xác định nguồn theo nhóm thuộc tính, bảo toàn provenance và để mở topology triển khai. Mười kịch bản trước triển khai phát hiện hai khoảng trống về chuyển quyền ghi theo thời gian và cùng tồn tại phiên bản; sau tinh chỉnh, hậu kiểm bằng cùng rubric cho 2 kịch bản đáp ứng trực tiếp, 8 đáp ứng có điều kiện và không còn rủi ro L2 chưa hấp thụ trong bộ kịch bản đã chọn. Kết quả là kiểm chứng kiến trúc trước triển khai; nguyên mẫu và thí điểm vẫn cần thiết để kiểm thử liên thông, chất lượng dữ liệu, đồng bộ, an toàn và phản hồi vận hành.</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Từ khóa:</w:t>
      </w:r>
      <w:r>
        <w:rPr>
          <w:rFonts w:ascii="Times New Roman" w:hAnsi="Times New Roman" w:eastAsia="Times New Roman" w:cs="Times New Roman"/>
          <w:b/>
          <w:sz w:val="26"/>
        </w:rPr>
        <w:t xml:space="preserve"> doanh nghiệp khoa học và công nghệ, thẩm quyền dữ liệu, kiến trúc tham chiếu, khởi nghiệp sáng tạo, liên thông hệ thống, quy trình có thể cấu hình.</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Chỉ số phân loại:</w:t>
      </w:r>
      <w:r>
        <w:rPr>
          <w:rFonts w:ascii="Times New Roman" w:hAnsi="Times New Roman" w:eastAsia="Times New Roman" w:cs="Times New Roman"/>
          <w:b/>
          <w:sz w:val="26"/>
        </w:rPr>
        <w:t xml:space="preserve"> 1.2, 2.2</w:t>
      </w:r>
    </w:p>
    <w:p>
      <w:pPr>
        <w:keepLines/>
        <w:spacing w:before="1560" w:after="0" w:line="240" w:lineRule="auto"/>
        <w:jc w:val="left"/>
        <w:pBdr>
          <w:top w:val="single" w:sz="4" w:space="1" w:color="000000"/>
        </w:pBdr>
      </w:pPr>
      <w:r>
        <w:rPr>
          <w:rFonts w:ascii="Times New Roman" w:hAnsi="Times New Roman" w:eastAsia="Times New Roman" w:cs="Times New Roman"/>
          <w:i/>
          <w:sz w:val="18"/>
        </w:rPr>
        <w:t>* Tác giả liên hệ: Email: nguyenhuycuong@mst.gov.vn</w:t>
      </w:r>
    </w:p>
    <w:p>
      <w:pPr>
        <w:pStyle w:val="BodyText"/>
        <w:keepNext w:val="0"/>
        <w:keepLines w:val="0"/>
        <w:pageBreakBefore/>
        <w:widowControl/>
        <w:spacing w:before="60" w:after="60" w:line="288" w:lineRule="auto"/>
        <w:ind/>
        <w:jc w:val="center"/>
      </w:pPr>
      <w:r>
        <w:rPr>
          <w:rFonts w:ascii="Times New Roman" w:hAnsi="Times New Roman" w:eastAsia="Times New Roman" w:cs="Times New Roman"/>
          <w:b/>
          <w:i w:val="0"/>
          <w:sz w:val="26"/>
          <w:u w:val="none"/>
        </w:rPr>
        <w:t>A provincial–central reference architecture for a digital platform managing science and technology enterprises and innovative startups</w:t>
      </w:r>
    </w:p>
    <w:p>
      <w:pPr>
        <w:pStyle w:val="BodyText"/>
        <w:keepNext w:val="0"/>
        <w:keepLines w:val="0"/>
        <w:widowControl/>
        <w:spacing w:before="60" w:after="60" w:line="288" w:lineRule="auto"/>
        <w:ind/>
        <w:jc w:val="center"/>
      </w:pPr>
      <w:r>
        <w:rPr>
          <w:rFonts w:ascii="Times New Roman" w:hAnsi="Times New Roman" w:eastAsia="Times New Roman" w:cs="Times New Roman"/>
          <w:b/>
          <w:i w:val="0"/>
          <w:sz w:val="26"/>
          <w:u w:val="none"/>
        </w:rPr>
        <w:t>Dinh Quang Nguyen¹, Huy Cuong Nguyen²*</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¹Faculty of Information Technology, Posts and Telecommunications Institute of Technology, 96A Tran Phu Street, Ha Dong Ward, Hanoi, Vietnam</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²Technology and Science Enterprise Development Center, National Agency for Technology Entrepreneurship and Commercialization, Ministry of Science and Technology, 115 Tran Duy Hung Street, Yen Hoa Ward, Hanoi, Vietnam</w:t>
      </w:r>
    </w:p>
    <w:p>
      <w:pPr>
        <w:pStyle w:val="BodyText"/>
        <w:keepNext w:val="0"/>
        <w:keepLines w:val="0"/>
        <w:widowControl/>
        <w:spacing w:before="60" w:after="60" w:line="288" w:lineRule="auto"/>
        <w:ind/>
        <w:jc w:val="both"/>
      </w:pPr>
      <w:r>
        <w:rPr>
          <w:rFonts w:ascii="Times New Roman" w:hAnsi="Times New Roman" w:eastAsia="Times New Roman" w:cs="Times New Roman"/>
          <w:b w:val="0"/>
          <w:i/>
          <w:sz w:val="26"/>
          <w:u w:val="single"/>
        </w:rPr>
        <w:t>Abstract:</w:t>
      </w:r>
    </w:p>
    <w:p>
      <w:pPr>
        <w:pStyle w:val="BodyText"/>
        <w:keepNext w:val="0"/>
        <w:keepLines w:val="0"/>
        <w:widowControl/>
        <w:spacing w:before="60" w:after="60" w:line="288" w:lineRule="auto"/>
        <w:ind/>
        <w:jc w:val="both"/>
      </w:pPr>
      <w:r>
        <w:rPr>
          <w:rFonts w:ascii="Times New Roman" w:hAnsi="Times New Roman" w:eastAsia="Times New Roman"/>
          <w:sz w:val="26"/>
        </w:rPr>
        <w:t>Managing science and technology enterprises (STEs) and innovative startups requires multi-source data that remain fragmented and uneven in completeness and quality. Following Design Science Research (DSR), this study applies current architecture, data-governance and interoperability frameworks - rather than proposing a new standard - to a provincial–central software reference architecture (SRA) for the domain platform. The SRA organizes data intake/collection, validation and standardization, reconciliation with authoritative sources, synchronization and aggregation without replacing existing source systems or public services. Sixteen documents yielded 116 source units and 128 traceability rows, including 114 from current or authoritative sources. The architecture binds write authority to jurisdiction and effective time, assigns authoritative sources by attribute group, preserves provenance and keeps deployment topology open. Ten pre-implementation scenarios exposed gaps in temporal write-authority transfer and version coexistence; after refinement, the same-rubric check yielded two directly supported and eight conditionally supported scenarios, with no remaining L2-unabsorbed risk within the selected set. The result is pre-deployment architecture verification; prototypes and pilot use are still required to test interoperability, data quality, synchronization, security and operational feedback.</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Keywords:</w:t>
      </w:r>
      <w:r>
        <w:rPr>
          <w:rFonts w:ascii="Times New Roman" w:hAnsi="Times New Roman" w:eastAsia="Times New Roman" w:cs="Times New Roman"/>
          <w:b/>
          <w:sz w:val="26"/>
        </w:rPr>
        <w:t xml:space="preserve"> configurable workflow, data authority, innovative startups, interoperability, reference architecture, science and technology enterprises.</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Classification numbers:</w:t>
      </w:r>
      <w:r>
        <w:rPr>
          <w:rFonts w:ascii="Times New Roman" w:hAnsi="Times New Roman" w:eastAsia="Times New Roman" w:cs="Times New Roman"/>
          <w:b/>
          <w:sz w:val="26"/>
        </w:rPr>
        <w:t xml:space="preserve"> 1.2, 2.2</w:t>
      </w:r>
    </w:p>
    <w:bookmarkStart w:id="20" w:name="giới-thiệu"/>
    <w:p>
      <w:pPr>
        <w:pStyle w:val="Heading1"/>
        <w:keepNext/>
        <w:keepLines w:val="0"/>
        <w:pageBreakBefore/>
        <w:widowControl/>
        <w:spacing w:before="60" w:after="60" w:line="288" w:lineRule="auto"/>
        <w:jc w:val="left"/>
      </w:pPr>
      <w:r>
        <w:rPr>
          <w:rFonts w:ascii="Times New Roman" w:hAnsi="Times New Roman" w:eastAsia="Times New Roman" w:cs="Times New Roman"/>
          <w:b/>
          <w:i w:val="0"/>
          <w:sz w:val="26"/>
          <w:u w:val="none"/>
        </w:rPr>
        <w:t>1. Giới thiệu</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Quản lý DN KH&amp;CN và DN KNST không bắt đầu từ một không gian dữ liệu thống nhất. Dữ liệu liên quan được hình thành qua nghiệp vụ địa phương, hệ thống thủ tục hành chính/dịch vụ công, CSDL quốc gia về doanh nghiệp và các nguồn KH&amp;CN/chuyên ngành; nghiên cứu trước đã nhận diện phân mảnh dữ liệu và khoảng cách giữa chính sách với vận hành như một vấn đề của hệ sinh thái [2, pp. 47-48]. Trong thực tế mà kiến trúc hướng tới, khoảng trống không chỉ nằm ở vị trí lưu trữ: dữ liệu còn thiếu, trùng hoặc không đồng đều về chất lượng, nên một phần thông tin phải được bổ sung từ chính doanh nghiệp và các đầu mối KH&amp;CN gần cơ sở. Công trình trước đã đề xuất cán bộ KH&amp;CN cấp xã/phường như nhóm người dùng hỗ trợ nhận diện và thu thập dữ liệu, nhưng không làm thay đổi thẩm quyền công nhận thuộc cấp tỉnh [2, p. 49]. Trong khi đó, Nghị định số 268/2025/NĐ-CP đặt phần lớn nghiệp vụ công nhận, chứng nhận ở cấp tỉnh nhưng đồng thời yêu cầu cập nhật, thông báo và tổng hợp liên cấp: khoản 1 Điều 48 xác lập thẩm quyền của Ủy ban nhân dân cấp tỉnh đối với Giấy chứng nhận DN KH&amp;CN; khoản 3 Điều 48 yêu cầu cập nhật định kỳ dữ liệu liên quan lên Nền tảng số quản lý KH,CN&amp;ĐMST quốc gia; khoản 2 Điều 66 quy định nghĩa vụ thông báo cho Bộ Khoa học và Công nghệ trong thời hạn 15 ngày [1]. Bài toán kiến trúc vì vậy là tổ chức thu thập, làm sạch/chuẩn hóa, đồng bộ và khai thác dữ liệu đa nguồn mà vẫn bảo toàn thẩm quyền nghiệp vụ và vai trò của các hệ thống hiện hữu.</w:t>
      </w:r>
    </w:p>
    <w:p>
      <w:pPr>
        <w:pStyle w:val="BodyText"/>
        <w:keepNext w:val="0"/>
        <w:keepLines w:val="0"/>
        <w:widowControl/>
        <w:spacing w:before="60" w:after="60" w:line="288" w:lineRule="auto"/>
        <w:ind w:firstLine="720"/>
        <w:jc w:val="both"/>
      </w:pPr>
      <w:r>
        <w:rPr>
          <w:rFonts w:ascii="Times New Roman" w:hAnsi="Times New Roman" w:eastAsia="Times New Roman"/>
          <w:sz w:val="26"/>
        </w:rPr>
        <w:t>Nghiên cứu trước của nhóm tác giả đã mã hóa yêu cầu chức năng, tổ chức một khung nền tảng sáu lớp và minh họa kiến trúc C4 ở mức vùng chứa [2, pp. 54, 58-59]. Công trình đó cung cấp bối cảnh về phân mảnh dữ liệu và nhu cầu liên kết hệ sinh thái nhưng chưa giải quyết kiến trúc thu thập–chuẩn hóa–đồng bộ dữ liệu tỉnh–trung ương theo các khung dữ liệu mới. Bài hiện tại không tái sử dụng các yêu cầu chức năng, sáu lớp hay hình của công trình đó để tổng hợp kiến trúc; nghiên cứu trước chỉ được dùng để xác lập bối cảnh và ranh giới đóng góp. Khác biệt cốt lõi được tóm tắt ở Bảng 1.</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1. Ranh giới giữa nghiên cứu trước và nghiên cứu hiện tại</w:t>
      </w:r>
    </w:p>
    <w:tbl>
      <w:tblPr>
        <w:tblStyle w:val="TableGrid"/>
        <w:tblW w:type="auto" w:w="0"/>
        <w:jc w:val="center"/>
        <w:tblLayout w:type="fixed"/>
        <w:tblLook w:firstRow="0" w:lastRow="0" w:firstColumn="0" w:lastColumn="0" w:noHBand="0" w:noVBand="0" w:val="0000"/>
        <w:tblCaption w:val="Ranh giới giữa nghiên cứu trước và nghiên cứu hiện tại"/>
      </w:tblPr>
      <w:tblGrid>
        <w:gridCol w:w="2640"/>
        <w:gridCol w:w="2640"/>
        <w:gridCol w:w="2640"/>
      </w:tblGrid>
      <w:tr>
        <w:trPr>
          <w:tblHeader w:val="true"/>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19"/>
              </w:rPr>
              <w:t xml:space="preserve">Chiều so sánh</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19"/>
              </w:rPr>
              <w:t xml:space="preserve">Nghiên cứu trước</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19"/>
              </w:rPr>
              <w:t xml:space="preserve">Nghiên cứu hiện tại</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Trọng tâm</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Yêu cầu của NĐ 268, đối sánh kinh nghiệm và khung nền tảng số phục vụ quản trị hệ sinh thái.</w:t>
            </w:r>
          </w:p>
        </w:tc>
        <w:tc>
          <w:tcPr>
            <w:tcW w:type="dxa" w:w="3911"/>
            <w:vAlign w:val="center"/>
            <w:tcMar>
              <w:top w:w="70" w:type="dxa"/>
              <w:start w:w="90" w:type="dxa"/>
              <w:bottom w:w="70" w:type="dxa"/>
              <w:end w:w="90" w:type="dxa"/>
            </w:tcMar>
          </w:tcPr>
          <w:p>
            <w:pPr>
              <w:pStyle w:val="Compact"/>
              <w:jc w:val="left"/>
            </w:pPr>
            <w:r>
              <w:rPr>
                <w:rFonts w:ascii="Times New Roman" w:hAnsi="Times New Roman" w:eastAsia="Times New Roman"/>
                <w:b w:val="0"/>
                <w:sz w:val="19"/>
              </w:rPr>
              <w:t>Lõi/điểm biến thiên của SRA tỉnh–trung ương; thu thập–chuẩn hóa–liên thông dữ liệu; thẩm quyền dữ liệu và đánh đổi của một profile đánh giá.</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Bằng chứng và phương pháp</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23 tài liệu thứ cấp; nghiên cứu khái niệm, phân tích chính sách và đối sánh quốc tế.</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16 tài liệu khóa ngày 08/08/2026; 116 đơn vị nguồn; DSR và chuỗi truy vết từ ràng buộc tới quyết định kiến trúc.</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Sản phẩm</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Khung sáu lớp, bốn nhóm người dùng và luồng dữ liệu đa cấp.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SRA đa góc nhìn; mô hình thẩm quyền dữ liệu; ranh giới liên thông; lõi ổn định và điểm biến thiên.</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Đánh giá</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Đối chiếu mức phù hợp chính sách/kinh nghiệm; chưa khảo sát hoặc thí điểm.</w:t>
            </w:r>
          </w:p>
        </w:tc>
        <w:tc>
          <w:tcPr>
            <w:tcW w:type="dxa" w:w="3911"/>
            <w:vAlign w:val="center"/>
            <w:tcMar>
              <w:top w:w="70" w:type="dxa"/>
              <w:start w:w="90" w:type="dxa"/>
              <w:bottom w:w="70" w:type="dxa"/>
              <w:end w:w="90" w:type="dxa"/>
            </w:tcMar>
          </w:tcPr>
          <w:p>
            <w:pPr>
              <w:pStyle w:val="Compact"/>
              <w:jc w:val="left"/>
            </w:pPr>
            <w:r>
              <w:rPr>
                <w:rFonts w:ascii="Times New Roman" w:hAnsi="Times New Roman" w:eastAsia="Times New Roman"/>
                <w:b w:val="0"/>
                <w:sz w:val="19"/>
              </w:rPr>
              <w:t>Mười kịch bản stress-test một profile đánh giá, tinh chỉnh kiến trúc và hậu kiểm bằng cùng rubric.</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Về nền tảng học thuật, SRA cung cấp một cấu trúc tổng quát cho một lớp hệ thống [3], còn ISO/IEC/IEEE 42010:2022 đặt mô tả kiến trúc trong quan hệ giữa bên liên quan, mối quan tâm, góc nhìn và mô hình [4]. Nghiên cứu hệ sinh thái phần mềm và đổi mới số cho thấy các chủ thể tự chủ cần phối hợp quanh một hạ tầng hoặc nền tảng chung [5, 6]; truy vết yêu cầu giúp duy trì quan hệ giữa căn cứ nguồn và các tạo tác kỹ thuật [7, 8]. Trong bối cảnh Việt Nam, các khung kiến trúc và dữ liệu quốc gia/chuyên ngành đã tạo hệ quy chiếu cho kiến trúc, quản trị dữ liệu và tích hợp [9, 10, 11], trong khi EIF cung cấp một khung phân tích liên thông theo các lớp pháp lý, tổ chức, ngữ nghĩa và kỹ thuật [12, Hình 3, p. 22; pp. 27-30]. Đồng thời, các nghiên cứu về hệ sinh thái khởi nghiệp cho thấy quan hệ kinh tế–đổi mới có thể vượt địa giới hành chính [13, pp. 27-28]; [14, pp. 1483-1484]. Các nền tảng này được phân tích sâu hơn ở Mục 2; khoảng trống của bài nằm ở cách kết hợp chúng thành một kiến trúc tỉnh–trung ương mà không đồng nhất thẩm quyền với topology lưu trữ.</w:t>
      </w:r>
    </w:p>
    <w:p>
      <w:pPr>
        <w:pStyle w:val="BodyText"/>
        <w:keepNext w:val="0"/>
        <w:keepLines w:val="0"/>
        <w:widowControl/>
        <w:spacing w:before="60" w:after="60" w:line="288" w:lineRule="auto"/>
        <w:ind w:firstLine="720"/>
        <w:jc w:val="both"/>
      </w:pPr>
      <w:r>
        <w:rPr>
          <w:rFonts w:ascii="Times New Roman" w:hAnsi="Times New Roman" w:eastAsia="Times New Roman"/>
          <w:sz w:val="26"/>
        </w:rPr>
        <w:t>Từ khoảng trống đó, nghiên cứu trả lời ba câu hỏi: (i) SRA cần tổ chức các năng lực tiếp nhận, chuẩn hóa và quản trị dữ liệu như thế nào để kết nối các nguồn hiện hữu mà không tạo thêm một hệ thống dịch vụ công hoặc CSDL pháp lý song song; (ii) thẩm quyền dữ liệu và ranh giới trách nhiệm cần được biểu diễn thế nào để quyền ghi bám phạm vi/thời gian hiệu lực, dữ liệu được đồng bộ/tổng hợp nhưng vẫn giữ nguồn gốc; và (iii) một profile đánh giá phân tán của SRA bộc lộ những điều kiện, rủi ro và đánh đổi nào khi được thử thách bởi thay đổi quy định, gián đoạn, tổng hợp toàn quốc, quan hệ xuyên tỉnh, chuyển giao thẩm quyền và nâng cấp không đồng thời.</w:t>
      </w:r>
    </w:p>
    <w:p>
      <w:pPr>
        <w:pStyle w:val="BodyText"/>
        <w:keepNext w:val="0"/>
        <w:keepLines w:val="0"/>
        <w:widowControl/>
        <w:spacing w:before="60" w:after="60" w:line="288" w:lineRule="auto"/>
        <w:ind w:firstLine="720"/>
        <w:jc w:val="both"/>
      </w:pPr>
      <w:r>
        <w:rPr>
          <w:rFonts w:ascii="Times New Roman" w:hAnsi="Times New Roman" w:eastAsia="Times New Roman"/>
          <w:sz w:val="26"/>
        </w:rPr>
        <w:t>Bài đóng góp ba kết quả chính trong phạm vi nền tảng quản lý DN KH&amp;CN và DN KNST. Thứ nhất, một SRA đa góc nhìn chuyển các yêu cầu của các khung kiến trúc, dữ liệu và liên thông hiện hành thành biên trách nhiệm cụ thể giữa nền tảng, hệ thống thủ tục hành chính/dịch vụ công, CSDL quốc gia và các nguồn chuyên ngành; lõi ổn định được tách khỏi lựa chọn hiện thực hóa để không khóa một topology hay sản phẩm công nghệ cụ thể. Thứ hai, một mô hình dữ liệu–liên thông chuyên ngành kết hợp thẩm quyền theo nhóm thuộc tính và thời gian với provenance và trách nhiệm đồng bộ/tổng hợp; chuỗi tiếp nhận, kiểm tra–chuẩn hóa và đối soát là cách áp dụng các yêu cầu hiện hành vào dữ liệu thực tế, không phải một chuẩn mới do nghiên cứu đề xuất. Thứ ba, một quy trình tổng hợp và đánh giá có truy vết: 16 tài liệu tạo 116 đơn vị nguồn và 128 dòng truy vết; kiến trúc ứng viên được thử thách bằng mười kịch bản, tinh chỉnh khi phát hiện khoảng trống và hậu kiểm bằng cùng rubric. Profile P-DIST chỉ là cấu hình đánh giá do nghiên cứu lựa chọn để quan sát đánh đổi của phương án phân tán; kết quả không phải bằng chứng thực nghiệm về hiệu năng hoặc tính ưu việt của một hệ thống đã vận hành.</w:t>
      </w:r>
    </w:p>
    <w:bookmarkEnd w:id="20"/>
    <w:bookmarkStart w:id="24" w:name="cơ-sở-nghiên-cứu-và-định-vị-kiến-trúc"/>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2. Cơ sở nghiên cứu và định vị kiến trúc</w:t>
      </w:r>
    </w:p>
    <w:bookmarkStart w:id="21" w:name="Xb8ad4937076b42b6ab0fb113c0589bc90fde862"/>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2.1. Kiến trúc tham chiếu, hệ sinh thái nhiều chủ thể và truy vết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Kiến trúc tham chiếu phần mềm (SRA) mô tả kiến trúc tổng quát cho một lớp hệ thống, thay vì một cấu hình triển khai cụ thể [3]. OASIS SOA-RAF cũng xem kiến trúc tham chiếu là tập phần tử trừu tượng của một miền, độc lập với sản phẩm và đặc biệt quan tâm tới tương tác qua ranh giới sở hữu [15, pp. 9-14]. Theo ISO/IEC/IEEE 42010:2022, mô tả kiến trúc được tổ chức theo bên liên quan, mối quan tâm, góc nhìn và mô hình [4]. Vì vậy, nghiên cứu này coi SRA là tập các quyết định và bất biến cần được bảo toàn qua nhiều hiện thực hóa, còn topology lưu trữ, cơ chế tích hợp và công nghệ thực thi là các lựa chọn có thể biến thiên.</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tiếp cận này đặc biệt phù hợp với hệ sinh thái phần mềm nhiều chủ thể. SRA có thể đóng vai trò điều phối cả quan hệ kỹ thuật và tổ chức giữa các thành phần tự chủ [16]; các nghiên cứu về hệ sinh thái nhiều nhà cung cấp cũng sử dụng kiến trúc tham chiếu để làm rõ vai trò, giao diện và cách ánh xạ các cấu hình thực tế vào một cấu trúc chung [17]. Trong bài toán tỉnh–trung ương, các tỉnh, nền tảng quốc gia và CSDL chuyên ngành có chủ thể vận hành khác nhau, nên kiến trúc cần mô tả rõ trách nhiệm và thẩm quyền mà không đồng nhất chúng với vị trí vật lý của dữ liệu.</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Truy vết được dùng để nối căn cứ chuẩn tắc với quyết định kiến trúc. Breaux và cộng sự cho thấy quyền và nghĩa vụ trong quy định cần được trích xuất và căn chỉnh với yêu cầu hệ thống [18]; các nghiên cứu gần đây tiếp tục nhấn mạnh việc đưa tuân thủ vào kỹ nghệ yêu cầu từ sớm [8]. Nghiên cứu vì vậy sử dụng chuỗi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nguồn/vị trí</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ràng buộc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quyết định hoặc thành phần kiến trúc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tiêu chí kiểm tra</w:t>
      </w:r>
      <w:r>
        <w:rPr>
          <w:rFonts w:ascii="Times New Roman" w:hAnsi="Times New Roman" w:eastAsia="Times New Roman" w:cs="Times New Roman"/>
          <w:sz w:val="26"/>
        </w:rPr>
        <w:t xml:space="preserve">. Đánh giá kiến trúc được thực hiện bằng các kịch bản nhằm làm lộ rủi ro, điểm nhạy và đánh đổi; cách tiếp cận này lấy cảm hứng từ ATAM nhưng không tuyên bố thực hiện đầy đủ quy trình ATAM [19, pp. 3, 5-7].</w:t>
      </w:r>
    </w:p>
    <w:bookmarkEnd w:id="21"/>
    <w:bookmarkStart w:id="22" w:name="Xa3de7d4167a6c4501d5848e8f79eed8afc713c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2.2. Liên thông và quản trị dữ liệu như ràng buộc thiết kế</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Khung liên thông châu Âu (EIF) phân biệt bốn lớp pháp lý, tổ chức, ngữ nghĩa và kỹ thuật [12, Hình 3, p. 22; pp. 27-30]; Quy định (EU) 2024/903 tiếp tục sử dụng EIF như một công cụ hỗ trợ đánh giá liên thông [20]. Trong nghiên cứu này, EIF chỉ là khung phân tích phương pháp. Ở Việt Nam, QĐ 292/QĐ-BKHCN tổ chức kiến trúc theo các mô hình tham chiếu nghiệp vụ, dữ liệu, ứng dụng, công nghệ và an toàn thông tin [21], còn QĐ 2439/QĐ-TTg đặt nền cho quản trị và chuẩn hóa dữ liệu quốc gia [10].</w:t>
      </w:r>
    </w:p>
    <w:p>
      <w:pPr>
        <w:pStyle w:val="BodyText"/>
        <w:keepNext w:val="0"/>
        <w:keepLines w:val="0"/>
        <w:widowControl/>
        <w:spacing w:before="60" w:after="60" w:line="288" w:lineRule="auto"/>
        <w:ind w:firstLine="720"/>
        <w:jc w:val="both"/>
      </w:pPr>
      <w:r>
        <w:rPr>
          <w:rFonts w:ascii="Times New Roman" w:hAnsi="Times New Roman" w:eastAsia="Times New Roman"/>
          <w:sz w:val="26"/>
        </w:rPr>
        <w:t>Các ràng buộc dữ liệu hiện hành cho thấy bài toán không thể giải bằng một CSDL nghiệp vụ đơn nhất. NĐ 278/2025/NĐ-CP yêu cầu kết nối/chia sẻ qua hạ tầng điều phối, tuân thủ khung và từ điển dữ liệu, xác định nguồn tin cậy cho dữ liệu chủ và hỗ trợ truy vấn hoặc đồng bộ qua hạ tầng dùng chung [22]. QĐ 1973/QĐ-BKHCN đặt mục tiêu dữ liệu của Bộ được quản lý thống nhất, chuẩn hóa, đồng bộ và liên thông; đồng thời xác định dữ liệu tổ chức/doanh nghiệp được nhận từ CSDL quốc gia về doanh nghiệp nhưng vẫn liệt kê DN KH&amp;CN và DN KNST trong dữ liệu chủ chuyên ngành của Bộ [11]. Nghiên cứu không đề xuất lại các chuẩn hoặc cơ chế liên thông này; chúng được dùng như ràng buộc đầu vào để tổ chức một nền tảng chuyên ngành có thể tiếp nhận, kiểm tra/chuẩn hóa, đối soát, đồng bộ và tổng hợp dữ liệu. Phần cần thiết kế ở đây là cách phân định nguồn có thẩm quyền theo nhóm thuộc tính, quyền ghi theo phạm vi/thời gian và trách nhiệm của từng biên hệ thống khi các nguồn hiện hữu cùng tham gia.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Định danh, bảo vệ dữ liệu và liên thông cũng tạo các ranh giới riêng. NĐ 69/2024/NĐ-CP và NĐ 169/2025/NĐ-CP yêu cầu sử dụng các nguồn định danh/xác thực có thẩm quyền và đáp ứng điều kiện kết nối [23, 24]; Luật Bảo vệ dữ liệu cá nhân và NĐ 356/2025/NĐ-CP đặt yêu cầu về giới hạn truy cập, biện pháp quản lý/kỹ thuật và vòng đời dữ liệu [25, 26]. Do đó, SRA cần tách xác thực danh tính khỏi phân quyền nghiệp vụ, đồng thời duy trì nguồn gốc, phiên bản, nhật ký và biên tin cậy cho các luồng dữ liệu liên cơ quan.</w:t>
      </w:r>
    </w:p>
    <w:bookmarkEnd w:id="22"/>
    <w:bookmarkStart w:id="23" w:name="Xd6bca95f1a9bf42b8efa1f423812669c0313b87"/>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2.3. Khoảng trống thiết kế và hệ quả đối với SRA</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Tập nguồn của nghiên cứu được mã hóa thành 10 họ ràng buộc C01–C10 và 128 dòng truy vết nguyên tử; danh mục đầy đủ được chuyển sang tài liệu bổ trợ. Ở mức khái quát, các ràng buộc tạo bốn sức ép kiến trúc đồng thời. Thứ nhất, dữ liệu phục vụ quản lý DN KH&amp;CN/DN KNST được hình thành ở nhiều đầu mối và hệ thống khác nhau, đồng thời còn có khoảng thiếu và chất lượng không đồng đều; vì vậy kiến trúc phải vừa kế thừa nguồn chính thức vừa cho phép tiếp nhận thông tin bổ sung từ doanh nghiệp/cơ sở để kiểm tra, chuẩn hóa và đối soát trước khi khai thác [2, pp. 47-49]. Thứ hai, Luật Dữ liệu, NĐ 278 và QĐ 1973 yêu cầu tránh tạo lại dữ liệu đã có nguồn chính thức, duy trì chất lượng, nguồn gốc và quản trị chia sẻ [27, 22, 11]. Thứ ba, NĐ 268 đặt phần lớn quyết định công nhận/chứng nhận ở cấp tỉnh nhưng yêu cầu cập nhật, thông báo và tổng hợp liên cấp, nên quyền ghi nghiệp vụ phải bám thẩm quyền địa phương trong khi trung ương vẫn cần quan sát nhất quán [1]. Thứ tư, quan hệ doanh nghiệp–quỹ–chuyên gia–viện/trường có thể vượt địa giới hành chính [13, pp. 27-28]; [14, pp. 1483-1484], vì vậy biên thẩm quyền không được dùng như biên quan hệ dữ liệu.</w:t>
      </w:r>
    </w:p>
    <w:p>
      <w:pPr>
        <w:pStyle w:val="BodyText"/>
        <w:keepNext w:val="0"/>
        <w:keepLines w:val="0"/>
        <w:widowControl/>
        <w:spacing w:before="60" w:after="60" w:line="288" w:lineRule="auto"/>
        <w:ind w:firstLine="720"/>
        <w:jc w:val="both"/>
      </w:pPr>
      <w:r>
        <w:rPr>
          <w:rFonts w:ascii="Times New Roman" w:hAnsi="Times New Roman" w:eastAsia="Times New Roman"/>
          <w:sz w:val="26"/>
        </w:rPr>
        <w:t>Các khung kiến trúc và dữ liệu hiện có đã xác định nguyên tắc nguồn dữ liệu, chuẩn hóa, chia sẻ và hạ tầng liên thông; khoảng trống của bài không phải thiếu một chuẩn mới mà là cách áp dụng các yêu cầu đó vào một nền tảng chuyên ngành cho DN KH&amp;CN/DN KNST. SRA được đề xuất để nối chuỗi: nguồn chính thức và nguồn bổ sung từ cơ sở → tiếp nhận/thu thập → kiểm tra và chuẩn hóa → đối soát nguồn có thẩm quyền/xử lý trùng → dữ liệu nghiệp vụ theo phạm vi thẩm quyền → đồng bộ/tổng hợp có provenance → khai thác phục vụ quản lý hệ sinh thái; đồng thời xác định phần nào là lõi ổn định và phần nào được phép biến thiên. Đây là cơ sở trực tiếp cho thiết kế nghiên cứu ở Mục 3 và kiến trúc đề xuất ở Mục 4.</w:t>
      </w:r>
    </w:p>
    <w:bookmarkEnd w:id="23"/>
    <w:bookmarkEnd w:id="24"/>
    <w:bookmarkStart w:id="30" w:name="tư-liệu-và-phương-pháp-nghiên-cứu"/>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3. Tư liệu và phương pháp nghiên cứu</w:t>
      </w:r>
    </w:p>
    <w:bookmarkStart w:id="25" w:name="thiết-kế-nghiên-cứu"/>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3.1. Thiết kế nghiên cứu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Nghiên cứu sử dụng nghiên cứu khoa học thiết kế (</w:t>
      </w:r>
      <w:r>
        <w:rPr>
          <w:rFonts w:ascii="Times New Roman" w:hAnsi="Times New Roman" w:eastAsia="Times New Roman" w:cs="Times New Roman"/>
          <w:i/>
          <w:iCs/>
          <w:sz w:val="26"/>
        </w:rPr>
        <w:t xml:space="preserve">Design Science Research</w:t>
      </w:r>
      <w:r>
        <w:rPr>
          <w:rFonts w:ascii="Times New Roman" w:hAnsi="Times New Roman" w:eastAsia="Times New Roman" w:cs="Times New Roman"/>
          <w:sz w:val="26"/>
        </w:rPr>
        <w:t xml:space="preserve">, DSR) để xây dựng và đánh giá một kiến trúc tham chiếu phần mềm (SRA) cho bài toán quản lý DN KH&amp;CN và DN KNST theo mô hình tỉnh–trung ương. DSR phù hợp với mục tiêu này vì đối tượng nghiên cứu là một sản phẩm thiết kế cần vừa giải quyết một vấn đề thực tiễn, vừa được lập luận và đánh giá có hệ thống [28, pp. 82-83]. Quy trình được tổ chức theo bốn bước chính, tương ứng với logic thiết kế–đánh giá của Peffers và cộng sự [29, pp. 52-56]: (i) xác lập các ràng buộc có hệ quả kiến trúc từ tập nguồn; (ii) tổng hợp các động lực, quyết định và thành phần của SRA; (iii) hiện thực hóa một cấu hình ứng viên để làm rõ các đánh đổi; và (iv) thử thách cấu hình đó bằng các kịch bản, sau đó tinh chỉnh và đánh giá lại.</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Sản phẩm nghiên cứu gồm SRA đa góc nhìn, mô hình thẩm quyền dữ liệu, mô hình liên thông và ranh giới trách nhiệm, cùng chuỗi truy vết nối căn cứ nguồn với quyết định kiến trúc và tiêu chí đánh giá. SRA được thiết kế theo nguyên tắc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lõi ổn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điểm biến thiên</w:t>
      </w:r>
      <w:r>
        <w:rPr>
          <w:rFonts w:ascii="Times New Roman" w:hAnsi="Times New Roman" w:eastAsia="Times New Roman" w:cs="Times New Roman"/>
          <w:sz w:val="26"/>
        </w:rPr>
        <w:t xml:space="preserve">: lõi chỉ giữ các bất biến cần bảo toàn khi triển khai, còn các lựa chọn như topology lưu trữ, cơ chế đồng bộ hoặc công nghệ tích hợp được xem là cấu hình dẫn xuất. Cách tách này cho phép nghiên cứu đánh giá một profile cụ thể mà không đồng nhất profile đó với toàn bộ kiến trúc tham chiếu.</w:t>
      </w:r>
    </w:p>
    <w:bookmarkEnd w:id="25"/>
    <w:bookmarkStart w:id="26" w:name="Xc16fb51eb5ba7160141fc610ec205809eaec2f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3.2. Tập nguồn và tổng hợp ràng buộc kiến trúc</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Tập nguồn được khóa theo trạng thái đến ngày 08/08/2026. Việc lựa chọn ưu tiên các văn bản hiện hành trực tiếp điều chỉnh đối tượng quản lý và các khung kiến trúc, dữ liệu, định danh, liên thông, bảo vệ dữ liệu có tác động tới nền tảng; văn bản sửa đổi hoặc được dẫn chiếu chỉ được bổ sung khi làm thay đổi một nghĩa vụ có hệ quả kiến trúc. Tài liệu học thuật được dùng để xây dựng nền tảng lý thuyết và phương pháp, không được dùng để tạo nghĩa vụ pháp lý. Để tránh trộn lẫn mức căn cứ, nguồn được phân thành ba lớp:</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A</w:t>
      </w:r>
      <w:r>
        <w:rPr>
          <w:rFonts w:ascii="Times New Roman" w:hAnsi="Times New Roman" w:eastAsia="Times New Roman" w:cs="Times New Roman"/>
          <w:sz w:val="26"/>
        </w:rPr>
        <w:t xml:space="preserve">–hiện hành/có thẩm quyền, tạo đường cơ sở;</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D</w:t>
      </w:r>
      <w:r>
        <w:rPr>
          <w:rFonts w:ascii="Times New Roman" w:hAnsi="Times New Roman" w:eastAsia="Times New Roman" w:cs="Times New Roman"/>
          <w:sz w:val="26"/>
        </w:rPr>
        <w:t xml:space="preserve">–dự thảo, chỉ dùng chẩn đoán; và</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M</w:t>
      </w:r>
      <w:r>
        <w:rPr>
          <w:rFonts w:ascii="Times New Roman" w:hAnsi="Times New Roman" w:eastAsia="Times New Roman" w:cs="Times New Roman"/>
          <w:sz w:val="26"/>
        </w:rPr>
        <w:t xml:space="preserve">–phương pháp hoặc tham chiếu quốc tế. Danh mục đầy đủ và lý do lựa chọn từng tài liệu được cung cấp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Từ 16 tài liệu, nghiên cứu xác định 116 đơn vị nguồn và mã hóa thành 128 dòng truy vết, gồm 114 dòng lớp A, 8 dòng lớp D và 6 dòng lớp M. Mỗi dòng biểu diễn một mệnh đề ràng buộc nguồn có vị trí dẫn chiếu cụ thể; một đơn vị nguồn được tách thành nhiều dòng khi chứa các nghĩa vụ có thể kiểm tra độc lập, trong khi các mệnh đề tương đồng ở những nguồn khác nhau vẫn được giữ riêng để bảo toàn xuất xứ. Vì vậy, con số 128 phản ánh số dòng truy vết theo nguồn, không phải số yêu cầu ngữ nghĩa duy nhất sau khử trùng lặp. Quy tắc nguyên tử hóa và các ví dụ mã hóa được chuyển sang tài liệu bổ trợ để thân bài chỉ giữ logic phương pháp cần thiết cho việc đánh giá nghiên cứu.</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Để phân biệt căn cứ chuẩn tắc với lựa chọn thiết kế, nghiên cứu dùng ba mức:</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nghĩa vụ, cấu trúc hoặc mốc thời gian được nguồn lớp A quy định minh thị;</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hệ quả kiến trúc suy ra trực tiếp để đáp ứng L1; và</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lựa chọn hiện thực hóa cần được kiểm chứng khi triển khai. Phân lớp này đặc biệt quan trọng đối với các nội dung như topology lưu trữ, cơ chế hàng đợi, đồng bộ sự kiện hoặc giao thức kỹ thuật: chúng chỉ được khóa trong SRA khi có căn cứ ở mức tương ứng, thay vì được suy đoán từ yêu cầu nghiệp vụ.</w:t>
      </w:r>
    </w:p>
    <w:bookmarkEnd w:id="26"/>
    <w:bookmarkStart w:id="27" w:name="tổng-hợp-kiến-trúc-và-truy-vết"/>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3.3. Tổng hợp kiến trúc và truy vết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Các ràng buộc lớp A được tổng hợp thành động lực kiến trúc, sau đó ánh xạ tới quyết định và thành phần của SRA. Chuỗi truy vết sử dụng trong nghiên cứu có dạng</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nguồn/vị trí</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ràng buộc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quyết định hoặc thành phần kiến trúc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tiêu chí kiểm tra</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trạng thái</w:t>
      </w:r>
      <w:r>
        <w:rPr>
          <w:rFonts w:ascii="Times New Roman" w:hAnsi="Times New Roman" w:eastAsia="Times New Roman" w:cs="Times New Roman"/>
          <w:sz w:val="26"/>
        </w:rPr>
        <w:t xml:space="preserve">. Chiều thuận cho biết một quyết định kiến trúc được dẫn xuất từ đâu; chiều ngược giúp nhận diện thành phần không có căn cứ rõ ràng hoặc chỉ là lựa chọn thiết kế. Các quyết định kiến trúc được ghi kèm vấn đề, phương án, lý do và đánh đổi, phù hợp với yêu cầu mô tả kiến trúc theo ISO/IEC/IEEE 42010 và thực hành ghi nhận quyết định kiến trúc [30, pp. 19-27].</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SRA được biểu diễn bằng sáu góc nhìn nhằm tách các mối quan tâm: bối cảnh và trách nhiệm; năng lực–ứng dụng; dữ liệu–thẩm quyền; liên thông; triển khai; và an toàn/riêng tư. C4 được dùng cho ranh giới hệ thống và triển khai, ArchiMate cho quan hệ năng lực–ứng dụng và dữ liệu–ứng dụng, còn EIF và ma trận biên tin cậy được dùng để cấu trúc các vấn đề liên thông và kiểm soát. Việc sử dụng nhiều góc nhìn nhằm làm rõ các quyết định thiết kế chứ không nhằm đặc tả đầy đủ một hệ thống triển khai; các công nghệ và giao thức ở mức L3 được để mở khi nguồn và bằng chứng chưa đủ để khóa lựa chọn [31][32, Chs. 5, 7, 9; Apps. A-C].</w:t>
      </w:r>
    </w:p>
    <w:bookmarkEnd w:id="27"/>
    <w:bookmarkStart w:id="28" w:name="đánh-giá-theo-kịch-bản"/>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3.4. Đánh giá theo kịch bản</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Kiến trúc ứng viên ban đầu B10 được hình thành trước bước đánh giá từ các động lực về thẩm quyền ghi, thu thập/chuẩn hóa dữ liệu đa nguồn, khả năng cấu hình quy trình địa phương, khả năng tiếp tục xử lý khi lớp trung ương tạm gián đoạn, quản trị ngữ nghĩa/nguồn dữ liệu thống nhất và truy vết phiên bản. Để quan sát rõ các đánh đổi của một phương án triển khai, B10 được hiện thực hóa thành profile đánh giá P-DIST, trong đó mỗi tỉnh có kho vận hành vật lý tách biệt và trung ương duy trì mô hình đọc/tổng hợp. P-DIST là một cấu hình do nghiên cứu lựa chọn từ điểm biến thiên topology để stress-test kiến trúc; nó không phải nghĩa vụ L1, hệ quả bắt buộc L2 hay cấu hình mặc định của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cấu hình tập trung</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B0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được dùng làm đường cơ sở đối chiếu. Mười kịch bản S1–S10 bao phủ năm nhóm mối quan tâm: vận hành bình thường và biến thể địa phương; thay đổi quy định/nguồn/phiên bản; gián đoạn hạ tầng hoặc lớp trung ương; tổng hợp toàn quốc và quan hệ xuyên địa bàn; và chuyển giao phạm vi quản lý. Bộ kịch bản không được xem là đầy đủ theo nghĩa thống kê; mục đích của nó là tạo các tình huống có khả năng làm lộ điểm nhạy, rủi ro và đánh đổi kiến trúc. Mỗi kịch bản được đánh giá theo ba mức:</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đáp ứng trực tiếp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lõi kiến trúc xử lý được mà không cần sửa quyết định ổn định;</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đáp ứng có điều kiện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cần hiện thực hóa hoặc kiểm chứng một cơ chế đã được kiến trúc cho phép; và</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rủi ro kiến trúc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kịch bản buộc phải xem xét lại một quyết định/lõi ổn định hoặc còn khoảng trống về thẩm quyền, toàn vẹn hay tương thích.</w:t>
      </w:r>
    </w:p>
    <w:p>
      <w:pPr>
        <w:pStyle w:val="BodyText"/>
        <w:keepNext w:val="0"/>
        <w:keepLines w:val="0"/>
        <w:widowControl/>
        <w:spacing w:before="60" w:after="60" w:line="288" w:lineRule="auto"/>
        <w:ind w:firstLine="720"/>
        <w:jc w:val="both"/>
      </w:pPr>
      <w:r>
        <w:rPr>
          <w:rFonts w:ascii="Times New Roman" w:hAnsi="Times New Roman" w:eastAsia="Times New Roman"/>
          <w:sz w:val="26"/>
        </w:rPr>
        <w:t>Khi một kịch bản làm lộ khoảng trống, kết quả được đưa trở lại sản phẩm thiết kế theo vòng DSR để tạo phiên bản tinh chỉnh B1-R; sau đó toàn bộ S1–S10 được áp dụng lại bằng cùng rubric như một hậu kiểm tính nhất quán sau tinh chỉnh, không phải một đánh giá độc lập mới. Nghiên cứu không cộng điểm và không xếp hạng tổng thể B0 với B10, vì hai cấu hình khác nhau đồng thời ở nhiều quyết định và không cho phép suy luận nhân quả về một yếu tố riêng lẻ. Cách đánh giá lấy cảm hứng từ việc sử dụng kịch bản để phát hiện rủi ro và đánh đổi trong ATAM, nhưng không phải một quy trình ATAM đầy đủ [19, pp. 3, 5-7].</w:t>
      </w:r>
    </w:p>
    <w:p>
      <w:pPr>
        <w:pStyle w:val="BodyText"/>
        <w:keepNext w:val="0"/>
        <w:keepLines w:val="0"/>
        <w:widowControl/>
        <w:spacing w:before="60" w:after="60" w:line="288" w:lineRule="auto"/>
        <w:ind w:firstLine="720"/>
        <w:jc w:val="both"/>
      </w:pPr>
      <w:r>
        <w:rPr>
          <w:rFonts w:ascii="Times New Roman" w:hAnsi="Times New Roman" w:eastAsia="Times New Roman"/>
          <w:sz w:val="26"/>
        </w:rPr>
        <w:t>Đây là đánh giá trước triển khai. Nghiên cứu không gán tải đỉnh, độ trễ, tính sẵn sàng, thời gian phục hồi hoặc các thuộc tính chất lượng chưa được đo; các mốc số chỉ được sử dụng khi có căn cứ chuẩn tắc. Vì vậy, kết quả chỉ cho phép kết luận về mức đầy đủ và tính nhất quán của đặc tả kiến trúc trong phạm vi bộ kịch bản đã chọn và rubric đã áp dụng. Kiểm chứng tiếp theo cần một nguyên mẫu và các phép thử lặp lại đối với thu thập/chuẩn hóa, đồng bộ/liên thông, chuyển quyền ghi, nâng cấp cuốn chiếu, phục hồi, an toàn và các thuộc tính chất lượng.</w:t>
      </w:r>
    </w:p>
    <w:bookmarkEnd w:id="28"/>
    <w:bookmarkStart w:id="29" w:name="dữ-liệu-bổ-trợ"/>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3.5. Dữ liệu bổ trợ</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Để hỗ trợ khả năng kiểm tra lại mà không biến thân bài thành đặc tả kỹ thuật, tài liệu bổ trợ lưu danh mục nguồn, quy tắc nguyên tử hóa, ma trận truy vết, các bảng chi tiết về quyết định/điểm biến thiên/quy tắc phù hợp, bộ kịch bản và rubric, cùng kết quả trước–sau tinh chỉnh. Các artefact này cung cấp mức chi tiết cần thiết để kiểm tra và tái lập quy trình nghiên cứu, trong khi thân bài chỉ trình bày các bước phương pháp và bằng chứng trực tiếp phục vụ câu hỏi nghiên cứu.</w:t>
      </w:r>
    </w:p>
    <w:bookmarkEnd w:id="29"/>
    <w:bookmarkEnd w:id="30"/>
    <w:bookmarkStart w:id="41" w:name="kiến-trúc-hệ-thống-đề-xuất"/>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4. Kiến trúc hệ thống đề xuất</w:t>
      </w:r>
    </w:p>
    <w:bookmarkStart w:id="31" w:name="X432c5c0a7f0244f3054feab0fdb202b7f9bfa8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4.1. Phạm vi và lõi ổn định của kiến trúc tham chiếu</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SRA được đề xuất riêng cho nền tảng số quản lý DN KH&amp;CN và DN KNST theo mô hình tỉnh–trung ương. Nền tảng phải phối hợp với hệ thống thủ tục hành chính/dịch vụ công, CSDL quốc gia về doanh nghiệp và các nguồn KH&amp;CN/chuyên ngành đang được quản trị độc lập; mục tiêu là bổ sung lớp quản trị dữ liệu và liên kết hệ sinh thái, không thay thế các hệ thống có thẩm quyền hiện hữu. Vì vậy, kiến trúc không được xây dựng như một cấu hình triển khai duy nhất mà như một tập các bất biến thiết kế kèm các điểm có thể thay đổi. Sáu góc nhìn được sử dụng gồm: hệ sinh thái–trách nhiệm, năng lực–ứng dụng, dữ liệu–thẩm quyền, liên thông, hiện thực hóa công nghệ và an toàn–riêng tư [4].</w:t>
      </w:r>
    </w:p>
    <w:p>
      <w:pPr>
        <w:pStyle w:val="BodyText"/>
        <w:keepNext w:val="0"/>
        <w:keepLines w:val="0"/>
        <w:widowControl/>
        <w:spacing w:before="60" w:after="60" w:line="288" w:lineRule="auto"/>
        <w:ind w:firstLine="720"/>
        <w:jc w:val="both"/>
      </w:pPr>
      <w:r>
        <w:rPr>
          <w:rFonts w:ascii="Times New Roman" w:hAnsi="Times New Roman" w:eastAsia="Times New Roman"/>
          <w:sz w:val="26"/>
        </w:rPr>
        <w:t>Phiên bản kiến trúc sau vòng tinh chỉnh B1-R giữ năm nguyên tắc ổn định trong phạm vi nền tảng. Thứ nhất, quyền thay đổi trạng thái nghiệp vụ phải bám thẩm quyền đang có hiệu lực, trong khi topology lưu trữ không được suy diễn trực tiếp từ thẩm quyền hành chính. Thứ hai, dữ liệu định danh và bằng chứng bên ngoài được tham chiếu từ nguồn có thẩm quyền thay vì tạo một bản chủ mới trong nền tảng. Thứ ba, quy trình địa phương được cấu hình trên một đường cơ sở chuẩn tắc có phiên bản, nên phần biến thiên không được nới thẩm quyền, trạng thái quyết định hoặc thời hạn bắt buộc. Thứ tư, dữ liệu đa nguồn - kể cả dữ liệu bổ sung từ doanh nghiệp và đầu mối cơ sở - phải đi qua kiểm tra/chuẩn hóa, đối soát nguồn và trao đổi có provenance trước khi trở thành dữ liệu khai thác dùng chung. Thứ năm, mạng quan hệ hệ sinh thái được tách khỏi biên địa giới quản lý để tránh nhân bản quan hệ xuyên tỉnh. Các lựa chọn về đồng bộ, công nghệ quy trình, phân quyền, bộ thích nghi nguồn và topology triển khai được giữ như điểm biến thiên; danh mục VP1–VP8 được chuyển sang tài liệu bổ trợ.</w:t>
      </w:r>
    </w:p>
    <w:bookmarkEnd w:id="31"/>
    <w:bookmarkStart w:id="38" w:name="Xdb1a68a3a383d45f1fb931897c5a0d1ab67ba0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4.2. Định vị nền tảng và kiến trúc năng lực–ứng dụng</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Hình 1 đặt nền tảng tại giao điểm của các khung kiến trúc số, kiến trúc/quản trị dữ liệu và các ràng buộc nghiệp vụ của NĐ 268. Mục đích của hình không phải mô tả cấu trúc triển khai mà xác lập các ranh giới mà SRA phải tôn trọng: định danh pháp lý doanh nghiệp phải tham chiếu nguồn có thẩm quyền; dữ liệu và siêu dữ liệu phải phù hợp khung quản trị quốc gia/Bộ; còn các luồng chia sẻ liên cơ quan phải đi qua hạ tầng được quy định [27, 22, 11]. Trong ký pháp ArchiMate 3.2, các phần tử Constraint và Application Component được dùng để biểu diễn quan hệ giữa các ràng buộc thể chế và nền tảng ở mức kiến trúc, không phải để khẳng định một sản phẩm công nghệ cụ thể [32, Chs. 5, 7, 9; Apps. A-C].</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440527" cy="2422089"/>
            <wp:effectExtent b="0" l="0" r="0" t="0"/>
            <wp:docPr descr="Hình 1. Định vị nền tảng trong hệ quy chiếu kiến trúc số và dữ liệu – góc nhìn động lực–ứng dụng theo ArchiMate" title="Hình 1" id="33" name="Picture"/>
            <a:graphic>
              <a:graphicData uri="http://schemas.openxmlformats.org/drawingml/2006/picture">
                <pic:pic>
                  <pic:nvPicPr>
                    <pic:cNvPr descr="figpng/fig01_archimate_context.png" id="34" name="Picture"/>
                    <pic:cNvPicPr>
                      <a:picLocks noChangeArrowheads="1" noChangeAspect="1"/>
                    </pic:cNvPicPr>
                  </pic:nvPicPr>
                  <pic:blipFill>
                    <a:blip r:embed="rId32"/>
                    <a:stretch>
                      <a:fillRect/>
                    </a:stretch>
                  </pic:blipFill>
                  <pic:spPr bwMode="auto">
                    <a:xfrm>
                      <a:off x="0" y="0"/>
                      <a:ext cx="5440527" cy="2422089"/>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1. Định vị nền tảng trong hệ quy chiếu kiến trúc số và dữ liệu – góc nhìn động lực–ứng dụng theo ArchiMate</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Từ các ràng buộc trên, Hình 2 tổ chức kiến trúc ở mức năng lực thay vì mô-đun triển khai. Bốn nhóm năng lực chính là: quản lý hồ sơ và vòng đời; thẩm định/công nhận; điều phối và cấu hình; dữ liệu–liên thông–an toàn. Các nhóm này được hỗ trợ bởi năm nhóm thành phần ứng dụng logic. Việc dùng quan hệ Association ở mức này nhằm chỉ ra quan hệ hỗ trợ giữa năng lực và thành phần, không khóa quan hệ hiện thực hóa hay một sản phẩm phần mềm cụ thể; giao thức, middleware và bộ thích nghi nguồn chỉ được quyết định ở L3 khi có đặc tả triển khai.</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027670" cy="2299761"/>
            <wp:effectExtent b="0" l="0" r="0" t="0"/>
            <wp:docPr descr="Hình 2. Ánh xạ năng lực vào thành phần ứng dụng – góc nhìn năng lực–ứng dụng theo ArchiMate" title="Hình 2" id="36" name="Picture"/>
            <a:graphic>
              <a:graphicData uri="http://schemas.openxmlformats.org/drawingml/2006/picture">
                <pic:pic>
                  <pic:nvPicPr>
                    <pic:cNvPr descr="figpng/fig02_archimate_capability_application.png" id="37" name="Picture"/>
                    <pic:cNvPicPr>
                      <a:picLocks noChangeArrowheads="1" noChangeAspect="1"/>
                    </pic:cNvPicPr>
                  </pic:nvPicPr>
                  <pic:blipFill>
                    <a:blip r:embed="rId35"/>
                    <a:stretch>
                      <a:fillRect/>
                    </a:stretch>
                  </pic:blipFill>
                  <pic:spPr bwMode="auto">
                    <a:xfrm>
                      <a:off x="0" y="0"/>
                      <a:ext cx="5027670" cy="2299761"/>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2. Ánh xạ năng lực vào thành phần ứng dụng – góc nhìn năng lực–ứng dụng theo ArchiMate</w:t>
      </w:r>
    </w:p>
    <w:bookmarkEnd w:id="38"/>
    <w:bookmarkStart w:id="39" w:name="các-quyết-định-kiến-trúc-và-đánh-đổi"/>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4.3. Các quyết định kiến trúc và đánh đổi</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Năm quyết định kiến trúc được rút ra từ chuỗi truy vết nguồn–ràng buộc–động lực và được ghi nhận cùng phương án thay thế, lý do và đánh đổi theo thực hành ghi nhận quyết định kiến trúc [30, pp. 19-27]. Bảng 2 chỉ giữ các quyết định có ý nghĩa đối với lập luận nghiên cứu; phiên bản chi tiết, liên kết tới Cxx.yy/AE/VP và các điều kiện hiện thực hóa nằm trong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2. Các quyết định kiến trúc chính và đánh đổi</w:t>
      </w:r>
    </w:p>
    <w:tbl>
      <w:tblPr>
        <w:tblStyle w:val="TableGrid"/>
        <w:tblW w:type="auto" w:w="0"/>
        <w:jc w:val="center"/>
        <w:tblLayout w:type="fixed"/>
        <w:tblLook w:firstRow="0" w:lastRow="0" w:firstColumn="0" w:lastColumn="0" w:noHBand="0" w:noVBand="0" w:val="0000"/>
        <w:tblCaption w:val="Các quyết định kiến trúc chính và đánh đổi"/>
      </w:tblPr>
      <w:tblGrid>
        <w:gridCol w:w="2640"/>
        <w:gridCol w:w="2640"/>
        <w:gridCol w:w="2640"/>
      </w:tblGrid>
      <w:tr>
        <w:trPr>
          <w:tblHeader w:val="true"/>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Mã</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Quyết định</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Lý do và đánh đổi chính</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AD01</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Quyền ghi bám thẩm quyền đang hiệu lực; topology lưu trữ là điểm biến thiên.</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Giữ ranh giới pháp lý mà không đồng nhất nó với biên vật lý. Sau S9, quyết định được tinh chỉnh để bảo toàn một writer hợp lệ trên mỗi phạm vi ghi và chuyển quyền có phiên bản; đổi lại, các profile phân tán phải xử lý cắt chuyển, đối soát và phục hồi phức tạp hơn.</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AD02</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Các luồng chia sẻ bắt buộc đi qua hạ tầng chia sẻ/điều phối được quy định.</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Tăng khả năng kiểm toán và quản trị liên thông nhưng tạo thêm phụ thuộc vào hạ tầng trung gian.</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AD03</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Mô hình nền pháp lý trung ương kết hợp cấu hình địa phương có phiên bản.</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Cho phép biến thể nội bộ nhưng giữ nguyên thẩm quyền, trạng thái quyết định và thời hạn L1. Sau S10, cần cửa sổ tương thích và quy tắc cho hồ sơ đang xử lý; đổi lại là chi phí quản trị và kiểm thử nhiều phiên bản [33, pp. 486-500].</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AD04</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Mẫu tương tác lai: truy vấn khi cần đọc và thông điệp/sự kiện cho thay đổi trạng thái khi hạ tầng hỗ trợ.</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Cân bằng tính tức thời với khả năng chịu gián đoạn và bằng chứng giao nhận; đổi lại phải quản lý trùng, thứ tự và độ mới của mô hình đọc.</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AD05</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Tách phạm vi thẩm quyền khỏi mạng quan hệ hệ sinh thái.</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Giữ đúng quyền quản lý hồ sơ theo địa bàn nhưng vẫn biểu diễn được quan hệ đầu tư/hỗ trợ xuyên tỉnh; đổi lại truy vấn và hợp nhất quan hệ phức tạp hơn.</w:t>
            </w:r>
          </w:p>
        </w:tc>
      </w:tr>
    </w:tbl>
    <w:p>
      <w:pPr>
        <w:pStyle w:val="BodyText"/>
        <w:keepNext w:val="0"/>
        <w:keepLines w:val="0"/>
        <w:widowControl/>
        <w:spacing w:before="60" w:after="60" w:line="288" w:lineRule="auto"/>
        <w:ind w:firstLine="720"/>
        <w:jc w:val="both"/>
      </w:pPr>
      <w:r>
        <w:rPr>
          <w:rFonts w:ascii="Times New Roman" w:hAnsi="Times New Roman" w:eastAsia="Times New Roman"/>
          <w:sz w:val="26"/>
        </w:rPr>
        <w:t>AD01 không mặc nhiên dẫn tới một kho vật lý cho mỗi tỉnh. NĐ 268 xác lập thẩm quyền/nghĩa vụ liên cấp, còn NĐ 278 cho phép truy vấn và đồng bộ qua hạ tầng dùng chung nhưng không ấn định topology lưu trữ [1, 22]. Vì vậy, lõi SRA có thể được hiện thực bằng kho tập trung đa tenant, phân vùng logic/schema, kho vật lý theo tỉnh hoặc mô hình lai nếu các bất biến về thẩm quyền, nguồn gốc, phiên bản và nghĩa vụ đồng bộ được giữ nguyên. Kho vận hành riêng là một lựa chọn có thể hữu ích khi địa phương cần kiểm soát vận hành/dữ liệu tại chỗ, nhưng không tạo quyền tách khỏi các luồng chia sẻ, tổng hợp hoặc cập nhật bắt buộc. Nghiên cứu chọn P-DIST làm profile đánh giá để stress-test, trong đó các nút nghiệp vụ tỉnh có kho vận hành vật lý tách biệt và lớp trung ương duy trì mô hình đọc/tổng hợp. Đây là một hiện thực hóa tùy chọn của điểm biến thiên topology dùng để làm lộ đánh đổi, không phải hệ quả bắt buộc của L2 hay topology được khuyến nghị mặc định; profile có nét tương đồng với tư tưởng phối hợp các nút có quyền vận hành riêng trong CSDL liên bang [34].</w:t>
      </w:r>
    </w:p>
    <w:bookmarkEnd w:id="39"/>
    <w:bookmarkStart w:id="40" w:name="Xcbc05a588faceb8ac9b55d1f051099d59f9110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4.4. Điều kiện phù hợp và ranh giới của đề xuất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hiện thực hóa được xem là phù hợp với lõi SRA khi bảo toàn bốn nhóm điều kiện. Nhóm thứ nhất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truy vết và thẩm quyền</w:t>
      </w:r>
      <w:r>
        <w:rPr>
          <w:rFonts w:ascii="Times New Roman" w:hAnsi="Times New Roman" w:eastAsia="Times New Roman" w:cs="Times New Roman"/>
          <w:sz w:val="26"/>
        </w:rPr>
        <w:t xml:space="preserve">: hành vi pháp lý phải truy về căn cứ nguồn, thao tác thay đổi trạng thái phải kiểm tra quyền ghi hiện hành và không cho phép hai writer hợp lệ đồng thời trên cùng phạm vi. Nhóm thứ hai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quản trị dữ liệu và cấu hình</w:t>
      </w:r>
      <w:r>
        <w:rPr>
          <w:rFonts w:ascii="Times New Roman" w:hAnsi="Times New Roman" w:eastAsia="Times New Roman" w:cs="Times New Roman"/>
          <w:sz w:val="26"/>
        </w:rPr>
        <w:t xml:space="preserve">: thẩm quyền dữ liệu được xác định theo nhóm thuộc tính; cấu hình địa phương không được nới các bất biến L1; hợp đồng, lược đồ và quy trình phải có phiên bản và quy tắc tương thích. Nhóm thứ ba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 gốc và liên thông</w:t>
      </w:r>
      <w:r>
        <w:rPr>
          <w:rFonts w:ascii="Times New Roman" w:hAnsi="Times New Roman" w:eastAsia="Times New Roman" w:cs="Times New Roman"/>
          <w:sz w:val="26"/>
        </w:rPr>
        <w:t xml:space="preserve">: mô hình đọc trung ương phải công bố nguồn/độ mới và không thay thế quyết định gốc; trao đổi bắt buộc phải giữ định danh và bằng chứng giao nhận. Nhóm cuối cùng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quan hệ hệ sinh thái</w:t>
      </w:r>
      <w:r>
        <w:rPr>
          <w:rFonts w:ascii="Times New Roman" w:hAnsi="Times New Roman" w:eastAsia="Times New Roman" w:cs="Times New Roman"/>
          <w:sz w:val="26"/>
        </w:rPr>
        <w:t xml:space="preserve">: quan hệ xuyên địa bàn phải giữ định danh, nguồn và khoảng hiệu lực thay vì bị nhân bản theo biên quản lý. Chín quy tắc CR1–CR9 và hai điều kiện bổ sung PD1–PD2 cho profile P-DIST được công bố đầy đủ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xác định phù hợp này cố ý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kiến trúc tham chiếu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đặc tả triển khai</w:t>
      </w:r>
      <w:r>
        <w:rPr>
          <w:rFonts w:ascii="Times New Roman" w:hAnsi="Times New Roman" w:eastAsia="Times New Roman" w:cs="Times New Roman"/>
          <w:sz w:val="26"/>
        </w:rPr>
        <w:t xml:space="preserve">. SRA trả lời thành phần trách nhiệm nào phải tồn tại, dữ liệu nào thuộc nguồn nào, các biên quyền và biên trao đổi nào phải được bảo toàn, cùng những điểm nào được phép biến thiên. Nó không quy định sản phẩm CSDL, middleware, giao thức cụ thể, số cụm triển khai, thuật toán đồng thuận hay chỉ tiêu hiệu năng khi chưa có bằng chứng đo kiểm. Tương tự, các thời hạn 05/15 ngày, 03/15 ngày, chu kỳ 03 năm hoặc mốc báo cáo trong NĐ 268 được xem là ràng buộc thời gian nghiệp vụ, không phải SLA kỹ thuật [1]. Việc kiểm chứng các lựa chọn L3 và thuộc tính chất lượng được để cho giai đoạn nguyên mẫu/triển khai; phần đánh giá của nghiên cứu chỉ kiểm tra mức đầy đủ và nhất quán của kiến trúc dưới các kịch bản đã xác định.</w:t>
      </w:r>
    </w:p>
    <w:bookmarkEnd w:id="40"/>
    <w:bookmarkEnd w:id="41"/>
    <w:bookmarkStart w:id="48" w:name="kiến-trúc-dữ-liệu-của-nền-tảng"/>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5. Kiến trúc dữ liệu của nền tảng</w:t>
      </w:r>
    </w:p>
    <w:bookmarkStart w:id="45" w:name="X18693695e6d703e1698ac4450e15c6a7f06d6d1"/>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5.1. Biên thẩm quyền dữ liệu và topology độc lập</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Đề xuất dữ liệu của SRA dựa trên một phân biệt quan trọng: thẩm quyền ghi là bất biến logic, còn cách bố trí dữ liệu vật lý là điểm biến thiên. Quyền thay đổi trạng thái nghiệp vụ được gắn với cơ quan đang có thẩm quyền đối với chủ thể hoặc hồ sơ trong một khoảng thời gian xác định; lớp trung ương giữ sổ định tuyến, siêu dữ liệu, mô hình đọc và dữ liệu tổng hợp nhưng không thay thế quyết định gốc của địa phương. Vì vậy, cùng một SRA có thể được hiện thực bằng kho tập trung đa tenant, phân vùng logic/schema, kho vật lý theo tỉnh hoặc mô hình lai nếu vẫn bảo toàn quyền ghi, nguồn gốc, phiên bản và các luồng đồng bộ/tổng hợp cần thiết. Profile P-DIST dùng trong đánh giá chỉ là một cấu hình cụ thể của điểm biến thiên này; ngay cả khi kho vận hành được giữ riêng tại tỉnh, dữ liệu thuộc phạm vi phải liên thông vẫn phải được chuẩn hóa và cập nhật lên lớp trung ương theo biên chia sẻ được quản trị.</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tách thẩm quyền khỏi topology phù hợp với yêu cầu xác định điểm tạo lập, tránh trùng lặp dữ liệu và duy trì một nguồn tin cậy theo từng loại dữ liệu trong QĐ 1973 và NĐ 278 [11, 22]. Nó cũng tránh suy rộng nguyên tắc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một nguồn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thành yêu cầu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một doanh nghiệp chỉ có một CSDL vật lý</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định danh pháp lý có thể đến từ CSDL quốc gia về doanh nghiệp, trong khi trạng thái công nhận/chứng nhận chuyên ngành phát sinh từ quyết định của cơ quan có thẩm quyền cấp tỉnh. Nền tảng vì thế quản trị một không gian dữ liệu hợp nhất về logic nhưng không tự nhận vai trò nguồn pháp lý cho mọi thuộc tính.</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Hình 3 biểu diễn góc nhìn ứng dụng–dữ liệu theo ArchiMate 3.2. Application Component truy cập Data Object bằng quan hệ Access, còn Flow chỉ biểu diễn trao đổi giữa các thành phần ứng dụng [32, Chs. 5, 9; Apps. A-B]. Hình cố ý không khóa topology vật lý: điều cần bảo toàn là ranh giới giữa nguồn định danh, nút nghiệp vụ tỉnh, lớp điều phối trung ương và các đối tượng dữ liệu dùng chung.</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244802" cy="3220278"/>
            <wp:effectExtent b="0" l="0" r="0" t="0"/>
            <wp:docPr descr="Hình 3. Kiến trúc dữ liệu tỉnh–trung ương; topology vật lý là điểm biến thiên" title="Hình 3" id="43" name="Picture"/>
            <a:graphic>
              <a:graphicData uri="http://schemas.openxmlformats.org/drawingml/2006/picture">
                <pic:pic>
                  <pic:nvPicPr>
                    <pic:cNvPr descr="figpng/fig03_archimate_data_authority.png" id="44" name="Picture"/>
                    <pic:cNvPicPr>
                      <a:picLocks noChangeArrowheads="1" noChangeAspect="1"/>
                    </pic:cNvPicPr>
                  </pic:nvPicPr>
                  <pic:blipFill>
                    <a:blip r:embed="rId42"/>
                    <a:stretch>
                      <a:fillRect/>
                    </a:stretch>
                  </pic:blipFill>
                  <pic:spPr bwMode="auto">
                    <a:xfrm>
                      <a:off x="0" y="0"/>
                      <a:ext cx="5244802" cy="3220278"/>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3. Kiến trúc dữ liệu tỉnh–trung ương; topology vật lý là điểm biến thiên</w:t>
      </w:r>
    </w:p>
    <w:bookmarkEnd w:id="45"/>
    <w:bookmarkStart w:id="46" w:name="Xa3e844dd1128c376a6558c57f86ff795b767af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5.2. Thẩm quyền theo nhóm dữ liệu và chuyển giao quyền ghi</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Mô hình thẩm quyền dữ liệu không gán một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chủ sở hữu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duy nhất cho toàn bộ thực thể doanh nghiệp. Thay vào đó, nghiên cứu phân biệt bốn vai trò theo từng nhóm thuộc tính: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thẩm quyền pháp lý</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thẩm quyền tạo/cập nhật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hệ thống lưu bản ghi nghiệp vụ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(SoR); và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 phân phối/tham chiếu</w:t>
      </w:r>
      <w:r>
        <w:rPr>
          <w:rFonts w:ascii="Times New Roman" w:hAnsi="Times New Roman" w:eastAsia="Times New Roman" w:cs="Times New Roman"/>
          <w:sz w:val="26"/>
        </w:rPr>
        <w:t xml:space="preserve">. Phân biệt này xuất phát từ việc QĐ 1973 đặt dữ liệu tổ chức/doanh nghiệp ở nguồn quốc gia nhưng vẫn coi DN KH&amp;CN và DN KNST là dữ liệu chủ chuyên ngành, trong khi NĐ 268 giao quyết định công nhận/chứng nhận cho cấp tỉnh [1, 11]. Bảng 3 tóm tắt các miền dữ liệu quyết định đối với kiến trúc; ánh xạ chi tiết từng nhóm thuộc tính được đưa sang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3. Thẩm quyền dữ liệu ở mức khái quát</w:t>
      </w:r>
    </w:p>
    <w:tbl>
      <w:tblPr>
        <w:tblStyle w:val="TableGrid"/>
        <w:tblW w:type="auto" w:w="0"/>
        <w:jc w:val="center"/>
        <w:tblLayout w:type="fixed"/>
        <w:tblLook w:firstRow="0" w:lastRow="0" w:firstColumn="0" w:lastColumn="0" w:noHBand="0" w:noVBand="0" w:val="0000"/>
        <w:tblCaption w:val="Thẩm quyền dữ liệu ở mức khái quát"/>
      </w:tblPr>
      <w:tblGrid>
        <w:gridCol w:w="2640"/>
        <w:gridCol w:w="2640"/>
        <w:gridCol w:w="2640"/>
      </w:tblGrid>
      <w:tr>
        <w:trPr>
          <w:tblHeader w:val="true"/>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Miền dữ liệu</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Nguồn/thẩm quyền chính</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Vai trò của nền tảng</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Định danh pháp lý DN</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CSDL quốc gia về doanh nghiệp theo Luật Dữ liệu, NĐ 278 và QĐ 1973 [27, 22, 11].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Tham chiếu/đồng bộ khóa và thuộc tính cần thiết; không tạo một bản chủ pháp lý mới.</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Trạng thái DN KH&amp;CN/DN KNST</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Cơ quan cấp tỉnh có thẩm quyền ban hành quyết định theo NĐ 268 [1].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Nút đang có quyền ghi là SoR nghiệp vụ; trung ương giữ bản đọc, định tuyến và tổng hợp có provenance.</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Bằng chứng chuyên ngành</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thống/cơ quan tạo hoặc xác nhận kết quả KH&amp;CN, SHTT và loại bằng chứng tương ứng.</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Lưu tham chiếu hoặc bản nghiệp vụ cần thiết kèm nguồn và trạng thái xác minh; không biến dữ liệu tự khai thành dữ liệu đã xác thực.</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Danh mục, quan hệ và dữ liệu dẫn xuất</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Danh mục dùng chung theo khung quốc gia/Bộ; quan hệ và dữ liệu dẫn xuất được quản trị trên nền tảng với nguồn gốc rõ ràng [22, 11].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Quản lý phiên bản, ánh xạ, provenance và khoảng hiệu lực; dữ liệu dẫn xuất không thay thế nguồn đầu vào có thẩm quyền.</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rủi ro đặc thù của mô hình nhiều địa phương là thay đổi thẩm quyền trong khi hồ sơ hoặc trạng thái nghiệp vụ vẫn đang tồn tại. Sau stress-test S9, B1-R biểu diễn quyền ghi như một gán có phạm vi và khoảng hiệu lực thay vì thuộc tính địa bàn cố định. Đối với cùng một phạm vi, tại một thời điểm chỉ có một writer hợp lệ; việc chuyển quyền phải xác nhận đóng băng writer cũ, đối soát dữ liệu/nguồn gốc rồi mới kích hoạt writer mới. Một epoch tăng đơn điệu được dùng để phát hiện ghi từ gán quyền cũ. Đây là ngữ nghĩa thiết kế L2 nhằm bảo toàn single-active-writer và tính truy vết; thuật toán khóa, consensus hay middleware cụ thể vẫn thuộc L3. Chi tiết trường dữ liệu và máy trạng thái chuyển giao nằm trong tài liệu bổ trợ.</w:t>
      </w:r>
    </w:p>
    <w:bookmarkEnd w:id="46"/>
    <w:bookmarkStart w:id="47" w:name="X0bba020a53228a88d9b55f72323d1668cad9353"/>
    <w:p>
      <w:pPr>
        <w:pStyle w:val="Heading2"/>
        <w:keepNext/>
        <w:keepLines w:val="0"/>
        <w:widowControl/>
        <w:spacing w:before="60" w:after="60" w:line="288" w:lineRule="auto"/>
        <w:jc w:val="left"/>
      </w:pPr>
      <w:r>
        <w:rPr>
          <w:rFonts w:ascii="Times New Roman" w:hAnsi="Times New Roman" w:eastAsia="Times New Roman"/>
          <w:b/>
          <w:sz w:val="26"/>
        </w:rPr>
        <w:t>5.3. Thu thập, chuẩn hóa, đồng bộ và chất lượng dữ liệu</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Để xử lý dữ liệu hình thành ở nhiều nguồn và cấp quản lý, SRA tổ chức một chuỗi năng lực logic thay vì giả định có thể hợp nhất ngay vào một CSDL duy nhất. Nguồn đầu vào gồm cả hệ thống/CSDL hiện hữu và dữ liệu bổ sung từ doanh nghiệp hoặc đầu mối KH&amp;CN ở cơ sở; vai trò của nguồn bổ sung là nhận diện, cập nhật và làm giàu dữ liệu, không tự tạo thẩm quyền pháp lý mới [2, p. 49]. Chuỗi xử lý gồm: (i) tiếp nhận/thu thập từ nguồn được phép cung cấp; (ii) kiểm tra định danh, cấu trúc, tính đầy đủ và phát hiện bản ghi bất thường; (iii) chuẩn hóa danh mục, lược đồ và ngữ nghĩa theo từ điển dùng chung; (iv) đối soát với nguồn có thẩm quyền và xử lý trùng/xung đột; (v) gắn provenance, trạng thái xác minh, phiên bản và khoảng hiệu lực; và (vi) định tuyến vào dữ liệu nghiệp vụ hoặc mô hình đọc/tổng hợp tương ứng rồi đồng bộ qua biên liên thông được quản trị. Đây là các năng lực kiến trúc; ETL/CDC, hàng đợi, API hay công cụ chất lượng dữ liệu cụ thể vẫn là lựa chọn hiện thực hóa. QĐ 1973 và NĐ 278 cung cấp căn cứ cho yêu cầu chuẩn hóa, từ điển, nguồn tin cậy, kết nối/chia sẻ và đồng bộ [11, 22].</w:t>
      </w:r>
    </w:p>
    <w:p>
      <w:pPr>
        <w:pStyle w:val="BodyText"/>
        <w:keepNext w:val="0"/>
        <w:keepLines w:val="0"/>
        <w:widowControl/>
        <w:spacing w:before="60" w:after="60" w:line="288" w:lineRule="auto"/>
        <w:ind w:firstLine="720"/>
        <w:jc w:val="both"/>
      </w:pPr>
      <w:r>
        <w:rPr>
          <w:rFonts w:ascii="Times New Roman" w:hAnsi="Times New Roman" w:eastAsia="Times New Roman"/>
          <w:sz w:val="26"/>
        </w:rPr>
        <w:t>Dự thảo khung tiêu chí [35] mô tả chi tiết hơn một chuỗi chuẩn hóa gồm tiếp nhận, kiểm tra, đối soát nguồn chính thức, xử lý trùng lặp, chuẩn hóa mã và lưu vết chất lượng; nghiên cứu chỉ dùng chuỗi này như nguồn chẩn đoán lớp D để kiểm tra tính đầy đủ của các năng lực trên, không coi là nghĩa vụ bắt buộc. Đối sánh với nguồn hiện hành còn cho thấy ba điểm cần theo dõi: dự thảo vẫn viện dẫn NĐ 47/2020/NĐ-CP đã hết hiệu lực theo NĐ 278; khái niệm MD001 cần tách định danh pháp lý khỏi trạng thái chuyên ngành; và phạm vi CSDL trong QĐ 1762 chưa hoàn toàn trùng với hai miền DN KH&amp;CN/DN KNST của dự thảo [22, 36, 35]. Các điểm này không làm thay đổi lõi SRA cho đến khi có văn bản có thẩm quyền mới.</w:t>
      </w:r>
    </w:p>
    <w:p>
      <w:pPr>
        <w:pStyle w:val="BodyText"/>
        <w:keepNext w:val="0"/>
        <w:keepLines w:val="0"/>
        <w:widowControl/>
        <w:spacing w:before="60" w:after="60" w:line="288" w:lineRule="auto"/>
        <w:ind w:firstLine="720"/>
        <w:jc w:val="both"/>
      </w:pPr>
      <w:r>
        <w:rPr>
          <w:rFonts w:ascii="Times New Roman" w:hAnsi="Times New Roman" w:eastAsia="Times New Roman"/>
          <w:sz w:val="26"/>
        </w:rPr>
        <w:t>Như vậy, nghiên cứu không coi chuỗi thu thập–làm sạch–chuẩn hóa–đồng bộ tự thân là một đóng góp mới; các yêu cầu tương ứng đã được đặt ra trong các khung dữ liệu và liên thông hiện hành. Giá trị kiến trúc nằm ở cách áp dụng chúng vào miền DN KH&amp;CN/DN KNST và gắn từng bước với thẩm quyền theo nhóm thuộc tính/thời gian, provenance và ranh giới trách nhiệm: dữ liệu từ cơ sở có thể được tiếp nhận để bổ sung nhưng phải được xác minh; topology vật lý không làm thay đổi nguồn pháp lý hoặc quyền ghi; mọi bản sao, tổng hợp hay quan hệ dẫn xuất đều bảo toàn nguồn, phiên bản và khoảng hiệu lực. Các điều kiện này trở thành căn cứ cho thiết kế liên thông ở Mục 6 và cho các kịch bản đánh giá ở Mục 7.</w:t>
      </w:r>
    </w:p>
    <w:bookmarkEnd w:id="47"/>
    <w:bookmarkEnd w:id="48"/>
    <w:bookmarkStart w:id="56" w:name="liên-thông-và-ranh-giới-hệ-thống"/>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6. Liên thông và ranh giới hệ thống</w:t>
      </w:r>
    </w:p>
    <w:bookmarkStart w:id="49" w:name="liên-thông-như-một-vấn-đề-kiến-trú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6.1. Liên thông như một vấn đề kiến trúc</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EIF được dùng như một khung phân tích bốn lớp pháp lý–tổ chức–ngữ nghĩa–kỹ thuật, không phải nguồn nghĩa vụ Việt Nam [12, Hình 3, p. 22; pp. 27-30]. Đối với SRA này, phân tích cho thấy năm ranh giới liên thông có ý nghĩa kiến trúc: định danh/xác thực; trao đổi tỉnh–trung ương; CSDL quốc gia về doanh nghiệp; hệ thống thủ tục hành chính/dịch vụ công; và các nguồn bằng chứng chuyên ngành. Nền tảng không thay thế các ranh giới này: hệ thống TTHC/DVC tiếp tục giữ kênh tiếp nhận/trả kết quả theo quy định, CSDL quốc gia/chuyên ngành tiếp tục giữ dữ liệu thuộc thẩm quyền của chúng, còn nền tảng bổ sung năng lực tiếp nhận, chuẩn hóa, quản trị trạng thái chuyên ngành, provenance, tổng hợp và kết nối hệ sinh thái. Bảng 4 tóm tắt các hệ quả thiết kế chính; ma trận bốn lớp đầy đủ được đưa vào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4. Các ranh giới liên thông và hệ quả kiến trúc chính</w:t>
      </w:r>
    </w:p>
    <w:tbl>
      <w:tblPr>
        <w:tblStyle w:val="TableGrid"/>
        <w:tblW w:type="auto" w:w="0"/>
        <w:jc w:val="center"/>
        <w:tblLayout w:type="fixed"/>
        <w:tblLook w:firstRow="0" w:lastRow="0" w:firstColumn="0" w:lastColumn="0" w:noHBand="0" w:noVBand="0" w:val="0000"/>
        <w:tblCaption w:val="Các ranh giới liên thông và hệ quả kiến trúc chính"/>
      </w:tblPr>
      <w:tblGrid>
        <w:gridCol w:w="2640"/>
        <w:gridCol w:w="2640"/>
        <w:gridCol w:w="2640"/>
      </w:tblGrid>
      <w:tr>
        <w:trPr>
          <w:tblHeader w:val="true"/>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Ranh giới</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Nguồn/thẩm quyền cần bảo toàn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Hệ quả kiến trúc</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Định danh/xác thực</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Dịch vụ định danh và CSDL đăng ký doanh nghiệp giữ định danh pháp lý; nền tảng là bên sử dụng dịch vụ [23, 24].</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Không tạo định danh pháp lý song song; lưu khóa định danh chính thức và thực hiện xác thực/đối soát theo điều kiện kết nối được quy định.</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Tỉnh–trung ương</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Cơ quan tỉnh giữ thẩm quyền đối với hồ sơ/quyết định thuộc phạm vi; trung ương nhận thông tin để tổng hợp, giám sát và quản trị chung [1, 22].</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Hợp đồng dữ liệu chung giữ mã địa bàn, hồ sơ/quyết định, trạng thái, hiệu lực, nguồn và phiên bản; trao đổi phải truy vết được và kiểm soát xử lý trùng.</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CSDL quốc gia về doanh nghiệp</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Nguồn quốc gia giữ dữ liệu định danh doanh nghiệp có thẩm quyền [27, 22, 11].</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Nền tảng tiêu thụ/tham chiếu thay vì tái sở hữu; mỗi bản ghi phụ thuộc phải giữ nguồn, phiên bản hoặc thời điểm đồng bộ.</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Hệ thống TTHC</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 thủ tục hành chính giữ kênh tiếp nhận/trả kết quả; nền tảng thực hiện nghiệp vụ chuyên ngành [1, 22].</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Hai miền được nối bằng định danh hồ sơ, chủ thể, thủ tục, trạng thái và kết quả; API, sự kiện hay dịch vụ dữ liệu là lựa chọn L3.</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Nguồn bằng chứng chuyên ngành</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 nguồn tạo hoặc xác nhận kết quả nhiệm vụ KH,CN&amp;ĐMST, văn bằng SHTT và bằng chứng liên quan [1].</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Nền tảng tham chiếu/xác minh và giữ xuất xứ; không giả định API bắt buộc khi nguồn hiện hành mới xác lập giá trị dữ liệu/tài liệu.</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Ranh giới tổ chức vì vậy không trùng ranh giới kỹ thuật. Cơ quan trung ương quản trị chuẩn và mô hình đọc; cơ quan tỉnh chịu trách nhiệm đối với quyết định thuộc thẩm quyền; chủ quản hệ thống nguồn chịu trách nhiệm dữ liệu gốc; còn đơn vị vận hành nền tảng chịu trách nhiệm về tích hợp, truy vết và kiểm soát kỹ thuật. Cách phân vai này giúp tránh một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CSDL trung tâm</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trở thành nguồn sự thật cho mọi loại dữ liệu chỉ vì nó thuận tiện về triển khai.</w:t>
      </w:r>
    </w:p>
    <w:bookmarkEnd w:id="49"/>
    <w:bookmarkStart w:id="50" w:name="từ-nghĩa-vụ-thời-hạn-đến-cơ-chế-tích-hợp"/>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6.2. Từ nghĩa vụ thời hạn đến cơ chế tích hợp</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Khoản 2 Điều 66 NĐ 268 quy định thời hạn thông báo cho Bộ đối với các quyết định liên quan [1]. Đây là ràng buộc nghiệp vụ L1, không phải cam kết về độ trễ API. Hệ quả kiến trúc L2 là các thay đổi có hiệu lực phải mang định danh sự kiện, quyết định/cơ quan phát hành, ngày quyết định hoặc hiệu lực, dấu thời gian gửi–nhận và bằng chứng tiếp nhận; cơ chế gửi lại phải tránh tạo xử lý trùng và phải cho phép phát hiện nguy cơ quá hạn. Hàng đợi, middleware, kiểu API hay chế độ đồng bộ là lựa chọn L3. Phân biệt này ngăn yêu cầu pháp lý bị chuyển trực tiếp thành một đặc tả công nghệ không có căn cứ.</w:t>
      </w:r>
    </w:p>
    <w:bookmarkEnd w:id="50"/>
    <w:bookmarkStart w:id="54" w:name="Xb83f7363030e7f6c512a8c33dff85494c0ec80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6.3. Ranh giới logic của nền tảng tỉnh–trung ương</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Hình 4 biểu diễn cấu trúc vùng chứa logic theo C4 [31]. Mục tiêu của hình là làm rõ trách nhiệm và hướng phụ thuộc giữa dịch vụ nghiệp vụ cấp tỉnh, điều phối/đọc trung ương, quản trị cấu hình, kho vận hành, mô hình đọc hợp nhất và cổng tích hợp. Công nghệ lưu trữ và giao thức được giữ ở L3 để SRA không bị đồng nhất với một sản phẩm triển khai cụ thể. Đặc biệt, nền tảng không sở hữu định danh pháp lý doanh nghiệp, không thay thế kênh TTHC/DVC và không trở thành nguồn gốc của dữ liệu bằng chứng chuyên ngành; các hệ thống đó nằm ngoài biên và được kết nối qua các quan hệ có kiểm soát.</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244802" cy="3312024"/>
            <wp:effectExtent b="0" l="0" r="0" t="0"/>
            <wp:docPr descr="Hình 4. Cấu trúc vùng chứa và ranh giới trách nhiệm – góc nhìn vùng chứa logic dùng các phần tử C4; công nghệ/giao thức cụ thể được giữ ở L3" title="Hình 4" id="52" name="Picture"/>
            <a:graphic>
              <a:graphicData uri="http://schemas.openxmlformats.org/drawingml/2006/picture">
                <pic:pic>
                  <pic:nvPicPr>
                    <pic:cNvPr descr="figpng/fig04_c4_container_boundaries.png" id="53" name="Picture"/>
                    <pic:cNvPicPr>
                      <a:picLocks noChangeArrowheads="1" noChangeAspect="1"/>
                    </pic:cNvPicPr>
                  </pic:nvPicPr>
                  <pic:blipFill>
                    <a:blip r:embed="rId51"/>
                    <a:stretch>
                      <a:fillRect/>
                    </a:stretch>
                  </pic:blipFill>
                  <pic:spPr bwMode="auto">
                    <a:xfrm>
                      <a:off x="0" y="0"/>
                      <a:ext cx="5244802" cy="3312024"/>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4. Cấu trúc vùng chứa và ranh giới trách nhiệm – góc nhìn vùng chứa logic dùng các phần tử C4; công nghệ/giao thức cụ thể được giữ ở L3</w:t>
      </w:r>
    </w:p>
    <w:bookmarkEnd w:id="54"/>
    <w:bookmarkStart w:id="55" w:name="X1074b13ab6cbcf1e814cecbed43cfc3eb1983b6"/>
    <w:p>
      <w:pPr>
        <w:pStyle w:val="Heading2"/>
        <w:keepNext/>
        <w:keepLines w:val="0"/>
        <w:widowControl/>
        <w:spacing w:before="60" w:after="60" w:line="288" w:lineRule="auto"/>
        <w:jc w:val="left"/>
      </w:pPr>
      <w:r>
        <w:rPr>
          <w:rFonts w:ascii="Times New Roman" w:hAnsi="Times New Roman" w:eastAsia="Times New Roman"/>
          <w:b/>
          <w:sz w:val="26"/>
        </w:rPr>
        <w:t>6.4. Profile đánh giá P-DIST và luồng thu thập–liên thông dữ liệu</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P-DIST được dùng để cụ thể hóa một điểm biến thiên topology cho mục đích đánh giá, không phải để định nghĩa lõi SRA. Trong profile này, mỗi tỉnh có kho vận hành vật lý tách biệt và trung ương duy trì mô hình đọc/tổng hợp; đây là lựa chọn tùy chọn cho những trường hợp địa phương cần giữ quyền kiểm soát vận hành tại chỗ, trong khi các hiện thực hóa đa tenant, phân vùng logic/schema hoặc mô hình lai vẫn có thể phù hợp. Dù chọn topology nào, dữ liệu thuộc phạm vi cần chia sẻ, báo cáo hoặc tổng hợp liên cấp vẫn phải được chuẩn hóa, đồng bộ lên lớp trung ương và đi qua hạ tầng liên thông được quản trị; quyền giữ kho vận hành riêng không đồng nghĩa với tách khỏi ảnh dữ liệu thống nhất của Bộ/quốc gia. Hình 5 vì vậy nhấn mạnh đường đi logic của dữ liệu: từ các hệ thống/nguồn hiện hữu và dữ liệu bổ sung tại cơ sở qua lớp tiếp nhận–chuẩn hóa–đối soát, vào dữ liệu nghiệp vụ theo thẩm quyền và mô hình đọc/tổng hợp, rồi trao đổi qua hạ tầng chia sẻ/điều phối. Hình không ấn định sản phẩm CSDL, middleware hay giao thức cụ thể.</w:t>
      </w:r>
    </w:p>
    <w:p>
      <w:pPr>
        <w:pStyle w:val="CaptionedFigure"/>
        <w:jc w:val="center"/>
      </w:pPr>
      <w:r>
        <w:drawing>
          <wp:inline>
            <wp:extent cx="5623560" cy="3685074"/>
            <wp:docPr id="54" name="Picture 54"/>
            <wp:cNvGraphicFramePr>
              <a:graphicFrameLocks noChangeAspect="1"/>
            </wp:cNvGraphicFramePr>
            <a:graphic>
              <a:graphicData uri="http://schemas.openxmlformats.org/drawingml/2006/picture">
                <pic:pic>
                  <pic:nvPicPr>
                    <pic:cNvPr id="0" name="fig05_pdist_word.png"/>
                    <pic:cNvPicPr/>
                  </pic:nvPicPr>
                  <pic:blipFill>
                    <a:blip r:embed="rId13"/>
                    <a:stretch>
                      <a:fillRect/>
                    </a:stretch>
                  </pic:blipFill>
                  <pic:spPr>
                    <a:xfrm>
                      <a:off x="0" y="0"/>
                      <a:ext cx="5623560" cy="3685074"/>
                    </a:xfrm>
                    <a:prstGeom prst="rect"/>
                  </pic:spPr>
                </pic:pic>
              </a:graphicData>
            </a:graphic>
          </wp:inline>
        </w:drawing>
      </w:r>
    </w:p>
    <w:p>
      <w:pPr>
        <w:pStyle w:val="ImageCaption"/>
        <w:keepNext/>
        <w:jc w:val="both"/>
      </w:pPr>
      <w:r>
        <w:rPr>
          <w:rFonts w:ascii="Times New Roman" w:hAnsi="Times New Roman" w:eastAsia="Times New Roman"/>
          <w:i/>
          <w:sz w:val="26"/>
        </w:rPr>
        <w:t>Hình 5. Luồng thu thập–chuẩn hóa–đồng bộ và liên thông trong một biến thể tùy chọn P-DIST; kho vận hành địa phương không thay thế nghĩa vụ đồng bộ/tổng hợp liên cấp</w:t>
      </w:r>
    </w:p>
    <w:p>
      <w:pPr>
        <w:pStyle w:val="BodyText"/>
        <w:jc w:val="both"/>
      </w:pPr>
      <w:r>
        <w:rPr>
          <w:rFonts w:ascii="Times New Roman" w:hAnsi="Times New Roman" w:eastAsia="Times New Roman"/>
          <w:sz w:val="26"/>
        </w:rPr>
        <w:t>Trong ánh xạ này, “Cổng tích hợp và tiếp nhận” cùng các bước kiểm tra–chuẩn hóa–đối soát là các vai trò logic của nền tảng. Khi hiện thực hóa trong hệ sinh thái Bộ Khoa học và Công nghệ, kết nối liên cơ quan phải tương thích với lớp tích hợp, chia sẻ và điều phối của QĐ 1973 (LGSP/LDOP, API Gateway, Agent Node) và cơ chế kết nối qua Nền tảng chia sẻ, điều phối dữ liệu/Agent Node theo NĐ 278 [11, Mục III.1.4; 22, khoản 2 Điều 4, khoản 3 Điều 7]. Kho tỉnh trong P-DIST chỉ giữ vai trò vận hành cục bộ theo profile đánh giá; dữ liệu thuộc nghĩa vụ chia sẻ/tổng hợp vẫn được đồng bộ lên lớp trung ương, vì vậy biến thể này không cản trở yêu cầu thống nhất và tập trung khai thác ở cấp Bộ. Hình 5 không phải sơ đồ triển khai chính thức, không thay thế hệ thống TTHC/DVC hoặc CSDL nguồn và không được các văn bản dẫn chiếu bắt buộc về topology.</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Tương tự, góc nhìn an toàn/riêng tư chỉ khóa các bất biến kiến trúc: xác thực theo nguồn phù hợp, ủy quyền theo vai trò và phạm vi, tách đặc quyền tỉnh–trung ương, kiểm soát trường dữ liệu được trao đổi, lưu nguồn gốc/phiên bản và bằng chứng gửi–nhận, cùng trách nhiệm kiểm toán. Các yêu cầu này được dẫn xuất từ NĐ 69, NĐ 278, Luật Bảo vệ dữ liệu cá nhân và NĐ 356 [23, 22, 25, 26]. Chúng không chứng minh rằng một hệ thống chưa triển khai đã đạt cấp độ an toàn thông tin, thông lượng, tính sẵn sàng hay thời gian phục hồi cụ thể; các thuộc tính đó phải được kiểm chứng trên hiện thực hóa thực tế. Ma trận biên tin cậy–kiểm soát chi tiết được cung cấp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Cuối cùng, biến thể địa phương được giới hạn ở bước nội bộ, vai trò phối hợp và biểu mẫu phụ trợ; không được thay đổi thẩm quyền, trạng thái quyết định hoặc thời hạn L1, và phải có phiên bản/ngày hiệu lực. Cấu trúc mô hình chung–biến thể địa phương phù hợp với tiền lệ về quy trình cấu hình trong chính quyền đô thị [33, pp. 486-500]. Đồng thời, địa bàn được dùng để xác định thẩm quyền chứ không làm ranh giới của toàn bộ hệ sinh thái: quan hệ doanh nghiệp–quỹ–chuyên gia–viện/trường cần được lưu xuyên địa bàn [13, pp. 27-28]; [14, pp. 1483-1484].</w:t>
      </w:r>
    </w:p>
    <w:bookmarkEnd w:id="55"/>
    <w:bookmarkEnd w:id="56"/>
    <w:bookmarkStart w:id="60" w:name="đánh-giá-kiến-trúc-theo-kịch-bả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7. Đánh giá kiến trúc theo kịch bản</w:t>
      </w:r>
    </w:p>
    <w:bookmarkStart w:id="57" w:name="thiết-lập-đánh-giá-và-kết-quả-tổng-quát"/>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7.1. Thiết lập đánh giá và kết quả tổng quát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cấu hình ứng viên của SRA theo profile P-DIST trước vòng đánh giá; B0 là một cấu hình tập trung dùng làm đường cơ sở định tính để làm rõ các đánh đổi. Hai cấu hình khác nhau đồng thời ở nhiều quyết định, vì vậy B0 không được dùng như đối chứng thực nghiệm và kết quả không được diễn giải như bằng chứng rằng một topology tốt hơn topology khác. Mười kịch bản S1–S10 và rubric ba mức đã trình bày ở Mục 3.4 được áp dụng trước cho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sau đó áp dụng lại cho B1-R sau tinh chỉnh.</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Kết quả ban đầu gồm</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 kịch bản đáp ứng trực tiếp, 7 đáp ứng có điều kiện và 1 rủi ro kiến trúc</w:t>
      </w:r>
      <w:r>
        <w:rPr>
          <w:rFonts w:ascii="Times New Roman" w:hAnsi="Times New Roman" w:eastAsia="Times New Roman" w:cs="Times New Roman"/>
          <w:sz w:val="26"/>
        </w:rPr>
        <w:t xml:space="preserve">. Sau vòng tinh chỉnh, B1-R đạt</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 đáp ứng trực tiếp, 8 đáp ứng có điều kiện và không còn rủi ro kiến trúc chưa được hấp thụ ở mức thiết kế L2</w:t>
      </w:r>
      <w:r>
        <w:rPr>
          <w:rFonts w:ascii="Times New Roman" w:hAnsi="Times New Roman" w:eastAsia="Times New Roman" w:cs="Times New Roman"/>
          <w:sz w:val="26"/>
        </w:rPr>
        <w:t xml:space="preserve">. Bảng 5 giữ toàn bộ mười kịch bản nhưng chỉ trình bày phát hiện có ý nghĩa đối với lập luận kiến trúc; các mã thành phần, quy tắc phù hợp và phép kiểm tra chi tiết được chuyển sang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5. Kết quả stress-test B1 và kiểm tra lại B1-R bằng cùng rubric</w:t>
      </w:r>
    </w:p>
    <w:tbl>
      <w:tblPr>
        <w:tblStyle w:val="TableGrid"/>
        <w:tblW w:type="auto" w:w="0"/>
        <w:jc w:val="center"/>
        <w:tblLayout w:type="fixed"/>
        <w:tblLook w:firstRow="0" w:lastRow="0" w:firstColumn="0" w:lastColumn="0" w:noHBand="0" w:noVBand="0" w:val="0000"/>
        <w:tblCaption w:val="Kết quả stress-test B1_0 và kiểm tra lại B1-R bằng cùng rubric"/>
      </w:tblPr>
      <w:tblGrid>
        <w:gridCol w:w="1980"/>
        <w:gridCol w:w="1980"/>
        <w:gridCol w:w="1980"/>
        <w:gridCol w:w="1980"/>
      </w:tblGrid>
      <w:tr>
        <w:trPr>
          <w:tblHeader w:val="true"/>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Kịch bản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B1</w:t>
            </w:r>
            <w:r>
              <w:rPr>
                <w:rFonts w:ascii="Times New Roman" w:hAnsi="Times New Roman" w:eastAsia="Times New Roman" w:cs="Times New Roman"/>
                <w:sz w:val="20"/>
                <w:vertAlign w:val="subscript"/>
              </w:rPr>
              <w:t>0</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B1-R</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Hàm ý kiến trúc chính</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S1. Tỉnh xử lý và quyết định theo thẩm quyền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Biên quyền ghi theo phạm vi thẩm quyền là phù hợp với nghiệp vụ phân cấp.</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S2. Hai tỉnh khác bước nội bộ nhưng cùng nghĩa vụ pháp lý</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Cần tách mô hình nền pháp lý khỏi cấu hình nội bộ có kiểm soát.</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S3. Quy định thay đổi trạng thái, biểu mẫu hoặc thời hạn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Thay đổi phải đi qua quản trị phiên bản và xử lý hồ sơ đang chạy.</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S4. Chia sẻ trung ương gián đoạn sau quyết định của tỉnh</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Xử lý cục bộ và đồng bộ lại chỉ khả thi nếu bảo toàn trạng thái, thời hạn và chống lặp.</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S5. Trung ương cần ảnh dữ liệu toàn quốc</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Mô hình đọc hợp nhất phải công bố nguồn, phiên bản và độ mới thay vì trở thành nguồn pháp lý mới.</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S6. Định danh doanh nghiệp thay đổi tại nguồn quốc gia</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Dữ liệu tham chiếu phải được làm mới và xác minh lại từ nguồn có thẩm quyền ở các bước nhạy cảm.</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S7. Lớp trung ương không sẵn sàng khi tỉnh đang xử lý</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Khả năng tiếp tục cục bộ phụ thuộc ranh giới rõ giữa bước địa phương và bước bắt buộc dùng dịch vụ ngoài.</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S8. Quan hệ đầu tư/hỗ trợ vượt địa giới</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Quan hệ hệ sinh thái phải độc lập với biên thẩm quyền và giữ nguồn cùng thời gian hiệu lực.</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S9. Chuyển phạm vi quản lý từ tỉnh A sang B</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Rủi ro</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Biên ghi theo địa bàn là chưa đủ; quyền ghi phải được biểu diễn như một gán quyền có hiệu lực theo thời gian.</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S10. Các tỉnh nâng lược đồ/quy trình lệch thời điểm</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Kiến trúc cần quản trị tương thích phiên bản và quy tắc chuyển đổi minh thị.</w:t>
            </w:r>
          </w:p>
        </w:tc>
      </w:tr>
    </w:tbl>
    <w:bookmarkEnd w:id="57"/>
    <w:bookmarkStart w:id="58" w:name="phát-hiện-dẫn-tới-tinh-chỉnh-b1-r"/>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7.2. Phát hiện dẫn tới tinh chỉnh B1-R</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Phát hiện quan trọng nhất là S9.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đã tách quyền ghi theo địa bàn nhưng chưa mô hình hóa việc quyền đó thay đổi theo thời gian. Khi phạm vi quản lý một chủ thể chuyển từ tỉnh A sang tỉnh B, chỉ di chuyển hoặc sao chép dữ liệu không bảo đảm rằng tại cùng một thời điểm chỉ một phía có quyền thay đổi trạng thái, cũng không bảo toàn đầy đủ lịch sử và nguồn gốc của quyết định. Vòng DSR vì vậy tinh chỉnh nguyên tắc quyền ghi của B1-R thành một quan hệ có phạm vi, thời gian hiệu lực và bằng chứng chuyển giao, với bất biến chỉ một writer đang hiệu lực cho cùng phạm vi. Chi tiết biểu diễn và giao thức chuyển quyền được giữ trong tài liệu bổ trợ vì chúng là phương án L2 cần được kiểm chứng khi hiện thực hóa, không phải đặc tả bắt buộc của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S10 làm lộ một vấn đề khác: phiên bản của hợp đồng dữ liệu và quy trình không thể giả định được nâng đồng thời ở mọi tỉnh. B1-R do đó bổ sung cửa sổ tương thích, phiên bản tối thiểu còn hỗ trợ, ghim phiên bản cho hồ sơ đang xử lý và quy tắc chuyển đổi minh thị. Tinh chỉnh này không thay đổi mục tiêu chức năng của SRA nhưng làm rõ điều kiện để các nút có thể tiến hóa độc lập mà vẫn duy trì liên thông và khả năng đọc dữ liệu lịch sử.</w:t>
      </w:r>
    </w:p>
    <w:p>
      <w:pPr>
        <w:pStyle w:val="BodyText"/>
        <w:keepNext w:val="0"/>
        <w:keepLines w:val="0"/>
        <w:widowControl/>
        <w:spacing w:before="60" w:after="60" w:line="288" w:lineRule="auto"/>
        <w:ind w:firstLine="720"/>
        <w:jc w:val="both"/>
      </w:pPr>
      <w:r>
        <w:rPr>
          <w:rFonts w:ascii="Times New Roman" w:hAnsi="Times New Roman" w:eastAsia="Times New Roman"/>
          <w:sz w:val="26"/>
        </w:rPr>
        <w:t>Hai phát hiện trên cho thấy giá trị của phép đánh giá nằm ở việc làm lộ điểm chưa đầy đủ và buộc sửa artefact, chứ không chỉ xác nhận kiến trúc đã xây dựng. Chuỗi B10 → stress-test → tinh chỉnh → B1-R vì vậy đóng vai trò vòng đánh giá–thiết kế của nghiên cứu. Việc áp dụng lại cùng mười kịch bản chỉ là hậu kiểm tính nhất quán sau tinh chỉnh: S9 chuyển từ rủi ro sang đáp ứng có điều kiện cho biết khoảng trống đã được hấp thụ ở cấp thiết kế trong bộ kịch bản hiện tại; tám kịch bản còn ở mức có điều kiện vẫn đòi hỏi bằng chứng hiện thực hóa.</w:t>
      </w:r>
    </w:p>
    <w:bookmarkEnd w:id="58"/>
    <w:bookmarkStart w:id="59" w:name="X247917e86b60c128df70ca9f6b6c64e50d9322b"/>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7.3. Diễn giải và giới hạn của bằng chứng đánh giá</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B0 cho thấy một cấu hình tập trung có thể giảm số điểm cấu hình, đơn giản hóa một số thao tác tổng hợp và tránh một phần chi phí phối hợp khi chuyển dữ liệu; ngược lại, P-DIST làm rõ biên thực thi theo tỉnh nhưng phát sinh thêm yêu cầu điều phối quyền ghi, đồng bộ và tương thích phiên bản. Đây là các đánh đổi kiến trúc, không phải kết quả xếp hạng hiệu năng hay chi phí.</w:t>
      </w:r>
    </w:p>
    <w:p>
      <w:pPr>
        <w:pStyle w:val="BodyText"/>
        <w:keepNext w:val="0"/>
        <w:keepLines w:val="0"/>
        <w:widowControl/>
        <w:spacing w:before="60" w:after="60" w:line="288" w:lineRule="auto"/>
        <w:ind w:firstLine="720"/>
        <w:jc w:val="both"/>
      </w:pPr>
      <w:r>
        <w:rPr>
          <w:rFonts w:ascii="Times New Roman" w:hAnsi="Times New Roman" w:eastAsia="Times New Roman"/>
          <w:sz w:val="26"/>
        </w:rPr>
        <w:t>Phép đánh giá là kiểm chứng kiến trúc theo kịch bản trước triển khai (scenario-based architecture verification/stress-test). Các kịch bản được xây dựng và chấm bởi cùng nhóm tác giả; nghiên cứu chưa có prototype vận hành, tải thực, phép đo độ trễ/tính sẵn sàng, thời gian phục hồi, chi phí hay đánh giá người dùng. B0 và B10 cũng khác nhau ở nhiều quyết định nên không hỗ trợ suy luận nhân quả cho một quyết định riêng lẻ; lần áp dụng lại sau tinh chỉnh sử dụng chính bộ kịch bản và rubric ban đầu nên không phải kiểm chứng độc lập. Vì vậy, kết quả chỉ chứng minh mức đầy đủ và tính nhất quán tương đối của artefact trong phạm vi các kịch bản đã chọn. Bằng chứng tiếp theo cần đến từ nguyên mẫu và các phép thử có thể lặp lại đối với thu thập/chuẩn hóa, đồng bộ/liên thông, chuyển quyền ghi, tương thích/nâng cấp, phục hồi và an toàn.</w:t>
      </w:r>
    </w:p>
    <w:bookmarkEnd w:id="59"/>
    <w:bookmarkEnd w:id="60"/>
    <w:bookmarkStart w:id="64" w:name="bàn-luậ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8. Bàn luận</w:t>
      </w:r>
    </w:p>
    <w:bookmarkStart w:id="61" w:name="ý-nghĩa-của-đóng-góp-kiến-trú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8.1. Ý nghĩa của đóng góp kiến trúc</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Đóng góp của nghiên cứu không nằm ở việc đề xuất một chuẩn dữ liệu/liên thông mới hay một topology triển khai cụ thể. Các khung hiện hành được coi là đầu vào thiết kế; giá trị của SRA nằm ở việc chuyển chúng thành các bất biến và biên trách nhiệm cho đúng miền DN KH&amp;CN/DN KNST. Lõi ổn định bảo toàn quyền ghi theo thẩm quyền, nguồn gốc và hiệu lực dữ liệu, cùng trách nhiệm liên thông; còn bố trí kho dữ liệu, cơ chế tích hợp và chi tiết quy trình địa phương được để ở lớp biến thiên. Cách tách này cho phép địa phương lựa chọn cách vận hành phù hợp mà không làm mất tính thống nhất của dữ liệu phải chia sẻ/tổng hợp.</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Mô hình thẩm quyền theo</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nhóm thuộc tính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điểm khác biệt thứ hai: định danh pháp lý, trạng thái chuyên ngành, bằng chứng ngoài hệ thống và dữ liệu dẫn xuất có thể thuộc các nguồn có thẩm quyền khác nhau. Nhờ đó, nền tảng chuyên ngành không trở thành một nguồn pháp lý song song. Chuỗi truy vết từ nguồn tới quyết định kiến trúc đồng thời vận hành hóa yêu cầu về tính phù hợp kiến trúc trước đầu tư tại Khung kiến trúc số của Bộ KH&amp;CN [11]; giá trị của nó nằm ở khả năng giải thích vì sao một quyết định tồn tại và phần nào phải xem xét lại khi nguồn thay đổi, thay vì ở số lượng mã truy vết nội bộ.</w:t>
      </w:r>
    </w:p>
    <w:p>
      <w:pPr>
        <w:pStyle w:val="Heading2"/>
        <w:jc w:val="left"/>
      </w:pPr>
      <w:r>
        <w:rPr>
          <w:rFonts w:ascii="Times New Roman" w:hAnsi="Times New Roman" w:eastAsia="Times New Roman"/>
          <w:b/>
          <w:sz w:val="26"/>
        </w:rPr>
        <w:t>8.2. Từ yêu cầu hiện hành tới đáp ứng kiến trúc</w:t>
      </w:r>
    </w:p>
    <w:p>
      <w:pPr>
        <w:pStyle w:val="FirstParagraph"/>
        <w:jc w:val="both"/>
      </w:pPr>
      <w:r>
        <w:rPr>
          <w:rFonts w:ascii="Times New Roman" w:hAnsi="Times New Roman" w:eastAsia="Times New Roman"/>
          <w:sz w:val="26"/>
        </w:rPr>
        <w:t>Phạm vi bàn luận của nghiên cứu là nền tảng quản lý DN KH&amp;CN và DN KNST. Vấn đề trọng tâm là áp dụng các yêu cầu kiến trúc, dữ liệu và liên thông hiện hành vào một hệ thống phải làm việc với dữ liệu phân tán, thiếu và không đồng đều về chất lượng; đồng thời đưa doanh nghiệp và các đầu mối cơ sở vào chuỗi thu thập/bổ sung dữ liệu mà vẫn bảo toàn thẩm quyền và không tạo thêm một kênh dịch vụ công song song. Trong phạm vi này, ba nguyên tắc chi phối thiết kế là phân định đúng thẩm quyền dữ liệu, giữ một đường cơ sở chuẩn tắc chung cho các biến thể địa phương và bảo toàn provenance qua các biên liên thông.</w:t>
      </w:r>
    </w:p>
    <w:p>
      <w:pPr>
        <w:pStyle w:val="BodyText"/>
        <w:jc w:val="both"/>
      </w:pPr>
      <w:r>
        <w:rPr>
          <w:rFonts w:ascii="Times New Roman" w:hAnsi="Times New Roman" w:eastAsia="Times New Roman"/>
          <w:sz w:val="26"/>
        </w:rPr>
        <w:t>Thứ nhất, thẩm quyền phải được phân rã theo nhóm thuộc tính, phạm vi và thời gian hiệu lực. Cách này cho phép định danh pháp lý tiếp tục tham chiếu CSDL quốc gia về doanh nghiệp, trạng thái DN KH&amp;CN/DN KNST phát sinh từ cơ quan có thẩm quyền và dữ liệu dẫn xuất được quản trị riêng mà không tạo các nguồn pháp lý song song. Đây cũng là cơ sở để đối soát dữ liệu khi cùng một doanh nghiệp xuất hiện ở nhiều nguồn.</w:t>
      </w:r>
    </w:p>
    <w:p>
      <w:pPr>
        <w:pStyle w:val="BodyText"/>
        <w:jc w:val="both"/>
      </w:pPr>
      <w:r>
        <w:rPr>
          <w:rFonts w:ascii="Times New Roman" w:hAnsi="Times New Roman" w:eastAsia="Times New Roman"/>
          <w:sz w:val="26"/>
        </w:rPr>
        <w:t>Thứ hai, nền tảng cần một đường cơ sở chuẩn tắc ổn định cho thẩm quyền, trạng thái quyết định, nguồn dữ liệu và thời hạn bắt buộc, trong khi bước xử lý nội bộ, vai trò phối hợp, biểu mẫu phụ trợ và cấu hình địa phương có thể biến thiên có kiểm soát. Sự tách biệt này cho phép thu thập dữ liệu từ các quy trình địa phương khác nhau nhưng vẫn chuẩn hóa được đầu ra dùng chung cho đồng bộ và tổng hợp.</w:t>
      </w:r>
    </w:p>
    <w:p>
      <w:pPr>
        <w:pStyle w:val="BodyText"/>
        <w:jc w:val="both"/>
      </w:pPr>
      <w:r>
        <w:rPr>
          <w:rFonts w:ascii="Times New Roman" w:hAnsi="Times New Roman" w:eastAsia="Times New Roman"/>
          <w:sz w:val="26"/>
        </w:rPr>
        <w:t>Thứ ba, liên thông phải bảo toàn provenance độc lập với cách bố trí lưu trữ. Bản sao, mô hình đọc và dữ liệu tổng hợp có thể thay đổi nơi lưu hoặc nhịp cập nhật, nhưng phải giữ nguồn, phiên bản, thời điểm hiệu lực và bằng chứng trao đổi. Điều này đặc biệt quan trọng khi nền tảng nhận dữ liệu từ hệ thống TTHC/DVC, CSDL quốc gia và các nguồn chuyên ngành: nền tảng có thể chuẩn hóa và tổng hợp nhưng không được làm mất dấu nguồn có thẩm quyền hoặc thay thế vai trò nghiệp vụ của hệ thống nguồn.</w:t>
      </w:r>
    </w:p>
    <w:p>
      <w:pPr>
        <w:pStyle w:val="BodyText"/>
        <w:jc w:val="both"/>
      </w:pPr>
      <w:r>
        <w:rPr>
          <w:rFonts w:ascii="Times New Roman" w:hAnsi="Times New Roman" w:eastAsia="Times New Roman"/>
          <w:sz w:val="26"/>
        </w:rPr>
        <w:t>Để kiểm tra kiến trúc đề xuất bám tới đâu vào các yêu cầu và định hướng hiện hành, Bảng 6 tách rõ nội dung từ nguồn, vấn đề đặt ra đối với nền tảng DN KH&amp;CN/DN KNST và cách SRA đáp ứng. Đây là đối sánh thiết kế nhằm giải thích cách các chuẩn/khung hiện hành được áp dụng vào hệ thống, không phải chứng nhận tuân thủ cho một hệ thống chưa triển khai.</w:t>
      </w:r>
    </w:p>
    <w:p>
      <w:pPr>
        <w:pStyle w:val="TableCaption"/>
        <w:keepNext/>
        <w:jc w:val="both"/>
      </w:pPr>
      <w:r>
        <w:rPr>
          <w:rFonts w:ascii="Times New Roman" w:hAnsi="Times New Roman" w:eastAsia="Times New Roman"/>
          <w:b/>
          <w:sz w:val="26"/>
        </w:rPr>
        <w:t>Bảng 6. Đối sánh yêu cầu/định hướng hiện hành với đáp ứng của kiến trúc đề xuất</w:t>
      </w:r>
    </w:p>
    <w:tbl>
      <w:tblPr>
        <w:tblStyle w:val="TableGrid"/>
        <w:tblW w:type="auto" w:w="0"/>
        <w:tblLayout w:type="fixed"/>
        <w:tblLook w:firstColumn="1" w:firstRow="1" w:lastColumn="0" w:lastRow="0" w:noHBand="0" w:noVBand="1" w:val="04A0"/>
      </w:tblPr>
      <w:tblGrid>
        <w:gridCol w:w="2256"/>
        <w:gridCol w:w="2256"/>
        <w:gridCol w:w="2256"/>
        <w:gridCol w:w="2256"/>
      </w:tblGrid>
      <w:tr>
        <w:trPr>
          <w:tblHeader w:val="true"/>
          <w:cantSplit/>
        </w:trPr>
        <w:tc>
          <w:tcPr>
            <w:tcW w:type="dxa" w:w="1701"/>
            <w:vAlign w:val="top"/>
            <w:tcMar>
              <w:top w:w="55" w:type="dxa"/>
              <w:left w:w="55" w:type="dxa"/>
              <w:bottom w:w="55" w:type="dxa"/>
              <w:right w:w="55" w:type="dxa"/>
            </w:tcMar>
          </w:tcPr>
          <w:p>
            <w:pPr>
              <w:pStyle w:val="Compact"/>
              <w:jc w:val="center"/>
            </w:pPr>
            <w:r>
              <w:rPr>
                <w:rFonts w:ascii="Times New Roman" w:hAnsi="Times New Roman" w:eastAsia="Times New Roman"/>
                <w:b/>
                <w:sz w:val="19"/>
              </w:rPr>
              <w:t>Nguồn/vị trí</w:t>
            </w:r>
          </w:p>
        </w:tc>
        <w:tc>
          <w:tcPr>
            <w:tcW w:type="dxa" w:w="2098"/>
            <w:vAlign w:val="top"/>
            <w:tcMar>
              <w:top w:w="55" w:type="dxa"/>
              <w:left w:w="55" w:type="dxa"/>
              <w:bottom w:w="55" w:type="dxa"/>
              <w:right w:w="55" w:type="dxa"/>
            </w:tcMar>
          </w:tcPr>
          <w:p>
            <w:pPr>
              <w:pStyle w:val="Compact"/>
              <w:jc w:val="center"/>
            </w:pPr>
            <w:r>
              <w:rPr>
                <w:rFonts w:ascii="Times New Roman" w:hAnsi="Times New Roman" w:eastAsia="Times New Roman"/>
                <w:b/>
                <w:sz w:val="19"/>
              </w:rPr>
              <w:t>Yêu cầu/định hướng từ nguồn</w:t>
            </w:r>
          </w:p>
        </w:tc>
        <w:tc>
          <w:tcPr>
            <w:tcW w:type="dxa" w:w="2438"/>
            <w:vAlign w:val="top"/>
            <w:tcMar>
              <w:top w:w="55" w:type="dxa"/>
              <w:left w:w="55" w:type="dxa"/>
              <w:bottom w:w="55" w:type="dxa"/>
              <w:right w:w="55" w:type="dxa"/>
            </w:tcMar>
          </w:tcPr>
          <w:p>
            <w:pPr>
              <w:pStyle w:val="Compact"/>
              <w:jc w:val="center"/>
            </w:pPr>
            <w:r>
              <w:rPr>
                <w:rFonts w:ascii="Times New Roman" w:hAnsi="Times New Roman" w:eastAsia="Times New Roman"/>
                <w:b/>
                <w:sz w:val="19"/>
              </w:rPr>
              <w:t>Vấn đề đối với nền tảng DN KH&amp;CN/DN KNST</w:t>
            </w:r>
          </w:p>
        </w:tc>
        <w:tc>
          <w:tcPr>
            <w:tcW w:type="dxa" w:w="2778"/>
            <w:vAlign w:val="top"/>
            <w:tcMar>
              <w:top w:w="55" w:type="dxa"/>
              <w:left w:w="55" w:type="dxa"/>
              <w:bottom w:w="55" w:type="dxa"/>
              <w:right w:w="55" w:type="dxa"/>
            </w:tcMar>
          </w:tcPr>
          <w:p>
            <w:pPr>
              <w:pStyle w:val="Compact"/>
              <w:jc w:val="center"/>
            </w:pPr>
            <w:r>
              <w:rPr>
                <w:rFonts w:ascii="Times New Roman" w:hAnsi="Times New Roman" w:eastAsia="Times New Roman"/>
                <w:b/>
                <w:sz w:val="19"/>
              </w:rPr>
              <w:t>Đáp ứng kiến trúc đề xuất</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QĐ 3090/QĐ-BKHCN, Điều 1 [9]</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Điều 1 ban hành Khung kiến trúc tổng thể quốc gia số.</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Nền tảng chuyên ngành cần được đối chiếu với hệ quy chiếu kiến trúc chung để tránh thiết kế tách rời hoặc tự tạo lại các thành phần dùng chung đã có.</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Nghiên cứu dùng QĐ 3090 làm hệ quy chiếu tổng thể và QĐ 292 để kiểm tra các miền kiến trúc cụ thể; Hình 1 đặt SRA trong hệ quy chiếu quốc gia/Bộ, còn Hình 4 giữ các hệ thống hiện hữu ngoài biên.</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QĐ 292/QĐ-BKHCN, Chương 2 Mục II; Chương 3 Mục II.6–7 [21]</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Khung Chính phủ số sử dụng các mô hình tham chiếu nghiệp vụ, dữ liệu, ứng dụng, công nghệ, ATTT và các lớp tích hợp/chia sẻ ở cấp quốc gia, bộ/tỉnh.</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Thu thập dữ liệu đa nguồn cần tách rõ trách nhiệm nghiệp vụ, dữ liệu, ứng dụng và biên tích hợp; kết nối điểm–điểm tùy ý sẽ khó quản trị.</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Các góc nhìn năng lực–ứng dụng, dữ liệu–thẩm quyền và C4 container tách trách nhiệm; luồng liên cơ quan đi qua cổng tích hợp/biên chia sẻ được quản trị (Hình 2, 4, 5; Mục 6).</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QĐ 2439/QĐ-TTg [10]; NĐ 278, khoản 2,4 Điều 4; khoản 2 Điều 5; khoản 2–3 Điều 7 [22]</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Quản trị dữ liệu chủ cần nguồn tin cậy; dữ liệu phải chuẩn hóa theo từ điển/khung dùng chung; các luồng chia sẻ bắt buộc đi qua Nền tảng chia sẻ, điều phối/Agent Node.</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Định danh doanh nghiệp, trạng thái chuyên ngành và dữ liệu dẫn xuất đến từ các nguồn khác nhau; nếu hợp nhất thiếu nguồn gốc sẽ tạo dữ liệu trùng hoặc nguồn sự thật giả.</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SRA xác định authority theo nhóm thuộc tính, giữ provenance/phiên bản, chuẩn hóa trước khi hợp nhất và trao đổi qua hạ tầng chia sẻ/điều phối (Hình 3, 5; Mục 5–6).</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QĐ 1973/QĐ-BKHCN, Mục I.1–2, II.1(b), III.1.4, III.3.3 [11]</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Khung dữ liệu Bộ hướng tới dữ liệu thống nhất, chuẩn hóa, đồng bộ và liên thông; dữ liệu tổ chức/doanh nghiệp lấy từ nguồn quốc gia; lớp tích hợp của Bộ gồm các vai trò LGSP/LDOP, API Gateway, Agent Node.</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Nền tảng phải thu nhận dữ liệu từ quốc gia, địa phương và nguồn chuyên ngành rồi chuẩn hóa/đối soát trước khi tạo ảnh dữ liệu dùng cho quản trị, nhưng không được tạo master định danh doanh nghiệp song song.</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Hình 5 tổ chức chuỗi tiếp nhận → kiểm tra/chuẩn hóa → đối soát/provenance → dữ liệu nghiệp vụ/ảnh đọc; cổng tích hợp thích nghi với lớp chia sẻ của Bộ. Định danh pháp lý tiếp tục tham chiếu nguồn quốc gia.</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NĐ 268/2025/NĐ-CP, Điều 48; khoản 2 Điều 66 [1]</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Thẩm quyền công nhận/chứng nhận chủ yếu ở cấp tỉnh nhưng có nghĩa vụ cập nhật, thông báo và tổng hợp liên cấp với các mốc thời gian luật định.</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Cần vừa giữ quyền quyết định và ghi trạng thái tại cơ quan có thẩm quyền, vừa tạo ảnh dữ liệu trung ương đủ mới để tổng hợp/giám sát.</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Quyền ghi bám phạm vi và thời gian hiệu lực; trung ương giữ mô hình đọc/tổng hợp có provenance; trao đổi giữ bằng chứng gửi–nhận và không biến thời hạn 15 ngày thành API SLA (Mục 5.2, 6.2; S9).</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NĐ 69 [23]; Luật BV dữ liệu cá nhân [25]; NĐ 356 [26]</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Định danh/xác thực, kiểm soát truy cập, bảo vệ dữ liệu cá nhân và khả năng truy vết phải được duy trì trong kết nối và khai thác dữ liệu.</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Dữ liệu đến từ nhiều nguồn và nhiều cấp nên quyền truy cập, trường được chia sẻ và bằng chứng xử lý phải được kiểm soát xuyên suốt chuỗi thu thập–đồng bộ.</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SRA tách xác thực khỏi phân quyền nghiệp vụ, giới hạn trường trao đổi theo mục đích, giữ provenance/version/audit evidence và tách đặc quyền tỉnh–trung ương (Mục 6.4; tài liệu bổ trợ).</w:t>
            </w:r>
          </w:p>
        </w:tc>
      </w:tr>
    </w:tbl>
    <w:p>
      <w:pPr>
        <w:pStyle w:val="BodyText"/>
        <w:jc w:val="both"/>
      </w:pPr>
      <w:r>
        <w:rPr>
          <w:rFonts w:ascii="Times New Roman" w:hAnsi="Times New Roman" w:eastAsia="Times New Roman"/>
          <w:sz w:val="26"/>
        </w:rPr>
        <w:t>Đối sánh cho thấy trọng tâm thực hiện không nằm ở việc tạo thêm một chuẩn hay xây thêm một CSDL độc lập mà ở việc tổ chức đúng nguồn, chuẩn hóa dữ liệu và sử dụng các biên liên thông hiện hữu. Những lựa chọn về sản phẩm CSDL, công cụ ETL/CDC, giao thức, cấu hình bảo mật, chỉ tiêu hiệu năng và bằng chứng kết nối thực tế vẫn thuộc giai đoạn hiện thực hóa/kiểm thử. Các nguồn dự thảo chỉ tiếp tục được dùng như tín hiệu chẩn đoán, không được đưa vào Bảng 6 như nghĩa vụ bắt buộc.</w:t>
      </w:r>
    </w:p>
    <w:bookmarkEnd w:id="61"/>
    <w:bookmarkStart w:id="62" w:name="trade-off-p-dist-và-khả-năng-khái-quát"/>
    <w:p>
      <w:pPr>
        <w:pStyle w:val="Heading2"/>
        <w:keepNext/>
        <w:keepLines w:val="0"/>
        <w:widowControl/>
        <w:spacing w:before="60" w:after="60" w:line="288" w:lineRule="auto"/>
        <w:jc w:val="left"/>
      </w:pPr>
      <w:r>
        <w:rPr>
          <w:rFonts w:ascii="Times New Roman" w:hAnsi="Times New Roman" w:eastAsia="Times New Roman"/>
          <w:b/>
          <w:sz w:val="26"/>
        </w:rPr>
        <w:t>8.3. Trade-off của profile đánh giá P-DIST</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Kết quả kịch bản không cho thấy P-DIST ưu việt hơn kiến trúc tập trung. P-DIST tạo một lựa chọn cho địa phương cần giữ kho vận hành và quyền kiểm soát kỹ thuật tại chỗ, nhưng làm tăng yêu cầu phối hợp phiên bản, tổng hợp toàn quốc và chuyển quyền ghi; phương án tập trung thuận lợi hơn cho phát hành thay đổi và tạo ảnh đọc toàn quốc. Điểm quan trọng là topology được để mở: chọn kho riêng không đồng nghĩa dữ liệu được cô lập, vì các luồng thuộc nghĩa vụ chia sẻ/tổng hợp vẫn phải được chuẩn hóa và đồng bộ lên lớp trung ương. Vì vậy, P-DIST chỉ là profile đánh giá dùng để kiểm tra xem các bất biến về thẩm quyền, provenance, chuẩn hóa và liên thông có được bảo toàn dưới phân tán hay không, không phải khuyến nghị mặc định “mỗi tỉnh một kho vật lý”.</w:t>
      </w:r>
    </w:p>
    <w:p>
      <w:pPr>
        <w:pStyle w:val="BodyText"/>
        <w:keepNext w:val="0"/>
        <w:keepLines w:val="0"/>
        <w:widowControl/>
        <w:spacing w:before="60" w:after="60" w:line="288" w:lineRule="auto"/>
        <w:ind w:firstLine="720"/>
        <w:jc w:val="both"/>
      </w:pPr>
      <w:r>
        <w:rPr>
          <w:rFonts w:ascii="Times New Roman" w:hAnsi="Times New Roman" w:eastAsia="Times New Roman"/>
          <w:sz w:val="26"/>
        </w:rPr>
        <w:t>Hai phát hiện S9–S10 trực tiếp hoàn thiện SRA cho chính bài toán này. S9 cho thấy dữ liệu chuyên ngành không thể chỉ gắn quyền ghi tĩnh theo địa bàn khi phạm vi quản lý thay đổi; S10 cho thấy cơ chế đồng bộ/liên thông phải chịu được giai đoạn các tỉnh vận hành khác phiên bản. B1-R vì thế bổ sung chuyển quyền theo thời gian và quản trị tương thích ở mức kiến trúc, trong khi chi tiết hiện thực hóa vẫn phải được kiểm chứng bằng nguyên mẫu.</w:t>
      </w:r>
    </w:p>
    <w:p>
      <w:pPr>
        <w:pStyle w:val="BodyText"/>
        <w:keepNext w:val="0"/>
        <w:keepLines w:val="0"/>
        <w:widowControl/>
        <w:spacing w:before="60" w:after="60" w:line="288" w:lineRule="auto"/>
        <w:ind w:firstLine="720"/>
        <w:jc w:val="both"/>
      </w:pPr>
      <w:r>
        <w:rPr>
          <w:rFonts w:ascii="Times New Roman" w:hAnsi="Times New Roman" w:eastAsia="Times New Roman"/>
          <w:sz w:val="26"/>
        </w:rPr>
        <w:t>Một yêu cầu khác của miền DN KH&amp;CN/DN KNST là tách biên thẩm quyền khỏi biên quan hệ hệ sinh thái. Các nghiên cứu cho thấy quan hệ khởi nghiệp và đầu tư có thể vượt địa giới hành chính [13, pp. 28, 32]; [14, pp. 1483-1484]. Do đó, địa bàn vẫn được dùng để xác định thẩm quyền và phạm vi xử lý hồ sơ, nhưng quan hệ doanh nghiệp–quỹ–chuyên gia–viện/trường phải có thể được thu thập và liên kết xuyên tỉnh với định danh, nguồn và khoảng hiệu lực rõ ràng. Yêu cầu này thuộc trực tiếp miền dữ liệu hệ sinh thái mà nền tảng hướng tới.</w:t>
      </w:r>
    </w:p>
    <w:bookmarkEnd w:id="62"/>
    <w:bookmarkStart w:id="63" w:name="giới-hạn-nghiên-cứu"/>
    <w:p>
      <w:pPr>
        <w:pStyle w:val="Heading2"/>
        <w:keepNext/>
        <w:keepLines w:val="0"/>
        <w:widowControl/>
        <w:spacing w:before="60" w:after="60" w:line="288" w:lineRule="auto"/>
        <w:jc w:val="left"/>
      </w:pPr>
      <w:r>
        <w:rPr>
          <w:rFonts w:ascii="Times New Roman" w:hAnsi="Times New Roman"/>
          <w:sz w:val="26"/>
        </w:rPr>
        <w:t>8.4. Giới hạn nghiên cứu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Bằng chứng hiện tại dừng ở</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scenario-based architecture verification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trước triển khai. Bộ mười kịch bản đã phát hiện khoảng trống thiết kế và dẫn tới B1-R, nhưng không chứng minh bộ kịch bản là đầy đủ; việc xây dựng và chấm kịch bản vẫn do nhóm tác giả thực hiện. Các nguồn dự thảo chỉ có vai trò chẩn đoán và không tạo nghĩa vụ bắt buộc cho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Nghiên cứu chưa cung cấp bằng chứng thực nghiệm về hiệu năng, tính sẵn sàng, an toàn, phục hồi, chất lượng dữ liệu sau làm sạch hoặc liên thông vận hành. Bước tiếp theo vì vậy là xây dựng một nguyên mẫu khả dụng và thí điểm trên quy mô kiểm soát, trong đó kiểm thử lặp lại chuyển quyền ghi, nâng cấp lệch phiên bản, gián đoạn kết nối, trao đổi qua hạ tầng dùng chung, đồng bộ dữ liệu và các thuộc tính chất lượng đo được. Song song, cần thu nhận phản hồi từ các nhóm trực tiếp sử dụng/vận hành - doanh nghiệp, đầu mối KH&amp;CN cấp xã/phường, cán bộ cấp tỉnh và cấp Bộ - để kiểm tra tính phù hợp của luồng thu thập, chuẩn hóa, phân quyền và các điểm biến thiên, rồi điều chỉnh kiến trúc theo điều kiện thực tế. Chỉ sau các bước này mới có thể đánh giá đầy đủ chi phí vận hành và mức độ đáp ứng của hiện thực hóa.</w:t>
      </w:r>
    </w:p>
    <w:bookmarkEnd w:id="63"/>
    <w:bookmarkEnd w:id="64"/>
    <w:bookmarkStart w:id="65" w:name="kết-luậ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9. Kết luận</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Bài báo đề xuất một SRA tỉnh–trung ương cho nền tảng quản lý DN KH&amp;CN và DN KNST nhằm xử lý một khoảng trống thực tế: dữ liệu phục vụ quản lý và kết nối hệ sinh thái hình thành ở nhiều đầu mối, còn thiếu và không đồng đều về chất lượng, nhưng cần được thu thập, chuẩn hóa, đối soát, đồng bộ và tổng hợp trong khi thẩm quyền nghiệp vụ vẫn phân bố theo cấp quản lý. Nghiên cứu không đề xuất chuẩn dữ liệu hoặc cơ chế liên thông mới mà áp dụng các khung hiện hành để tổ chức biên giữa nền tảng với hệ thống TTHC/DVC, CSDL quốc gia về doanh nghiệp và các nguồn chuyên ngành. Nền tảng bổ sung lớp quản trị dữ liệu chuyên ngành và liên kết hệ sinh thái; dữ liệu từ doanh nghiệp/cơ sở có thể được tiếp nhận để bổ sung nhưng phải được kiểm tra, chuẩn hóa và đối soát trước khi khai thác. Đóng góp chính là SRA đa góc nhìn, mô hình thẩm quyền theo nhóm thuộc tính/thời gian, provenance và ranh giới trách nhiệm liên thông, cùng chuỗi truy vết từ căn cứ nguồn tới quyết định kiến trúc.</w:t>
      </w:r>
    </w:p>
    <w:p>
      <w:pPr>
        <w:pStyle w:val="BodyText"/>
        <w:keepNext w:val="0"/>
        <w:keepLines w:val="0"/>
        <w:widowControl/>
        <w:spacing w:before="60" w:after="60" w:line="288" w:lineRule="auto"/>
        <w:ind w:firstLine="720"/>
        <w:jc w:val="both"/>
      </w:pPr>
      <w:r>
        <w:rPr>
          <w:rFonts w:ascii="Times New Roman" w:hAnsi="Times New Roman" w:eastAsia="Times New Roman"/>
          <w:sz w:val="26"/>
        </w:rPr>
        <w:t>Mười kịch bản cho thấy ứng viên ban đầu còn hai khoảng trống quan trọng: chuyển quyền ghi phải được biểu diễn theo thời gian và kiến trúc phải chịu được giai đoạn các đơn vị vận hành khác phiên bản. Sau khi hai vấn đề này được hấp thụ vào B1-R, hậu kiểm bằng cùng rubric cho 2 kịch bản đáp ứng trực tiếp, 8 kịch bản đáp ứng có điều kiện và không còn rủi ro kiến trúc chưa được hấp thụ ở mức L2 trong chính bộ kịch bản đã chọn; đây là hậu kiểm tính nhất quán sau tinh chỉnh, không phải xác nhận độc lập. P-DIST chỉ là một biến thể tùy chọn: nếu địa phương giữ kho vận hành riêng, các dữ liệu thuộc phạm vi phải chia sẻ/tổng hợp vẫn phải được đồng bộ lên lớp trung ương. Bước tiếp theo là xây dựng nguyên mẫu, thí điểm và thu nhận phản hồi từ doanh nghiệp, đầu mối cơ sở và các cấp quản lý để kiểm thử chất lượng dữ liệu, liên thông, chuyển quyền ghi, nâng cấp, phục hồi, an toàn và điều chỉnh các điểm biến thiên theo tình hình vận hành thực tế.</w:t>
      </w:r>
    </w:p>
    <w:bookmarkEnd w:id="65"/>
    <w:bookmarkStart w:id="81" w:name="tài-liệu-tham-khảo"/>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TÀI LIỆU THAM KHẢO</w:t>
      </w:r>
    </w:p>
    <w:p>
      <w:pPr>
        <w:pStyle w:val="FirstParagraph"/>
        <w:keepNext w:val="0"/>
        <w:keepLines w:val="0"/>
        <w:widowControl/>
        <w:spacing w:before="60" w:after="60" w:line="276" w:lineRule="auto"/>
        <w:ind w:firstLine="720"/>
        <w:jc w:val="left"/>
      </w:pPr>
      <w:r>
        <w:rPr>
          <w:rFonts w:ascii="Times New Roman" w:hAnsi="Times New Roman" w:eastAsia="Times New Roman" w:cs="Times New Roman"/>
          <w:sz w:val="26"/>
        </w:rPr>
        <w:t>[1]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268/2025/ND-CP Detailing and Guiding a Number of Articles of the Law on Science, Technology and Innovation Concerning Innovation, Science, Technology and Innovation Activities in Enterprises, Recognition of Innovation Centers and Innovative Startups, and Startup Ecosystem Infrastructure</w:t>
      </w:r>
      <w:r>
        <w:rPr>
          <w:rFonts w:ascii="Times New Roman" w:hAnsi="Times New Roman" w:eastAsia="Times New Roman" w:cs="Times New Roman"/>
          <w:sz w:val="26"/>
        </w:rPr>
        <w:t xml:space="preserve">, 69pp,</w:t>
      </w:r>
      <w:r>
        <w:rPr>
          <w:rFonts w:ascii="Times New Roman" w:hAnsi="Times New Roman" w:eastAsia="Times New Roman" w:cs="Times New Roman"/>
          <w:sz w:val="26"/>
        </w:rPr>
        <w:t xml:space="preserve"> </w:t>
      </w:r>
      <w:hyperlink r:id="rId66">
        <w:r>
          <w:rPr>
            <w:rFonts w:ascii="Times New Roman" w:hAnsi="Times New Roman" w:eastAsia="Times New Roman" w:cs="Times New Roman"/>
            <w:rStyle w:val="Hyperlink"/>
          </w:rPr>
          <w:t xml:space="preserve">https://vanban.chinhphu.vn/?classid=1&amp;docid=215663&amp;orggroupid=2&amp;pageid=27160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 N.D. Quang, N.H. Cuong (2026),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governance platform for the innovative startup and science - technology enterprise ecosystem: Insights from Decree No. 268/2025/ND-CP and Korean’s experience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Science and Technology Policy and Management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15(2)</w:t>
      </w:r>
      <w:r>
        <w:rPr>
          <w:rFonts w:ascii="Times New Roman" w:hAnsi="Times New Roman" w:eastAsia="Times New Roman" w:cs="Times New Roman"/>
          <w:sz w:val="26"/>
        </w:rPr>
        <w:t xml:space="preserve">, pp.45–68,</w:t>
      </w:r>
      <w:r>
        <w:rPr>
          <w:rFonts w:ascii="Times New Roman" w:hAnsi="Times New Roman" w:eastAsia="Times New Roman" w:cs="Times New Roman"/>
          <w:sz w:val="26"/>
        </w:rPr>
        <w:t xml:space="preserve"> </w:t>
      </w:r>
      <w:hyperlink r:id="rId67">
        <w:r>
          <w:rPr>
            <w:rFonts w:ascii="Times New Roman" w:hAnsi="Times New Roman" w:eastAsia="Times New Roman" w:cs="Times New Roman"/>
            <w:rStyle w:val="Hyperlink"/>
          </w:rPr>
          <w:t xml:space="preserve">https://vietnamstijournal.net/index.php/JSTPM/article/view/534</w:t>
        </w:r>
      </w:hyperlink>
      <w:r>
        <w:rPr>
          <w:rFonts w:ascii="Times New Roman" w:hAnsi="Times New Roman" w:eastAsia="Times New Roman" w:cs="Times New Roman"/>
          <w:sz w:val="26"/>
        </w:rPr>
        <w:t xml:space="preserve">, accessed 10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 S. Angelov, P. Grefen, D. Greefhorst (2012),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framework for analysis and design of software reference architectures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Information and Software Technology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54(4)</w:t>
      </w:r>
      <w:r>
        <w:rPr>
          <w:rFonts w:ascii="Times New Roman" w:hAnsi="Times New Roman" w:eastAsia="Times New Roman" w:cs="Times New Roman"/>
          <w:sz w:val="26"/>
        </w:rPr>
        <w:t xml:space="preserve">, pp.417–431, DOI: 10.1016/j.infsof.2011.11.009.</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[4] ISO/IEC/IEEE (2022),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ISO/IEC/IEEE 42010:2022 Software, Systems and Enterprise—Architecture Description</w:t>
      </w:r>
      <w:r>
        <w:rPr>
          <w:rFonts w:ascii="Times New Roman" w:hAnsi="Times New Roman" w:eastAsia="Times New Roman" w:cs="Times New Roman"/>
          <w:sz w:val="26"/>
        </w:rPr>
        <w:t xml:space="preserve">, 2nd ed., International Organization for Standardization, 62pp,</w:t>
      </w:r>
      <w:r>
        <w:rPr>
          <w:rFonts w:ascii="Times New Roman" w:hAnsi="Times New Roman" w:eastAsia="Times New Roman" w:cs="Times New Roman"/>
          <w:sz w:val="26"/>
        </w:rPr>
        <w:t xml:space="preserve"> </w:t>
      </w:r>
      <w:hyperlink r:id="rId68">
        <w:r>
          <w:rPr>
            <w:rFonts w:ascii="Times New Roman" w:hAnsi="Times New Roman" w:eastAsia="Times New Roman" w:cs="Times New Roman"/>
            <w:rStyle w:val="Hyperlink"/>
          </w:rPr>
          <w:t xml:space="preserve">https://www.iso.org/standard/74393.html</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[5] K. Manikas, K.M. Hansen (2013),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Software ecosystems—A systematic literature review</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Systems and Software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86(5)</w:t>
      </w:r>
      <w:r>
        <w:rPr>
          <w:rFonts w:ascii="Times New Roman" w:hAnsi="Times New Roman" w:eastAsia="Times New Roman" w:cs="Times New Roman"/>
          <w:sz w:val="26"/>
        </w:rPr>
        <w:t xml:space="preserve">, pp.1294–1306, DOI: 10.1016/j.jss.2012.12.026.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[6] P. Wang (2021),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Connecting the parts with the whole: Toward an information ecology theory of digital innovation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MIS Quarterly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45(1)</w:t>
      </w:r>
      <w:r>
        <w:rPr>
          <w:rFonts w:ascii="Times New Roman" w:hAnsi="Times New Roman" w:eastAsia="Times New Roman" w:cs="Times New Roman"/>
          <w:sz w:val="26"/>
        </w:rPr>
        <w:t xml:space="preserve">, pp.397–422, DOI: 10.25300/MISQ/2021/15864.</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[7] S. Winkler, J. von Pilgrim (2010),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survey of traceability in requirements engineering and model-driven development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Software &amp; Systems Modeling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9</w:t>
      </w:r>
      <w:r>
        <w:rPr>
          <w:rFonts w:ascii="Times New Roman" w:hAnsi="Times New Roman" w:eastAsia="Times New Roman" w:cs="Times New Roman"/>
          <w:sz w:val="26"/>
        </w:rPr>
        <w:t xml:space="preserve">, pp.529–565, DOI: 10.1007/s10270-009-0145-0.</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[8] O. Kosenkov, P. Elahidoost, T. Gorschek, et al. (2025),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Systematic mapping study on requirements engineering for regulatory compliance of software 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Information and Software Technology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178</w:t>
      </w:r>
      <w:r>
        <w:rPr>
          <w:rFonts w:ascii="Times New Roman" w:hAnsi="Times New Roman" w:eastAsia="Times New Roman" w:cs="Times New Roman"/>
          <w:sz w:val="26"/>
        </w:rPr>
        <w:t xml:space="preserve">, Article 107622, DOI: 10.1016/j.infsof.2024.107622.</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[9]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3090/QD-BKHCN Promulgating the National Overall Digital Architecture Framework</w:t>
      </w:r>
      <w:r>
        <w:rPr>
          <w:rFonts w:ascii="Times New Roman" w:hAnsi="Times New Roman" w:eastAsia="Times New Roman" w:cs="Times New Roman"/>
          <w:sz w:val="26"/>
        </w:rPr>
        <w:t xml:space="preserve">, issued 8 October 2025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[10] Prime Minister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2439/QD-TTg Promulgating the National Data Architecture Framework, National Data Governance and Management Framework, and Common Data Dictionary (Version 1.0)</w:t>
      </w:r>
      <w:r>
        <w:rPr>
          <w:rFonts w:ascii="Times New Roman" w:hAnsi="Times New Roman" w:eastAsia="Times New Roman" w:cs="Times New Roman"/>
          <w:sz w:val="26"/>
        </w:rPr>
        <w:t xml:space="preserve">, issued 4 November 2025,</w:t>
      </w:r>
      <w:r>
        <w:rPr>
          <w:rFonts w:ascii="Times New Roman" w:hAnsi="Times New Roman" w:eastAsia="Times New Roman" w:cs="Times New Roman"/>
          <w:sz w:val="26"/>
        </w:rPr>
        <w:t xml:space="preserve"> </w:t>
      </w:r>
      <w:hyperlink r:id="rId69">
        <w:r>
          <w:rPr>
            <w:rFonts w:ascii="Times New Roman" w:hAnsi="Times New Roman" w:eastAsia="Times New Roman" w:cs="Times New Roman"/>
            <w:rStyle w:val="Hyperlink"/>
          </w:rPr>
          <w:t xml:space="preserve">https://vanban.chinhphu.vn/?classid=0&amp;docid=215785&amp;pageid=27160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[11] Ministry of Science and Technology of Vietnam (2026),</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1973/QD-BKHCN Promulgating the Data Architecture Framework and Data Governance and Management Framework of the Ministry of Science and Technology (Version 1.0)</w:t>
      </w:r>
      <w:r>
        <w:rPr>
          <w:rFonts w:ascii="Times New Roman" w:hAnsi="Times New Roman" w:eastAsia="Times New Roman" w:cs="Times New Roman"/>
          <w:sz w:val="26"/>
        </w:rPr>
        <w:t xml:space="preserve">, issued 31 March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[12] European Commission (2017),</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New European Interoperability Framework: Promoting Seamless Services and Data Flows for European Public Administrations</w:t>
      </w:r>
      <w:r>
        <w:rPr>
          <w:rFonts w:ascii="Times New Roman" w:hAnsi="Times New Roman" w:eastAsia="Times New Roman" w:cs="Times New Roman"/>
          <w:sz w:val="26"/>
        </w:rPr>
        <w:t xml:space="preserve">, Publications Office of the European Union, 48pp, DOI: 10.2799/78681.</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[13] B. Fischer, D. Meissner, N. Vonortas, et al. (2022),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Spatial features of entrepreneurial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Business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147</w:t>
      </w:r>
      <w:r>
        <w:rPr>
          <w:rFonts w:ascii="Times New Roman" w:hAnsi="Times New Roman" w:eastAsia="Times New Roman" w:cs="Times New Roman"/>
          <w:sz w:val="26"/>
        </w:rPr>
        <w:t xml:space="preserve">, pp.27–36, DOI: 10.1016/j.jbusres.2022.04.018.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[14] N.V. Noak, L. Christian (2025),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Exploring spatial network structures in entrepreneurial ecosystems: A network and clustering analysis of global venture funding flows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Small Business Economics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65</w:t>
      </w:r>
      <w:r>
        <w:rPr>
          <w:rFonts w:ascii="Times New Roman" w:hAnsi="Times New Roman" w:eastAsia="Times New Roman" w:cs="Times New Roman"/>
          <w:sz w:val="26"/>
        </w:rPr>
        <w:t xml:space="preserve">, pp.1483–1500, DOI: 10.1007/s11187-025-01029-y.</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[15] P. Brown, J.A. Estefan, K. Laskey, et al. (eds.) (2012),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Reference Architecture Foundation for Service Oriented Architecture Version 1.0</w:t>
      </w:r>
      <w:r>
        <w:rPr>
          <w:rFonts w:ascii="Times New Roman" w:hAnsi="Times New Roman" w:eastAsia="Times New Roman" w:cs="Times New Roman"/>
          <w:sz w:val="26"/>
        </w:rPr>
        <w:t xml:space="preserve">, OASIS Committee Specification 01, 118pp,</w:t>
      </w:r>
      <w:r>
        <w:rPr>
          <w:rFonts w:ascii="Times New Roman" w:hAnsi="Times New Roman" w:eastAsia="Times New Roman" w:cs="Times New Roman"/>
          <w:sz w:val="26"/>
        </w:rPr>
        <w:t xml:space="preserve"> </w:t>
      </w:r>
      <w:hyperlink r:id="rId70">
        <w:r>
          <w:rPr>
            <w:rFonts w:ascii="Times New Roman" w:hAnsi="Times New Roman" w:eastAsia="Times New Roman" w:cs="Times New Roman"/>
            <w:rStyle w:val="Hyperlink"/>
          </w:rPr>
          <w:t xml:space="preserve">https://docs.oasis-open.org/soa-rm/soa-ra/v1.0/cs01/soa-ra-v1.0-cs01.pdf</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[16] J. Knodel, K. Manikas (2016),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Towards reference architectures as an enabler for software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Proceedings of the 10th European Conference on Software Architecture Workshops (ECSAW 2016)</w:t>
      </w:r>
      <w:r>
        <w:rPr>
          <w:rFonts w:ascii="Times New Roman" w:hAnsi="Times New Roman" w:eastAsia="Times New Roman" w:cs="Times New Roman"/>
          <w:sz w:val="26"/>
        </w:rPr>
        <w:t xml:space="preserve">, Article 26, Association for Computing Machinery, DOI: 10.1145/2993412.3003387.</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[17] J.W. Kruize, J. Wolfert, H. Scholten, et al. (2016),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reference architecture for Farm Software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Computers and Electronics in Agriculture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125</w:t>
      </w:r>
      <w:r>
        <w:rPr>
          <w:rFonts w:ascii="Times New Roman" w:hAnsi="Times New Roman" w:eastAsia="Times New Roman" w:cs="Times New Roman"/>
          <w:sz w:val="26"/>
        </w:rPr>
        <w:t xml:space="preserve">, pp.12–28, DOI: 10.1016/j.compag.2016.04.011.</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[18] T.D. Breaux, M.W. Vail, A.I. Antón (2006),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Towards regulatory compliance: Extracting rights and obligations to align requirements with regulations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14th IEEE International Requirements Engineering Conference (RE’06)</w:t>
      </w:r>
      <w:r>
        <w:rPr>
          <w:rFonts w:ascii="Times New Roman" w:hAnsi="Times New Roman" w:eastAsia="Times New Roman" w:cs="Times New Roman"/>
          <w:sz w:val="26"/>
        </w:rPr>
        <w:t xml:space="preserve">, pp.49–58, DOI: 10.1109/RE.2006.68.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[19] B.P. Gallagher (2000),</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Using the Architecture Tradeoff Analysis Method to Evaluate a Reference Architecture: A Case Study</w:t>
      </w:r>
      <w:r>
        <w:rPr>
          <w:rFonts w:ascii="Times New Roman" w:hAnsi="Times New Roman" w:eastAsia="Times New Roman" w:cs="Times New Roman"/>
          <w:sz w:val="26"/>
        </w:rPr>
        <w:t xml:space="preserve">, Technical Note CMU/SEI-2000-TN-007, Software Engineering Institute, Carnegie Mellon University, 25pp,</w:t>
      </w:r>
      <w:r>
        <w:rPr>
          <w:rFonts w:ascii="Times New Roman" w:hAnsi="Times New Roman" w:eastAsia="Times New Roman" w:cs="Times New Roman"/>
          <w:sz w:val="26"/>
        </w:rPr>
        <w:t xml:space="preserve"> </w:t>
      </w:r>
      <w:hyperlink r:id="rId71">
        <w:r>
          <w:rPr>
            <w:rFonts w:ascii="Times New Roman" w:hAnsi="Times New Roman" w:eastAsia="Times New Roman" w:cs="Times New Roman"/>
            <w:rStyle w:val="Hyperlink"/>
          </w:rPr>
          <w:t xml:space="preserve">https://www.sei.cmu.edu/documents/1960/2000_004_001_13679.pdf</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[20] European Parliament, Council of the European Union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Regulation (EU) 2024/903 of 13 March 2024 Laying Down Measures for a High Level of Public Sector Interoperability Across the Union (Interoperable Europe Act)</w:t>
      </w:r>
      <w:r>
        <w:rPr>
          <w:rFonts w:ascii="Times New Roman" w:hAnsi="Times New Roman" w:eastAsia="Times New Roman" w:cs="Times New Roman"/>
          <w:sz w:val="26"/>
        </w:rPr>
        <w:t xml:space="preserve">, Official Journal of the European Union, L series, 26pp,</w:t>
      </w:r>
      <w:r>
        <w:rPr>
          <w:rFonts w:ascii="Times New Roman" w:hAnsi="Times New Roman" w:eastAsia="Times New Roman" w:cs="Times New Roman"/>
          <w:sz w:val="26"/>
        </w:rPr>
        <w:t xml:space="preserve"> </w:t>
      </w:r>
      <w:hyperlink r:id="rId72">
        <w:r>
          <w:rPr>
            <w:rFonts w:ascii="Times New Roman" w:hAnsi="Times New Roman" w:eastAsia="Times New Roman" w:cs="Times New Roman"/>
            <w:rStyle w:val="Hyperlink"/>
          </w:rPr>
          <w:t xml:space="preserve">https://eur-lex.europa.eu/eli/reg/2024/903/oj</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[21]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292/QD-BKHCN Promulgating the Vietnam Digital Government Architecture Framework, Version 4.0</w:t>
      </w:r>
      <w:r>
        <w:rPr>
          <w:rFonts w:ascii="Times New Roman" w:hAnsi="Times New Roman" w:eastAsia="Times New Roman" w:cs="Times New Roman"/>
          <w:sz w:val="26"/>
        </w:rPr>
        <w:t xml:space="preserve">, issued 25 March 2025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[22]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278/2025/ND-CP on Mandatory Data Connection and Sharing Among Agencies in the Political System</w:t>
      </w:r>
      <w:r>
        <w:rPr>
          <w:rFonts w:ascii="Times New Roman" w:hAnsi="Times New Roman" w:eastAsia="Times New Roman" w:cs="Times New Roman"/>
          <w:sz w:val="26"/>
        </w:rPr>
        <w:t xml:space="preserve">, issued 22 October 2025,</w:t>
      </w:r>
      <w:r>
        <w:rPr>
          <w:rFonts w:ascii="Times New Roman" w:hAnsi="Times New Roman" w:eastAsia="Times New Roman" w:cs="Times New Roman"/>
          <w:sz w:val="26"/>
        </w:rPr>
        <w:t xml:space="preserve"> </w:t>
      </w:r>
      <w:hyperlink r:id="rId73">
        <w:r>
          <w:rPr>
            <w:rFonts w:ascii="Times New Roman" w:hAnsi="Times New Roman" w:eastAsia="Times New Roman" w:cs="Times New Roman"/>
            <w:rStyle w:val="Hyperlink"/>
          </w:rPr>
          <w:t xml:space="preserve">https://vanban.chinhphu.vn/?docid=215682&amp;pageid=27160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[23] Government of Vietnam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69/2024/ND-CP on Electronic Identification and Authentication</w:t>
      </w:r>
      <w:r>
        <w:rPr>
          <w:rFonts w:ascii="Times New Roman" w:hAnsi="Times New Roman" w:eastAsia="Times New Roman" w:cs="Times New Roman"/>
          <w:sz w:val="26"/>
        </w:rPr>
        <w:t xml:space="preserve">, issued 25 June 2024,</w:t>
      </w:r>
      <w:r>
        <w:rPr>
          <w:rFonts w:ascii="Times New Roman" w:hAnsi="Times New Roman" w:eastAsia="Times New Roman" w:cs="Times New Roman"/>
          <w:sz w:val="26"/>
        </w:rPr>
        <w:t xml:space="preserve"> </w:t>
      </w:r>
      <w:hyperlink r:id="rId74">
        <w:r>
          <w:rPr>
            <w:rFonts w:ascii="Times New Roman" w:hAnsi="Times New Roman" w:eastAsia="Times New Roman" w:cs="Times New Roman"/>
            <w:rStyle w:val="Hyperlink"/>
          </w:rPr>
          <w:t xml:space="preserve">https://vanban.chinhphu.vn/?classid=1&amp;docid=210491&amp;pageid=27160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[24]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169/2025/ND-CP on Science, Technology and Innovation Activities and Data Products and Services</w:t>
      </w:r>
      <w:r>
        <w:rPr>
          <w:rFonts w:ascii="Times New Roman" w:hAnsi="Times New Roman" w:eastAsia="Times New Roman" w:cs="Times New Roman"/>
          <w:sz w:val="26"/>
        </w:rPr>
        <w:t xml:space="preserve">, issued 30 June 2025,</w:t>
      </w:r>
      <w:r>
        <w:rPr>
          <w:rFonts w:ascii="Times New Roman" w:hAnsi="Times New Roman" w:eastAsia="Times New Roman" w:cs="Times New Roman"/>
          <w:sz w:val="26"/>
        </w:rPr>
        <w:t xml:space="preserve"> </w:t>
      </w:r>
      <w:hyperlink r:id="rId75">
        <w:r>
          <w:rPr>
            <w:rFonts w:ascii="Times New Roman" w:hAnsi="Times New Roman" w:eastAsia="Times New Roman" w:cs="Times New Roman"/>
            <w:rStyle w:val="Hyperlink"/>
          </w:rPr>
          <w:t xml:space="preserve">https://vanban.chinhphu.vn/?classid=0&amp;docid=214306&amp;pageid=27160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[25] National Assembly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Law on Personal Data Protection No. 91/2025/QH15</w:t>
      </w:r>
      <w:r>
        <w:rPr>
          <w:rFonts w:ascii="Times New Roman" w:hAnsi="Times New Roman" w:eastAsia="Times New Roman" w:cs="Times New Roman"/>
          <w:sz w:val="26"/>
        </w:rPr>
        <w:t xml:space="preserve">, adopted 26 June 2025,</w:t>
      </w:r>
      <w:r>
        <w:rPr>
          <w:rFonts w:ascii="Times New Roman" w:hAnsi="Times New Roman" w:eastAsia="Times New Roman" w:cs="Times New Roman"/>
          <w:sz w:val="26"/>
        </w:rPr>
        <w:t xml:space="preserve"> </w:t>
      </w:r>
      <w:hyperlink r:id="rId76">
        <w:r>
          <w:rPr>
            <w:rFonts w:ascii="Times New Roman" w:hAnsi="Times New Roman" w:eastAsia="Times New Roman" w:cs="Times New Roman"/>
            <w:rStyle w:val="Hyperlink"/>
          </w:rPr>
          <w:t xml:space="preserve">https://vanban.chinhphu.vn/?classid=1&amp;docid=214590&amp;pageid=27160&amp;typegroup=</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[26]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356/2025/ND-CP Detailing a Number of Articles and Measures for Implementing the Law on Personal Data Protection</w:t>
      </w:r>
      <w:r>
        <w:rPr>
          <w:rFonts w:ascii="Times New Roman" w:hAnsi="Times New Roman" w:eastAsia="Times New Roman" w:cs="Times New Roman"/>
          <w:sz w:val="26"/>
        </w:rPr>
        <w:t xml:space="preserve">, issued 31 December 2025,</w:t>
      </w:r>
      <w:r>
        <w:rPr>
          <w:rFonts w:ascii="Times New Roman" w:hAnsi="Times New Roman" w:eastAsia="Times New Roman" w:cs="Times New Roman"/>
          <w:sz w:val="26"/>
        </w:rPr>
        <w:t xml:space="preserve"> </w:t>
      </w:r>
      <w:hyperlink r:id="rId77">
        <w:r>
          <w:rPr>
            <w:rFonts w:ascii="Times New Roman" w:hAnsi="Times New Roman" w:eastAsia="Times New Roman" w:cs="Times New Roman"/>
            <w:rStyle w:val="Hyperlink"/>
          </w:rPr>
          <w:t xml:space="preserve">https://vanban.chinhphu.vn/?classid=1&amp;docid=216387&amp;pageid=27160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[27] National Assembly of Vietnam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Data Law No. 60/2024/QH15</w:t>
      </w:r>
      <w:r>
        <w:rPr>
          <w:rFonts w:ascii="Times New Roman" w:hAnsi="Times New Roman" w:eastAsia="Times New Roman" w:cs="Times New Roman"/>
          <w:sz w:val="26"/>
        </w:rPr>
        <w:t xml:space="preserve">, adopted 30 November 2024,</w:t>
      </w:r>
      <w:r>
        <w:rPr>
          <w:rFonts w:ascii="Times New Roman" w:hAnsi="Times New Roman" w:eastAsia="Times New Roman" w:cs="Times New Roman"/>
          <w:sz w:val="26"/>
        </w:rPr>
        <w:t xml:space="preserve"> </w:t>
      </w:r>
      <w:hyperlink r:id="rId78">
        <w:r>
          <w:rPr>
            <w:rFonts w:ascii="Times New Roman" w:hAnsi="Times New Roman" w:eastAsia="Times New Roman" w:cs="Times New Roman"/>
            <w:rStyle w:val="Hyperlink"/>
          </w:rPr>
          <w:t xml:space="preserve">https://vanban.chinhphu.vn/?classid=1&amp;docid=212488&amp;pageid=27160&amp;typegroupid=3</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[28] A.R. Hevner, S.T. March, J. Park, et al. (2004),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Design science in information systems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MIS Quarterly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28(1)</w:t>
      </w:r>
      <w:r>
        <w:rPr>
          <w:rFonts w:ascii="Times New Roman" w:hAnsi="Times New Roman" w:eastAsia="Times New Roman" w:cs="Times New Roman"/>
          <w:sz w:val="26"/>
        </w:rPr>
        <w:t xml:space="preserve">, pp.75–105.</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[29] K. Peffers, T. Tuunanen, M.A. Rothenberger, et al. (2007),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design science research methodology for information systems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Management Information 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24(3)</w:t>
      </w:r>
      <w:r>
        <w:rPr>
          <w:rFonts w:ascii="Times New Roman" w:hAnsi="Times New Roman" w:eastAsia="Times New Roman" w:cs="Times New Roman"/>
          <w:sz w:val="26"/>
        </w:rPr>
        <w:t xml:space="preserve">, pp.45–77, DOI: 10.2753/MIS0742-1222240302.</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[30] J. Tyree, A. Akerman (2005),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Architecture decisions: Demystifying architecture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IEEE Software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22(2)</w:t>
      </w:r>
      <w:r>
        <w:rPr>
          <w:rFonts w:ascii="Times New Roman" w:hAnsi="Times New Roman" w:eastAsia="Times New Roman" w:cs="Times New Roman"/>
          <w:sz w:val="26"/>
        </w:rPr>
        <w:t xml:space="preserve">, pp.19–27, DOI: 10.1109/MS.2005.27.</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[31] S. Brown (n.d.),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The C4 model for visualising software architecture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official C4 model website,</w:t>
      </w:r>
      <w:r>
        <w:rPr>
          <w:rFonts w:ascii="Times New Roman" w:hAnsi="Times New Roman" w:eastAsia="Times New Roman" w:cs="Times New Roman"/>
          <w:sz w:val="26"/>
        </w:rPr>
        <w:t xml:space="preserve"> </w:t>
      </w:r>
      <w:hyperlink r:id="rId79">
        <w:r>
          <w:rPr>
            <w:rFonts w:ascii="Times New Roman" w:hAnsi="Times New Roman" w:eastAsia="Times New Roman" w:cs="Times New Roman"/>
            <w:rStyle w:val="Hyperlink"/>
          </w:rPr>
          <w:t xml:space="preserve">https://c4model.com/</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[32] The Open Group (2022),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ArchiMate</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3.2 Specification</w:t>
      </w:r>
      <w:r>
        <w:rPr>
          <w:rFonts w:ascii="Times New Roman" w:hAnsi="Times New Roman" w:eastAsia="Times New Roman" w:cs="Times New Roman"/>
          <w:sz w:val="26"/>
        </w:rPr>
        <w:t xml:space="preserve">, Version 3.2, released October 2022,</w:t>
      </w:r>
      <w:r>
        <w:rPr>
          <w:rFonts w:ascii="Times New Roman" w:hAnsi="Times New Roman" w:eastAsia="Times New Roman" w:cs="Times New Roman"/>
          <w:sz w:val="26"/>
        </w:rPr>
        <w:t xml:space="preserve"> </w:t>
      </w:r>
      <w:hyperlink r:id="rId80">
        <w:r>
          <w:rPr>
            <w:rFonts w:ascii="Times New Roman" w:hAnsi="Times New Roman" w:eastAsia="Times New Roman" w:cs="Times New Roman"/>
            <w:rStyle w:val="Hyperlink"/>
          </w:rPr>
          <w:t xml:space="preserve">https://www.opengroup.org/archimate-licensed-downloads</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[33] F. Gottschalk, T.A.C. Wagemakers, M.H. Jansen-Vullers, et al. (2009),</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Configurable process models: Experiences from a municipality case study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 P. Eck, J. Gordijn, R. Wieringa (eds.),</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Advanced Information Systems Engineering</w:t>
      </w:r>
      <w:r>
        <w:rPr>
          <w:rFonts w:ascii="Times New Roman" w:hAnsi="Times New Roman" w:eastAsia="Times New Roman" w:cs="Times New Roman"/>
          <w:sz w:val="26"/>
        </w:rPr>
        <w:t xml:space="preserve">, Lecture Notes in Computer Science, Vol. 5565, Springer, pp.486–500, DOI: 10.1007/978-3-642-02144-2_38.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[34] A.P. Sheth, J.A. Larson (1990),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Federated database systems for managing distributed, heterogeneous, and autonomous databases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ACM Computing Surveys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22(3)</w:t>
      </w:r>
      <w:r>
        <w:rPr>
          <w:rFonts w:ascii="Times New Roman" w:hAnsi="Times New Roman" w:eastAsia="Times New Roman" w:cs="Times New Roman"/>
          <w:sz w:val="26"/>
        </w:rPr>
        <w:t xml:space="preserve">, pp.183–236, DOI: 10.1145/96602.96604.</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[35] National Agency for Technology Entrepreneurship and Commercialization, Ministry of Science and Technology of Vietnam (2026),</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Draft Decision on the Temporary Promulgation of Data Standards, Data Standardisation Rules and Specialised Data Catalogues for Science and Technology Enterprises and Innovative Startups</w:t>
      </w:r>
      <w:r>
        <w:rPr>
          <w:rFonts w:ascii="Times New Roman" w:hAnsi="Times New Roman" w:eastAsia="Times New Roman" w:cs="Times New Roman"/>
          <w:sz w:val="26"/>
        </w:rPr>
        <w:t xml:space="preserve">, draft version reviewed 8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[36]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1762/QD-BKHCN Promulgating the Catalogue of Specialised Databases Under the Management of the Ministry of Science and Technology</w:t>
      </w:r>
      <w:r>
        <w:rPr>
          <w:rFonts w:ascii="Times New Roman" w:hAnsi="Times New Roman" w:eastAsia="Times New Roman" w:cs="Times New Roman"/>
          <w:sz w:val="26"/>
        </w:rPr>
        <w:t xml:space="preserve">, issued 16 July 2025 (in Vietnamese).</w:t>
      </w:r>
    </w:p>
    <w:bookmarkEnd w:id="81"/>
    <w:sectPr w:rsidR="00B43D5A" w:rsidRPr="00B43D5A">
      <w:footerReference r:id="rId9" w:type="default"/>
      <w:footerReference w:type="first" r:id="rId10"/>
      <w:headerReference w:type="default" r:id="rId11"/>
      <w:headerReference w:type="first" r:id="rId12"/>
      <w:footnotePr>
        <w:numFmt w:val="chicago"/>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spacing w:before="0" w:after="0"/>
    </w:pPr>
    <w:r>
      <w:rPr>
        <w:rFonts w:ascii="Times New Roman" w:hAnsi="Times New Roman" w:eastAsia="Times New Roman" w:cs="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98348D4E"/>
    <w:lvl w:ilvl="0">
      <w:start w:val="1"/>
      <w:numFmt w:val="decimal"/>
      <w:pStyle w:val="ListNumber"/>
      <w:lvlText w:val="%1."/>
      <w:lvlJc w:val="left"/>
      <w:pPr>
        <w:tabs>
          <w:tab w:pos="360" w:val="num"/>
        </w:tabs>
        <w:ind w:hanging="360" w:left="360"/>
      </w:pPr>
    </w:lvl>
  </w:abstractNum>
  <w:abstractNum w15:restartNumberingAfterBreak="0" w:abstractNumId="1">
    <w:nsid w:val="0000A990"/>
    <w:multiLevelType w:val="multilevel"/>
    <w:tmpl w:val="043AA2B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0000A991"/>
    <w:multiLevelType w:val="multilevel"/>
    <w:tmpl w:val="387C6E16"/>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3">
    <w:nsid w:val="00A99411"/>
    <w:multiLevelType w:val="multilevel"/>
    <w:tmpl w:val="71F65FE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4">
    <w:nsid w:val="12017610"/>
    <w:multiLevelType w:val="hybridMultilevel"/>
    <w:tmpl w:val="683C3120"/>
    <w:lvl w:ilvl="0" w:tplc="AFE2E450">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8F44A0C"/>
    <w:multiLevelType w:val="multilevel"/>
    <w:tmpl w:val="67C45CE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6">
    <w:nsid w:val="39E1252B"/>
    <w:multiLevelType w:val="multilevel"/>
    <w:tmpl w:val="555617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87752A6"/>
    <w:multiLevelType w:val="hybridMultilevel"/>
    <w:tmpl w:val="00F2C33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8">
    <w:nsid w:val="7E357AEA"/>
    <w:multiLevelType w:val="hybridMultilevel"/>
    <w:tmpl w:val="48B84C70"/>
    <w:lvl w:ilvl="0" w:tplc="AFE2E450">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657218506" w:numId="1">
    <w:abstractNumId w:val="1"/>
  </w:num>
  <w:num w16cid:durableId="1953704635" w:numId="2">
    <w:abstractNumId w:val="2"/>
  </w:num>
  <w:num w16cid:durableId="1336376142" w:numId="3">
    <w:abstractNumId w:val="2"/>
  </w:num>
  <w:num w16cid:durableId="1859586054" w:numId="4">
    <w:abstractNumId w:val="2"/>
  </w:num>
  <w:num w16cid:durableId="1884781094"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4524419"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7648122" w:numId="7">
    <w:abstractNumId w:val="6"/>
  </w:num>
  <w:num w16cid:durableId="1022316992" w:numId="8">
    <w:abstractNumId w:val="0"/>
  </w:num>
  <w:num w16cid:durableId="768694814" w:numId="9">
    <w:abstractNumId w:val="0"/>
    <w:lvlOverride w:ilvl="0">
      <w:startOverride w:val="1"/>
    </w:lvlOverride>
  </w:num>
  <w:num w16cid:durableId="672030215" w:numId="10">
    <w:abstractNumId w:val="0"/>
    <w:lvlOverride w:ilvl="0">
      <w:startOverride w:val="1"/>
    </w:lvlOverride>
  </w:num>
  <w:num w16cid:durableId="355157775" w:numId="11">
    <w:abstractNumId w:val="0"/>
    <w:lvlOverride w:ilvl="0">
      <w:startOverride w:val="1"/>
    </w:lvlOverride>
  </w:num>
  <w:num w16cid:durableId="1415513585" w:numId="12">
    <w:abstractNumId w:val="0"/>
    <w:lvlOverride w:ilvl="0">
      <w:startOverride w:val="1"/>
    </w:lvlOverride>
  </w:num>
  <w:num w16cid:durableId="1577931086" w:numId="13">
    <w:abstractNumId w:val="0"/>
  </w:num>
  <w:num w16cid:durableId="1754011554" w:numId="14">
    <w:abstractNumId w:val="0"/>
    <w:lvlOverride w:ilvl="0">
      <w:startOverride w:val="1"/>
    </w:lvlOverride>
  </w:num>
  <w:num w16cid:durableId="334381444" w:numId="15">
    <w:abstractNumId w:val="0"/>
  </w:num>
  <w:num w16cid:durableId="1148204209" w:numId="16">
    <w:abstractNumId w:val="0"/>
    <w:lvlOverride w:ilvl="0">
      <w:startOverride w:val="1"/>
    </w:lvlOverride>
  </w:num>
  <w:num w16cid:durableId="1839416771" w:numId="17">
    <w:abstractNumId w:val="0"/>
  </w:num>
  <w:num w16cid:durableId="549616881" w:numId="18">
    <w:abstractNumId w:val="7"/>
  </w:num>
  <w:num w16cid:durableId="818422580" w:numId="19">
    <w:abstractNumId w:val="5"/>
  </w:num>
  <w:num w16cid:durableId="195578704" w:numId="20">
    <w:abstractNumId w:val="4"/>
  </w:num>
  <w:num w16cid:durableId="388040094" w:numId="21">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Fmt w:val="chicago"/>
    <w:footnote w:id="-1"/>
    <w:footnote w:id="0"/>
  </w:footnotePr>
  <w:compat>
    <w:compatSetting w:name="compatibilityMode" w:uri="http://schemas.microsoft.com/office/word" w:val="12"/>
    <w:compatSetting w:name="useWord2013TrackBottomHyphenation" w:uri="http://schemas.microsoft.com/office/word" w:val="1"/>
  </w:compat>
  <w:rsids>
    <w:rsidRoot w:val="007F44D5"/>
    <w:rsid w:val="00001D80"/>
    <w:rsid w:val="000059A4"/>
    <w:rsid w:val="00015CC5"/>
    <w:rsid w:val="00023D77"/>
    <w:rsid w:val="000418CC"/>
    <w:rsid w:val="00062DF4"/>
    <w:rsid w:val="0006331F"/>
    <w:rsid w:val="000642E1"/>
    <w:rsid w:val="00076EAF"/>
    <w:rsid w:val="0008193C"/>
    <w:rsid w:val="0008282C"/>
    <w:rsid w:val="00091D2F"/>
    <w:rsid w:val="00091D3E"/>
    <w:rsid w:val="000969EF"/>
    <w:rsid w:val="000A1225"/>
    <w:rsid w:val="000A4956"/>
    <w:rsid w:val="000A4AB4"/>
    <w:rsid w:val="000B209F"/>
    <w:rsid w:val="000B62FF"/>
    <w:rsid w:val="000B6F88"/>
    <w:rsid w:val="000C2726"/>
    <w:rsid w:val="000C4858"/>
    <w:rsid w:val="000C53C7"/>
    <w:rsid w:val="000C63B0"/>
    <w:rsid w:val="000D7CF1"/>
    <w:rsid w:val="000E2F0D"/>
    <w:rsid w:val="000E49A9"/>
    <w:rsid w:val="000E69BB"/>
    <w:rsid w:val="000F500A"/>
    <w:rsid w:val="00100BD0"/>
    <w:rsid w:val="00113B6C"/>
    <w:rsid w:val="00114184"/>
    <w:rsid w:val="00132B79"/>
    <w:rsid w:val="001349A6"/>
    <w:rsid w:val="00134C24"/>
    <w:rsid w:val="001368EC"/>
    <w:rsid w:val="00144265"/>
    <w:rsid w:val="001459C2"/>
    <w:rsid w:val="00146489"/>
    <w:rsid w:val="00161AD7"/>
    <w:rsid w:val="00162CD7"/>
    <w:rsid w:val="00165331"/>
    <w:rsid w:val="00166138"/>
    <w:rsid w:val="001710B0"/>
    <w:rsid w:val="00172882"/>
    <w:rsid w:val="00180187"/>
    <w:rsid w:val="00181561"/>
    <w:rsid w:val="00184022"/>
    <w:rsid w:val="00191122"/>
    <w:rsid w:val="00194311"/>
    <w:rsid w:val="001978E2"/>
    <w:rsid w:val="001A3B9C"/>
    <w:rsid w:val="001A4D2C"/>
    <w:rsid w:val="001B0034"/>
    <w:rsid w:val="001B380D"/>
    <w:rsid w:val="001B6B2D"/>
    <w:rsid w:val="001B7D55"/>
    <w:rsid w:val="001C2278"/>
    <w:rsid w:val="001C2A47"/>
    <w:rsid w:val="001C5C09"/>
    <w:rsid w:val="001E0C34"/>
    <w:rsid w:val="001F0D2E"/>
    <w:rsid w:val="001F3980"/>
    <w:rsid w:val="001F5823"/>
    <w:rsid w:val="001F6423"/>
    <w:rsid w:val="00204A54"/>
    <w:rsid w:val="00205E36"/>
    <w:rsid w:val="002252DC"/>
    <w:rsid w:val="00230E87"/>
    <w:rsid w:val="00234C40"/>
    <w:rsid w:val="00234E41"/>
    <w:rsid w:val="00243A34"/>
    <w:rsid w:val="0024791B"/>
    <w:rsid w:val="00250D56"/>
    <w:rsid w:val="00263164"/>
    <w:rsid w:val="00263DDC"/>
    <w:rsid w:val="00264A52"/>
    <w:rsid w:val="002663F9"/>
    <w:rsid w:val="00266A9F"/>
    <w:rsid w:val="00270F53"/>
    <w:rsid w:val="00276CFD"/>
    <w:rsid w:val="00293538"/>
    <w:rsid w:val="0029762F"/>
    <w:rsid w:val="002B04AD"/>
    <w:rsid w:val="002C45B7"/>
    <w:rsid w:val="002C6398"/>
    <w:rsid w:val="002C7D12"/>
    <w:rsid w:val="002F1596"/>
    <w:rsid w:val="002F4BF0"/>
    <w:rsid w:val="002F5381"/>
    <w:rsid w:val="002F72BC"/>
    <w:rsid w:val="00304462"/>
    <w:rsid w:val="00320329"/>
    <w:rsid w:val="003238C2"/>
    <w:rsid w:val="00332732"/>
    <w:rsid w:val="00336E5D"/>
    <w:rsid w:val="00341E0A"/>
    <w:rsid w:val="00341E52"/>
    <w:rsid w:val="00342B72"/>
    <w:rsid w:val="00352191"/>
    <w:rsid w:val="00355B92"/>
    <w:rsid w:val="0035778F"/>
    <w:rsid w:val="0037339B"/>
    <w:rsid w:val="00374BE5"/>
    <w:rsid w:val="00377673"/>
    <w:rsid w:val="0038065D"/>
    <w:rsid w:val="00394603"/>
    <w:rsid w:val="003A4C64"/>
    <w:rsid w:val="003B7368"/>
    <w:rsid w:val="003D63D8"/>
    <w:rsid w:val="003E247C"/>
    <w:rsid w:val="003E70A8"/>
    <w:rsid w:val="003F3187"/>
    <w:rsid w:val="0040044A"/>
    <w:rsid w:val="0040063F"/>
    <w:rsid w:val="004008B1"/>
    <w:rsid w:val="00402266"/>
    <w:rsid w:val="00416B56"/>
    <w:rsid w:val="00420664"/>
    <w:rsid w:val="00425322"/>
    <w:rsid w:val="004254C5"/>
    <w:rsid w:val="00442957"/>
    <w:rsid w:val="00442CB3"/>
    <w:rsid w:val="004447DB"/>
    <w:rsid w:val="00451473"/>
    <w:rsid w:val="0045168F"/>
    <w:rsid w:val="00455CD9"/>
    <w:rsid w:val="00470D28"/>
    <w:rsid w:val="00474A47"/>
    <w:rsid w:val="00475CE6"/>
    <w:rsid w:val="00477DE0"/>
    <w:rsid w:val="00487494"/>
    <w:rsid w:val="004B3670"/>
    <w:rsid w:val="004B50F2"/>
    <w:rsid w:val="004B5DA7"/>
    <w:rsid w:val="004C63D6"/>
    <w:rsid w:val="004C657A"/>
    <w:rsid w:val="004D0CC2"/>
    <w:rsid w:val="004D4E41"/>
    <w:rsid w:val="004E35A3"/>
    <w:rsid w:val="004E3636"/>
    <w:rsid w:val="004E70D1"/>
    <w:rsid w:val="004F21B6"/>
    <w:rsid w:val="005031EA"/>
    <w:rsid w:val="005038E8"/>
    <w:rsid w:val="0050548D"/>
    <w:rsid w:val="005176F0"/>
    <w:rsid w:val="00530E1D"/>
    <w:rsid w:val="00532EC0"/>
    <w:rsid w:val="0053562E"/>
    <w:rsid w:val="00537284"/>
    <w:rsid w:val="00537DA2"/>
    <w:rsid w:val="005537E5"/>
    <w:rsid w:val="00555E37"/>
    <w:rsid w:val="00556A78"/>
    <w:rsid w:val="00560FFF"/>
    <w:rsid w:val="00564C2A"/>
    <w:rsid w:val="00567A66"/>
    <w:rsid w:val="00571CBD"/>
    <w:rsid w:val="00573AA5"/>
    <w:rsid w:val="00575217"/>
    <w:rsid w:val="0057635A"/>
    <w:rsid w:val="00590E52"/>
    <w:rsid w:val="0059384D"/>
    <w:rsid w:val="005940D8"/>
    <w:rsid w:val="00594E16"/>
    <w:rsid w:val="005970CA"/>
    <w:rsid w:val="005A1647"/>
    <w:rsid w:val="005A306C"/>
    <w:rsid w:val="005B3037"/>
    <w:rsid w:val="005B423E"/>
    <w:rsid w:val="005B6F8F"/>
    <w:rsid w:val="005D60DC"/>
    <w:rsid w:val="005E0AC0"/>
    <w:rsid w:val="005E32CB"/>
    <w:rsid w:val="005E4299"/>
    <w:rsid w:val="005E7858"/>
    <w:rsid w:val="005F1769"/>
    <w:rsid w:val="005F3260"/>
    <w:rsid w:val="005F458B"/>
    <w:rsid w:val="00605EFF"/>
    <w:rsid w:val="006070BF"/>
    <w:rsid w:val="006123BB"/>
    <w:rsid w:val="00616887"/>
    <w:rsid w:val="006341B3"/>
    <w:rsid w:val="006358F2"/>
    <w:rsid w:val="006367F5"/>
    <w:rsid w:val="0064353B"/>
    <w:rsid w:val="00645C56"/>
    <w:rsid w:val="0065569E"/>
    <w:rsid w:val="00670A6B"/>
    <w:rsid w:val="00673FC7"/>
    <w:rsid w:val="006764A3"/>
    <w:rsid w:val="00684598"/>
    <w:rsid w:val="006853CD"/>
    <w:rsid w:val="00685968"/>
    <w:rsid w:val="00687A92"/>
    <w:rsid w:val="00693480"/>
    <w:rsid w:val="00694306"/>
    <w:rsid w:val="00694FB5"/>
    <w:rsid w:val="00697C84"/>
    <w:rsid w:val="006A20A7"/>
    <w:rsid w:val="006A7CDA"/>
    <w:rsid w:val="006B0A0D"/>
    <w:rsid w:val="006B1236"/>
    <w:rsid w:val="006B51C9"/>
    <w:rsid w:val="006C5D49"/>
    <w:rsid w:val="006D2C19"/>
    <w:rsid w:val="006E30C5"/>
    <w:rsid w:val="006F2547"/>
    <w:rsid w:val="006F5817"/>
    <w:rsid w:val="006F78DF"/>
    <w:rsid w:val="0071307E"/>
    <w:rsid w:val="00713E19"/>
    <w:rsid w:val="0072151A"/>
    <w:rsid w:val="00724AB1"/>
    <w:rsid w:val="007312B7"/>
    <w:rsid w:val="0075550F"/>
    <w:rsid w:val="007559D9"/>
    <w:rsid w:val="007621D9"/>
    <w:rsid w:val="0076262D"/>
    <w:rsid w:val="00765C43"/>
    <w:rsid w:val="00770B0D"/>
    <w:rsid w:val="0079351D"/>
    <w:rsid w:val="007A0D46"/>
    <w:rsid w:val="007A6C50"/>
    <w:rsid w:val="007B1DC3"/>
    <w:rsid w:val="007D114E"/>
    <w:rsid w:val="007D6132"/>
    <w:rsid w:val="007D780F"/>
    <w:rsid w:val="007E5048"/>
    <w:rsid w:val="007E58CD"/>
    <w:rsid w:val="007E6AEC"/>
    <w:rsid w:val="007F0FA6"/>
    <w:rsid w:val="007F44D5"/>
    <w:rsid w:val="007F65CC"/>
    <w:rsid w:val="00804143"/>
    <w:rsid w:val="00804B54"/>
    <w:rsid w:val="00826A1F"/>
    <w:rsid w:val="00840B9F"/>
    <w:rsid w:val="00852DCB"/>
    <w:rsid w:val="00863494"/>
    <w:rsid w:val="00864EDB"/>
    <w:rsid w:val="00865468"/>
    <w:rsid w:val="008665BE"/>
    <w:rsid w:val="00871F9C"/>
    <w:rsid w:val="0087715D"/>
    <w:rsid w:val="00877EEC"/>
    <w:rsid w:val="008800EF"/>
    <w:rsid w:val="00881D61"/>
    <w:rsid w:val="008844BF"/>
    <w:rsid w:val="00885F44"/>
    <w:rsid w:val="00890C2A"/>
    <w:rsid w:val="00891404"/>
    <w:rsid w:val="00892C5E"/>
    <w:rsid w:val="0089474D"/>
    <w:rsid w:val="00894989"/>
    <w:rsid w:val="008A20E9"/>
    <w:rsid w:val="008A4F4C"/>
    <w:rsid w:val="008B0D8C"/>
    <w:rsid w:val="008B3A81"/>
    <w:rsid w:val="008B4928"/>
    <w:rsid w:val="008B7BBA"/>
    <w:rsid w:val="008C029F"/>
    <w:rsid w:val="008C287B"/>
    <w:rsid w:val="008C6C20"/>
    <w:rsid w:val="008E55B5"/>
    <w:rsid w:val="008F0CB7"/>
    <w:rsid w:val="008F6A45"/>
    <w:rsid w:val="00914C21"/>
    <w:rsid w:val="00916128"/>
    <w:rsid w:val="0092010E"/>
    <w:rsid w:val="00923E50"/>
    <w:rsid w:val="00925A6E"/>
    <w:rsid w:val="009325A6"/>
    <w:rsid w:val="00936D61"/>
    <w:rsid w:val="00936DB6"/>
    <w:rsid w:val="0094402E"/>
    <w:rsid w:val="009453C6"/>
    <w:rsid w:val="00946962"/>
    <w:rsid w:val="0095132C"/>
    <w:rsid w:val="0096626C"/>
    <w:rsid w:val="00980F62"/>
    <w:rsid w:val="00981C6C"/>
    <w:rsid w:val="009833B5"/>
    <w:rsid w:val="009859C5"/>
    <w:rsid w:val="009902A2"/>
    <w:rsid w:val="009A299F"/>
    <w:rsid w:val="009B3FF3"/>
    <w:rsid w:val="009C1CB7"/>
    <w:rsid w:val="009C1F10"/>
    <w:rsid w:val="009C28EF"/>
    <w:rsid w:val="009C3B1F"/>
    <w:rsid w:val="009C569D"/>
    <w:rsid w:val="009D06D0"/>
    <w:rsid w:val="009D0922"/>
    <w:rsid w:val="009E2E69"/>
    <w:rsid w:val="009F0279"/>
    <w:rsid w:val="009F09A9"/>
    <w:rsid w:val="009F4ECA"/>
    <w:rsid w:val="009F6C7E"/>
    <w:rsid w:val="00A062AC"/>
    <w:rsid w:val="00A138AD"/>
    <w:rsid w:val="00A16DFB"/>
    <w:rsid w:val="00A30F09"/>
    <w:rsid w:val="00A31801"/>
    <w:rsid w:val="00A3322E"/>
    <w:rsid w:val="00A36B3D"/>
    <w:rsid w:val="00A42DD1"/>
    <w:rsid w:val="00A43034"/>
    <w:rsid w:val="00A45D28"/>
    <w:rsid w:val="00A54F97"/>
    <w:rsid w:val="00A65FF7"/>
    <w:rsid w:val="00A70829"/>
    <w:rsid w:val="00A70CA1"/>
    <w:rsid w:val="00A81F46"/>
    <w:rsid w:val="00A93EE3"/>
    <w:rsid w:val="00AA5A3B"/>
    <w:rsid w:val="00AA5B20"/>
    <w:rsid w:val="00AB025A"/>
    <w:rsid w:val="00AB4563"/>
    <w:rsid w:val="00AD7E26"/>
    <w:rsid w:val="00AE5BD5"/>
    <w:rsid w:val="00B22783"/>
    <w:rsid w:val="00B27241"/>
    <w:rsid w:val="00B307A7"/>
    <w:rsid w:val="00B40A93"/>
    <w:rsid w:val="00B43D5A"/>
    <w:rsid w:val="00B5761F"/>
    <w:rsid w:val="00B666E1"/>
    <w:rsid w:val="00B7183B"/>
    <w:rsid w:val="00B75661"/>
    <w:rsid w:val="00B76BEF"/>
    <w:rsid w:val="00B83F54"/>
    <w:rsid w:val="00B83F79"/>
    <w:rsid w:val="00B9043F"/>
    <w:rsid w:val="00B906BC"/>
    <w:rsid w:val="00B916A3"/>
    <w:rsid w:val="00BA3135"/>
    <w:rsid w:val="00BA7A21"/>
    <w:rsid w:val="00BB06F6"/>
    <w:rsid w:val="00BB20CA"/>
    <w:rsid w:val="00BB25CC"/>
    <w:rsid w:val="00BC3A2E"/>
    <w:rsid w:val="00BC695C"/>
    <w:rsid w:val="00BC726F"/>
    <w:rsid w:val="00BD1C7C"/>
    <w:rsid w:val="00BD2A33"/>
    <w:rsid w:val="00BD2A71"/>
    <w:rsid w:val="00BD70D4"/>
    <w:rsid w:val="00BE0BA8"/>
    <w:rsid w:val="00BE119E"/>
    <w:rsid w:val="00BE4C69"/>
    <w:rsid w:val="00BE572A"/>
    <w:rsid w:val="00BF06DC"/>
    <w:rsid w:val="00BF6303"/>
    <w:rsid w:val="00C01DF2"/>
    <w:rsid w:val="00C15192"/>
    <w:rsid w:val="00C2072F"/>
    <w:rsid w:val="00C20749"/>
    <w:rsid w:val="00C25CE7"/>
    <w:rsid w:val="00C31E15"/>
    <w:rsid w:val="00C34165"/>
    <w:rsid w:val="00C35C87"/>
    <w:rsid w:val="00C37AF6"/>
    <w:rsid w:val="00C426A0"/>
    <w:rsid w:val="00C44D05"/>
    <w:rsid w:val="00C55301"/>
    <w:rsid w:val="00C567E8"/>
    <w:rsid w:val="00C571FD"/>
    <w:rsid w:val="00C7065E"/>
    <w:rsid w:val="00C7146D"/>
    <w:rsid w:val="00C73D12"/>
    <w:rsid w:val="00C84C5A"/>
    <w:rsid w:val="00C85F34"/>
    <w:rsid w:val="00C862C9"/>
    <w:rsid w:val="00C9054F"/>
    <w:rsid w:val="00CA188A"/>
    <w:rsid w:val="00CA44EE"/>
    <w:rsid w:val="00CA6B54"/>
    <w:rsid w:val="00CB5721"/>
    <w:rsid w:val="00CB6A50"/>
    <w:rsid w:val="00CC0154"/>
    <w:rsid w:val="00CC03C4"/>
    <w:rsid w:val="00CC44E2"/>
    <w:rsid w:val="00CD65EE"/>
    <w:rsid w:val="00CF571B"/>
    <w:rsid w:val="00D0125C"/>
    <w:rsid w:val="00D137EA"/>
    <w:rsid w:val="00D21DA3"/>
    <w:rsid w:val="00D2386E"/>
    <w:rsid w:val="00D2511F"/>
    <w:rsid w:val="00D30827"/>
    <w:rsid w:val="00D33320"/>
    <w:rsid w:val="00D3770F"/>
    <w:rsid w:val="00D47920"/>
    <w:rsid w:val="00D544CF"/>
    <w:rsid w:val="00D55711"/>
    <w:rsid w:val="00D6376E"/>
    <w:rsid w:val="00D75B17"/>
    <w:rsid w:val="00D824EA"/>
    <w:rsid w:val="00D826EE"/>
    <w:rsid w:val="00D97E7A"/>
    <w:rsid w:val="00DA07A5"/>
    <w:rsid w:val="00DA355A"/>
    <w:rsid w:val="00DB01DC"/>
    <w:rsid w:val="00DB0CDA"/>
    <w:rsid w:val="00DB34B2"/>
    <w:rsid w:val="00DB39A1"/>
    <w:rsid w:val="00DB7129"/>
    <w:rsid w:val="00DD16F4"/>
    <w:rsid w:val="00DD32F5"/>
    <w:rsid w:val="00DD56BB"/>
    <w:rsid w:val="00DD690A"/>
    <w:rsid w:val="00DE583D"/>
    <w:rsid w:val="00DF3FF3"/>
    <w:rsid w:val="00E02B9B"/>
    <w:rsid w:val="00E0510B"/>
    <w:rsid w:val="00E05551"/>
    <w:rsid w:val="00E07ADE"/>
    <w:rsid w:val="00E1631C"/>
    <w:rsid w:val="00E17B0C"/>
    <w:rsid w:val="00E210A0"/>
    <w:rsid w:val="00E32A4B"/>
    <w:rsid w:val="00E32CE2"/>
    <w:rsid w:val="00E3478E"/>
    <w:rsid w:val="00E37101"/>
    <w:rsid w:val="00E41859"/>
    <w:rsid w:val="00E44222"/>
    <w:rsid w:val="00E4478E"/>
    <w:rsid w:val="00E50C51"/>
    <w:rsid w:val="00E72C88"/>
    <w:rsid w:val="00E9219C"/>
    <w:rsid w:val="00E9413F"/>
    <w:rsid w:val="00EA1787"/>
    <w:rsid w:val="00EA3842"/>
    <w:rsid w:val="00EA694F"/>
    <w:rsid w:val="00EB2D3A"/>
    <w:rsid w:val="00EB3355"/>
    <w:rsid w:val="00EC3D58"/>
    <w:rsid w:val="00EC47EC"/>
    <w:rsid w:val="00ED20D3"/>
    <w:rsid w:val="00EE1FFB"/>
    <w:rsid w:val="00EE5BBC"/>
    <w:rsid w:val="00EE6FCC"/>
    <w:rsid w:val="00EE762D"/>
    <w:rsid w:val="00EF1A9F"/>
    <w:rsid w:val="00F04DD2"/>
    <w:rsid w:val="00F05FF3"/>
    <w:rsid w:val="00F130A1"/>
    <w:rsid w:val="00F13786"/>
    <w:rsid w:val="00F16809"/>
    <w:rsid w:val="00F17E31"/>
    <w:rsid w:val="00F253C2"/>
    <w:rsid w:val="00F274AC"/>
    <w:rsid w:val="00F30D88"/>
    <w:rsid w:val="00F34EA7"/>
    <w:rsid w:val="00F435C5"/>
    <w:rsid w:val="00F54384"/>
    <w:rsid w:val="00F60BF4"/>
    <w:rsid w:val="00F63380"/>
    <w:rsid w:val="00F67744"/>
    <w:rsid w:val="00F67B60"/>
    <w:rsid w:val="00F71E97"/>
    <w:rsid w:val="00F75179"/>
    <w:rsid w:val="00F7701D"/>
    <w:rsid w:val="00F82B46"/>
    <w:rsid w:val="00F93CBB"/>
    <w:rsid w:val="00F94938"/>
    <w:rsid w:val="00F95AC9"/>
    <w:rsid w:val="00FA167F"/>
    <w:rsid w:val="00FA3BAA"/>
    <w:rsid w:val="00FA600F"/>
    <w:rsid w:val="00FB1955"/>
    <w:rsid w:val="00FC27FE"/>
    <w:rsid w:val="00FD181D"/>
    <w:rsid w:val="00FD2312"/>
    <w:rsid w:val="00FD3E5D"/>
    <w:rsid w:val="00FE3B42"/>
    <w:rsid w:val="00FE4D56"/>
    <w:rsid w:val="00FF119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pPr>
        <w:spacing w:after="120"/>
      </w:pPr>
    </w:pPrDefault>
  </w:docDefaults>
  <w:latentStyles w:count="376" w:defLockedState="0" w:defQFormat="0" w:defSemiHidden="0" w:defUIPriority="0" w:defUnhideWhenUsed="0">
    <w:lsdException w:name="heading 2" w:qFormat="1" w:uiPriority="9"/>
    <w:lsdException w:name="footnote text" w:uiPriority="99"/>
    <w:lsdException w:name="footer" w:uiPriority="99"/>
    <w:lsdException w:name="footnote reference" w:qFormat="1" w:uiPriority="99"/>
    <w:lsdException w:name="List Number" w:uiPriority="99"/>
    <w:lsdException w:name="Body Text" w:qFormat="1"/>
    <w:lsdException w:name="Strong" w:qFormat="1" w:uiPriority="22"/>
    <w:lsdException w:name="Emphasis" w:qFormat="1" w:uiPriority="20"/>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before="60" w:after="60" w:line="288" w:lineRule="auto"/>
    </w:pPr>
    <w:rPr>
      <w:rFonts w:ascii="Times New Roman" w:hAnsi="Times New Roman"/>
      <w:sz w:val="26"/>
    </w:rPr>
  </w:style>
  <w:style w:styleId="Heading1" w:type="paragraph">
    <w:name w:val="heading 1"/>
    <w:basedOn w:val="Normal"/>
    <w:next w:val="BodyText"/>
    <w:uiPriority w:val="9"/>
    <w:qFormat/>
    <w:pPr>
      <w:keepNext/>
      <w:keepLines/>
      <w:spacing w:after="0" w:before="480"/>
      <w:outlineLvl w:val="0"/>
    </w:pPr>
    <w:rPr>
      <w:rFonts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b/>
      <w:bCs/>
      <w:color w:val="000000"/>
    </w:rPr>
  </w:style>
  <w:style w:styleId="Heading4" w:type="paragraph">
    <w:name w:val="heading 4"/>
    <w:basedOn w:val="Normal"/>
    <w:next w:val="BodyText"/>
    <w:uiPriority w:val="9"/>
    <w:unhideWhenUsed/>
    <w:qFormat/>
    <w:pPr>
      <w:keepNext/>
      <w:keepLines/>
      <w:spacing w:after="0" w:before="200"/>
      <w:outlineLvl w:val="3"/>
    </w:pPr>
    <w:rPr>
      <w:bCs/>
      <w:i/>
      <w:color w:val="000000"/>
    </w:rPr>
  </w:style>
  <w:style w:styleId="Heading5" w:type="paragraph">
    <w:name w:val="heading 5"/>
    <w:basedOn w:val="Normal"/>
    <w:next w:val="BodyText"/>
    <w:uiPriority w:val="9"/>
    <w:unhideWhenUsed/>
    <w:qFormat/>
    <w:pPr>
      <w:keepNext/>
      <w:keepLines/>
      <w:spacing w:after="0" w:before="200"/>
      <w:outlineLvl w:val="4"/>
    </w:pPr>
    <w:rPr>
      <w:iCs/>
      <w:color w:val="000000"/>
    </w:rPr>
  </w:style>
  <w:style w:styleId="Heading6" w:type="paragraph">
    <w:name w:val="heading 6"/>
    <w:basedOn w:val="Normal"/>
    <w:next w:val="BodyText"/>
    <w:uiPriority w:val="9"/>
    <w:unhideWhenUsed/>
    <w:qFormat/>
    <w:pPr>
      <w:keepNext/>
      <w:keepLines/>
      <w:spacing w:after="0" w:before="200"/>
      <w:outlineLvl w:val="5"/>
    </w:pPr>
    <w:rPr>
      <w:color w:val="000000"/>
    </w:rPr>
  </w:style>
  <w:style w:styleId="Heading7" w:type="paragraph">
    <w:name w:val="heading 7"/>
    <w:basedOn w:val="Normal"/>
    <w:next w:val="BodyText"/>
    <w:uiPriority w:val="9"/>
    <w:unhideWhenUsed/>
    <w:qFormat/>
    <w:pPr>
      <w:keepNext/>
      <w:keepLines/>
      <w:spacing w:after="0" w:before="200"/>
      <w:outlineLvl w:val="6"/>
    </w:pPr>
    <w:rPr>
      <w:color w:val="000000"/>
    </w:rPr>
  </w:style>
  <w:style w:styleId="Heading8" w:type="paragraph">
    <w:name w:val="heading 8"/>
    <w:basedOn w:val="Normal"/>
    <w:next w:val="BodyText"/>
    <w:uiPriority w:val="9"/>
    <w:unhideWhenUsed/>
    <w:qFormat/>
    <w:pPr>
      <w:keepNext/>
      <w:keepLines/>
      <w:spacing w:after="0" w:before="200"/>
      <w:outlineLvl w:val="7"/>
    </w:pPr>
    <w:rPr>
      <w:color w:val="000000"/>
    </w:rPr>
  </w:style>
  <w:style w:styleId="Heading9" w:type="paragraph">
    <w:name w:val="heading 9"/>
    <w:basedOn w:val="Normal"/>
    <w:next w:val="BodyText"/>
    <w:uiPriority w:val="9"/>
    <w:unhideWhenUsed/>
    <w:qFormat/>
    <w:pPr>
      <w:keepNext/>
      <w:keepLines/>
      <w:spacing w:after="0" w:before="200"/>
      <w:outlineLvl w:val="8"/>
    </w:pPr>
    <w:rPr>
      <w:color w:val="000000"/>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60" w:before="60" w:line="288" w:lineRule="auto"/>
    </w:pPr>
    <w:rPr>
      <w:rFonts w:ascii="Times New Roman" w:hAnsi="Times New Roman"/>
      <w:sz w:val="26"/>
    </w:rPr>
  </w:style>
  <w:style w:customStyle="1" w:styleId="FirstParagraph" w:type="paragraph">
    <w:name w:val="First Paragraph"/>
    <w:basedOn w:val="BodyText"/>
    <w:next w:val="BodyText"/>
    <w:qFormat/>
    <w:pPr>
      <w:spacing w:before="60" w:after="60" w:line="288" w:lineRule="auto"/>
    </w:pPr>
    <w:rPr>
      <w:rFonts w:ascii="Times New Roman" w:hAnsi="Times New Roman"/>
      <w:sz w:val="26"/>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color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iPriority w:val="9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uiPriority w:val="99"/>
    <w:qFormat/>
    <w:rPr>
      <w:vertAlign w:val="superscript"/>
    </w:rPr>
  </w:style>
  <w:style w:styleId="Hyperlink" w:type="character">
    <w:name w:val="Hyperlink"/>
    <w:basedOn w:val="CaptionChar"/>
    <w:rPr>
      <w:color w:val="000000"/>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UnresolvedMention1" w:type="character">
    <w:name w:val="Unresolved Mention1"/>
    <w:basedOn w:val="DefaultParagraphFont"/>
    <w:uiPriority w:val="99"/>
    <w:semiHidden/>
    <w:unhideWhenUsed/>
    <w:rsid w:val="008C287B"/>
    <w:rPr>
      <w:color w:val="605E5C"/>
      <w:shd w:color="auto" w:fill="E1DFDD" w:val="clear"/>
    </w:rPr>
  </w:style>
  <w:style w:styleId="Revision" w:type="paragraph">
    <w:name w:val="Revision"/>
    <w:hidden/>
    <w:rsid w:val="000C2726"/>
    <w:pPr>
      <w:spacing w:after="0"/>
    </w:pPr>
  </w:style>
  <w:style w:styleId="ListParagraph" w:type="paragraph">
    <w:name w:val="List Paragraph"/>
    <w:basedOn w:val="Normal"/>
    <w:rsid w:val="00F71E97"/>
    <w:pPr>
      <w:ind w:left="720"/>
      <w:contextualSpacing/>
    </w:pPr>
  </w:style>
  <w:style w:styleId="TableGrid" w:type="table">
    <w:name w:val="Table Grid"/>
    <w:basedOn w:val="TableNormal"/>
    <w:uiPriority w:val="59"/>
    <w:rsid w:val="00D824EA"/>
    <w:pPr>
      <w:spacing w:after="0"/>
    </w:pPr>
    <w:rPr>
      <w:rFonts w:asciiTheme="minorHAnsi" w:cstheme="minorBidi" w:eastAsiaTheme="minorEastAsia"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Number" w:type="paragraph">
    <w:name w:val="List Number"/>
    <w:basedOn w:val="Normal"/>
    <w:uiPriority w:val="99"/>
    <w:unhideWhenUsed/>
    <w:rsid w:val="000D7CF1"/>
    <w:pPr>
      <w:numPr>
        <w:numId w:val="8"/>
      </w:numPr>
      <w:spacing w:after="200" w:line="276" w:lineRule="auto"/>
      <w:contextualSpacing/>
    </w:pPr>
    <w:rPr>
      <w:rFonts w:ascii="Arial" w:cstheme="minorBidi" w:eastAsia="Arial" w:hAnsi="Arial"/>
      <w:sz w:val="22"/>
      <w:szCs w:val="22"/>
    </w:rPr>
  </w:style>
  <w:style w:styleId="Header" w:type="paragraph">
    <w:name w:val="header"/>
    <w:basedOn w:val="Normal"/>
    <w:link w:val="HeaderChar"/>
    <w:rsid w:val="00ED20D3"/>
    <w:pPr>
      <w:tabs>
        <w:tab w:pos="4680" w:val="center"/>
        <w:tab w:pos="9360" w:val="right"/>
      </w:tabs>
      <w:spacing w:after="0"/>
    </w:pPr>
  </w:style>
  <w:style w:customStyle="1" w:styleId="HeaderChar" w:type="character">
    <w:name w:val="Header Char"/>
    <w:basedOn w:val="DefaultParagraphFont"/>
    <w:link w:val="Header"/>
    <w:rsid w:val="00ED20D3"/>
  </w:style>
  <w:style w:styleId="Footer" w:type="paragraph">
    <w:name w:val="footer"/>
    <w:basedOn w:val="Normal"/>
    <w:link w:val="FooterChar"/>
    <w:uiPriority w:val="99"/>
    <w:rsid w:val="00ED20D3"/>
    <w:pPr>
      <w:tabs>
        <w:tab w:pos="4680" w:val="center"/>
        <w:tab w:pos="9360" w:val="right"/>
      </w:tabs>
      <w:spacing w:after="0"/>
    </w:pPr>
  </w:style>
  <w:style w:customStyle="1" w:styleId="FooterChar" w:type="character">
    <w:name w:val="Footer Char"/>
    <w:basedOn w:val="DefaultParagraphFont"/>
    <w:link w:val="Footer"/>
    <w:uiPriority w:val="99"/>
    <w:rsid w:val="00ED20D3"/>
  </w:style>
  <w:style w:customStyle="1" w:styleId="FootnoteTextChar" w:type="character">
    <w:name w:val="Footnote Text Char"/>
    <w:basedOn w:val="DefaultParagraphFont"/>
    <w:link w:val="FootnoteText"/>
    <w:uiPriority w:val="99"/>
    <w:rsid w:val="00B83F79"/>
  </w:style>
  <w:style w:styleId="BalloonText" w:type="paragraph">
    <w:name w:val="Balloon Text"/>
    <w:basedOn w:val="Normal"/>
    <w:link w:val="BalloonTextChar"/>
    <w:rsid w:val="0092010E"/>
    <w:pPr>
      <w:spacing w:after="0"/>
    </w:pPr>
    <w:rPr>
      <w:rFonts w:ascii="Segoe UI" w:cs="Segoe UI" w:hAnsi="Segoe UI"/>
      <w:sz w:val="18"/>
      <w:szCs w:val="18"/>
    </w:rPr>
  </w:style>
  <w:style w:customStyle="1" w:styleId="BalloonTextChar" w:type="character">
    <w:name w:val="Balloon Text Char"/>
    <w:basedOn w:val="DefaultParagraphFont"/>
    <w:link w:val="BalloonText"/>
    <w:rsid w:val="0092010E"/>
    <w:rPr>
      <w:rFonts w:ascii="Segoe UI" w:cs="Segoe UI" w:hAnsi="Segoe UI"/>
      <w:sz w:val="18"/>
      <w:szCs w:val="18"/>
    </w:rPr>
  </w:style>
  <w:style w:customStyle="1" w:styleId="text-token-text-primary" w:type="character">
    <w:name w:val="text-token-text-primary"/>
    <w:basedOn w:val="DefaultParagraphFont"/>
    <w:rsid w:val="00EA1787"/>
  </w:style>
  <w:style w:styleId="Emphasis" w:type="character">
    <w:name w:val="Emphasis"/>
    <w:basedOn w:val="DefaultParagraphFont"/>
    <w:uiPriority w:val="20"/>
    <w:qFormat/>
    <w:rsid w:val="00EA1787"/>
    <w:rPr>
      <w:i/>
      <w:iCs/>
    </w:rPr>
  </w:style>
  <w:style w:customStyle="1" w:styleId="isselectedend" w:type="paragraph">
    <w:name w:val="isselectedend"/>
    <w:basedOn w:val="Normal"/>
    <w:rsid w:val="00EA1787"/>
    <w:pPr>
      <w:spacing w:after="100" w:afterAutospacing="1" w:before="100" w:beforeAutospacing="1"/>
    </w:pPr>
    <w:rPr>
      <w:lang w:eastAsia="ja-JP"/>
    </w:rPr>
  </w:style>
  <w:style w:styleId="Strong" w:type="character">
    <w:name w:val="Strong"/>
    <w:basedOn w:val="DefaultParagraphFont"/>
    <w:uiPriority w:val="22"/>
    <w:qFormat/>
    <w:rsid w:val="00EA1787"/>
    <w:rPr>
      <w:b/>
      <w:bCs/>
    </w:rPr>
  </w:style>
  <w:style w:styleId="NormalWeb" w:type="paragraph">
    <w:name w:val="Normal (Web)"/>
    <w:basedOn w:val="Normal"/>
    <w:uiPriority w:val="99"/>
    <w:unhideWhenUsed/>
    <w:rsid w:val="00EA1787"/>
    <w:pPr>
      <w:spacing w:after="100" w:afterAutospacing="1" w:before="100" w:beforeAutospacing="1"/>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1059">
      <w:bodyDiv w:val="1"/>
      <w:marLeft w:val="0"/>
      <w:marRight w:val="0"/>
      <w:marTop w:val="0"/>
      <w:marBottom w:val="0"/>
      <w:divBdr>
        <w:top w:val="none" w:sz="0" w:space="0" w:color="auto"/>
        <w:left w:val="none" w:sz="0" w:space="0" w:color="auto"/>
        <w:bottom w:val="none" w:sz="0" w:space="0" w:color="auto"/>
        <w:right w:val="none" w:sz="0" w:space="0" w:color="auto"/>
      </w:divBdr>
    </w:div>
    <w:div w:id="561252926">
      <w:bodyDiv w:val="1"/>
      <w:marLeft w:val="0"/>
      <w:marRight w:val="0"/>
      <w:marTop w:val="0"/>
      <w:marBottom w:val="0"/>
      <w:divBdr>
        <w:top w:val="none" w:sz="0" w:space="0" w:color="auto"/>
        <w:left w:val="none" w:sz="0" w:space="0" w:color="auto"/>
        <w:bottom w:val="none" w:sz="0" w:space="0" w:color="auto"/>
        <w:right w:val="none" w:sz="0" w:space="0" w:color="auto"/>
      </w:divBdr>
    </w:div>
    <w:div w:id="904415314">
      <w:bodyDiv w:val="1"/>
      <w:marLeft w:val="0"/>
      <w:marRight w:val="0"/>
      <w:marTop w:val="0"/>
      <w:marBottom w:val="0"/>
      <w:divBdr>
        <w:top w:val="none" w:sz="0" w:space="0" w:color="auto"/>
        <w:left w:val="none" w:sz="0" w:space="0" w:color="auto"/>
        <w:bottom w:val="none" w:sz="0" w:space="0" w:color="auto"/>
        <w:right w:val="none" w:sz="0" w:space="0" w:color="auto"/>
      </w:divBdr>
    </w:div>
    <w:div w:id="1367608840">
      <w:bodyDiv w:val="1"/>
      <w:marLeft w:val="0"/>
      <w:marRight w:val="0"/>
      <w:marTop w:val="0"/>
      <w:marBottom w:val="0"/>
      <w:divBdr>
        <w:top w:val="none" w:sz="0" w:space="0" w:color="auto"/>
        <w:left w:val="none" w:sz="0" w:space="0" w:color="auto"/>
        <w:bottom w:val="none" w:sz="0" w:space="0" w:color="auto"/>
        <w:right w:val="none" w:sz="0" w:space="0" w:color="auto"/>
      </w:divBdr>
    </w:div>
    <w:div w:id="1669668722">
      <w:bodyDiv w:val="1"/>
      <w:marLeft w:val="0"/>
      <w:marRight w:val="0"/>
      <w:marTop w:val="0"/>
      <w:marBottom w:val="0"/>
      <w:divBdr>
        <w:top w:val="none" w:sz="0" w:space="0" w:color="auto"/>
        <w:left w:val="none" w:sz="0" w:space="0" w:color="auto"/>
        <w:bottom w:val="none" w:sz="0" w:space="0" w:color="auto"/>
        <w:right w:val="none" w:sz="0" w:space="0" w:color="auto"/>
      </w:divBdr>
    </w:div>
    <w:div w:id="1674533487">
      <w:bodyDiv w:val="1"/>
      <w:marLeft w:val="0"/>
      <w:marRight w:val="0"/>
      <w:marTop w:val="0"/>
      <w:marBottom w:val="0"/>
      <w:divBdr>
        <w:top w:val="none" w:sz="0" w:space="0" w:color="auto"/>
        <w:left w:val="none" w:sz="0" w:space="0" w:color="auto"/>
        <w:bottom w:val="none" w:sz="0" w:space="0" w:color="auto"/>
        <w:right w:val="none" w:sz="0" w:space="0" w:color="auto"/>
      </w:divBdr>
    </w:div>
    <w:div w:id="1761632475">
      <w:bodyDiv w:val="1"/>
      <w:marLeft w:val="0"/>
      <w:marRight w:val="0"/>
      <w:marTop w:val="0"/>
      <w:marBottom w:val="0"/>
      <w:divBdr>
        <w:top w:val="none" w:sz="0" w:space="0" w:color="auto"/>
        <w:left w:val="none" w:sz="0" w:space="0" w:color="auto"/>
        <w:bottom w:val="none" w:sz="0" w:space="0" w:color="auto"/>
        <w:right w:val="none" w:sz="0" w:space="0" w:color="auto"/>
      </w:divBdr>
    </w:div>
    <w:div w:id="1963997109">
      <w:bodyDiv w:val="1"/>
      <w:marLeft w:val="0"/>
      <w:marRight w:val="0"/>
      <w:marTop w:val="0"/>
      <w:marBottom w:val="0"/>
      <w:divBdr>
        <w:top w:val="none" w:sz="0" w:space="0" w:color="auto"/>
        <w:left w:val="none" w:sz="0" w:space="0" w:color="auto"/>
        <w:bottom w:val="none" w:sz="0" w:space="0" w:color="auto"/>
        <w:right w:val="none" w:sz="0" w:space="0" w:color="auto"/>
      </w:divBdr>
    </w:div>
    <w:div w:id="2009137898">
      <w:bodyDiv w:val="1"/>
      <w:marLeft w:val="0"/>
      <w:marRight w:val="0"/>
      <w:marTop w:val="0"/>
      <w:marBottom w:val="0"/>
      <w:divBdr>
        <w:top w:val="none" w:sz="0" w:space="0" w:color="auto"/>
        <w:left w:val="none" w:sz="0" w:space="0" w:color="auto"/>
        <w:bottom w:val="none" w:sz="0" w:space="0" w:color="auto"/>
        <w:right w:val="none" w:sz="0" w:space="0" w:color="auto"/>
      </w:divBdr>
    </w:div>
    <w:div w:id="2097507528">
      <w:bodyDiv w:val="1"/>
      <w:marLeft w:val="0"/>
      <w:marRight w:val="0"/>
      <w:marTop w:val="0"/>
      <w:marBottom w:val="0"/>
      <w:divBdr>
        <w:top w:val="none" w:sz="0" w:space="0" w:color="auto"/>
        <w:left w:val="none" w:sz="0" w:space="0" w:color="auto"/>
        <w:bottom w:val="none" w:sz="0" w:space="0" w:color="auto"/>
        <w:right w:val="none" w:sz="0" w:space="0" w:color="auto"/>
      </w:divBdr>
    </w:div>
    <w:div w:id="2110540937">
      <w:bodyDiv w:val="1"/>
      <w:marLeft w:val="0"/>
      <w:marRight w:val="0"/>
      <w:marTop w:val="0"/>
      <w:marBottom w:val="0"/>
      <w:divBdr>
        <w:top w:val="none" w:sz="0" w:space="0" w:color="auto"/>
        <w:left w:val="none" w:sz="0" w:space="0" w:color="auto"/>
        <w:bottom w:val="none" w:sz="0" w:space="0" w:color="auto"/>
        <w:right w:val="none" w:sz="0" w:space="0" w:color="auto"/>
      </w:divBdr>
    </w:div>
    <w:div w:id="2113160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2" Type="http://schemas.openxmlformats.org/officeDocument/2006/relationships/image" Target="media/rId32.png"/><Relationship Id="rId35" Type="http://schemas.openxmlformats.org/officeDocument/2006/relationships/image" Target="media/rId35.png"/><Relationship Id="rId42" Type="http://schemas.openxmlformats.org/officeDocument/2006/relationships/image" Target="media/rId42.png"/><Relationship Id="rId51" Type="http://schemas.openxmlformats.org/officeDocument/2006/relationships/image" Target="media/rId51.png"/><Relationship Id="rId79" Type="http://schemas.openxmlformats.org/officeDocument/2006/relationships/hyperlink" Target="https://c4model.com/" TargetMode="External"/><Relationship Id="rId70" Type="http://schemas.openxmlformats.org/officeDocument/2006/relationships/hyperlink" Target="https://docs.oasis-open.org/soa-rm/soa-ra/v1.0/cs01/soa-ra-v1.0-cs01.pdf" TargetMode="External"/><Relationship Id="rId72" Type="http://schemas.openxmlformats.org/officeDocument/2006/relationships/hyperlink" Target="https://eur-lex.europa.eu/eli/reg/2024/903/oj" TargetMode="External"/><Relationship Id="rId75" Type="http://schemas.openxmlformats.org/officeDocument/2006/relationships/hyperlink" Target="https://vanban.chinhphu.vn/?classid=0&amp;docid=214306&amp;pageid=27160" TargetMode="External"/><Relationship Id="rId69" Type="http://schemas.openxmlformats.org/officeDocument/2006/relationships/hyperlink" Target="https://vanban.chinhphu.vn/?classid=0&amp;docid=215785&amp;pageid=27160" TargetMode="External"/><Relationship Id="rId74" Type="http://schemas.openxmlformats.org/officeDocument/2006/relationships/hyperlink" Target="https://vanban.chinhphu.vn/?classid=1&amp;docid=210491&amp;pageid=27160" TargetMode="External"/><Relationship Id="rId78" Type="http://schemas.openxmlformats.org/officeDocument/2006/relationships/hyperlink" Target="https://vanban.chinhphu.vn/?classid=1&amp;docid=212488&amp;pageid=27160&amp;typegroupid=3" TargetMode="External"/><Relationship Id="rId76" Type="http://schemas.openxmlformats.org/officeDocument/2006/relationships/hyperlink" Target="https://vanban.chinhphu.vn/?classid=1&amp;docid=214590&amp;pageid=27160&amp;typegroup=" TargetMode="External"/><Relationship Id="rId66" Type="http://schemas.openxmlformats.org/officeDocument/2006/relationships/hyperlink" Target="https://vanban.chinhphu.vn/?classid=1&amp;docid=215663&amp;orggroupid=2&amp;pageid=27160" TargetMode="External"/><Relationship Id="rId77" Type="http://schemas.openxmlformats.org/officeDocument/2006/relationships/hyperlink" Target="https://vanban.chinhphu.vn/?classid=1&amp;docid=216387&amp;pageid=27160" TargetMode="External"/><Relationship Id="rId73" Type="http://schemas.openxmlformats.org/officeDocument/2006/relationships/hyperlink" Target="https://vanban.chinhphu.vn/?docid=215682&amp;pageid=27160" TargetMode="External"/><Relationship Id="rId67" Type="http://schemas.openxmlformats.org/officeDocument/2006/relationships/hyperlink" Target="https://vietnamstijournal.net/index.php/JSTPM/article/view/534" TargetMode="External"/><Relationship Id="rId68" Type="http://schemas.openxmlformats.org/officeDocument/2006/relationships/hyperlink" Target="https://www.iso.org/standard/74393.html" TargetMode="External"/><Relationship Id="rId80" Type="http://schemas.openxmlformats.org/officeDocument/2006/relationships/hyperlink" Target="https://www.opengroup.org/archimate-licensed-downloads" TargetMode="External"/><Relationship Id="rId71" Type="http://schemas.openxmlformats.org/officeDocument/2006/relationships/hyperlink" Target="https://www.sei.cmu.edu/documents/1960/2000_004_001_13679.pdf" TargetMode="Externa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image" Target="media/image1.png"/></Relationships>
</file>

<file path=word/_rels/footnotes.xml.rels><?xml version='1.0' encoding='UTF-8' standalone='yes'?>
<Relationships xmlns="http://schemas.openxmlformats.org/package/2006/relationships"><Relationship Id="rId79" Type="http://schemas.openxmlformats.org/officeDocument/2006/relationships/hyperlink" Target="https://c4model.com/" TargetMode="External"/><Relationship Id="rId70" Type="http://schemas.openxmlformats.org/officeDocument/2006/relationships/hyperlink" Target="https://docs.oasis-open.org/soa-rm/soa-ra/v1.0/cs01/soa-ra-v1.0-cs01.pdf" TargetMode="External"/><Relationship Id="rId72" Type="http://schemas.openxmlformats.org/officeDocument/2006/relationships/hyperlink" Target="https://eur-lex.europa.eu/eli/reg/2024/903/oj" TargetMode="External"/><Relationship Id="rId75" Type="http://schemas.openxmlformats.org/officeDocument/2006/relationships/hyperlink" Target="https://vanban.chinhphu.vn/?classid=0&amp;docid=214306&amp;pageid=27160" TargetMode="External"/><Relationship Id="rId69" Type="http://schemas.openxmlformats.org/officeDocument/2006/relationships/hyperlink" Target="https://vanban.chinhphu.vn/?classid=0&amp;docid=215785&amp;pageid=27160" TargetMode="External"/><Relationship Id="rId74" Type="http://schemas.openxmlformats.org/officeDocument/2006/relationships/hyperlink" Target="https://vanban.chinhphu.vn/?classid=1&amp;docid=210491&amp;pageid=27160" TargetMode="External"/><Relationship Id="rId78" Type="http://schemas.openxmlformats.org/officeDocument/2006/relationships/hyperlink" Target="https://vanban.chinhphu.vn/?classid=1&amp;docid=212488&amp;pageid=27160&amp;typegroupid=3" TargetMode="External"/><Relationship Id="rId76" Type="http://schemas.openxmlformats.org/officeDocument/2006/relationships/hyperlink" Target="https://vanban.chinhphu.vn/?classid=1&amp;docid=214590&amp;pageid=27160&amp;typegroup=" TargetMode="External"/><Relationship Id="rId66" Type="http://schemas.openxmlformats.org/officeDocument/2006/relationships/hyperlink" Target="https://vanban.chinhphu.vn/?classid=1&amp;docid=215663&amp;orggroupid=2&amp;pageid=27160" TargetMode="External"/><Relationship Id="rId77" Type="http://schemas.openxmlformats.org/officeDocument/2006/relationships/hyperlink" Target="https://vanban.chinhphu.vn/?classid=1&amp;docid=216387&amp;pageid=27160" TargetMode="External"/><Relationship Id="rId73" Type="http://schemas.openxmlformats.org/officeDocument/2006/relationships/hyperlink" Target="https://vanban.chinhphu.vn/?docid=215682&amp;pageid=27160" TargetMode="External"/><Relationship Id="rId67" Type="http://schemas.openxmlformats.org/officeDocument/2006/relationships/hyperlink" Target="https://vietnamstijournal.net/index.php/JSTPM/article/view/534" TargetMode="External"/><Relationship Id="rId68" Type="http://schemas.openxmlformats.org/officeDocument/2006/relationships/hyperlink" Target="https://www.iso.org/standard/74393.html" TargetMode="External"/><Relationship Id="rId80" Type="http://schemas.openxmlformats.org/officeDocument/2006/relationships/hyperlink" Target="https://www.opengroup.org/archimate-licensed-downloads" TargetMode="External"/><Relationship Id="rId71" Type="http://schemas.openxmlformats.org/officeDocument/2006/relationships/hyperlink" Target="https://www.sei.cmu.edu/documents/1960/2000_004_001_1367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1795</TotalTime>
  <Pages>28</Pages>
  <Words>10056</Words>
  <Characters>57323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tham chiếu tỉnh--trung ương cho nền tảng số quản lý doanh nghiệp khoa học và công nghệ và doanh nghiệp khởi nghiệp sáng tạo</dc:title>
  <dc:creator/>
  <cp:keywords>VJST; kiến trúc tham chiếu; doanh nghiệp khoa học và công nghệ; khởi nghiệp sáng tạo</cp:keywords>
  <dcterms:created xsi:type="dcterms:W3CDTF">2026-08-10T09:18:26Z</dcterms:created>
  <dcterms:modified xsi:type="dcterms:W3CDTF">2026-08-10T09:18:26Z</dcterms:modified>
  <dc:subject>Software reference architecture; design principles; conformance evidence; logical deployment view</dc:subject>
</cp:coreProperties>
</file>

<file path=docProps/custom.xml><?xml version="1.0" encoding="utf-8"?>
<Properties xmlns="http://schemas.openxmlformats.org/officeDocument/2006/custom-properties" xmlns:vt="http://schemas.openxmlformats.org/officeDocument/2006/docPropsVTypes"/>
</file>