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240" w:lineRule="auto" w:after="80"/>
        <w:ind w:firstLine="0"/>
        <w:jc w:val="center"/>
      </w:pPr>
      <w:r>
        <w:rPr>
          <w:rFonts w:ascii="Times New Roman" w:hAnsi="Times New Roman" w:eastAsia="Times New Roman" w:cs="Times New Roman"/>
          <w:b/>
          <w:bCs/>
          <w:sz w:val="26"/>
        </w:rPr>
        <w:t xml:space="preserve">Kiến trúc tham chiếu phân tán tỉnh–trung ương cho nền tảng số quản lý doanh nghiệp khoa học và công nghệ và doanh nghiệp khởi nghiệp sáng tạo</w:t>
      </w:r>
    </w:p>
    <w:p>
      <w:pPr>
        <w:pStyle w:val="BodyText"/>
        <w:spacing w:line="240" w:lineRule="auto" w:after="0"/>
        <w:ind w:firstLine="720"/>
        <w:jc w:val="both"/>
      </w:pPr>
      <w:r>
        <w:rPr>
          <w:rFonts w:ascii="Times New Roman" w:hAnsi="Times New Roman" w:eastAsia="Times New Roman" w:cs="Times New Roman"/>
          <w:b/>
          <w:bCs/>
          <w:sz w:val="24"/>
        </w:rPr>
        <w:t xml:space="preserve">Nguyễn Đình Quảng</w:t>
      </w:r>
      <w:r>
        <w:rPr>
          <w:rFonts w:ascii="Times New Roman" w:hAnsi="Times New Roman" w:eastAsia="Times New Roman" w:cs="Times New Roman"/>
          <w:b/>
          <w:bCs/>
          <w:sz w:val="24"/>
          <w:vertAlign w:val="superscript"/>
        </w:rPr>
        <w:t xml:space="preserve">1</w:t>
      </w:r>
      <w:r>
        <w:rPr>
          <w:rFonts w:ascii="Times New Roman" w:hAnsi="Times New Roman" w:eastAsia="Times New Roman" w:cs="Times New Roman"/>
          <w:b/>
          <w:bCs/>
          <w:sz w:val="24"/>
        </w:rPr>
        <w:t xml:space="preserve">, Nguyễn Huy Cường</w:t>
      </w:r>
      <w:r>
        <w:rPr>
          <w:rFonts w:ascii="Times New Roman" w:hAnsi="Times New Roman" w:eastAsia="Times New Roman" w:cs="Times New Roman"/>
          <w:b/>
          <w:bCs/>
          <w:sz w:val="24"/>
          <w:vertAlign w:val="superscript"/>
        </w:rPr>
        <w:t xml:space="preserve">2*</w:t>
      </w:r>
    </w:p>
    <w:p>
      <w:pPr>
        <w:pStyle w:val="BodyText"/>
        <w:spacing w:line="240" w:lineRule="auto" w:after="0"/>
        <w:ind w:firstLine="720"/>
        <w:jc w:val="both"/>
      </w:pPr>
      <w:r>
        <w:rPr>
          <w:rFonts w:ascii="Times New Roman" w:hAnsi="Times New Roman" w:eastAsia="Times New Roman" w:cs="Times New Roman"/>
          <w:i/>
          <w:iCs/>
          <w:sz w:val="24"/>
          <w:vertAlign w:val="superscript"/>
        </w:rPr>
        <w:t xml:space="preserve">1</w:t>
      </w:r>
      <w:r>
        <w:rPr>
          <w:rFonts w:ascii="Times New Roman" w:hAnsi="Times New Roman" w:eastAsia="Times New Roman" w:cs="Times New Roman"/>
          <w:i/>
          <w:iCs/>
          <w:sz w:val="24"/>
        </w:rPr>
        <w:t xml:space="preserve">Khoa Công nghệ thông tin, Học viện Công nghệ Bưu chính viễn thông,</w:t>
      </w:r>
      <w:r>
        <w:rPr>
          <w:rFonts w:ascii="Times New Roman" w:hAnsi="Times New Roman" w:eastAsia="Times New Roman" w:cs="Times New Roman"/>
          <w:sz w:val="24"/>
        </w:rPr>
        <w:br/>
      </w:r>
      <w:r>
        <w:rPr>
          <w:rFonts w:ascii="Times New Roman" w:hAnsi="Times New Roman" w:eastAsia="Times New Roman" w:cs="Times New Roman"/>
          <w:i/>
          <w:iCs/>
          <w:sz w:val="24"/>
        </w:rPr>
        <w:t xml:space="preserve">96A Trần Phú, phường Hà Đông, Hà Nội, Việt Nam</w:t>
      </w:r>
    </w:p>
    <w:p>
      <w:pPr>
        <w:pStyle w:val="BodyText"/>
        <w:spacing w:line="240" w:lineRule="auto" w:after="0"/>
        <w:ind w:firstLine="720"/>
        <w:jc w:val="both"/>
      </w:pPr>
      <w:r>
        <w:rPr>
          <w:rFonts w:ascii="Times New Roman" w:hAnsi="Times New Roman" w:eastAsia="Times New Roman" w:cs="Times New Roman"/>
          <w:i/>
          <w:iCs/>
          <w:sz w:val="24"/>
          <w:vertAlign w:val="superscript"/>
        </w:rPr>
        <w:t xml:space="preserve">2</w:t>
      </w:r>
      <w:r>
        <w:rPr>
          <w:rFonts w:ascii="Times New Roman" w:hAnsi="Times New Roman" w:eastAsia="Times New Roman" w:cs="Times New Roman"/>
          <w:i/>
          <w:iCs/>
          <w:sz w:val="24"/>
        </w:rPr>
        <w:t xml:space="preserve">Trung tâm Phát triển doanh nghiệp khoa học và công nghệ, Cục Khởi nghiệp và Doanh nghiệp công nghệ, Bộ Khoa học và Công nghệ, 115 Trần Duy Hưng, phường Yên Hòa, Hà Nội, Việt Nam</w:t>
      </w:r>
    </w:p>
    <w:p>
      <w:pPr>
        <w:spacing w:after="60"/>
        <w:ind w:firstLine="0"/>
        <w:jc w:val="left"/>
      </w:pPr>
      <w:r>
        <w:rPr>
          <w:rFonts w:ascii="Times New Roman" w:hAnsi="Times New Roman" w:eastAsia="Times New Roman" w:cs="Times New Roman"/>
          <w:i/>
          <w:sz w:val="20"/>
        </w:rPr>
        <w:t>* Tác giả liên hệ: Email: nguyenhuycuong@mst.gov.vn</w:t>
      </w:r>
    </w:p>
    <w:p>
      <w:pPr>
        <w:pStyle w:val="BodyText"/>
        <w:spacing w:line="240" w:lineRule="auto" w:after="40" w:before="80"/>
        <w:ind w:firstLine="0"/>
        <w:jc w:val="both"/>
      </w:pPr>
      <w:r>
        <w:rPr>
          <w:rFonts w:ascii="Times New Roman" w:hAnsi="Times New Roman" w:eastAsia="Times New Roman" w:cs="Times New Roman"/>
          <w:b/>
          <w:bCs/>
          <w:i/>
          <w:iCs/>
          <w:sz w:val="24"/>
        </w:rPr>
        <w:t xml:space="preserve">Tóm tắt:</w:t>
      </w:r>
    </w:p>
    <w:p>
      <w:pPr>
        <w:pStyle w:val="BodyText"/>
        <w:spacing w:line="240" w:lineRule="auto" w:after="0"/>
        <w:ind w:firstLine="0"/>
        <w:jc w:val="both"/>
      </w:pPr>
      <w:r>
        <w:rPr>
          <w:rFonts w:ascii="Times New Roman" w:hAnsi="Times New Roman" w:eastAsia="Times New Roman" w:cs="Times New Roman"/>
          <w:b/>
          <w:bCs/>
          <w:sz w:val="24"/>
        </w:rPr>
        <w:t xml:space="preserve">Quản lý doanh nghiệp khoa học và công nghệ (DN KH&amp;CN) và doanh nghiệp khởi nghiệp sáng tạo (DN KNST) thuộc thẩm quyền cấp tỉnh nhưng cần liên thông trung ương. Nghiên cứu đề xuất kiến trúc tham chiếu phân tán tỉnh–trung ương truy vết được. Theo nghiên cứu khoa học thiết kế (</w:t>
      </w:r>
      <w:r>
        <w:rPr>
          <w:rFonts w:ascii="Times New Roman" w:hAnsi="Times New Roman" w:eastAsia="Times New Roman" w:cs="Times New Roman"/>
          <w:b/>
          <w:bCs/>
          <w:i/>
          <w:iCs/>
          <w:sz w:val="24"/>
        </w:rPr>
        <w:t xml:space="preserve">Design Science Research</w:t>
      </w:r>
      <w:r>
        <w:rPr>
          <w:rFonts w:ascii="Times New Roman" w:hAnsi="Times New Roman" w:eastAsia="Times New Roman" w:cs="Times New Roman"/>
          <w:b/>
          <w:bCs/>
          <w:sz w:val="24"/>
        </w:rPr>
        <w:t xml:space="preserve">, DSR), 128 mệnh đề ràng buộc nguồn nguyên tử được mã hóa từ tập nguồn hiện hành rồi ánh xạ vào kiến trúc. Ứng viên ban đầu B1₀ bố trí mỗi tỉnh một nút dữ liệu nghiệp vụ có biên ghi riêng; trung ương duy trì mô hình đọc hợp nhất và quản trị liên thông. Quy trình dùng mô hình pháp lý thống nhất với cấu hình địa phương có phiên bản; thẩm quyền dữ liệu được gán theo nhóm thuộc tính. Mười kịch bản thử thách B1₀ và đối chiếu B0. S1–S2 được đáp ứng trực tiếp; S3–S8 và S10 có điều kiện; S9 làm lộ rủi ro chuyển quyền ghi giữa hai tỉnh theo thời gian. Vòng tinh chỉnh tạo B1-R: AD01 bổ sung gán quyền ghi theo khoảng hiệu lực với nguyên tắc chỉ một nút có quyền ghi tại một thời điểm; AD03 bổ sung cửa sổ tương thích, phiên bản tối thiểu và ghim phiên bản hồ sơ. Các tinh chỉnh là L2, chưa phải bằng chứng triển khai; nguyên mẫu cần kiểm thử chuyển quyền ghi, nâng cấp, liên thông, phục hồi và an toàn.</w:t>
      </w:r>
    </w:p>
    <w:p>
      <w:pPr>
        <w:pStyle w:val="BodyText"/>
        <w:spacing w:line="240" w:lineRule="auto" w:after="40"/>
        <w:ind w:firstLine="0"/>
        <w:jc w:val="both"/>
      </w:pPr>
      <w:r>
        <w:rPr>
          <w:rFonts w:ascii="Times New Roman" w:hAnsi="Times New Roman" w:eastAsia="Times New Roman" w:cs="Times New Roman"/>
          <w:b/>
          <w:bCs/>
          <w:i/>
          <w:iCs/>
          <w:sz w:val="24"/>
        </w:rPr>
        <w:t xml:space="preserve">Từ khóa:</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doanh nghiệp khoa học và công nghệ, kiến trúc dữ liệu phân tán, kiến trúc tham chiếu, khởi nghiệp sáng tạo, liên thông hệ thống, quy trình cấu hình.</w:t>
      </w:r>
    </w:p>
    <w:p>
      <w:pPr>
        <w:pStyle w:val="BodyText"/>
        <w:spacing w:line="240" w:lineRule="auto" w:after="40"/>
        <w:ind w:firstLine="0"/>
        <w:jc w:val="both"/>
      </w:pPr>
      <w:r>
        <w:rPr>
          <w:rFonts w:ascii="Times New Roman" w:hAnsi="Times New Roman" w:eastAsia="Times New Roman" w:cs="Times New Roman"/>
          <w:b/>
          <w:bCs/>
          <w:i/>
          <w:iCs/>
          <w:sz w:val="24"/>
        </w:rPr>
        <w:t xml:space="preserve">Chỉ số phân loại:</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1.2, 2.2</w:t>
      </w:r>
    </w:p>
    <w:p>
      <w:pPr>
        <w:pStyle w:val="BodyText"/>
        <w:pageBreakBefore/>
        <w:spacing w:line="240" w:lineRule="auto" w:after="80"/>
        <w:ind w:firstLine="0"/>
        <w:jc w:val="center"/>
      </w:pPr>
      <w:r>
        <w:rPr>
          <w:rFonts w:ascii="Times New Roman" w:hAnsi="Times New Roman" w:eastAsia="Times New Roman" w:cs="Times New Roman"/>
          <w:b/>
          <w:bCs/>
          <w:sz w:val="26"/>
          <w:lang w:val="en"/>
        </w:rPr>
        <w:t xml:space="preserve">A provincial–central distributed reference architecture for a digital platform managing science and technology enterprises and innovative startups</w:t>
      </w:r>
    </w:p>
    <w:p>
      <w:pPr>
        <w:pStyle w:val="BodyText"/>
        <w:spacing w:line="240" w:lineRule="auto" w:after="0"/>
        <w:ind w:firstLine="720"/>
        <w:jc w:val="both"/>
      </w:pPr>
      <w:r>
        <w:rPr>
          <w:rFonts w:ascii="Times New Roman" w:hAnsi="Times New Roman" w:eastAsia="Times New Roman" w:cs="Times New Roman"/>
          <w:b/>
          <w:bCs/>
          <w:sz w:val="24"/>
          <w:lang w:val="en"/>
        </w:rPr>
        <w:t xml:space="preserve">Dinh Quang Nguyen</w:t>
      </w:r>
      <w:r>
        <w:rPr>
          <w:rFonts w:ascii="Times New Roman" w:hAnsi="Times New Roman" w:eastAsia="Times New Roman" w:cs="Times New Roman"/>
          <w:b/>
          <w:bCs/>
          <w:sz w:val="24"/>
          <w:vertAlign w:val="superscript"/>
          <w:lang w:val="en"/>
        </w:rPr>
        <w:t xml:space="preserve">1</w:t>
      </w:r>
      <w:r>
        <w:rPr>
          <w:rFonts w:ascii="Times New Roman" w:hAnsi="Times New Roman" w:eastAsia="Times New Roman" w:cs="Times New Roman"/>
          <w:b/>
          <w:bCs/>
          <w:sz w:val="24"/>
          <w:lang w:val="en"/>
        </w:rPr>
        <w:t xml:space="preserve">, Huy Cuong Nguyen</w:t>
      </w:r>
      <w:r>
        <w:rPr>
          <w:rFonts w:ascii="Times New Roman" w:hAnsi="Times New Roman" w:eastAsia="Times New Roman" w:cs="Times New Roman"/>
          <w:b/>
          <w:bCs/>
          <w:sz w:val="24"/>
          <w:vertAlign w:val="superscript"/>
          <w:lang w:val="en"/>
        </w:rPr>
        <w:t xml:space="preserve">2*</w:t>
      </w:r>
    </w:p>
    <w:p>
      <w:pPr>
        <w:pStyle w:val="BodyText"/>
        <w:spacing w:line="240" w:lineRule="auto" w:after="0"/>
        <w:ind w:firstLine="720"/>
        <w:jc w:val="both"/>
      </w:pPr>
      <w:r>
        <w:rPr>
          <w:rFonts w:ascii="Times New Roman" w:hAnsi="Times New Roman" w:eastAsia="Times New Roman" w:cs="Times New Roman"/>
          <w:i/>
          <w:iCs/>
          <w:sz w:val="24"/>
          <w:vertAlign w:val="superscript"/>
          <w:lang w:val="en"/>
        </w:rPr>
        <w:t xml:space="preserve">1</w:t>
      </w:r>
      <w:r>
        <w:rPr>
          <w:rFonts w:ascii="Times New Roman" w:hAnsi="Times New Roman" w:eastAsia="Times New Roman" w:cs="Times New Roman"/>
          <w:i/>
          <w:iCs/>
          <w:sz w:val="24"/>
          <w:lang w:val="en"/>
        </w:rPr>
        <w:t xml:space="preserve">Faculty of Information Technology, Posts and Telecommunications Institute of Technology, 96A Tran Phu Street, Ha Dong Ward, Hanoi, Vietnam</w:t>
      </w:r>
    </w:p>
    <w:p>
      <w:pPr>
        <w:pStyle w:val="BodyText"/>
        <w:spacing w:line="240" w:lineRule="auto" w:after="0"/>
        <w:ind w:firstLine="720"/>
        <w:jc w:val="both"/>
      </w:pPr>
      <w:r>
        <w:rPr>
          <w:rFonts w:ascii="Times New Roman" w:hAnsi="Times New Roman" w:eastAsia="Times New Roman" w:cs="Times New Roman"/>
          <w:i/>
          <w:iCs/>
          <w:sz w:val="24"/>
          <w:vertAlign w:val="superscript"/>
          <w:lang w:val="en"/>
        </w:rPr>
        <w:t xml:space="preserve">2</w:t>
      </w:r>
      <w:r>
        <w:rPr>
          <w:rFonts w:ascii="Times New Roman" w:hAnsi="Times New Roman" w:eastAsia="Times New Roman" w:cs="Times New Roman"/>
          <w:i/>
          <w:iCs/>
          <w:sz w:val="24"/>
          <w:lang w:val="en"/>
        </w:rPr>
        <w:t xml:space="preserve">Technology and Science Enterprise Development Center, National Agency for Technology Entrepreneurship and Commercialization, Ministry of Science and Technology, 115 Tran Duy Hung Street, Yen Hoa Ward, Hanoi, Vietnam</w:t>
      </w:r>
    </w:p>
    <w:p>
      <w:pPr>
        <w:pStyle w:val="BodyText"/>
        <w:spacing w:line="240" w:lineRule="auto" w:after="40" w:before="80"/>
        <w:ind w:firstLine="0"/>
        <w:jc w:val="both"/>
      </w:pPr>
      <w:r>
        <w:rPr>
          <w:rFonts w:ascii="Times New Roman" w:hAnsi="Times New Roman" w:eastAsia="Times New Roman" w:cs="Times New Roman"/>
          <w:b/>
          <w:bCs/>
          <w:i/>
          <w:iCs/>
          <w:sz w:val="24"/>
          <w:lang w:val="en"/>
        </w:rPr>
        <w:t xml:space="preserve">Abstract:</w:t>
      </w:r>
    </w:p>
    <w:p>
      <w:pPr>
        <w:pStyle w:val="BodyText"/>
        <w:spacing w:line="240" w:lineRule="auto" w:after="0"/>
        <w:ind w:firstLine="0"/>
        <w:jc w:val="both"/>
      </w:pPr>
      <w:r>
        <w:rPr>
          <w:rFonts w:ascii="Times New Roman" w:hAnsi="Times New Roman" w:eastAsia="Times New Roman" w:cs="Times New Roman"/>
          <w:b/>
          <w:bCs/>
          <w:sz w:val="24"/>
          <w:lang w:val="en"/>
        </w:rPr>
        <w:t xml:space="preserve">Science and technology enterprises (STEs) and innovative startups are administered at provincial level while status updates, data sharing and national aggregation are required centrally. This study develops a provincial–central distributed software reference architecture with traceable design rationale. Following Design Science Research (DSR), 128 atomic source constraints are extracted from the current legal and architecture corpus and mapped to architectural decisions and elements. Initial candidate B1₀ assigns each province a jurisdiction-scoped operational data node, while the central layer provides a consolidated read model and interoperability governance. Workflows share a centrally governed legal baseline with versioned local configurations, and data authority is assigned by attribute group. Ten scenarios stress-test B1₀ against centralized baseline B0 without claiming general superiority. S1–S2 are directly supported; S3–S8 and S10 are conditionally supported; S9 exposes an architectural risk in temporal transfer of write authority between provinces. The design loop therefore produces refined architecture B1-R: AD01 adds time-bounded write-authority assignments with a single-active-writer invariant, while AD03 adds a compatibility window, minimum supported version and workflow-version pinning for in-flight cases. These refinements are L2 design decisions rather than implementation evidence. Future work will objectively test write-authority transfer, rolling upgrades, interoperability, recovery and security in a prototype.</w:t>
      </w:r>
    </w:p>
    <w:p>
      <w:pPr>
        <w:pStyle w:val="BodyText"/>
        <w:spacing w:line="240" w:lineRule="auto" w:after="40"/>
        <w:ind w:firstLine="0"/>
        <w:jc w:val="both"/>
      </w:pPr>
      <w:r>
        <w:rPr>
          <w:rFonts w:ascii="Times New Roman" w:hAnsi="Times New Roman" w:eastAsia="Times New Roman" w:cs="Times New Roman"/>
          <w:b/>
          <w:bCs/>
          <w:i/>
          <w:iCs/>
          <w:sz w:val="24"/>
          <w:lang w:val="en"/>
        </w:rPr>
        <w:t xml:space="preserve">Keywords:</w:t>
      </w:r>
      <w:r>
        <w:rPr>
          <w:rFonts w:ascii="Times New Roman" w:hAnsi="Times New Roman" w:eastAsia="Times New Roman" w:cs="Times New Roman"/>
          <w:sz w:val="24"/>
          <w:lang w:val="en"/>
        </w:rPr>
        <w:t xml:space="preserve"> </w:t>
      </w:r>
      <w:r>
        <w:rPr>
          <w:rFonts w:ascii="Times New Roman" w:hAnsi="Times New Roman" w:eastAsia="Times New Roman" w:cs="Times New Roman"/>
          <w:b/>
          <w:bCs/>
          <w:sz w:val="24"/>
          <w:lang w:val="en"/>
        </w:rPr>
        <w:t xml:space="preserve">configurable workflow, distributed data architecture, innovative startups, interoperability, reference architecture, science and technology enterprises.</w:t>
      </w:r>
    </w:p>
    <w:p>
      <w:pPr>
        <w:pStyle w:val="BodyText"/>
        <w:spacing w:line="240" w:lineRule="auto" w:after="40"/>
        <w:ind w:firstLine="0"/>
        <w:jc w:val="both"/>
      </w:pPr>
      <w:r>
        <w:rPr>
          <w:rFonts w:ascii="Times New Roman" w:hAnsi="Times New Roman" w:eastAsia="Times New Roman" w:cs="Times New Roman"/>
          <w:b/>
          <w:bCs/>
          <w:i/>
          <w:iCs/>
          <w:sz w:val="24"/>
          <w:lang w:val="en"/>
        </w:rPr>
        <w:t xml:space="preserve">Classification numbers:</w:t>
      </w:r>
      <w:r>
        <w:rPr>
          <w:rFonts w:ascii="Times New Roman" w:hAnsi="Times New Roman" w:eastAsia="Times New Roman" w:cs="Times New Roman"/>
          <w:sz w:val="24"/>
          <w:lang w:val="en"/>
        </w:rPr>
        <w:t xml:space="preserve"> </w:t>
      </w:r>
      <w:r>
        <w:rPr>
          <w:rFonts w:ascii="Times New Roman" w:hAnsi="Times New Roman" w:eastAsia="Times New Roman" w:cs="Times New Roman"/>
          <w:b/>
          <w:bCs/>
          <w:sz w:val="24"/>
          <w:lang w:val="en"/>
        </w:rPr>
        <w:t xml:space="preserve">1.2, 2.2</w:t>
      </w:r>
    </w:p>
    <w:bookmarkStart w:id="20" w:name="sec:intro"/>
    <w:p>
      <w:pPr>
        <w:pStyle w:val="Heading1"/>
        <w:pageBreakBefore/>
        <w:spacing w:line="240" w:lineRule="auto" w:after="60" w:before="120"/>
        <w:ind w:firstLine="0"/>
        <w:jc w:val="both"/>
      </w:pPr>
      <w:r>
        <w:rPr>
          <w:rFonts w:ascii="Times New Roman" w:hAnsi="Times New Roman" w:eastAsia="Times New Roman" w:cs="Times New Roman"/>
          <w:b/>
          <w:sz w:val="24"/>
        </w:rPr>
        <w:t>1. Giới thiệu</w:t>
      </w:r>
    </w:p>
    <w:p>
      <w:pPr>
        <w:pStyle w:val="FirstParagraph"/>
        <w:spacing w:line="240" w:lineRule="auto" w:after="0"/>
        <w:ind w:firstLine="720"/>
        <w:jc w:val="both"/>
      </w:pPr>
      <w:r>
        <w:rPr>
          <w:rFonts w:ascii="Times New Roman" w:hAnsi="Times New Roman" w:eastAsia="Times New Roman" w:cs="Times New Roman"/>
          <w:sz w:val="24"/>
        </w:rPr>
        <w:t xml:space="preserve">Nghị định số 268/2025/NĐ-CP đặt phần lớn nghiệp vụ công nhận/chứng nhận doanh nghiệp ở cấp tỉnh nhưng đồng thời tạo nghĩa vụ cập nhật và báo cáo liên cấp. Cụ thể, khoản 1 Điều 48 xác lập Ủy ban nhân dân cấp tỉnh nơi doanh nghiệp đặt trụ sở chính là cơ quan có thẩm quyền tiếp nhận hồ sơ, thẩm định, cấp, cấp thay đổi nội dung, cấp lại, thu hồi và hủy bỏ hiệu lực Giấy chứng nhận DN KH&amp;CN; khoản 3 Điều 48 yêu cầu cập nhật định kỳ dữ liệu liên quan lên Nền tảng số quản lý KH,CN&amp;ĐMST quốc gia; khoản 2 Điều 66 yêu cầu thông báo cho Bộ Khoa học và Công nghệ trong 15 ngày đối với các quyết định thuộc phạm vi quy định [1]. Vì vậy, bài toán kỹ thuật không chỉ là số hóa biểu mẫu mà còn là phân bố xử lý, xác lập nguồn dữ liệu, quản lý trạng thái và liên thông giữa các hệ thống có thẩm quyền khác nhau.</w:t>
      </w:r>
    </w:p>
    <w:p>
      <w:pPr>
        <w:pStyle w:val="BodyText"/>
        <w:spacing w:line="240" w:lineRule="auto" w:after="0"/>
        <w:ind w:firstLine="720"/>
        <w:jc w:val="both"/>
      </w:pPr>
      <w:r>
        <w:rPr>
          <w:rFonts w:ascii="Times New Roman" w:hAnsi="Times New Roman" w:eastAsia="Times New Roman" w:cs="Times New Roman"/>
          <w:sz w:val="24"/>
        </w:rPr>
        <w:t xml:space="preserve">Công trình đã được chấp nhận đăng của nhóm tác giả trước đó đã mã hóa yêu cầu chức năng (</w:t>
      </w:r>
      <w:r>
        <w:rPr>
          <w:rFonts w:ascii="Times New Roman" w:hAnsi="Times New Roman" w:eastAsia="Times New Roman" w:cs="Times New Roman"/>
          <w:i/>
          <w:iCs/>
          <w:sz w:val="24"/>
        </w:rPr>
        <w:t xml:space="preserve">functional requirement</w:t>
      </w:r>
      <w:r>
        <w:rPr>
          <w:rFonts w:ascii="Times New Roman" w:hAnsi="Times New Roman" w:eastAsia="Times New Roman" w:cs="Times New Roman"/>
          <w:sz w:val="24"/>
        </w:rPr>
        <w:t xml:space="preserve">, FR), tổ chức chúng thành sáu lớp năng lực và minh họa kiến trúc ở mức vùng chứa (</w:t>
      </w:r>
      <w:r>
        <w:rPr>
          <w:rFonts w:ascii="Times New Roman" w:hAnsi="Times New Roman" w:eastAsia="Times New Roman" w:cs="Times New Roman"/>
          <w:i/>
          <w:iCs/>
          <w:sz w:val="24"/>
        </w:rPr>
        <w:t xml:space="preserve">Container</w:t>
      </w:r>
      <w:r>
        <w:rPr>
          <w:rFonts w:ascii="Times New Roman" w:hAnsi="Times New Roman" w:eastAsia="Times New Roman" w:cs="Times New Roman"/>
          <w:sz w:val="24"/>
        </w:rPr>
        <w:t xml:space="preserve">) của mô hình C4, gồm bốn mức ngữ cảnh, vùng chứa, thành phần và mã (</w:t>
      </w:r>
      <w:r>
        <w:rPr>
          <w:rFonts w:ascii="Times New Roman" w:hAnsi="Times New Roman" w:eastAsia="Times New Roman" w:cs="Times New Roman"/>
          <w:i/>
          <w:iCs/>
          <w:sz w:val="24"/>
        </w:rPr>
        <w:t xml:space="preserve">Context, Container, Component, Code</w:t>
      </w:r>
      <w:r>
        <w:rPr>
          <w:rFonts w:ascii="Times New Roman" w:hAnsi="Times New Roman" w:eastAsia="Times New Roman" w:cs="Times New Roman"/>
          <w:sz w:val="24"/>
        </w:rPr>
        <w:t xml:space="preserve">) [2, pp. 6–7, 17–18]. Trong bài này, công trình đó chỉ được dùng để xác lập</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ranh giới đóng góp mới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và bối cảnh nghiên cứu; FR, sáu lớp và sơ đồ C4 trước đây không tham gia vào tập nguồn, phép mã hóa Cxx.yy, động lực DRV1–DRV5 hay quá trình tổng hợp kiến trúc. Chuỗi suy luận của nghiên cứu hiện tại bắt đầu độc lập từ tập nguồn pháp lý/kiến trúc hiện hành và đi qua ràng buộc nguyên tử tới quyết định/thành phần kiến trúc. Khoảng trống được đặt ở lớp hiện thực hóa: dữ liệu và xử lý được phân bố tỉnh–trung ương ra sao; nguồn nào có quyền xác lập từng nhóm thuộc tính; phần nào của quy trình được phép biến thiên theo địa phương; và các quyết định đó được kiểm tra như thế nào.</w:t>
      </w:r>
    </w:p>
    <w:p>
      <w:pPr>
        <w:pStyle w:val="BodyText"/>
        <w:spacing w:line="240" w:lineRule="auto" w:after="0"/>
        <w:ind w:firstLine="720"/>
        <w:jc w:val="both"/>
      </w:pPr>
      <w:r>
        <w:rPr>
          <w:rFonts w:ascii="Times New Roman" w:hAnsi="Times New Roman" w:eastAsia="Times New Roman" w:cs="Times New Roman"/>
          <w:sz w:val="24"/>
        </w:rPr>
        <w:t xml:space="preserve">Về nền tảng học thuật, kiến trúc tham chiếu phần mềm (</w:t>
      </w:r>
      <w:r>
        <w:rPr>
          <w:rFonts w:ascii="Times New Roman" w:hAnsi="Times New Roman" w:eastAsia="Times New Roman" w:cs="Times New Roman"/>
          <w:i/>
          <w:iCs/>
          <w:sz w:val="24"/>
        </w:rPr>
        <w:t xml:space="preserve">software reference architecture</w:t>
      </w:r>
      <w:r>
        <w:rPr>
          <w:rFonts w:ascii="Times New Roman" w:hAnsi="Times New Roman" w:eastAsia="Times New Roman" w:cs="Times New Roman"/>
          <w:sz w:val="24"/>
        </w:rPr>
        <w:t xml:space="preserve">, SRA) mô tả kiến trúc tổng quát cho một lớp hệ thống [3]; ISO/IEC/IEEE 42010:2022 yêu cầu mô tả kiến trúc qua bên liên quan, mối quan tâm, góc nhìn và mô hình [4]. Nghiên cứu hệ sinh thái phần mềm/đổi mới số nhấn mạnh tương tác giữa các chủ thể tự chủ quanh một nền tảng chung [5, 6], còn truy vết yêu cầu cho phép duy trì quan hệ từ nguồn yêu cầu tới các tạo tác kỹ thuật [7, 8]. Các hướng này phù hợp với nền tảng chuyên ngành khu vực công, nơi một kiến trúc phải đồng thời tôn trọng thẩm quyền dữ liệu, ranh giới sở hữu và khả năng thay đổi độc lập.</w:t>
      </w:r>
    </w:p>
    <w:p>
      <w:pPr>
        <w:pStyle w:val="BodyText"/>
        <w:spacing w:line="240" w:lineRule="auto" w:after="0"/>
        <w:ind w:firstLine="720"/>
        <w:jc w:val="both"/>
      </w:pPr>
      <w:r>
        <w:rPr>
          <w:rFonts w:ascii="Times New Roman" w:hAnsi="Times New Roman" w:eastAsia="Times New Roman" w:cs="Times New Roman"/>
          <w:sz w:val="24"/>
        </w:rPr>
        <w:t xml:space="preserve">Bối cảnh trong nước cũng đã hình thành nhiều hệ quy chiếu: Khung kiến trúc tổng thể quốc gia số, Khung kiến trúc dữ liệu quốc gia và Khung dữ liệu của Bộ Khoa học và Công nghệ được ban hành lần lượt tại Điều 1 QĐ 3090/QĐ-BKHCN, Điều 1 QĐ 2439/QĐ-TTg và Điều 1 QĐ 1973/QĐ-BKHCN [9, 10, 11]. Đối với liên thông, bài dùng Khung liên thông châu Âu (</w:t>
      </w:r>
      <w:r>
        <w:rPr>
          <w:rFonts w:ascii="Times New Roman" w:hAnsi="Times New Roman" w:eastAsia="Times New Roman" w:cs="Times New Roman"/>
          <w:i/>
          <w:iCs/>
          <w:sz w:val="24"/>
        </w:rPr>
        <w:t xml:space="preserve">European Interoperability Framework</w:t>
      </w:r>
      <w:r>
        <w:rPr>
          <w:rFonts w:ascii="Times New Roman" w:hAnsi="Times New Roman" w:eastAsia="Times New Roman" w:cs="Times New Roman"/>
          <w:sz w:val="24"/>
        </w:rPr>
        <w:t xml:space="preserve">, EIF) như tham chiếu phương pháp bốn lớp pháp lý–tổ chức–ngữ nghĩa–kỹ thuật [12, Hình 3, p. 22; pp. 27–30]. Mặt khác, nghiên cứu hệ sinh thái khởi nghiệp cho thấy các quan hệ thực tế có thể vượt địa giới hành chính [13, pp. 27–28]; [14, pp. 1483–1484], nên kiến trúc dữ liệu cần tách biên thẩm quyền khỏi biên quan hệ hệ sinh thái.</w:t>
      </w:r>
    </w:p>
    <w:p>
      <w:pPr>
        <w:pStyle w:val="BodyText"/>
        <w:spacing w:line="240" w:lineRule="auto" w:after="0"/>
        <w:ind w:firstLine="720"/>
        <w:jc w:val="both"/>
      </w:pPr>
      <w:r>
        <w:rPr>
          <w:rFonts w:ascii="Times New Roman" w:hAnsi="Times New Roman" w:eastAsia="Times New Roman" w:cs="Times New Roman"/>
          <w:sz w:val="24"/>
        </w:rPr>
        <w:t xml:space="preserve">Từ đó, nghiên cứu trả lời ba câu hỏi: (i) SRA cần tổ chức lõi ổn định và điểm biến thiên như thế nào khi nghiệp vụ thuộc tỉnh nhưng quản trị/liên thông phải thống nhất; (ii) thẩm quyền dữ liệu và ranh giới trách nhiệm phải biểu diễn thế nào khi mỗi tỉnh có một nút dữ liệu nghiệp vụ với biên ghi riêng nhưng toàn hệ thống dùng chung ngữ nghĩa, nguồn chính thức và cơ chế quản trị; và (iii) kiến trúc ứng viên phân tán tỉnh–trung ương bộc lộ những điều kiện, rủi ro và đánh đổi nào khi được thử thách bằng các kịch bản thay đổi, gián đoạn, tổng hợp toàn quốc, quan hệ xuyên tỉnh, chuyển giao thẩm quyền và nâng cấp không đồng thời.</w:t>
      </w:r>
    </w:p>
    <w:p>
      <w:pPr>
        <w:pStyle w:val="BodyText"/>
        <w:spacing w:line="240" w:lineRule="auto" w:after="0"/>
        <w:ind w:firstLine="720"/>
        <w:jc w:val="both"/>
      </w:pPr>
      <w:r>
        <w:rPr>
          <w:rFonts w:ascii="Times New Roman" w:hAnsi="Times New Roman" w:eastAsia="Times New Roman" w:cs="Times New Roman"/>
          <w:sz w:val="24"/>
        </w:rPr>
        <w:t xml:space="preserve">Bốn sản phẩm thiết kế tương ứng là: A1–SRA đa góc nhìn với lõi ổn định, điểm biến thiên và năm quyết định kiến trúc; A2–mô hình thẩm quyền dữ liệu theo nhóm thuộc tính; A3–ma trận liên thông và ranh giới trách nhiệm; A4–chuỗi truy vết từ 128 mệnh đề ràng buộc nguồn nguyên tử tới quyết định/thành phần kiến trúc, cùng phép thử theo mười kịch bản. Kiến trúc ban đầu B1₀ được hình thành từ DRV1–DRV5 trước phép thử; B0 chỉ là đường cơ sở tập trung để làm rõ đánh đổi. Phép thử thách theo kịch bản sau đó phát hiện S9 và làm rõ S10, tạo một vòng tinh chỉnh vào kiến trúc cuối B1-R qua AD01 và AD03. Phép đánh giá không nhằm chứng minh kiến trúc phân tán trội hơn tổng quát; các tinh chỉnh là quyết định thiết kế sau đánh giá, chưa phải kiểm chứng thực nghiệm của một hệ thống đã triển khai.</w:t>
      </w:r>
    </w:p>
    <w:bookmarkEnd w:id="20"/>
    <w:bookmarkStart w:id="25" w:name="sec:background"/>
    <w:p>
      <w:pPr>
        <w:pStyle w:val="Heading1"/>
        <w:spacing w:line="240" w:lineRule="auto" w:after="60" w:before="120"/>
        <w:ind w:firstLine="0"/>
        <w:jc w:val="both"/>
      </w:pPr>
      <w:r>
        <w:rPr>
          <w:rFonts w:ascii="Times New Roman" w:hAnsi="Times New Roman" w:eastAsia="Times New Roman" w:cs="Times New Roman"/>
          <w:b/>
          <w:sz w:val="24"/>
        </w:rPr>
        <w:t>2. Cơ sở nghiên cứu và kiến trúc tham chiếu</w:t>
      </w:r>
    </w:p>
    <w:bookmarkStart w:id="21" w:name="subsec:ra"/>
    <w:p>
      <w:pPr>
        <w:pStyle w:val="Heading2"/>
        <w:spacing w:line="240" w:lineRule="auto" w:after="40" w:before="100"/>
        <w:ind w:firstLine="0"/>
        <w:jc w:val="both"/>
      </w:pPr>
      <w:r>
        <w:rPr>
          <w:rFonts w:ascii="Times New Roman" w:hAnsi="Times New Roman" w:eastAsia="Times New Roman" w:cs="Times New Roman"/>
          <w:b/>
          <w:sz w:val="24"/>
        </w:rPr>
        <w:t>2.1. Nền tảng học thuật cho kiến trúc tham chiếu và truy vết</w:t>
      </w:r>
    </w:p>
    <w:p>
      <w:pPr>
        <w:pStyle w:val="FirstParagraph"/>
        <w:spacing w:line="240" w:lineRule="auto" w:after="0"/>
        <w:ind w:firstLine="720"/>
        <w:jc w:val="both"/>
      </w:pPr>
      <w:r>
        <w:rPr>
          <w:rFonts w:ascii="Times New Roman" w:hAnsi="Times New Roman" w:eastAsia="Times New Roman" w:cs="Times New Roman"/>
          <w:sz w:val="24"/>
        </w:rPr>
        <w:t xml:space="preserve">SRA không phải một cấu hình triển khai cụ thể mà là kiến trúc tổng quát cho một lớp hệ thống [3]. Khung nền kiến trúc tham chiếu cho kiến trúc hướng dịch vụ (</w:t>
      </w:r>
      <w:r>
        <w:rPr>
          <w:rFonts w:ascii="Times New Roman" w:hAnsi="Times New Roman" w:eastAsia="Times New Roman" w:cs="Times New Roman"/>
          <w:i/>
          <w:iCs/>
          <w:sz w:val="24"/>
        </w:rPr>
        <w:t xml:space="preserve">Service-Oriented Architecture Reference Architecture Foundation</w:t>
      </w:r>
      <w:r>
        <w:rPr>
          <w:rFonts w:ascii="Times New Roman" w:hAnsi="Times New Roman" w:eastAsia="Times New Roman" w:cs="Times New Roman"/>
          <w:sz w:val="24"/>
        </w:rPr>
        <w:t xml:space="preserve">, SOA-RAF) của OASIS cũng xem kiến trúc tham chiếu là tập phần tử trừu tượng của một miền, độc lập với sản phẩm cụ thể và đặc biệt chú ý tương tác qua ranh giới sở hữu [15, pp. 9–14]. Theo ISO/IEC/IEEE 42010:2022, mô tả kiến trúc được tổ chức qua bên liên quan, mối quan tâm, góc nhìn và kiểu mô hình [4]. Vì vậy, bài coi Hình 1–5 và Bảng 2–4 là các biểu diễn bổ sung của cùng một SRA và yêu cầu mỗi hiện thực hóa phân biệt phần lõi ổn định với lựa chọn triển khai.</w:t>
      </w:r>
    </w:p>
    <w:p>
      <w:pPr>
        <w:pStyle w:val="BodyText"/>
        <w:spacing w:line="240" w:lineRule="auto" w:after="0"/>
        <w:ind w:firstLine="720"/>
        <w:jc w:val="both"/>
      </w:pPr>
      <w:r>
        <w:rPr>
          <w:rFonts w:ascii="Times New Roman" w:hAnsi="Times New Roman" w:eastAsia="Times New Roman" w:cs="Times New Roman"/>
          <w:sz w:val="24"/>
        </w:rPr>
        <w:t xml:space="preserve">Trong hệ sinh thái nhiều chủ thể, SRA còn đóng vai trò điều phối. Knodel và Manikas cho rằng SRA có thể hỗ trợ điều phối hệ sinh thái phần mềm ở cả khía cạnh kỹ thuật và tổ chức [16]; Kruize và cộng sự đã dùng kiến trúc tham chiếu để mô tả hệ sinh thái phần mềm nông nghiệp nhiều nhà cung cấp, sau đó kiểm tra với yêu cầu và ánh xạ các hệ sinh thái thực tế vào kiến trúc [17]. Điều này phù hợp với nền tảng nghiên cứu, nơi các tỉnh, hệ thống quốc gia và CSDL chuyên ngành có quyền sở hữu/vận hành khác nhau nhưng phải hợp tác qua một kiến trúc chung.</w:t>
      </w:r>
    </w:p>
    <w:p>
      <w:pPr>
        <w:pStyle w:val="BodyText"/>
        <w:spacing w:line="240" w:lineRule="auto" w:after="0"/>
        <w:ind w:firstLine="720"/>
        <w:jc w:val="both"/>
      </w:pPr>
      <w:r>
        <w:rPr>
          <w:rFonts w:ascii="Times New Roman" w:hAnsi="Times New Roman" w:eastAsia="Times New Roman" w:cs="Times New Roman"/>
          <w:sz w:val="24"/>
        </w:rPr>
        <w:t xml:space="preserve">Đối với truy vết, yêu cầu pháp quy cần đi xa hơn liên kết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điều khoản–chức năng</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Breaux và cộng sự cho thấy quyền/nghĩa vụ trong quy định phải được trích và căn chỉnh với yêu cầu hệ thống [18]; các nghiên cứu gần đây tiếp tục nhấn mạnh việc đưa tuân thủ vào kỹ nghệ yêu cầu từ sớm [8]. Bài vì vậy sử dụng chuỗi</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nguồn chuẩn tắc</w:t>
      </w:r>
      <w:r>
        <w:rPr>
          <w:rFonts w:ascii="Times New Roman" w:hAnsi="Times New Roman" w:eastAsia="Times New Roman" w:cs="Times New Roman"/>
          <w:i/>
          <w:iCs/>
          <w:sz w:val="24"/>
        </w:rPr>
        <w:t xml:space="preserve"> </w:t>
      </w:r>
      <m:oMath>
        <m:r>
          <m:rPr>
            <m:sty m:val="p"/>
          </m:rPr>
          <m:t>→</m:t>
        </m:r>
      </m:oMath>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mệnh đề ràng buộc nguồn nguyên tử</w:t>
      </w:r>
      <w:r>
        <w:rPr>
          <w:rFonts w:ascii="Times New Roman" w:hAnsi="Times New Roman" w:eastAsia="Times New Roman" w:cs="Times New Roman"/>
          <w:i/>
          <w:iCs/>
          <w:sz w:val="24"/>
        </w:rPr>
        <w:t xml:space="preserve"> </w:t>
      </w:r>
      <m:oMath>
        <m:r>
          <m:rPr>
            <m:sty m:val="p"/>
          </m:rPr>
          <m:t>→</m:t>
        </m:r>
      </m:oMath>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quyết định kiến trúc</w:t>
      </w:r>
      <w:r>
        <w:rPr>
          <w:rFonts w:ascii="Times New Roman" w:hAnsi="Times New Roman" w:eastAsia="Times New Roman" w:cs="Times New Roman"/>
          <w:i/>
          <w:iCs/>
          <w:sz w:val="24"/>
        </w:rPr>
        <w:t xml:space="preserve"> </w:t>
      </w:r>
      <m:oMath>
        <m:r>
          <m:rPr>
            <m:sty m:val="p"/>
          </m:rPr>
          <m:t>→</m:t>
        </m:r>
      </m:oMath>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thành phần/góc nhìn</w:t>
      </w:r>
      <w:r>
        <w:rPr>
          <w:rFonts w:ascii="Times New Roman" w:hAnsi="Times New Roman" w:eastAsia="Times New Roman" w:cs="Times New Roman"/>
          <w:i/>
          <w:iCs/>
          <w:sz w:val="24"/>
        </w:rPr>
        <w:t xml:space="preserve"> </w:t>
      </w:r>
      <m:oMath>
        <m:r>
          <m:rPr>
            <m:sty m:val="p"/>
          </m:rPr>
          <m:t>→</m:t>
        </m:r>
      </m:oMath>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tiêu chí kiểm tra</w:t>
      </w:r>
      <w:r>
        <w:rPr>
          <w:rFonts w:ascii="Times New Roman" w:hAnsi="Times New Roman" w:eastAsia="Times New Roman" w:cs="Times New Roman"/>
          <w:sz w:val="24"/>
        </w:rPr>
        <w:t xml:space="preserve">. Đánh giá kiến trúc được tách khỏi truy vết: nghiên cứu của Viện Kỹ nghệ Phần mềm (</w:t>
      </w:r>
      <w:r>
        <w:rPr>
          <w:rFonts w:ascii="Times New Roman" w:hAnsi="Times New Roman" w:eastAsia="Times New Roman" w:cs="Times New Roman"/>
          <w:i/>
          <w:iCs/>
          <w:sz w:val="24"/>
        </w:rPr>
        <w:t xml:space="preserve">Software Engineering Institute</w:t>
      </w:r>
      <w:r>
        <w:rPr>
          <w:rFonts w:ascii="Times New Roman" w:hAnsi="Times New Roman" w:eastAsia="Times New Roman" w:cs="Times New Roman"/>
          <w:sz w:val="24"/>
        </w:rPr>
        <w:t xml:space="preserve">, SEI) cho thấy Phương pháp phân tích đánh đổi kiến trúc (</w:t>
      </w:r>
      <w:r>
        <w:rPr>
          <w:rFonts w:ascii="Times New Roman" w:hAnsi="Times New Roman" w:eastAsia="Times New Roman" w:cs="Times New Roman"/>
          <w:i/>
          <w:iCs/>
          <w:sz w:val="24"/>
        </w:rPr>
        <w:t xml:space="preserve">Architecture Tradeoff Analysis Method</w:t>
      </w:r>
      <w:r>
        <w:rPr>
          <w:rFonts w:ascii="Times New Roman" w:hAnsi="Times New Roman" w:eastAsia="Times New Roman" w:cs="Times New Roman"/>
          <w:sz w:val="24"/>
        </w:rPr>
        <w:t xml:space="preserve">, ATAM) có thể dùng kịch bản để tìm rủi ro, điểm nhạy và đánh đổi ngay ở kiến trúc tham chiếu [19, pp. 3, 5–7]. Bài chỉ dùng cách tiếp cận lấy cảm hứng từ ATAM, không tuyên bố thực hiện ATAM đầy đủ.</w:t>
      </w:r>
    </w:p>
    <w:bookmarkEnd w:id="21"/>
    <w:bookmarkStart w:id="22" w:name="subsec:vietnam-frameworks"/>
    <w:p>
      <w:pPr>
        <w:pStyle w:val="Heading2"/>
        <w:spacing w:line="240" w:lineRule="auto" w:after="40" w:before="100"/>
        <w:ind w:firstLine="0"/>
        <w:jc w:val="both"/>
      </w:pPr>
      <w:r>
        <w:rPr>
          <w:rFonts w:ascii="Times New Roman" w:hAnsi="Times New Roman" w:eastAsia="Times New Roman" w:cs="Times New Roman"/>
          <w:b/>
          <w:sz w:val="24"/>
        </w:rPr>
        <w:t>2.2. Hệ quy chiếu liên thông và dữ liệu</w:t>
      </w:r>
    </w:p>
    <w:p>
      <w:pPr>
        <w:pStyle w:val="FirstParagraph"/>
        <w:spacing w:line="240" w:lineRule="auto" w:after="0"/>
        <w:ind w:firstLine="720"/>
        <w:jc w:val="both"/>
      </w:pPr>
      <w:r>
        <w:rPr>
          <w:rFonts w:ascii="Times New Roman" w:hAnsi="Times New Roman" w:eastAsia="Times New Roman" w:cs="Times New Roman"/>
          <w:sz w:val="24"/>
        </w:rPr>
        <w:t xml:space="preserve">EIF phân biệt bốn lớp liên thông pháp lý, tổ chức, ngữ nghĩa và kỹ thuật [12, Hình 3, p. 22; pp. 27–30]; Quy định (EU) 2024/903 dùng EIF làm công cụ hỗ trợ đánh giá liên thông tại khoản 2 Điều 6 [20]. Đây chỉ là tham chiếu phương pháp. Ở Việt Nam, Chương 2, Mục II của khung ban hành kèm QĐ 292/QĐ-BKHCN mô tả các mô hình tham chiếu nghiệp vụ, dữ liệu, ứng dụng, công nghệ và an toàn thông tin [21]; Điều 1 QĐ 2439/QĐ-TTg đặt khung dữ liệu quốc gia [10].</w:t>
      </w:r>
    </w:p>
    <w:p>
      <w:pPr>
        <w:pStyle w:val="BodyText"/>
        <w:spacing w:line="240" w:lineRule="auto" w:after="0"/>
        <w:ind w:firstLine="720"/>
        <w:jc w:val="both"/>
      </w:pPr>
      <w:r>
        <w:rPr>
          <w:rFonts w:ascii="Times New Roman" w:hAnsi="Times New Roman" w:eastAsia="Times New Roman" w:cs="Times New Roman"/>
          <w:sz w:val="24"/>
        </w:rPr>
        <w:t xml:space="preserve">NĐ 278/2025/NĐ-CP bổ sung các nguyên tắc trực tiếp cho thiết kế: kết nối/chia sẻ bắt buộc qua Nền tảng chia sẻ, điều phối dữ liệu (khoản 2 Điều 4), tuân thủ khung/từ điển quốc gia (khoản 4 Điều 4), một dữ liệu chủ quốc gia có một nguồn tin cậy duy nhất (khoản 2 Điều 5), và hỗ trợ truy vấn/đồng bộ qua hạ tầng dùng chung (điểm a–b khoản 2, khoản 3 Điều 7) [22]. Ở cấp Bộ, Mục III.3.3 QĐ 1973/QĐ-BKHCN xác định dữ liệu tổ chức, doanh nghiệp nhận từ CSDL quốc gia về doanh nghiệp, trong khi Phụ lục Mục 3 vẫn liệt kê DN KH&amp;CN và DN KNST là dữ liệu chủ chuyên ngành [11]. Cấu trúc này dẫn tới nguyên tắc xuyên suốt của bài: xác định nguồn có thẩm quyền theo</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nhóm thuộc tính</w:t>
      </w:r>
      <w:r>
        <w:rPr>
          <w:rFonts w:ascii="Times New Roman" w:hAnsi="Times New Roman" w:eastAsia="Times New Roman" w:cs="Times New Roman"/>
          <w:sz w:val="24"/>
        </w:rPr>
        <w:t xml:space="preserve">, không theo toàn bộ thực thể doanh nghiệp.</w:t>
      </w:r>
    </w:p>
    <w:bookmarkEnd w:id="22"/>
    <w:bookmarkStart w:id="24" w:name="subsec:phapluat-dulieu"/>
    <w:p>
      <w:pPr>
        <w:pStyle w:val="Heading2"/>
        <w:spacing w:line="240" w:lineRule="auto" w:after="40" w:before="100"/>
        <w:ind w:firstLine="0"/>
        <w:jc w:val="both"/>
      </w:pPr>
      <w:r>
        <w:rPr>
          <w:rFonts w:ascii="Times New Roman" w:hAnsi="Times New Roman" w:eastAsia="Times New Roman" w:cs="Times New Roman"/>
          <w:b/>
          <w:sz w:val="24"/>
        </w:rPr>
        <w:t>2.3. Các họ ràng buộc kiến trúc</w:t>
      </w:r>
    </w:p>
    <w:p>
      <w:pPr>
        <w:pStyle w:val="FirstParagraph"/>
        <w:spacing w:line="240" w:lineRule="auto" w:after="0"/>
        <w:ind w:firstLine="720"/>
        <w:jc w:val="both"/>
      </w:pPr>
      <w:r>
        <w:rPr>
          <w:rFonts w:ascii="Times New Roman" w:hAnsi="Times New Roman" w:eastAsia="Times New Roman" w:cs="Times New Roman"/>
          <w:sz w:val="24"/>
        </w:rPr>
        <w:t xml:space="preserve">Tập nguồn được rút thành 10 họ ràng buộc C01–C10; đơn vị truy vết thực tế là Cxx.yy và được lưu trong ma trận bổ trợ. Bảng </w:t>
      </w:r>
      <w:hyperlink w:anchor="tab:phapluat">
        <w:r>
          <w:rPr>
            <w:rStyle w:val="Hyperlink"/>
          </w:rPr>
          <w:t xml:space="preserve">1</w:t>
        </w:r>
      </w:hyperlink>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chỉ giữ nguồn, vị trí và hệ quả kiến trúc cốt lõi để tránh biến thân bài thành đặc tả pháp lý.</w:t>
      </w:r>
    </w:p>
    <w:bookmarkStart w:id="23" w:name="tab:phapluat"/>
    <w:p>
      <w:pPr>
        <w:pStyle w:val="TableCaption"/>
        <w:spacing w:line="240" w:lineRule="auto" w:after="40" w:before="60"/>
        <w:ind w:firstLine="0"/>
        <w:jc w:val="both"/>
      </w:pPr>
      <w:r>
        <w:rPr>
          <w:rFonts w:ascii="Times New Roman" w:hAnsi="Times New Roman" w:eastAsia="Times New Roman" w:cs="Times New Roman"/>
          <w:b/>
          <w:i w:val="0"/>
          <w:sz w:val="24"/>
        </w:rPr>
        <w:t>Bảng 1. Các họ ràng buộc và hệ quả kiến trúc chính</w:t>
      </w:r>
    </w:p>
    <w:tbl>
      <w:tblPr>
        <w:tblStyle w:val="Table"/>
        <w:tblW w:type="auto" w:w="0"/>
        <w:jc w:val="left"/>
        <w:tblLayout w:type="autofit"/>
        <w:tblLook w:firstRow="1" w:lastRow="0" w:firstColumn="0" w:lastColumn="0" w:noHBand="0" w:noVBand="0" w:val="0020"/>
        <w:tblCaption w:val="Các họ ràng buộc và hệ quả kiến trúc chính"/>
      </w:tblPr>
      <w:tblGrid>
        <w:gridCol w:w="1980"/>
        <w:gridCol w:w="1980"/>
        <w:gridCol w:w="1980"/>
        <w:gridCol w:w="1980"/>
      </w:tblGrid>
      <w:tr>
        <w:trPr>
          <w:tblHeader w:val="on"/>
          <w:tblHeader w:val="true"/>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Mã</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Nguồn/vị trí chính</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Ràng buộc rút gọn</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Hệ quả kiến trúc</w:t>
            </w:r>
          </w:p>
        </w:tc>
      </w:tr>
      <w:tr>
        <w:trPr>
          <w:cantSplit/>
        </w:trPr>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C01</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QĐ 3090, Điều 1; QĐ 292, Chương 2 Mục II [9, 21]</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Đặt hệ thống chuyên ngành trong các mô hình tham chiếu quốc gia/chính phủ số.</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Mô tả đa góc nhìn; truy vết mỗi miền kiến trúc về khung tương ứng.</w:t>
            </w:r>
          </w:p>
        </w:tc>
      </w:tr>
      <w:tr>
        <w:trPr>
          <w:cantSplit/>
        </w:trPr>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C02</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QĐ 2439, Điều 1; Khung kèm theo Chương I Mục I.1 [10]</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Thống nhất kiến trúc, quản trị và từ điển dữ liệu.</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Kế thừa từ điển, mã, siêu dữ liệu và quản trị vòng đời.</w:t>
            </w:r>
          </w:p>
        </w:tc>
      </w:tr>
      <w:tr>
        <w:trPr>
          <w:cantSplit/>
        </w:trPr>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C03</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Luật 93, khoản 3 Điều 20; NĐ 268: khoản 1–3 Điều 35; khoản 2–3 Điều 39; khoản 1–3 Điều 43; khoản 1,3 Điều 48; khoản 1–3 Điều 51; khoản 3 Điều 52; khoản 1–5 Điều 53; khoản 2 Điều 54; khoản 2,5 Điều 66 [23, 1]</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Hai chuỗi nghiệp vụ có thẩm quyền tỉnh, vòng đời giấy, hội đồng, thời hạn và nghĩa vụ liên cấp.</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Máy trạng thái, thời hạn, lịch sử quyết định, cấu hình quy trình và đồng bộ tỉnh–trung ương.</w:t>
            </w:r>
          </w:p>
        </w:tc>
      </w:tr>
      <w:tr>
        <w:trPr>
          <w:cantSplit/>
        </w:trPr>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C04</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Luật Dữ liệu: điểm a–c, đ khoản 2 Điều 11; khoản 1 Điều 12; khoản 1 Điều 13 [24]</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Không thu thập lại dữ liệu đã chia sẻ; quản lý chất lượng và phân loại.</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Tham chiếu nguồn chính thức; lưu nguồn gốc, chất lượng, phân loại và kiểm soát truy cập.</w:t>
            </w:r>
          </w:p>
        </w:tc>
      </w:tr>
      <w:tr>
        <w:trPr>
          <w:cantSplit/>
        </w:trPr>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C05</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NĐ 278: khoản 1–7 Điều 4; khoản 1–3 Điều 5; khoản 1–2 Điều 6; điểm a–b khoản 2, khoản 3 Điều 7; khoản 2 Điều 23; khoản 2–3 Điều 24 [22]</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Chia sẻ qua hạ tầng quy định; một nguồn tin cậy; truy vấn/đồng bộ; yêu cầu chuyển tiếp.</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Liên thông trung gian, xác lập nguồn theo thuộc tính, nhật ký và quản trị đồng bộ.</w:t>
            </w:r>
          </w:p>
        </w:tc>
      </w:tr>
      <w:tr>
        <w:trPr>
          <w:cantSplit/>
        </w:trPr>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C06</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QĐ 1973, Mục II.1–II.2; III.1.4; III.3.2–III.3.3; Phụ lục Mục 3 [11]</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Tránh trùng lặp, xác định điểm tạo lập; doanh nghiệp lấy từ nguồn quốc gia; dữ liệu chuyên ngành quản trị ở cấp Bộ.</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Tách định danh pháp lý khỏi trạng thái chuyên ngành; tích hợp qua LGSP/LDOP theo ký hiệu của QĐ 1973.</w:t>
            </w:r>
          </w:p>
        </w:tc>
      </w:tr>
      <w:tr>
        <w:trPr>
          <w:cantSplit/>
        </w:trPr>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C07</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QĐ 1762, Phụ lục STT 38; dự thảo Điều 4 và Phụ lục IV/IX [25, 26]</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Danh mục hiện hành và dự thảo chưa hoàn toàn trùng phạm vi; dự thảo yêu cầu một nguồn chính thức.</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Giữ trạng thái cần làm rõ về phạm vi CSDL; dùng dự thảo để chẩn đoán, không tạo L1.</w:t>
            </w:r>
          </w:p>
        </w:tc>
      </w:tr>
      <w:tr>
        <w:trPr>
          <w:cantSplit/>
        </w:trPr>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C08</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NĐ 69: khoản 2 Điều 12; khoản 1–2 Điều 18; khoản 1–2,4 Điều 19; NĐ 169, khoản 1–2 Điều 43 [27, 28]</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Dùng định danh/xác thực có thẩm quyền và điều kiện kết nối.</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Tách xác thực danh tính khỏi phân quyền nghiệp vụ nội bộ.</w:t>
            </w:r>
          </w:p>
        </w:tc>
      </w:tr>
      <w:tr>
        <w:trPr>
          <w:cantSplit/>
        </w:trPr>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C09</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Luật 91: điểm c khoản 1, khoản 2 Điều 19; điểm c,e khoản 1 Điều 37; NĐ 356, khoản 2 Điều 4 [29, 30]</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Bảo vệ dữ liệu cá nhân, giới hạn truy cập và duy trì biện pháp quản lý/kỹ thuật.</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Phân loại, phân quyền, nhật ký, vòng đời và biên tin cậy.</w:t>
            </w:r>
          </w:p>
        </w:tc>
      </w:tr>
      <w:tr>
        <w:trPr>
          <w:cantSplit/>
        </w:trPr>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C10</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EIF, Hình 3 tr.22, tr.27–30; EU 2024/903, khoản 1–2 Điều 3, khoản 2 Điều 6 [12, pp. 22, 27–30], [20]</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Nghiên cứu kiểm tra liên thông theo bốn lớp EIF.</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Ma trận V4; nguồn EU chỉ là tham chiếu phương pháp.</w:t>
            </w:r>
          </w:p>
        </w:tc>
      </w:tr>
    </w:tbl>
    <w:bookmarkEnd w:id="23"/>
    <w:bookmarkEnd w:id="24"/>
    <w:bookmarkEnd w:id="25"/>
    <w:bookmarkStart w:id="30" w:name="sec:method"/>
    <w:p>
      <w:pPr>
        <w:pStyle w:val="Heading1"/>
        <w:spacing w:line="240" w:lineRule="auto" w:after="60" w:before="120"/>
        <w:ind w:firstLine="0"/>
        <w:jc w:val="both"/>
      </w:pPr>
      <w:r>
        <w:rPr>
          <w:rFonts w:ascii="Times New Roman" w:hAnsi="Times New Roman" w:eastAsia="Times New Roman" w:cs="Times New Roman"/>
          <w:b/>
          <w:sz w:val="24"/>
        </w:rPr>
        <w:t>3. Tư liệu và phương pháp nghiên cứu</w:t>
      </w:r>
    </w:p>
    <w:bookmarkStart w:id="26" w:name="subsec:dsr"/>
    <w:p>
      <w:pPr>
        <w:pStyle w:val="Heading2"/>
        <w:spacing w:line="240" w:lineRule="auto" w:after="40" w:before="100"/>
        <w:ind w:firstLine="0"/>
        <w:jc w:val="both"/>
      </w:pPr>
      <w:r>
        <w:rPr>
          <w:rFonts w:ascii="Times New Roman" w:hAnsi="Times New Roman" w:eastAsia="Times New Roman" w:cs="Times New Roman"/>
          <w:b/>
          <w:sz w:val="24"/>
        </w:rPr>
        <w:t>3.1. Khung DSR và sản phẩm thiết kế</w:t>
      </w:r>
    </w:p>
    <w:p>
      <w:pPr>
        <w:pStyle w:val="FirstParagraph"/>
        <w:spacing w:line="240" w:lineRule="auto" w:after="0"/>
        <w:ind w:firstLine="720"/>
        <w:jc w:val="both"/>
      </w:pPr>
      <w:r>
        <w:rPr>
          <w:rFonts w:ascii="Times New Roman" w:hAnsi="Times New Roman" w:eastAsia="Times New Roman" w:cs="Times New Roman"/>
          <w:sz w:val="24"/>
        </w:rPr>
        <w:t xml:space="preserve">Nghiên cứu theo DSR: tạo một sản phẩm công nghệ nhằm giải quyết vấn đề có ý nghĩa và đánh giá sản phẩm có hệ thống [31, pp. 82–83]. Quy trình của Peffers và cộng sự được dùng để tổ chức các bước xác định vấn đề, mục tiêu, thiết kế–phát triển, minh họa và đánh giá [32, pp. 52–56]. Bốn sản phẩm là A1–SRA đa góc nhìn với quyết định/điểm biến thiên; A2–kiến trúc thẩm quyền dữ liệu; A3–ma trận liên thông và ranh giới trách nhiệm; A4–chuỗi truy vết từ nguồn chuẩn tắc tới quyết định/thành phần. Toàn bộ A1–A4 được tổng hợp từ tập nguồn của nghiên cứu hiện tại theo chuỗi</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nguồn</w:t>
      </w:r>
      <w:r>
        <w:rPr>
          <w:rFonts w:ascii="Times New Roman" w:hAnsi="Times New Roman" w:eastAsia="Times New Roman" w:cs="Times New Roman"/>
          <w:i/>
          <w:iCs/>
          <w:sz w:val="24"/>
        </w:rPr>
        <w:t xml:space="preserve"> </w:t>
      </w:r>
      <m:oMath>
        <m:r>
          <m:rPr>
            <m:sty m:val="p"/>
          </m:rPr>
          <m:t>→</m:t>
        </m:r>
      </m:oMath>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đơn vị nguồn</w:t>
      </w:r>
      <w:r>
        <w:rPr>
          <w:rFonts w:ascii="Times New Roman" w:hAnsi="Times New Roman" w:eastAsia="Times New Roman" w:cs="Times New Roman"/>
          <w:i/>
          <w:iCs/>
          <w:sz w:val="24"/>
        </w:rPr>
        <w:t xml:space="preserve"> </w:t>
      </w:r>
      <m:oMath>
        <m:r>
          <m:rPr>
            <m:sty m:val="p"/>
          </m:rPr>
          <m:t>→</m:t>
        </m:r>
      </m:oMath>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Cxx.yy</w:t>
      </w:r>
      <w:r>
        <w:rPr>
          <w:rFonts w:ascii="Times New Roman" w:hAnsi="Times New Roman" w:eastAsia="Times New Roman" w:cs="Times New Roman"/>
          <w:i/>
          <w:iCs/>
          <w:sz w:val="24"/>
        </w:rPr>
        <w:t xml:space="preserve"> </w:t>
      </w:r>
      <m:oMath>
        <m:r>
          <m:rPr>
            <m:sty m:val="p"/>
          </m:rPr>
          <m:t>→</m:t>
        </m:r>
      </m:oMath>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DRV/AD/AE</w:t>
      </w:r>
      <w:r>
        <w:rPr>
          <w:rFonts w:ascii="Times New Roman" w:hAnsi="Times New Roman" w:eastAsia="Times New Roman" w:cs="Times New Roman"/>
          <w:sz w:val="24"/>
        </w:rPr>
        <w:t xml:space="preserve">; FR, sáu lớp năng lực và sơ đồ của công trình trước không được dùng làm dữ liệu đầu vào hay bước trung gian của phương pháp.</w:t>
      </w:r>
    </w:p>
    <w:bookmarkEnd w:id="26"/>
    <w:bookmarkStart w:id="27" w:name="subsec:corpus"/>
    <w:p>
      <w:pPr>
        <w:pStyle w:val="Heading2"/>
        <w:spacing w:line="240" w:lineRule="auto" w:after="40" w:before="100"/>
        <w:ind w:firstLine="0"/>
        <w:jc w:val="both"/>
      </w:pPr>
      <w:r>
        <w:rPr>
          <w:rFonts w:ascii="Times New Roman" w:hAnsi="Times New Roman" w:eastAsia="Times New Roman" w:cs="Times New Roman"/>
          <w:b/>
          <w:sz w:val="24"/>
        </w:rPr>
        <w:t>3.2. Tập nguồn và giao thức mã hóa ràng buộc nguyên tử</w:t>
      </w:r>
    </w:p>
    <w:p>
      <w:pPr>
        <w:pStyle w:val="FirstParagraph"/>
        <w:spacing w:line="240" w:lineRule="auto" w:after="0"/>
        <w:ind w:firstLine="720"/>
        <w:jc w:val="both"/>
      </w:pPr>
      <w:r>
        <w:rPr>
          <w:rFonts w:ascii="Times New Roman" w:hAnsi="Times New Roman" w:eastAsia="Times New Roman" w:cs="Times New Roman"/>
          <w:sz w:val="24"/>
        </w:rPr>
        <w:t xml:space="preserve">Tập nguồn được khóa theo trạng thái đến 08/08/2026. Việc chọn tài liệu tuân theo bốn quy tắc cấp tài liệu:</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D1</w:t>
      </w:r>
      <w:r>
        <w:rPr>
          <w:rFonts w:ascii="Times New Roman" w:hAnsi="Times New Roman" w:eastAsia="Times New Roman" w:cs="Times New Roman"/>
          <w:sz w:val="24"/>
        </w:rPr>
        <w:t xml:space="preserve">–khởi tạo từ các văn bản hiện hành trực tiếp điều chỉnh DN KH&amp;CN/DN KNST và các khung kiến trúc, dữ liệu, định danh, liên thông, bảo vệ dữ liệu có tác động tới nền tảng;</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D2</w:t>
      </w:r>
      <w:r>
        <w:rPr>
          <w:rFonts w:ascii="Times New Roman" w:hAnsi="Times New Roman" w:eastAsia="Times New Roman" w:cs="Times New Roman"/>
          <w:sz w:val="24"/>
        </w:rPr>
        <w:t xml:space="preserve">–lần theo văn bản sửa đổi, thay thế hoặc được dẫn chiếu khi chúng làm thay đổi một nghĩa vụ có hệ quả kiến trúc;</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D3</w:t>
      </w:r>
      <w:r>
        <w:rPr>
          <w:rFonts w:ascii="Times New Roman" w:hAnsi="Times New Roman" w:eastAsia="Times New Roman" w:cs="Times New Roman"/>
          <w:sz w:val="24"/>
        </w:rPr>
        <w:t xml:space="preserve">–chỉ đưa vào tập ràng buộc tài liệu có mệnh đề tác động trực tiếp tới dữ liệu, quy trình, thẩm quyền, vòng đời, kết nối/chia sẻ, bảo vệ, báo cáo hoặc kiểm soát; tài liệu học thuật chỉ dùng cho nền tảng lý thuyết và không sinh Cxx.yy;</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D4</w:t>
      </w:r>
      <w:r>
        <w:rPr>
          <w:rFonts w:ascii="Times New Roman" w:hAnsi="Times New Roman" w:eastAsia="Times New Roman" w:cs="Times New Roman"/>
          <w:sz w:val="24"/>
        </w:rPr>
        <w:t xml:space="preserve">–khóa trạng thái tại ngày cắt, tách dự thảo và nguồn phương pháp khỏi nguồn tạo nghĩa vụ. Danh mục cấp tài liệu gồm 16 mục và được lưu trong</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corpus_manifest.csv</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với trạng thái, đường đưa vào và lý do lựa chọn. D1–D4 nhằm làm cho phạm vi có thể kiểm tra lại tại ngày cắt, không tuyên bố đã bao phủ mọi văn bản có thể liên quan ngoài tiêu chí lựa chọn đã nêu. Nguồn được chia thành:</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w:t>
      </w:r>
      <w:r>
        <w:rPr>
          <w:rFonts w:ascii="Times New Roman" w:hAnsi="Times New Roman" w:eastAsia="Times New Roman" w:cs="Times New Roman"/>
          <w:sz w:val="24"/>
        </w:rPr>
        <w:t xml:space="preserve">–hiện hành/có thẩm quyền, tạo đường cơ sở;</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D</w:t>
      </w:r>
      <w:r>
        <w:rPr>
          <w:rFonts w:ascii="Times New Roman" w:hAnsi="Times New Roman" w:eastAsia="Times New Roman" w:cs="Times New Roman"/>
          <w:sz w:val="24"/>
        </w:rPr>
        <w:t xml:space="preserve">–dự thảo, chỉ dùng chẩn đoán;</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M</w:t>
      </w:r>
      <w:r>
        <w:rPr>
          <w:rFonts w:ascii="Times New Roman" w:hAnsi="Times New Roman" w:eastAsia="Times New Roman" w:cs="Times New Roman"/>
          <w:sz w:val="24"/>
        </w:rPr>
        <w:t xml:space="preserve">–phương pháp/tham chiếu quốc tế. Cách phân lớp này ngăn dự thảo hoặc EIF tạo nghĩa vụ pháp lý Việt Nam. Đồng thời, khoản 2 Điều 23 NĐ 278 làm NĐ 47/2020/NĐ-CP hết hiệu lực và khoản 2 Điều 42 NĐ 356 làm NĐ 13/2023/NĐ-CP hết hiệu lực từ 01/01/2026, nên các viện dẫn cũ trong dự thảo chỉ được đánh dấu ở lớp D [22, 30].</w:t>
      </w:r>
    </w:p>
    <w:p>
      <w:pPr>
        <w:pStyle w:val="BodyText"/>
        <w:spacing w:line="240" w:lineRule="auto" w:after="0"/>
        <w:ind w:firstLine="720"/>
        <w:jc w:val="both"/>
      </w:pPr>
      <w:r>
        <w:rPr>
          <w:rFonts w:ascii="Times New Roman" w:hAnsi="Times New Roman" w:eastAsia="Times New Roman" w:cs="Times New Roman"/>
          <w:sz w:val="24"/>
        </w:rPr>
        <w:t xml:space="preserve">C01–C10 chỉ là họ ràng buộc. Đơn vị truy vết Cxx.yy được gọi là</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mệnh đề ràng buộc nguồn nguyên tử</w:t>
      </w:r>
      <w:r>
        <w:rPr>
          <w:rFonts w:ascii="Times New Roman" w:hAnsi="Times New Roman" w:eastAsia="Times New Roman" w:cs="Times New Roman"/>
          <w:sz w:val="24"/>
        </w:rPr>
        <w:t xml:space="preserve">: một mệnh đề kiểm chứng được gắn với vị trí dẫn chiếu nguồn cụ thể. Thuật ngữ này quan trọng vì 128 dòng mã hóa không được hiểu là 128 yêu cầu ngữ nghĩa duy nhất sau khử trùng lặp; các quy định tương đồng ở nguồn khác nhau vẫn được giữ thành các dòng nguồn riêng để bảo toàn xuất xứ. Từ 116 đơn vị nguồn (cặp nguồn–vị trí dẫn chiếu), giao thức tạo 128 dòng: 114 lớp A, 8 lớp D và 6 lớp M; bốn đơn vị nguồn chứa nhiều nghĩa vụ độc lập nên được tách thành nhiều Cxx.yy. Ma trận máy đọc được lưu cả mã đơn vị nguồn và các Cxx.yy cùng đơn vị để có thể tái lập phép tách.</w:t>
      </w:r>
    </w:p>
    <w:p>
      <w:pPr>
        <w:pStyle w:val="TableCaption"/>
        <w:spacing w:line="240" w:lineRule="auto" w:after="0"/>
        <w:ind w:firstLine="720"/>
        <w:jc w:val="both"/>
      </w:pPr>
      <w:r>
        <w:rPr>
          <w:rFonts w:ascii="Times New Roman" w:hAnsi="Times New Roman" w:eastAsia="Times New Roman" w:cs="Times New Roman"/>
          <w:sz w:val="24"/>
        </w:rPr>
        <w:t xml:space="preserve">Quy tắc mã hóa ràng buộc nguyên tử R1–R5</w:t>
      </w:r>
    </w:p>
    <w:tbl>
      <w:tblPr>
        <w:tblStyle w:val="Table"/>
        <w:tblW w:type="auto" w:w="0"/>
        <w:jc w:val="left"/>
        <w:tblLayout w:type="autofit"/>
        <w:tblLook w:firstRow="0" w:lastRow="0" w:firstColumn="0" w:lastColumn="0" w:noHBand="0" w:noVBand="0" w:val="0000"/>
        <w:tblCaption w:val="Quy tắc mã hóa ràng buộc nguyên tử R1–R5"/>
      </w:tblPr>
      <w:tblGrid>
        <w:gridCol w:w="3960"/>
        <w:gridCol w:w="3960"/>
      </w:tblGrid>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R1</w:t>
            </w:r>
          </w:p>
        </w:tc>
        <w:tc>
          <w:tcPr>
            <w:vAlign w:val="center"/>
          </w:tcPr>
          <w:p>
            <w:pPr>
              <w:pStyle w:val="Compact"/>
              <w:spacing w:before="0" w:after="0" w:line="240" w:lineRule="auto"/>
              <w:ind w:firstLine="0"/>
              <w:jc w:val="left"/>
            </w:pPr>
            <w:r>
              <w:rPr>
                <w:rFonts w:ascii="Times New Roman" w:hAnsi="Times New Roman" w:eastAsia="Times New Roman" w:cs="Times New Roman"/>
                <w:b/>
                <w:sz w:val="20"/>
              </w:rPr>
              <w:t xml:space="preserve">Chọn đơn vị nguồn nhỏ nhất có vị trí dẫn chiếu đủ chính xác và có nội dung liên quan trực tiếp tới kiến trúc; một đơn vị chỉ sinh một Cxx.yy nếu có một tiêu chí kiểm tra độc lập.</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R2</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Tách một đơn vị nguồn thành nhiều Cxx.yy khi các nghĩa vụ/quyền/trạng thái/thời hạn có thể được kiểm tra độc lập. Danh sách các kích hoạt thay thế dùng chung cùng chủ thể, hành động và thời hạn được giữ trong một Cxx.yy và kiểm thử theo tham số.</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R3</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Giữ riêng các mệnh đề tương đồng nằm ở nguồn có thẩm quyền/vị trí dẫn chiếu khác nhau; chúng có thể cùng ánh xạ tới một AD/AE nhưng không bị gộp làm mất xuất xứ. Vì vậy số dòng là số</w:t>
            </w:r>
            <w:r>
              <w:rPr>
                <w:rFonts w:ascii="Times New Roman" w:hAnsi="Times New Roman" w:eastAsia="Times New Roman" w:cs="Times New Roman"/>
                <w:sz w:val="20"/>
              </w:rPr>
              <w:t xml:space="preserve"> </w:t>
            </w:r>
            <w:r>
              <w:rPr>
                <w:rFonts w:ascii="Times New Roman" w:hAnsi="Times New Roman" w:eastAsia="Times New Roman" w:cs="Times New Roman"/>
                <w:i/>
                <w:iCs/>
                <w:sz w:val="20"/>
              </w:rPr>
              <w:t xml:space="preserve">mệnh đề ràng buộc nguồn</w:t>
            </w:r>
            <w:r>
              <w:rPr>
                <w:rFonts w:ascii="Times New Roman" w:hAnsi="Times New Roman" w:eastAsia="Times New Roman" w:cs="Times New Roman"/>
                <w:sz w:val="20"/>
              </w:rPr>
              <w:t xml:space="preserve">, không phải số yêu cầu ngữ nghĩa đã khử trùng lặp.</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R4</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Chỉ mệnh đề minh thị từ nguồn lớp A mới được gán L1. D và M không tạo L1; L2/L3 là đáp ứng/suy luận thiết kế và không được tính thêm vào 128 dòng nguồn.</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R5</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Mỗi Cxx.yy phải có nguồn–vị trí dẫn chiếu, loại/mức căn cứ, đáp ứng, AE liên quan, tiêu chí kiểm tra và trạng thái. Trạng thái chỉ phản ánh mức đáp ứng ở thời điểm thiết kế, không phải chứng nhận tuân thủ của hệ thống đã triển khai.</w:t>
            </w:r>
          </w:p>
        </w:tc>
      </w:tr>
    </w:tbl>
    <w:p>
      <w:pPr>
        <w:pStyle w:val="BodyText"/>
        <w:spacing w:line="240" w:lineRule="auto" w:after="0"/>
        <w:ind w:firstLine="720"/>
        <w:jc w:val="both"/>
      </w:pPr>
      <w:r>
        <w:rPr>
          <w:rFonts w:ascii="Times New Roman" w:hAnsi="Times New Roman" w:eastAsia="Times New Roman" w:cs="Times New Roman"/>
          <w:b/>
          <w:bCs/>
          <w:sz w:val="24"/>
        </w:rPr>
        <w:t xml:space="preserve">Ví dụ một–nhiều.</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Điểm c khoản 2 Điều 43 NĐ 268 là một đơn vị nguồn nhưng chứa các nghĩa vụ có tiêu chí kiểm tra khác nhau, nên được tách thành C03.18–C03.22: khả năng lập Hội đồng; thời hạn 05 ngày để yêu cầu giải trình; 15 ngày để người nộp hoàn thiện; 07 ngày để ra quyết định khi đồng ý; và 07 ngày để thông báo kết quả khi không đồng ý. Việc tách này theo R2 cho phép kiểm thử từng nhánh/thời hạn thay vì đánh dấu cả điểm luật là</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đã đáp ứng</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chỉ bằng một liên kết [1].</w:t>
      </w:r>
    </w:p>
    <w:p>
      <w:pPr>
        <w:pStyle w:val="BodyText"/>
        <w:spacing w:line="240" w:lineRule="auto" w:after="0"/>
        <w:ind w:firstLine="720"/>
        <w:jc w:val="both"/>
      </w:pPr>
      <w:r>
        <w:rPr>
          <w:rFonts w:ascii="Times New Roman" w:hAnsi="Times New Roman" w:eastAsia="Times New Roman" w:cs="Times New Roman"/>
          <w:b/>
          <w:bCs/>
          <w:sz w:val="24"/>
        </w:rPr>
        <w:t xml:space="preserve">Ví dụ truy vết đầy đủ.</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Khoản 2 Điều 66 NĐ 268 tạo C03.46: cấp tỉnh phải thông báo Bộ trong 15 ngày đối với các quyết định thuộc phạm vi quy định. Đây là L1. C03.46 truy về AD04 và AE10/AE11/AE12/AE15/AE24/AE25; các cơ chế dấu thời gian, theo dõi hạn, xác nhận nhận và gửi lại có kiểm soát là L2, còn công nghệ hàng đợi/thông điệp cụ thể là L3. Tiêu chí kiểm tra là mô phỏng lớp trung ương tạm không sẵn sàng nhưng quyết định địa phương vẫn được ghi nhận và thông báo được giữ để gửi lại trong giới hạn nghiệp vụ [1]. Tương tự, khoản 2 Điều 5 NĐ 278 (C05.09) và Mục III.3.3, STT 3 QĐ 1973 (C06.12) được giữ thành hai dòng theo R3 dù cùng hội tụ vào AE16 về thẩm quyền nguồn dữ liệu doanh nghiệp [22, 11].</w:t>
      </w:r>
    </w:p>
    <w:bookmarkEnd w:id="27"/>
    <w:bookmarkStart w:id="28" w:name="subsec:formalization"/>
    <w:p>
      <w:pPr>
        <w:pStyle w:val="Heading2"/>
        <w:spacing w:line="240" w:lineRule="auto" w:after="40" w:before="100"/>
        <w:ind w:firstLine="0"/>
        <w:jc w:val="both"/>
      </w:pPr>
      <w:r>
        <w:rPr>
          <w:rFonts w:ascii="Times New Roman" w:hAnsi="Times New Roman" w:eastAsia="Times New Roman" w:cs="Times New Roman"/>
          <w:b/>
          <w:sz w:val="24"/>
        </w:rPr>
        <w:t>3.3. Tổng hợp kiến trúc và truy vết</w:t>
      </w:r>
    </w:p>
    <w:p>
      <w:pPr>
        <w:pStyle w:val="FirstParagraph"/>
        <w:spacing w:line="240" w:lineRule="auto" w:after="0"/>
        <w:ind w:firstLine="720"/>
        <w:jc w:val="both"/>
      </w:pPr>
      <w:r>
        <w:rPr>
          <w:rFonts w:ascii="Times New Roman" w:hAnsi="Times New Roman" w:eastAsia="Times New Roman" w:cs="Times New Roman"/>
          <w:sz w:val="24"/>
        </w:rPr>
        <w:t xml:space="preserve">SRA được hình thức hóa bằng sáu góc nhìn V1–V6, sổ điểm biến thiên VP1–VP8 và năm quyết định kiến trúc AD01–AD05. V1 dùng sơ đồ vùng chứa của mô hình C4 (C4 Container Diagram); V2 dùng góc nhìn năng lực–ứng dụng ArchiMate; V3 dùng góc nhìn ứng dụng–dữ liệu ArchiMate; V4 dùng ma trận bốn lớp EIF; V5 dùng sơ đồ triển khai của mô hình C4 (C4 Deployment Diagram); V6 dùng ma trận biên tin cậy–kiểm soát. C4 phân biệt cấu trúc vùng chứa tĩnh với sơ đồ triển khai; hướng dẫn ký pháp yêu cầu kiểu phần tử và chiều/nhãn quan hệ được ghi rõ, đồng thời khuyến nghị nêu công nghệ/giao thức. Do SRA giữ các lựa chọn này ở L3, V1–V5 sử dụng các phần tử và quy tắc quan hệ của C4 nhưng đánh dấu công nghệ/giao thức là chưa khóa thay vì suy đoán một hiện thực hóa cụ thể; ArchiMate 3.2 cung cấp các kiểu phần tử và quan hệ chuẩn cho các góc nhìn V2–V3 [33], [34, Chs. 5, 7, 9; Apps. A–C]. Mỗi AD lưu vấn đề, phương án, quyết định, lý do, đánh đổi và liên kết ngược tới Cxx.yy/AEyy, phù hợp với yêu cầu mô tả góc nhìn của ISO/IEC/IEEE 42010 và thực hành ghi nhận quyết định kiến trúc [15], [35, pp. 19–27]. Chuỗi truy vết lớp A có dạng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nguồn/vị trí</w:t>
      </w:r>
      <w:r>
        <w:rPr>
          <w:rFonts w:ascii="Times New Roman" w:hAnsi="Times New Roman" w:eastAsia="Times New Roman" w:cs="Times New Roman"/>
          <w:i/>
          <w:iCs/>
          <w:sz w:val="24"/>
        </w:rPr>
        <w:t xml:space="preserve"> </w:t>
      </w:r>
      <m:oMath>
        <m:r>
          <m:rPr>
            <m:sty m:val="p"/>
          </m:rPr>
          <m:t>→</m:t>
        </m:r>
      </m:oMath>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Cxx.yy</w:t>
      </w:r>
      <w:r>
        <w:rPr>
          <w:rFonts w:ascii="Times New Roman" w:hAnsi="Times New Roman" w:eastAsia="Times New Roman" w:cs="Times New Roman"/>
          <w:i/>
          <w:iCs/>
          <w:sz w:val="24"/>
        </w:rPr>
        <w:t xml:space="preserve"> </w:t>
      </w:r>
      <m:oMath>
        <m:r>
          <m:rPr>
            <m:sty m:val="p"/>
          </m:rPr>
          <m:t>→</m:t>
        </m:r>
      </m:oMath>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AD/AE</w:t>
      </w:r>
      <w:r>
        <w:rPr>
          <w:rFonts w:ascii="Times New Roman" w:hAnsi="Times New Roman" w:eastAsia="Times New Roman" w:cs="Times New Roman"/>
          <w:i/>
          <w:iCs/>
          <w:sz w:val="24"/>
        </w:rPr>
        <w:t xml:space="preserve"> </w:t>
      </w:r>
      <m:oMath>
        <m:r>
          <m:rPr>
            <m:sty m:val="p"/>
          </m:rPr>
          <m:t>→</m:t>
        </m:r>
      </m:oMath>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tiêu chí kiểm tra</w:t>
      </w:r>
      <w:r>
        <w:rPr>
          <w:rFonts w:ascii="Times New Roman" w:hAnsi="Times New Roman" w:eastAsia="Times New Roman" w:cs="Times New Roman"/>
          <w:i/>
          <w:iCs/>
          <w:sz w:val="24"/>
        </w:rPr>
        <w:t xml:space="preserve"> </w:t>
      </w:r>
      <m:oMath>
        <m:r>
          <m:rPr>
            <m:sty m:val="p"/>
          </m:rPr>
          <m:t>→</m:t>
        </m:r>
      </m:oMath>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trạng thái</w:t>
      </w:r>
      <w:r>
        <w:rPr>
          <w:rFonts w:ascii="Times New Roman" w:hAnsi="Times New Roman" w:eastAsia="Times New Roman" w:cs="Times New Roman"/>
          <w:sz w:val="24"/>
        </w:rPr>
        <w:t xml:space="preserve">; chiều ngược kiểm tra các thành phần quan trọng có căn cứ nguồn hay chỉ là lựa chọn thiết kế.</w:t>
      </w:r>
    </w:p>
    <w:p>
      <w:pPr>
        <w:pStyle w:val="BodyText"/>
        <w:spacing w:line="240" w:lineRule="auto" w:after="0"/>
        <w:ind w:firstLine="720"/>
        <w:jc w:val="both"/>
      </w:pPr>
      <w:r>
        <w:rPr>
          <w:rFonts w:ascii="Times New Roman" w:hAnsi="Times New Roman" w:eastAsia="Times New Roman" w:cs="Times New Roman"/>
          <w:sz w:val="24"/>
        </w:rPr>
        <w:t xml:space="preserve">Mức căn cứ được dùng để tách nghĩa vụ khỏi suy luận:</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L1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là nghĩa vụ/cấu trúc/mốc thời gian được nguồn A quy định minh thị;</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L2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là hệ quả kiến trúc suy ra trực tiếp;</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L3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là lựa chọn triển khai cần kiểm chứng. Ví dụ truy vết L1–L2–L3 đã được trình bày ở C03.46 phía trên để tránh lặp lại cùng một mệnh đề nguồn.</w:t>
      </w:r>
    </w:p>
    <w:bookmarkEnd w:id="28"/>
    <w:bookmarkStart w:id="29" w:name="subsec:scenario-method"/>
    <w:p>
      <w:pPr>
        <w:pStyle w:val="Heading2"/>
        <w:spacing w:line="240" w:lineRule="auto" w:after="40" w:before="100"/>
        <w:ind w:firstLine="0"/>
        <w:jc w:val="both"/>
      </w:pPr>
      <w:r>
        <w:rPr>
          <w:rFonts w:ascii="Times New Roman" w:hAnsi="Times New Roman" w:eastAsia="Times New Roman" w:cs="Times New Roman"/>
          <w:b/>
          <w:sz w:val="24"/>
        </w:rPr>
        <w:t>3.4. Đánh giá theo kịch bản và phạm vi kết luận</w:t>
      </w:r>
    </w:p>
    <w:p>
      <w:pPr>
        <w:pStyle w:val="FirstParagraph"/>
        <w:spacing w:line="240" w:lineRule="auto" w:after="0"/>
        <w:ind w:firstLine="720"/>
        <w:jc w:val="both"/>
      </w:pPr>
      <w:r>
        <w:rPr>
          <w:rFonts w:ascii="Times New Roman" w:hAnsi="Times New Roman" w:eastAsia="Times New Roman" w:cs="Times New Roman"/>
          <w:sz w:val="24"/>
        </w:rPr>
        <w:t xml:space="preserve">Kiến trúc ứng viên ban đầu</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B1₀</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được hình thành trước khi đánh giá từ năm động lực kiến trúc: DRV1–quyền ghi phải bám phạm vi thẩm quyền; DRV2–quy trình nội bộ cần cấu hình được nhưng không được ghi đè nghĩa vụ pháp lý; DRV3–xử lý địa phương cần có khả năng tiếp tục khi lớp điều phối trung ương tạm gián đoạn trong những bước không phụ thuộc bắt buộc vào nguồn ngoài; DRV4–ngữ nghĩa, nguồn dữ liệu và cơ chế liên thông phải được quản trị thống nhất; DRV5–mọi thay đổi lược đồ, cấu hình và trạng thái phải truy vết theo phiên bản. B1₀ ánh xạ các động lực đó thành nút dữ liệu nghiệp vụ cấp tỉnh AE24, lớp điều phối/mô hình đọc trung ương AE25 và quản trị cấu hình hai cấp AE26. Ở mức hiện thực hóa mục tiêu, mỗi AE24 có kho dữ liệu vận hành vật lý tách biệt; khái niệm AE24 không đồng nghĩa một CSDL chuyên ngành độc lập về pháp lý.</w:t>
      </w:r>
    </w:p>
    <w:p>
      <w:pPr>
        <w:pStyle w:val="BodyText"/>
        <w:spacing w:line="240" w:lineRule="auto" w:after="0"/>
        <w:ind w:firstLine="720"/>
        <w:jc w:val="both"/>
      </w:pPr>
      <w:r>
        <w:rPr>
          <w:rFonts w:ascii="Times New Roman" w:hAnsi="Times New Roman" w:eastAsia="Times New Roman" w:cs="Times New Roman"/>
          <w:b/>
          <w:bCs/>
          <w:sz w:val="24"/>
        </w:rPr>
        <w:t xml:space="preserve">B0</w:t>
      </w:r>
      <w:r>
        <w:rPr>
          <w:rFonts w:ascii="Times New Roman" w:hAnsi="Times New Roman" w:eastAsia="Times New Roman" w:cs="Times New Roman"/>
          <w:sz w:val="24"/>
        </w:rPr>
        <w:t xml:space="preserve">–một kho vận hành và luồng thực thi tập trung–được giữ như đường cơ sở đối chiếu. B0 không phải mô hình tháo bỏ từng quyết định của B1₀, nên phép đối chiếu không được dùng để quy một kết quả cho riêng cấu trúc triển khai dữ liệu, vị trí thực thi hay khả năng cấu hình. Mười kịch bản S1–S10 được dùng để</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thử thách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B1₀ và làm lộ điểm nhạy/đánh đổi so với B0. Để minh bạch tiêu chí lựa chọn, bộ kịch bản được tổ chức theo ma trận động lực–mối quan tâm–chế độ vận hành với năm nhóm phủ:</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COV1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vận hành bình thường và biến thể địa phương (S1–S2);</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COV2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thay đổi quy định, nguồn hoặc phiên bản (S3, S6, S10);</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COV3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gián đoạn hạ tầng/lớp trung ương (S4, S7);</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COV4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tổng hợp toàn quốc và quan hệ xuyên địa bàn (S5, S8);</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COV5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chuyển quyền quản lý/ghi giữa địa bàn (S9). Ma trận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scenario_coverage.csv</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kiểm tra mỗi DRV xuất hiện trong ít nhất hai kịch bản và mỗi góc nhìn V1–V6 được thử thách bởi ít nhất một kịch bản; tiêu chí này dùng để kiểm soát độ phủ, không tạo trọng số hay điểm số. Bộ kịch bản do nhóm tác giả xây dựng từ các động lực và mối quan tâm kiến trúc nên không được coi là tập tình huống đầy đủ; ma trận độ phủ chỉ làm minh bạch phạm vi đã thử thách. S9 khảo sát trường hợp một quyết định có thẩm quyền làm chuyển phạm vi quản lý một doanh nghiệp từ tỉnh A sang tỉnh B; kịch bản không giả định nguyên nhân pháp lý cụ thể của việc chuyển. S10 khảo sát nâng cấp cuốn chiếu (</w:t>
      </w:r>
      <w:r>
        <w:rPr>
          <w:rFonts w:ascii="Times New Roman" w:hAnsi="Times New Roman" w:eastAsia="Times New Roman" w:cs="Times New Roman"/>
          <w:i/>
          <w:iCs/>
          <w:sz w:val="24"/>
        </w:rPr>
        <w:t xml:space="preserve">rolling upgrade</w:t>
      </w:r>
      <w:r>
        <w:rPr>
          <w:rFonts w:ascii="Times New Roman" w:hAnsi="Times New Roman" w:eastAsia="Times New Roman" w:cs="Times New Roman"/>
          <w:sz w:val="24"/>
        </w:rPr>
        <w:t xml:space="preserve">) khi lược đồ/hợp đồng dữ liệu hoặc mô hình quy trình trung ương có phiên bản mới nhưng các tỉnh chuyển phiên bản ở những thời điểm khác nhau. Mức</w:t>
      </w:r>
      <w:r>
        <w:rPr>
          <w:rFonts w:ascii="Times New Roman" w:hAnsi="Times New Roman" w:eastAsia="Times New Roman" w:cs="Times New Roman"/>
          <w:sz w:val="24"/>
        </w:rPr>
        <w:t xml:space="preserve"> </w:t>
      </w:r>
      <w:r>
        <w:rPr>
          <w:rFonts w:ascii="Times New Roman" w:hAnsi="Times New Roman" w:eastAsia="Times New Roman" w:cs="Times New Roman"/>
          <w:smallCaps/>
          <w:sz w:val="24"/>
        </w:rPr>
        <w:t xml:space="preserve">đáp ứng trực tiếp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nghĩa là lõi B1₀ xử lý kịch bản mà không cần sửa AD/lõi ổn định;</w:t>
      </w:r>
      <w:r>
        <w:rPr>
          <w:rFonts w:ascii="Times New Roman" w:hAnsi="Times New Roman" w:eastAsia="Times New Roman" w:cs="Times New Roman"/>
          <w:sz w:val="24"/>
        </w:rPr>
        <w:t xml:space="preserve"> </w:t>
      </w:r>
      <w:r>
        <w:rPr>
          <w:rFonts w:ascii="Times New Roman" w:hAnsi="Times New Roman" w:eastAsia="Times New Roman" w:cs="Times New Roman"/>
          <w:smallCaps/>
          <w:sz w:val="24"/>
        </w:rPr>
        <w:t xml:space="preserve">đáp ứng có điều kiện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nghĩa là cần cụ thể hóa hoặc kiểm chứng một cơ chế/điểm biến thiên đã được kiến trúc cho phép;</w:t>
      </w:r>
      <w:r>
        <w:rPr>
          <w:rFonts w:ascii="Times New Roman" w:hAnsi="Times New Roman" w:eastAsia="Times New Roman" w:cs="Times New Roman"/>
          <w:sz w:val="24"/>
        </w:rPr>
        <w:t xml:space="preserve"> </w:t>
      </w:r>
      <w:r>
        <w:rPr>
          <w:rFonts w:ascii="Times New Roman" w:hAnsi="Times New Roman" w:eastAsia="Times New Roman" w:cs="Times New Roman"/>
          <w:smallCaps/>
          <w:sz w:val="24"/>
        </w:rPr>
        <w:t xml:space="preserve">rủi ro kiến trúc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nghĩa là kịch bản buộc phải xem xét lại AD/lõi ổn định hoặc còn điểm thẩm quyền/toàn vẹn chưa giải quyết. Khi kịch bản làm lộ khoảng trống thiết kế, kết quả được đưa trở lại sản phẩm kiến trúc theo vòng DSR; phiên bản sau tinh chỉnh được ký hiệu</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B1-R</w:t>
      </w:r>
      <w:r>
        <w:rPr>
          <w:rFonts w:ascii="Times New Roman" w:hAnsi="Times New Roman" w:eastAsia="Times New Roman" w:cs="Times New Roman"/>
          <w:sz w:val="24"/>
        </w:rPr>
        <w:t xml:space="preserve">. Không cộng điểm và không xếp hạng tổng thể B0–B1₀. Cách làm lấy cảm hứng từ ATAM nhưng không phải ATAM đầy đủ: nghiên cứu chỉ kế thừa cách dùng kịch bản để làm lộ rủi ro, điểm nhạy và đánh đổi, không thực hiện toàn bộ quy trình, vai trò và hoạt động đánh giá của ATAM [19, pp. 3, 5–7].</w:t>
      </w:r>
    </w:p>
    <w:p>
      <w:pPr>
        <w:pStyle w:val="BodyText"/>
        <w:spacing w:line="240" w:lineRule="auto" w:after="0"/>
        <w:ind w:firstLine="720"/>
        <w:jc w:val="both"/>
      </w:pPr>
      <w:r>
        <w:rPr>
          <w:rFonts w:ascii="Times New Roman" w:hAnsi="Times New Roman" w:eastAsia="Times New Roman" w:cs="Times New Roman"/>
          <w:sz w:val="24"/>
        </w:rPr>
        <w:t xml:space="preserve">Nghiên cứu không gán tải đỉnh, tốc độ xử lý, tính sẵn sàng hay độ trễ khi chưa có đo kiểm. Các mốc số chỉ được dùng khi có căn cứ, như 03/15 ngày tại khoản 1–2 Điều 51, trước 15/12 tại khoản 2 Điều 54 và 15 ngày/trước 31/3 tại khoản 2,5 Điều 66 NĐ 268 [1]. Vì vậy, kết quả là đánh giá trước triển khai: phép thử được thực hiện trên B1₀, còn các khoảng trống phát hiện được được hấp thụ thành quyết định thiết kế B1-R nhưng chưa tạo bằng chứng vận hành. Ma trận truy vết, sổ AD/VP, sổ động lực kiến trúc, nhật ký tinh chỉnh và bộ kịch bản là dữ liệu bổ trợ có thể kiểm tra lại. Giai đoạn tiếp theo cần hiện thực hóa nguyên mẫu và dùng các phép thử có thể lặp lại để kiểm tra liên thông, chuyển quyền ghi, nâng cấp cuốn chiếu, phục hồi, an toàn và các thuộc tính chất lượng.</w:t>
      </w:r>
    </w:p>
    <w:bookmarkEnd w:id="29"/>
    <w:bookmarkEnd w:id="30"/>
    <w:bookmarkStart w:id="37" w:name="sec:arch"/>
    <w:p>
      <w:pPr>
        <w:pStyle w:val="Heading1"/>
        <w:spacing w:line="240" w:lineRule="auto" w:after="60" w:before="120"/>
        <w:ind w:firstLine="0"/>
        <w:jc w:val="both"/>
      </w:pPr>
      <w:r>
        <w:rPr>
          <w:rFonts w:ascii="Times New Roman" w:hAnsi="Times New Roman" w:eastAsia="Times New Roman" w:cs="Times New Roman"/>
          <w:b/>
          <w:sz w:val="24"/>
        </w:rPr>
        <w:t>4. Kiến trúc hệ thống đề xuất</w:t>
      </w:r>
    </w:p>
    <w:bookmarkStart w:id="31" w:name="subsec:scope-viewpoints"/>
    <w:p>
      <w:pPr>
        <w:pStyle w:val="Heading2"/>
        <w:spacing w:line="240" w:lineRule="auto" w:after="40" w:before="100"/>
        <w:ind w:firstLine="0"/>
        <w:jc w:val="both"/>
      </w:pPr>
      <w:r>
        <w:rPr>
          <w:rFonts w:ascii="Times New Roman" w:hAnsi="Times New Roman" w:eastAsia="Times New Roman" w:cs="Times New Roman"/>
          <w:b/>
          <w:sz w:val="24"/>
        </w:rPr>
        <w:t>4.1. Phạm vi SRA, góc nhìn và điểm biến thiên</w:t>
      </w:r>
    </w:p>
    <w:p>
      <w:pPr>
        <w:pStyle w:val="FirstParagraph"/>
        <w:spacing w:line="240" w:lineRule="auto" w:after="0"/>
        <w:ind w:firstLine="720"/>
        <w:jc w:val="both"/>
      </w:pPr>
      <w:r>
        <w:rPr>
          <w:rFonts w:ascii="Times New Roman" w:hAnsi="Times New Roman" w:eastAsia="Times New Roman" w:cs="Times New Roman"/>
          <w:sz w:val="24"/>
        </w:rPr>
        <w:t xml:space="preserve">SRA hướng tới lớp nền tảng số chuyên ngành khu vực công có bốn đặc trưng: nghiệp vụ phân bố nhiều cấp hành chính; dữ liệu phụ thuộc nguồn có thẩm quyền bên ngoài; trao đổi liên cơ quan qua hạ tầng dùng chung; và quy trình phải thay đổi được nhưng không làm thay đổi nghĩa vụ pháp lý. Sáu nhóm bên liên quan gồm cơ quan trung ương, cơ quan cấp tỉnh, doanh nghiệp, chủ quản hệ thống nguồn, đầu mối kiến trúc/dữ liệu và chức năng an toàn–tuân thủ. Các mối quan tâm chính là thẩm quyền, nguồn dữ liệu, liên thông, vòng đời/truy vết, an toàn–riêng tư, khả năng thay đổi và hiện thực hóa công nghệ.</w:t>
      </w:r>
    </w:p>
    <w:p>
      <w:pPr>
        <w:pStyle w:val="BodyText"/>
        <w:spacing w:line="240" w:lineRule="auto" w:after="0"/>
        <w:ind w:firstLine="720"/>
        <w:jc w:val="both"/>
      </w:pPr>
      <w:r>
        <w:rPr>
          <w:rFonts w:ascii="Times New Roman" w:hAnsi="Times New Roman" w:eastAsia="Times New Roman" w:cs="Times New Roman"/>
          <w:sz w:val="24"/>
        </w:rPr>
        <w:t xml:space="preserve">Sáu góc nhìn được dùng là V1–hệ sinh thái/trách nhiệm, V2–năng lực/ứng dụng, V3–dữ liệu/thẩm quyền, V4–liên thông, V5–hiện thực hóa công nghệ và V6–an toàn/riêng tư. V1 được thể hiện bằng sơ đồ vùng chứa C4 ở Hình </w:t>
      </w:r>
      <w:hyperlink w:anchor="fig:ranhgioi">
        <w:r>
          <w:rPr>
            <w:rStyle w:val="Hyperlink"/>
          </w:rPr>
          <w:t xml:space="preserve">4</w:t>
        </w:r>
      </w:hyperlink>
      <w:r>
        <w:rPr>
          <w:rFonts w:ascii="Times New Roman" w:hAnsi="Times New Roman" w:eastAsia="Times New Roman" w:cs="Times New Roman"/>
          <w:sz w:val="24"/>
        </w:rPr>
        <w:t xml:space="preserve">; V2 và V3 bằng các góc nhìn ArchiMate ở Hình </w:t>
      </w:r>
      <w:hyperlink w:anchor="fig:kientruc">
        <w:r>
          <w:rPr>
            <w:rStyle w:val="Hyperlink"/>
          </w:rPr>
          <w:t xml:space="preserve">2</w:t>
        </w:r>
      </w:hyperlink>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và Hình </w:t>
      </w:r>
      <w:hyperlink w:anchor="fig:kientrucdulieu">
        <w:r>
          <w:rPr>
            <w:rStyle w:val="Hyperlink"/>
          </w:rPr>
          <w:t xml:space="preserve">3</w:t>
        </w:r>
      </w:hyperlink>
      <w:r>
        <w:rPr>
          <w:rFonts w:ascii="Times New Roman" w:hAnsi="Times New Roman" w:eastAsia="Times New Roman" w:cs="Times New Roman"/>
          <w:sz w:val="24"/>
        </w:rPr>
        <w:t xml:space="preserve">; V4 bằng Bảng </w:t>
      </w:r>
      <w:hyperlink w:anchor="tab:lienthong">
        <w:r>
          <w:rPr>
            <w:rStyle w:val="Hyperlink"/>
          </w:rPr>
          <w:t xml:space="preserve">4</w:t>
        </w:r>
      </w:hyperlink>
      <w:r>
        <w:rPr>
          <w:rFonts w:ascii="Times New Roman" w:hAnsi="Times New Roman" w:eastAsia="Times New Roman" w:cs="Times New Roman"/>
          <w:sz w:val="24"/>
        </w:rPr>
        <w:t xml:space="preserve">; V5 bằng sơ đồ triển khai C4 ở Hình </w:t>
      </w:r>
      <w:hyperlink w:anchor="fig:deployment">
        <w:r>
          <w:rPr>
            <w:rStyle w:val="Hyperlink"/>
          </w:rPr>
          <w:t xml:space="preserve">5</w:t>
        </w:r>
      </w:hyperlink>
      <w:r>
        <w:rPr>
          <w:rFonts w:ascii="Times New Roman" w:hAnsi="Times New Roman" w:eastAsia="Times New Roman" w:cs="Times New Roman"/>
          <w:sz w:val="24"/>
        </w:rPr>
        <w:t xml:space="preserve">; và V6 bằng ma trận biên tin cậy–kiểm soát tại Mục </w:t>
      </w:r>
      <w:hyperlink w:anchor="subsec:v5v6">
        <w:r>
          <w:rPr>
            <w:rStyle w:val="Hyperlink"/>
          </w:rPr>
          <w:t xml:space="preserve">6.4</w:t>
        </w:r>
      </w:hyperlink>
      <w:r>
        <w:rPr>
          <w:rFonts w:ascii="Times New Roman" w:hAnsi="Times New Roman" w:eastAsia="Times New Roman" w:cs="Times New Roman"/>
          <w:sz w:val="24"/>
        </w:rPr>
        <w:t xml:space="preserve">. Mô tả trong mục này là phiên bản sau tinh chỉnh</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B1-R</w:t>
      </w:r>
      <w:r>
        <w:rPr>
          <w:rFonts w:ascii="Times New Roman" w:hAnsi="Times New Roman" w:eastAsia="Times New Roman" w:cs="Times New Roman"/>
          <w:sz w:val="24"/>
        </w:rPr>
        <w:t xml:space="preserve">; Mục </w:t>
      </w:r>
      <w:hyperlink w:anchor="sec:evaluation">
        <w:r>
          <w:rPr>
            <w:rStyle w:val="Hyperlink"/>
          </w:rPr>
          <w:t xml:space="preserve">7</w:t>
        </w:r>
      </w:hyperlink>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giữ riêng B1₀ trước tinh chỉnh để không làm mất dấu vòng DSR. Lõi ổn định của B1-R gồm: truy vết nguồn–quyết định; tách dữ liệu định danh/bằng chứng khỏi trạng thái chuyên ngành; quản lý vòng đời hồ sơ/quyết định; thẩm quyền dữ liệu theo nhóm thuộc tính; liên thông qua hạ tầng quy định; kiểm soát an toàn/riêng tư; tách địa bàn thẩm quyền khỏi mạng quan hệ;</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biên ghi nghiệp vụ theo tỉnh với một gán quyền ghi có hiệu lực tại một thời điểm</w:t>
      </w:r>
      <w:r>
        <w:rPr>
          <w:rFonts w:ascii="Times New Roman" w:hAnsi="Times New Roman" w:eastAsia="Times New Roman" w:cs="Times New Roman"/>
          <w:sz w:val="24"/>
        </w:rPr>
        <w:t xml:space="preserve">; và quản trị phiên bản có cửa sổ tương thích cho các nút nâng cấp lệch thời điểm. VP1–VP8 giữ các lựa chọn về truy vấn/đồng bộ, máy quy trình, đồng bộ/sự kiện, tích hợp thủ tục hành chính, phân quyền nội bộ, mô hình quan hệ, cấu trúc triển khai và bộ thích nghi nguồn.</w:t>
      </w:r>
    </w:p>
    <w:bookmarkEnd w:id="31"/>
    <w:bookmarkStart w:id="32" w:name="subsec:distributed-deployment"/>
    <w:p>
      <w:pPr>
        <w:pStyle w:val="Heading2"/>
        <w:spacing w:line="240" w:lineRule="auto" w:after="40" w:before="100"/>
        <w:ind w:firstLine="0"/>
        <w:jc w:val="both"/>
      </w:pPr>
      <w:r>
        <w:rPr>
          <w:rFonts w:ascii="Times New Roman" w:hAnsi="Times New Roman" w:eastAsia="Times New Roman" w:cs="Times New Roman"/>
          <w:b/>
          <w:sz w:val="24"/>
        </w:rPr>
        <w:t>4.2. Mô hình phân tán tỉnh–trung ương và vị trí trong kiến trúc số</w:t>
      </w:r>
    </w:p>
    <w:p>
      <w:pPr>
        <w:pStyle w:val="FirstParagraph"/>
        <w:spacing w:line="240" w:lineRule="auto" w:after="0"/>
        <w:ind w:firstLine="720"/>
        <w:jc w:val="both"/>
      </w:pPr>
      <w:r>
        <w:rPr>
          <w:rFonts w:ascii="Times New Roman" w:hAnsi="Times New Roman" w:eastAsia="Times New Roman" w:cs="Times New Roman"/>
          <w:sz w:val="24"/>
        </w:rPr>
        <w:t xml:space="preserve">Mô hình gồm</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mặt phẳng thực thi cấp tỉnh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với</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nút dữ liệu nghiệp vụ cấp tỉnh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(AE24), nơi ghi hồ sơ, trạng thái, quyết định và giấy khi nút đang có gán quyền ghi hiệu lực; và</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mặt phẳng điều phối trung ương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(AE25), duy trì sổ đăng ký, mô hình đọc hợp nhất, từ điển/siêu dữ liệu, giám sát cập nhật, đồng thời định tuyến gán quyền ghi theo thời gian mà không trở thành nguồn quyết định pháp lý. AE26 quản trị mô hình nền pháp lý và cấu hình quy trình địa phương, kèm chính sách tương thích phiên bản. Ở hiện thực hóa mục tiêu, mỗi AE24 có một kho dữ liệu vận hành vật lý tách biệt; tuy nhiên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nút dữ liệu nghiệp vụ</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là khái niệm kiến trúc và không được hiểu là tuyên bố mỗi tỉnh có một CSDL chuyên ngành độc lập theo danh mục pháp lý.</w:t>
      </w:r>
    </w:p>
    <w:p>
      <w:pPr>
        <w:pStyle w:val="BodyText"/>
        <w:spacing w:line="240" w:lineRule="auto" w:after="0"/>
        <w:ind w:firstLine="720"/>
        <w:jc w:val="both"/>
      </w:pPr>
      <w:r>
        <w:rPr>
          <w:rFonts w:ascii="Times New Roman" w:hAnsi="Times New Roman" w:eastAsia="Times New Roman" w:cs="Times New Roman"/>
          <w:sz w:val="24"/>
        </w:rPr>
        <w:t xml:space="preserve">Ranh giới thẩm quyền là căn cứ L1; việc ánh xạ ranh giới đó thành biên ghi/dữ liệu vật lý là quyết định L2 dựa thêm trên các động lực DRV1–DRV5 về quyền ghi, cấu hình quy trình, liên tục cục bộ, quản trị ngữ nghĩa và truy vết phiên bản. Khoản 1 Điều 48 và khoản 2,5 Điều 66 NĐ 268 cung cấp căn cứ về thẩm quyền/nghĩa vụ liên cấp; điểm a–b khoản 2 và khoản 3 Điều 7 NĐ 278 cho phép truy vấn/đồng bộ qua hạ tầng chia sẻ và Agent Node (theo ký hiệu của NĐ 278) [1, 22]. Sheth và Larson dùng thuật ngữ CSDL liên bang cho các CSDL phân tán, dị thể và tự chủ [36]; bài này chỉ kế thừa ý tưởng phối hợp giữa các nút có quyền vận hành riêng, còn lược đồ/ngữ nghĩa được quản trị thống nhất và tính dị thể không phải đặc trưng lõi. Vì vậy, thuật ngữ chính được dùng là</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kiến trúc phân tán tỉnh–trung ương</w:t>
      </w:r>
      <w:r>
        <w:rPr>
          <w:rFonts w:ascii="Times New Roman" w:hAnsi="Times New Roman" w:eastAsia="Times New Roman" w:cs="Times New Roman"/>
          <w:sz w:val="24"/>
        </w:rPr>
        <w:t xml:space="preserve">, không phải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CSDL liên bang</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theo đầy đủ nghĩa cổ điển.</w:t>
      </w:r>
    </w:p>
    <w:p>
      <w:pPr>
        <w:pStyle w:val="BodyText"/>
        <w:spacing w:line="240" w:lineRule="auto" w:after="0"/>
        <w:ind w:firstLine="720"/>
        <w:jc w:val="both"/>
      </w:pPr>
      <w:r>
        <w:rPr>
          <w:rFonts w:ascii="Times New Roman" w:hAnsi="Times New Roman" w:eastAsia="Times New Roman" w:cs="Times New Roman"/>
          <w:sz w:val="24"/>
        </w:rPr>
        <w:t xml:space="preserve">Hình </w:t>
      </w:r>
      <w:hyperlink w:anchor="fig:dinhvi">
        <w:r>
          <w:rPr>
            <w:rStyle w:val="Hyperlink"/>
          </w:rPr>
          <w:t xml:space="preserve">1</w:t>
        </w:r>
      </w:hyperlink>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đặt nền tảng tại giao điểm của khung quốc gia, khung Chính phủ số, khung dữ liệu quốc gia, khung dữ liệu Bộ và ràng buộc nghiệp vụ NĐ 268. Trong ký pháp ArchiMate 3.2, hình dùng phần tử ràng buộc (</w:t>
      </w:r>
      <w:r>
        <w:rPr>
          <w:rFonts w:ascii="Times New Roman" w:hAnsi="Times New Roman" w:eastAsia="Times New Roman" w:cs="Times New Roman"/>
          <w:i/>
          <w:iCs/>
          <w:sz w:val="24"/>
        </w:rPr>
        <w:t xml:space="preserve">Constraint</w:t>
      </w:r>
      <w:r>
        <w:rPr>
          <w:rFonts w:ascii="Times New Roman" w:hAnsi="Times New Roman" w:eastAsia="Times New Roman" w:cs="Times New Roman"/>
          <w:sz w:val="24"/>
        </w:rPr>
        <w:t xml:space="preserve">), thành phần ứng dụng (</w:t>
      </w:r>
      <w:r>
        <w:rPr>
          <w:rFonts w:ascii="Times New Roman" w:hAnsi="Times New Roman" w:eastAsia="Times New Roman" w:cs="Times New Roman"/>
          <w:i/>
          <w:iCs/>
          <w:sz w:val="24"/>
        </w:rPr>
        <w:t xml:space="preserve">Application Component</w:t>
      </w:r>
      <w:r>
        <w:rPr>
          <w:rFonts w:ascii="Times New Roman" w:hAnsi="Times New Roman" w:eastAsia="Times New Roman" w:cs="Times New Roman"/>
          <w:sz w:val="24"/>
        </w:rPr>
        <w:t xml:space="preserve">), quan hệ liên kết (</w:t>
      </w:r>
      <w:r>
        <w:rPr>
          <w:rFonts w:ascii="Times New Roman" w:hAnsi="Times New Roman" w:eastAsia="Times New Roman" w:cs="Times New Roman"/>
          <w:i/>
          <w:iCs/>
          <w:sz w:val="24"/>
        </w:rPr>
        <w:t xml:space="preserve">Association</w:t>
      </w:r>
      <w:r>
        <w:rPr>
          <w:rFonts w:ascii="Times New Roman" w:hAnsi="Times New Roman" w:eastAsia="Times New Roman" w:cs="Times New Roman"/>
          <w:sz w:val="24"/>
        </w:rPr>
        <w:t xml:space="preserve">) và quan hệ luồng (</w:t>
      </w:r>
      <w:r>
        <w:rPr>
          <w:rFonts w:ascii="Times New Roman" w:hAnsi="Times New Roman" w:eastAsia="Times New Roman" w:cs="Times New Roman"/>
          <w:i/>
          <w:iCs/>
          <w:sz w:val="24"/>
        </w:rPr>
        <w:t xml:space="preserve">Flow</w:t>
      </w:r>
      <w:r>
        <w:rPr>
          <w:rFonts w:ascii="Times New Roman" w:hAnsi="Times New Roman" w:eastAsia="Times New Roman" w:cs="Times New Roman"/>
          <w:sz w:val="24"/>
        </w:rPr>
        <w:t xml:space="preserve">); các nhãn tiếng Anh trong hình là tên loại phần tử/quan hệ của chuẩn. Thuật ngữ hệ thống thủ tục hành chính (TTHC) được dùng cho hệ thống tiếp nhận/trả kết quả thủ tục. Hai nguyên tắc được khóa: định danh pháp lý doanh nghiệp phải tham chiếu nguồn có thẩm quyền theo điểm b khoản 2 Điều 11 Luật Dữ liệu, khoản 2 Điều 5 NĐ 278 và Mục III.3.3 QĐ 1973; kết nối chia sẻ bắt buộc phải đi qua hạ tầng quy định theo khoản 2 Điều 4 NĐ 278 [24, 22, 11].</w:t>
      </w:r>
    </w:p>
    <w:tbl>
      <w:tblPr>
        <w:tblStyle w:val="FigureTable"/>
        <w:tblW w:type="auto" w:w="0"/>
        <w:jc w:val="center"/>
        <w:tblLayout w:type="autofit"/>
        <w:tblLook w:firstRow="0" w:lastRow="0" w:firstColumn="0" w:lastColumn="0"/>
      </w:tblPr>
      <w:tblGrid/>
    </w:tbl>
    <w:p>
      <w:pPr>
        <w:spacing w:before="0" w:after="0" w:line="240" w:lineRule="auto"/>
        <w:ind w:firstLine="0"/>
        <w:jc w:val="center"/>
      </w:pPr>
      <w:r>
        <w:drawing>
          <wp:inline>
            <wp:extent cx="5580000" cy="2314806"/>
            <wp:docPr id="1" name="Picture 1" descr="Hình 1. Định vị nền tảng trong hệ quy chiếu kiến trúc số và dữ liệu theo ArchiMate." title="Hình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580000" cy="2314806"/>
                    </a:xfrm>
                    <a:prstGeom prst="rect"/>
                  </pic:spPr>
                </pic:pic>
              </a:graphicData>
            </a:graphic>
          </wp:inline>
        </w:drawing>
      </w:r>
    </w:p>
    <w:p>
      <w:pPr>
        <w:pStyle w:val="ImageCaption"/>
        <w:spacing w:line="240" w:lineRule="auto" w:after="60"/>
        <w:ind w:firstLine="0"/>
        <w:jc w:val="both"/>
      </w:pPr>
      <w:r>
        <w:rPr>
          <w:rFonts w:ascii="Times New Roman" w:hAnsi="Times New Roman" w:eastAsia="Times New Roman" w:cs="Times New Roman"/>
          <w:b/>
          <w:i w:val="0"/>
          <w:sz w:val="24"/>
        </w:rPr>
        <w:t>Hình 1. Định vị nền tảng trong hệ quy chiếu kiến trúc số và dữ liệu – góc nhìn động lực–ứng dụng theo ArchiMate</w:t>
      </w:r>
    </w:p>
    <w:bookmarkEnd w:id="32"/>
    <w:bookmarkStart w:id="33" w:name="subsec:phanlop"/>
    <w:p>
      <w:pPr>
        <w:pStyle w:val="Heading2"/>
        <w:spacing w:line="240" w:lineRule="auto" w:after="40" w:before="100"/>
        <w:ind w:firstLine="0"/>
        <w:jc w:val="both"/>
      </w:pPr>
      <w:r>
        <w:rPr>
          <w:rFonts w:ascii="Times New Roman" w:hAnsi="Times New Roman" w:eastAsia="Times New Roman" w:cs="Times New Roman"/>
          <w:b/>
          <w:sz w:val="24"/>
        </w:rPr>
        <w:t>4.3. Kiến trúc năng lực–ứng dụng</w:t>
      </w:r>
    </w:p>
    <w:p>
      <w:pPr>
        <w:pStyle w:val="FirstParagraph"/>
        <w:spacing w:line="240" w:lineRule="auto" w:after="0"/>
        <w:ind w:firstLine="720"/>
        <w:jc w:val="both"/>
      </w:pPr>
      <w:r>
        <w:rPr>
          <w:rFonts w:ascii="Times New Roman" w:hAnsi="Times New Roman" w:eastAsia="Times New Roman" w:cs="Times New Roman"/>
          <w:sz w:val="24"/>
        </w:rPr>
        <w:t xml:space="preserve">Hình </w:t>
      </w:r>
      <w:hyperlink w:anchor="fig:kientruc">
        <w:r>
          <w:rPr>
            <w:rStyle w:val="Hyperlink"/>
          </w:rPr>
          <w:t xml:space="preserve">2</w:t>
        </w:r>
      </w:hyperlink>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biểu diễn V2 bằng phần tử năng lực (</w:t>
      </w:r>
      <w:r>
        <w:rPr>
          <w:rFonts w:ascii="Times New Roman" w:hAnsi="Times New Roman" w:eastAsia="Times New Roman" w:cs="Times New Roman"/>
          <w:i/>
          <w:iCs/>
          <w:sz w:val="24"/>
        </w:rPr>
        <w:t xml:space="preserve">Capability</w:t>
      </w:r>
      <w:r>
        <w:rPr>
          <w:rFonts w:ascii="Times New Roman" w:hAnsi="Times New Roman" w:eastAsia="Times New Roman" w:cs="Times New Roman"/>
          <w:sz w:val="24"/>
        </w:rPr>
        <w:t xml:space="preserve">) và quan hệ liên kết (</w:t>
      </w:r>
      <w:r>
        <w:rPr>
          <w:rFonts w:ascii="Times New Roman" w:hAnsi="Times New Roman" w:eastAsia="Times New Roman" w:cs="Times New Roman"/>
          <w:i/>
          <w:iCs/>
          <w:sz w:val="24"/>
        </w:rPr>
        <w:t xml:space="preserve">Association</w:t>
      </w:r>
      <w:r>
        <w:rPr>
          <w:rFonts w:ascii="Times New Roman" w:hAnsi="Times New Roman" w:eastAsia="Times New Roman" w:cs="Times New Roman"/>
          <w:sz w:val="24"/>
        </w:rPr>
        <w:t xml:space="preserve">) giữa các thành phần ứng dụng với bốn nhóm năng lực: tiếp nhận/vòng đời hồ sơ; thẩm định–công nhận; điều phối/cấu hình; và an toàn–dữ liệu–liên thông. Ở mức trừu tượng của SRA, quan hệ Association được dùng để ghi ánh xạ hỗ trợ mà không khẳng định một quan hệ Realization trực tiếp khi các hành vi/dịch vụ ứng dụng trung gian chưa được mô hình hóa; bộ thích nghi, giao thức và sản phẩm cụ thể vẫn là L3 nếu nguồn không bắt buộc.</w:t>
      </w:r>
    </w:p>
    <w:tbl>
      <w:tblPr>
        <w:tblStyle w:val="FigureTable"/>
        <w:tblW w:type="auto" w:w="0"/>
        <w:jc w:val="center"/>
        <w:tblLayout w:type="autofit"/>
        <w:tblLook w:firstRow="0" w:lastRow="0" w:firstColumn="0" w:lastColumn="0"/>
      </w:tblPr>
      <w:tblGrid/>
    </w:tbl>
    <w:p>
      <w:pPr>
        <w:spacing w:before="0" w:after="0" w:line="240" w:lineRule="auto"/>
        <w:ind w:firstLine="0"/>
        <w:jc w:val="center"/>
      </w:pPr>
      <w:r>
        <w:drawing>
          <wp:inline>
            <wp:extent cx="5580000" cy="2504954"/>
            <wp:docPr id="2" name="Picture 2" descr="Hình 2. Ánh xạ nhóm năng lực vào các thành phần ứng dụng theo ArchiMate." title="Hình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580000" cy="2504954"/>
                    </a:xfrm>
                    <a:prstGeom prst="rect"/>
                  </pic:spPr>
                </pic:pic>
              </a:graphicData>
            </a:graphic>
          </wp:inline>
        </w:drawing>
      </w:r>
    </w:p>
    <w:p>
      <w:pPr>
        <w:pStyle w:val="ImageCaption"/>
        <w:spacing w:line="240" w:lineRule="auto" w:after="60"/>
        <w:ind w:firstLine="0"/>
        <w:jc w:val="both"/>
      </w:pPr>
      <w:r>
        <w:rPr>
          <w:rFonts w:ascii="Times New Roman" w:hAnsi="Times New Roman" w:eastAsia="Times New Roman" w:cs="Times New Roman"/>
          <w:b/>
          <w:i w:val="0"/>
          <w:sz w:val="24"/>
        </w:rPr>
        <w:t>Hình 2. Ánh xạ năng lực vào thành phần ứng dụng – góc nhìn năng lực–ứng dụng theo ArchiMate</w:t>
      </w:r>
    </w:p>
    <w:bookmarkEnd w:id="33"/>
    <w:bookmarkStart w:id="34" w:name="subsec:arch-decisions"/>
    <w:p>
      <w:pPr>
        <w:pStyle w:val="Heading2"/>
        <w:spacing w:line="240" w:lineRule="auto" w:after="40" w:before="100"/>
        <w:ind w:firstLine="0"/>
        <w:jc w:val="both"/>
      </w:pPr>
      <w:r>
        <w:rPr>
          <w:rFonts w:ascii="Times New Roman" w:hAnsi="Times New Roman" w:eastAsia="Times New Roman" w:cs="Times New Roman"/>
          <w:b/>
          <w:sz w:val="24"/>
        </w:rPr>
        <w:t>4.4. Các quyết định kiến trúc chính</w:t>
      </w:r>
    </w:p>
    <w:p>
      <w:pPr>
        <w:pStyle w:val="FirstParagraph"/>
        <w:spacing w:line="240" w:lineRule="auto" w:after="0"/>
        <w:ind w:firstLine="720"/>
        <w:jc w:val="both"/>
      </w:pPr>
      <w:r>
        <w:rPr>
          <w:rFonts w:ascii="Times New Roman" w:hAnsi="Times New Roman" w:eastAsia="Times New Roman" w:cs="Times New Roman"/>
          <w:sz w:val="24"/>
        </w:rPr>
        <w:t xml:space="preserve">Năm AD được ghi đầy đủ trong dữ liệu bổ trợ; thân bài giữ lý do và đánh đổi chính [35, pp. 19–27].</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AD01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sau tinh chỉnh chọn biên ghi theo tỉnh với AE24 và mô hình đọc/điều phối trung ương, đồng thời biểu diễn quyền ghi như một gán có chủ thể, địa bàn, khoảng hiệu lực, bằng chứng nguồn và định danh lần chuyển; với một chủ thể, tại một thời điểm chỉ một gán quyền ghi được hoạt động. AE25 định tuyến theo gán hiện hành, còn AE24 chỉ được ghi khi gán đó trỏ tới nút của mình. Quyết định không suy ra trực tiếp từ</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tỉnh có thẩm quyền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thẩm quyền chỉ xác lập ranh giới L1, còn biên dữ liệu vật lý và quy tắc chuyển quyền ghi là L2 dựa thêm trên DRV2–DRV5. Hiện thực hóa mục tiêu dùng một kho vận hành vật lý tách biệt cho mỗi AE24; đánh đổi là tăng chi phí đồng bộ, cắt chuyển, quản trị lược đồ và độ mới dữ liệu.</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AD02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trung gian hóa các luồng chia sẻ bắt buộc qua hạ tầng được quy định: tăng giám sát/truy vết nhưng thêm phụ thuộc hạ tầng.</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AD03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dùng mô hình nền pháp lý trung ương cộng cấu hình địa phương có phiên bản; thẩm quyền, trạng thái quyết định và thời hạn L1 không được ghi đè, trong khi bước nội bộ có thể biến thiên. Sau S10, AD03 còn yêu cầu công bố cửa sổ tương thích và phiên bản tối thiểu còn hỗ trợ; hồ sơ đang xử lý được ghim vào phiên bản quy trình cho tới khi có quy tắc chuyển minh thị. Cách dùng mô hình quy trình cấu hình có tiền lệ ở chính quyền địa phương [37, pp. 486–500].</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AD04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dùng mẫu tương tác lai: truy vấn đồng bộ khi cần đọc, thông điệp/sự kiện có thể gửi lại cho thay đổi trạng thái; đổi lại phải xử lý trùng, thứ tự và bằng chứng nhận.</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AD05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tách địa bàn thẩm quyền khỏi mạng quan hệ hệ sinh thái; quan hệ xuyên tỉnh được lưu như liên kết có nguồn/thời gian hiệu lực. AD01 và AD03 ở dạng này là kết quả của vòng tinh chỉnh B1₀</w:t>
      </w:r>
      <w:r>
        <w:rPr>
          <w:rFonts w:ascii="Times New Roman" w:hAnsi="Times New Roman" w:eastAsia="Times New Roman" w:cs="Times New Roman"/>
          <w:sz w:val="24"/>
        </w:rPr>
        <w:t xml:space="preserve"> </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B1-R tại Mục </w:t>
      </w:r>
      <w:hyperlink w:anchor="subsec:eval-results">
        <w:r>
          <w:rPr>
            <w:rStyle w:val="Hyperlink"/>
          </w:rPr>
          <w:t xml:space="preserve">7.2</w:t>
        </w:r>
      </w:hyperlink>
      <w:r>
        <w:rPr>
          <w:rFonts w:ascii="Times New Roman" w:hAnsi="Times New Roman" w:eastAsia="Times New Roman" w:cs="Times New Roman"/>
          <w:sz w:val="24"/>
        </w:rPr>
        <w:t xml:space="preserve">; chúng vẫn là quyết định thiết kế L2 cần được kiểm thử khi hiện thực hóa.</w:t>
      </w:r>
    </w:p>
    <w:bookmarkEnd w:id="34"/>
    <w:bookmarkStart w:id="36" w:name="subsec:yeucau"/>
    <w:p>
      <w:pPr>
        <w:pStyle w:val="Heading2"/>
        <w:spacing w:line="240" w:lineRule="auto" w:after="40" w:before="100"/>
        <w:ind w:firstLine="0"/>
        <w:jc w:val="both"/>
      </w:pPr>
      <w:r>
        <w:rPr>
          <w:rFonts w:ascii="Times New Roman" w:hAnsi="Times New Roman" w:eastAsia="Times New Roman" w:cs="Times New Roman"/>
          <w:b/>
          <w:sz w:val="24"/>
        </w:rPr>
        <w:t>4.5. Nhóm năng lực và ràng buộc vận hành</w:t>
      </w:r>
    </w:p>
    <w:p>
      <w:pPr>
        <w:pStyle w:val="FirstParagraph"/>
        <w:spacing w:line="240" w:lineRule="auto" w:after="0"/>
        <w:ind w:firstLine="720"/>
        <w:jc w:val="both"/>
      </w:pPr>
      <w:r>
        <w:rPr>
          <w:rFonts w:ascii="Times New Roman" w:hAnsi="Times New Roman" w:eastAsia="Times New Roman" w:cs="Times New Roman"/>
          <w:sz w:val="24"/>
        </w:rPr>
        <w:t xml:space="preserve">Bảng </w:t>
      </w:r>
      <w:hyperlink w:anchor="tab:nangluc">
        <w:r>
          <w:rPr>
            <w:rStyle w:val="Hyperlink"/>
          </w:rPr>
          <w:t xml:space="preserve">2</w:t>
        </w:r>
      </w:hyperlink>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tóm lược cách các nhóm Cxx.yy được hiện thực hóa; ma trận nguyên tử lưu chi tiết từng nghĩa vụ.</w:t>
      </w:r>
    </w:p>
    <w:bookmarkStart w:id="35" w:name="tab:nangluc"/>
    <w:p>
      <w:pPr>
        <w:pStyle w:val="TableCaption"/>
        <w:spacing w:line="240" w:lineRule="auto" w:after="40" w:before="60"/>
        <w:ind w:firstLine="0"/>
        <w:jc w:val="both"/>
      </w:pPr>
      <w:r>
        <w:rPr>
          <w:rFonts w:ascii="Times New Roman" w:hAnsi="Times New Roman" w:eastAsia="Times New Roman" w:cs="Times New Roman"/>
          <w:b/>
          <w:i w:val="0"/>
          <w:sz w:val="24"/>
        </w:rPr>
        <w:t>Bảng 2. Nhóm năng lực và đáp ứng kiến trúc chính</w:t>
      </w:r>
    </w:p>
    <w:tbl>
      <w:tblPr>
        <w:tblStyle w:val="Table"/>
        <w:tblW w:type="auto" w:w="0"/>
        <w:jc w:val="left"/>
        <w:tblLayout w:type="autofit"/>
        <w:tblLook w:firstRow="1" w:lastRow="0" w:firstColumn="0" w:lastColumn="0" w:noHBand="0" w:noVBand="0" w:val="0020"/>
        <w:tblCaption w:val="Nhóm năng lực và đáp ứng kiến trúc chính"/>
      </w:tblPr>
      <w:tblGrid>
        <w:gridCol w:w="2640"/>
        <w:gridCol w:w="2640"/>
        <w:gridCol w:w="2640"/>
      </w:tblGrid>
      <w:tr>
        <w:trPr>
          <w:tblHeader w:val="on"/>
          <w:tblHeader w:val="true"/>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Nhóm năng lực</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Nguồn/vị trí đại diện</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Đáp ứng kiến trúc</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Định danh pháp lý DN</w:t>
            </w:r>
          </w:p>
        </w:tc>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C04.02, C05.08–C05.10, C06.12</w:t>
            </w:r>
            <w:r>
              <w:rPr>
                <w:rFonts w:ascii="Times New Roman" w:hAnsi="Times New Roman" w:eastAsia="Times New Roman" w:cs="Times New Roman"/>
                <w:sz w:val="20"/>
              </w:rPr>
              <w:t xml:space="preserve">; điểm b khoản 2 Điều 11 Luật Dữ liệu; khoản 1–3 Điều 5 NĐ 278; QĐ 1973 Mục III.3.3</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AE03/AE15–AE16; AD01. Tham chiếu/đồng bộ nguồn quốc gia; không tạo lại dữ liệu chủ.</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Công nhận DN KNST</w:t>
            </w:r>
          </w:p>
        </w:tc>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C03.02–C03.30</w:t>
            </w:r>
            <w:r>
              <w:rPr>
                <w:rFonts w:ascii="Times New Roman" w:hAnsi="Times New Roman" w:eastAsia="Times New Roman" w:cs="Times New Roman"/>
                <w:sz w:val="20"/>
              </w:rPr>
              <w:t xml:space="preserve">; khoản 1–3 Điều 35; khoản 2–3 Điều 39; khoản 1–4 Điều 41; khoản 1–3 Điều 43; khoản 3–4 Điều 44; khoản 1–3 Điều 45 NĐ 268</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Hồ sơ tiêu chí, hội đồng, máy trạng thái, hiệu lực giấy, cấp lại/chấm dứt và lịch sử quyết định tại AE24/AE26.</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Chứng nhận DN KH&amp;CN</w:t>
            </w:r>
          </w:p>
        </w:tc>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C03.31–C03.43</w:t>
            </w:r>
            <w:r>
              <w:rPr>
                <w:rFonts w:ascii="Times New Roman" w:hAnsi="Times New Roman" w:eastAsia="Times New Roman" w:cs="Times New Roman"/>
                <w:sz w:val="20"/>
              </w:rPr>
              <w:t xml:space="preserve">; khoản 1,3 Điều 48; khoản 1, điểm b khoản 2 Điều 50; khoản 1–3 Điều 51; khoản 3 Điều 52; khoản 1–5 Điều 53 NĐ 268</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AE24 tiếp nhận/thẩm định/cấp lại/hậu kiểm; AE26 khóa các cổng pháp lý, cho phép biến thiên bước nội bộ.</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Thông báo/báo cáo liên cấp</w:t>
            </w:r>
          </w:p>
        </w:tc>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C03.44, C03.46, C03.48</w:t>
            </w:r>
            <w:r>
              <w:rPr>
                <w:rFonts w:ascii="Times New Roman" w:hAnsi="Times New Roman" w:eastAsia="Times New Roman" w:cs="Times New Roman"/>
                <w:sz w:val="20"/>
              </w:rPr>
              <w:t xml:space="preserve">; khoản 2 Điều 54; khoản 2,5 Điều 66 NĐ 268</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AE24 tạo bản ghi nguồn; AE25 nhận bản đọc/thông báo, giám sát hạn và tổng hợp theo kỳ.</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Dữ liệu chủ, danh mục, siêu dữ liệu</w:t>
            </w:r>
          </w:p>
        </w:tc>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C02.01–C02.04, C04.01, C05.11–C05.12, C06.11–C06.14</w:t>
            </w:r>
            <w:r>
              <w:rPr>
                <w:rFonts w:ascii="Times New Roman" w:hAnsi="Times New Roman" w:eastAsia="Times New Roman" w:cs="Times New Roman"/>
                <w:sz w:val="20"/>
              </w:rPr>
              <w:t xml:space="preserve">; QĐ 2439 Chương I Mục I.1; NĐ 278 khoản 1–2 Điều 6; QĐ 1973 Mục III.3.2–III.3.3</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Từ điển/danh mục dùng chung, ánh xạ mã, nguồn, chất lượng, phiên bản và lịch sử thay đổi.</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Nút dữ liệu tỉnh và mô hình đọc trung ương</w:t>
            </w:r>
          </w:p>
        </w:tc>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C03.31–C03.48, C05.13–C05.16</w:t>
            </w:r>
            <w:r>
              <w:rPr>
                <w:rFonts w:ascii="Times New Roman" w:hAnsi="Times New Roman" w:eastAsia="Times New Roman" w:cs="Times New Roman"/>
                <w:sz w:val="20"/>
              </w:rPr>
              <w:t xml:space="preserve">; NĐ 278 điểm a–b khoản 2, khoản 3 Điều 7</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AE24–AE25; AD01/AD04. Phân vùng quyền ghi, đồng bộ/truy vấn có nguồn gốc và độ mới.</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Cấu hình quy trình</w:t>
            </w:r>
          </w:p>
        </w:tc>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C03.10–C03.14, C03.27–C03.30, C03.40–C03.42</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AE18/AE26; AD03. Mô hình nền L1 + cấu hình địa phương có phiên bản và cổng kiểm tra tuân thủ.</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Liên thông dữ liệu</w:t>
            </w:r>
          </w:p>
        </w:tc>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C05.02, C05.13–C05.16, C06.09–C06.10</w:t>
            </w:r>
            <w:r>
              <w:rPr>
                <w:rFonts w:ascii="Times New Roman" w:hAnsi="Times New Roman" w:eastAsia="Times New Roman" w:cs="Times New Roman"/>
                <w:sz w:val="20"/>
              </w:rPr>
              <w:t xml:space="preserve">; NĐ 278 khoản 2 Điều 4, điểm a–b khoản 2, khoản 3 Điều 7; QĐ 1973 Mục III.1.4</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AE11–AE12/AE20; AD02. Tích hợp qua LGSP/LDOP (theo ký hiệu của QĐ 1973), Agent Node và hạ tầng chia sẻ; không tạo trục điểm–điểm song song.</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Định danh/xác thực</w:t>
            </w:r>
          </w:p>
        </w:tc>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C08.01, C08.06–C08.09</w:t>
            </w:r>
            <w:r>
              <w:rPr>
                <w:rFonts w:ascii="Times New Roman" w:hAnsi="Times New Roman" w:eastAsia="Times New Roman" w:cs="Times New Roman"/>
                <w:sz w:val="20"/>
              </w:rPr>
              <w:t xml:space="preserve">; NĐ 69 khoản 2 Điều 12, khoản 1–2 Điều 18, khoản 1–2,4 Điều 19</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Dùng nguồn định danh/xác thực có thẩm quyền; quyền nghiệp vụ vẫn do miền quản lý.</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An toàn và dữ liệu cá nhân</w:t>
            </w:r>
          </w:p>
        </w:tc>
        <w:tc>
          <w:tcPr>
            <w:vAlign w:val="center"/>
          </w:tcPr>
          <w:p>
            <w:pPr>
              <w:pStyle w:val="Compact"/>
              <w:spacing w:before="0" w:after="0" w:line="240" w:lineRule="auto"/>
              <w:ind w:firstLine="0"/>
              <w:jc w:val="left"/>
            </w:pPr>
            <w:r>
              <w:rPr>
                <w:rStyle w:val="VerbatimChar"/>
                <w:rFonts w:ascii="Times New Roman" w:hAnsi="Times New Roman" w:eastAsia="Times New Roman" w:cs="Times New Roman"/>
                <w:sz w:val="20"/>
              </w:rPr>
              <w:t xml:space="preserve">C09.01–C09.05</w:t>
            </w:r>
            <w:r>
              <w:rPr>
                <w:rFonts w:ascii="Times New Roman" w:hAnsi="Times New Roman" w:eastAsia="Times New Roman" w:cs="Times New Roman"/>
                <w:sz w:val="20"/>
              </w:rPr>
              <w:t xml:space="preserve">; Luật 91 điểm c khoản 1, khoản 2 Điều 19; điểm c,e khoản 1 Điều 37; NĐ 356 khoản 2 Điều 4</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AE14–AE15/AE23: phân loại, biên tin cậy, phân quyền, nhật ký và vòng đời dữ liệu.</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Năng lực mở rộng</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Không có ràng buộc A trực tiếp</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Khớp nối nguồn lực/bảng điều khiển chỉ ở L3 sau khi yêu cầu và tiêu chí đánh giá được xác nhận.</w:t>
            </w:r>
          </w:p>
        </w:tc>
      </w:tr>
    </w:tbl>
    <w:bookmarkEnd w:id="35"/>
    <w:p>
      <w:pPr>
        <w:pStyle w:val="BodyText"/>
        <w:spacing w:line="240" w:lineRule="auto" w:after="0"/>
        <w:ind w:firstLine="720"/>
        <w:jc w:val="both"/>
      </w:pPr>
      <w:r>
        <w:rPr>
          <w:rFonts w:ascii="Times New Roman" w:hAnsi="Times New Roman" w:eastAsia="Times New Roman" w:cs="Times New Roman"/>
          <w:sz w:val="24"/>
        </w:rPr>
        <w:t xml:space="preserve">Các thời hạn 05/15 ngày ở khoản 2 Điều 43; 03/15 ngày ở khoản 1–2 Điều 51; 10 ngày ở khoản 3 Điều 52; chu kỳ 03 năm và công khai tối thiểu 30 ngày ở khoản 1,5 Điều 53; trước 15/12 ở khoản 2 Điều 54; 15 ngày/trước 31/3 ở khoản 2,5 Điều 66 NĐ 268 là</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ràng buộc thời gian nghiệp vụ</w:t>
      </w:r>
      <w:r>
        <w:rPr>
          <w:rFonts w:ascii="Times New Roman" w:hAnsi="Times New Roman" w:eastAsia="Times New Roman" w:cs="Times New Roman"/>
          <w:sz w:val="24"/>
        </w:rPr>
        <w:t xml:space="preserve">, không phải độ trễ kỹ thuật [1]. Kiến trúc phải lưu thời điểm/trạng thái/bằng chứng gửi–nhận để kiểm tra các mốc này. Các ngưỡng tính sẵn sàng, tốc độ xử lý, khả năng mở rộng và thời gian phục hồi chỉ được chốt sau đo kiểm; V5/V6 bắt buộc mô tả cấu trúc triển khai, biên tin cậy, phụ thuộc tích hợp, phân loại/truy cập và nhật ký nhưng không cố định sản phẩm công nghệ.</w:t>
      </w:r>
    </w:p>
    <w:bookmarkEnd w:id="36"/>
    <w:bookmarkEnd w:id="37"/>
    <w:bookmarkStart w:id="42" w:name="sec:data"/>
    <w:p>
      <w:pPr>
        <w:pStyle w:val="Heading1"/>
        <w:spacing w:line="240" w:lineRule="auto" w:after="60" w:before="120"/>
        <w:ind w:firstLine="0"/>
        <w:jc w:val="both"/>
      </w:pPr>
      <w:r>
        <w:rPr>
          <w:rFonts w:ascii="Times New Roman" w:hAnsi="Times New Roman" w:eastAsia="Times New Roman" w:cs="Times New Roman"/>
          <w:b/>
          <w:sz w:val="24"/>
        </w:rPr>
        <w:t>5. Kiến trúc dữ liệu của nền tảng</w:t>
      </w:r>
    </w:p>
    <w:bookmarkStart w:id="38" w:name="subsec:phanlopdulieu"/>
    <w:p>
      <w:pPr>
        <w:pStyle w:val="Heading2"/>
        <w:spacing w:line="240" w:lineRule="auto" w:after="40" w:before="100"/>
        <w:ind w:firstLine="0"/>
        <w:jc w:val="both"/>
      </w:pPr>
      <w:r>
        <w:rPr>
          <w:rFonts w:ascii="Times New Roman" w:hAnsi="Times New Roman" w:eastAsia="Times New Roman" w:cs="Times New Roman"/>
          <w:b/>
          <w:sz w:val="24"/>
        </w:rPr>
        <w:t>5.1. Phân tán vật lý, thống nhất logic</w:t>
      </w:r>
    </w:p>
    <w:p>
      <w:pPr>
        <w:pStyle w:val="FirstParagraph"/>
        <w:spacing w:line="240" w:lineRule="auto" w:after="0"/>
        <w:ind w:firstLine="720"/>
        <w:jc w:val="both"/>
      </w:pPr>
      <w:r>
        <w:rPr>
          <w:rFonts w:ascii="Times New Roman" w:hAnsi="Times New Roman" w:eastAsia="Times New Roman" w:cs="Times New Roman"/>
          <w:sz w:val="24"/>
        </w:rPr>
        <w:t xml:space="preserve">Kiến trúc dữ liệu áp dụng nguyên tắc</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biên ghi phân tán theo tỉnh nhưng thống nhất logic và quản trị</w:t>
      </w:r>
      <w:r>
        <w:rPr>
          <w:rFonts w:ascii="Times New Roman" w:hAnsi="Times New Roman" w:eastAsia="Times New Roman" w:cs="Times New Roman"/>
          <w:sz w:val="24"/>
        </w:rPr>
        <w:t xml:space="preserve">. Mỗi AE24 là một nút dữ liệu nghiệp vụ cấp tỉnh; trong hiện thực hóa mục tiêu, nút này có kho dữ liệu vận hành vật lý tách biệt để lưu hồ sơ, quyết định, giấy và lịch sử khi nút có quyền ghi hiệu lực. Sau tinh chỉnh S9, quyền ghi không chỉ là thuộc tính địa bàn tĩnh mà là một gán theo thời gian; AE25 duy trì sổ định tuyến gán quyền cùng siêu dữ liệu, dữ liệu tổng hợp và mô hình đọc phục vụ giám sát. Cách bố trí vật lý không thay nguyên tắc một nguồn: định danh doanh nghiệp vẫn lấy từ CSDL quốc gia về doanh nghiệp; quyết định do tỉnh có thẩm quyền ban hành có bản ghi nghiệp vụ chính tại AE24 đang được gán quyền ghi, còn bản trung ương chỉ là bản đọc/phân phối có nguồn gốc. AE24 không mặc nhiên là một CSDL chuyên ngành độc lập theo nghĩa quản lý nhà nước.</w:t>
      </w:r>
    </w:p>
    <w:p>
      <w:pPr>
        <w:pStyle w:val="BodyText"/>
        <w:spacing w:line="240" w:lineRule="auto" w:after="0"/>
        <w:ind w:firstLine="720"/>
        <w:jc w:val="both"/>
      </w:pPr>
      <w:r>
        <w:rPr>
          <w:rFonts w:ascii="Times New Roman" w:hAnsi="Times New Roman" w:eastAsia="Times New Roman" w:cs="Times New Roman"/>
          <w:sz w:val="24"/>
        </w:rPr>
        <w:t xml:space="preserve">Mô hình phù hợp với Mục II.1–II.2 QĐ 1973 về phạm vi lưu trữ, tránh trùng lặp và điểm tạo lập; khoản 2 Điều 5 NĐ 278 về một nguồn tin cậy; và điểm a–b khoản 2 Điều 7 về truy vấn/đồng bộ qua hạ tầng chia sẻ [11, 22]. Vì vậy, các tỉnh dùng cùng hợp đồng dữ liệu, từ điển, siêu dữ liệu và quy tắc phiên bản; khác biệt nằm ở gán quyền ghi theo phạm vi/thời gian và cấu hình nghiệp vụ hợp lệ. Khi các nút nâng cấp lệch thời điểm, hợp đồng trao đổi phải mang phiên bản và tuân thủ cửa sổ tương thích do AD03 quy định.</w:t>
      </w:r>
    </w:p>
    <w:p>
      <w:pPr>
        <w:pStyle w:val="BodyText"/>
        <w:spacing w:line="240" w:lineRule="auto" w:after="0"/>
        <w:ind w:firstLine="720"/>
        <w:jc w:val="both"/>
      </w:pPr>
      <w:r>
        <w:rPr>
          <w:rFonts w:ascii="Times New Roman" w:hAnsi="Times New Roman" w:eastAsia="Times New Roman" w:cs="Times New Roman"/>
          <w:sz w:val="24"/>
        </w:rPr>
        <w:t xml:space="preserve">Hình </w:t>
      </w:r>
      <w:hyperlink w:anchor="fig:kientrucdulieu">
        <w:r>
          <w:rPr>
            <w:rStyle w:val="Hyperlink"/>
          </w:rPr>
          <w:t xml:space="preserve">3</w:t>
        </w:r>
      </w:hyperlink>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dùng góc nhìn ứng dụng–dữ liệu theo ArchiMate 3.2: thành phần ứng dụng (Application Component) truy cập đối tượng dữ liệu (Data Object) bằng quan hệ truy cập (Access), còn quan hệ luồng (Flow) biểu diễn trao đổi giữa các thành phần ứng dụng [34, Chs. 5, 9; Apps. A–B]. Cách biểu diễn này tránh dùng quan hệ dữ liệu–dữ liệu để thay cho hành vi đồng bộ.</w:t>
      </w:r>
    </w:p>
    <w:tbl>
      <w:tblPr>
        <w:tblStyle w:val="FigureTable"/>
        <w:tblW w:type="auto" w:w="0"/>
        <w:jc w:val="center"/>
        <w:tblLayout w:type="autofit"/>
        <w:tblLook w:firstRow="0" w:lastRow="0" w:firstColumn="0" w:lastColumn="0"/>
      </w:tblPr>
      <w:tblGrid/>
    </w:tbl>
    <w:p>
      <w:pPr>
        <w:spacing w:before="0" w:after="0" w:line="240" w:lineRule="auto"/>
        <w:ind w:firstLine="0"/>
        <w:jc w:val="center"/>
      </w:pPr>
      <w:r>
        <w:drawing>
          <wp:inline>
            <wp:extent cx="5580000" cy="3377283"/>
            <wp:docPr id="3" name="Picture 3" descr="Hình 3. Kiến trúc dữ liệu phân tán tỉnh-trung ương theo góc nhìn ứng dụng-dữ liệu ArchiMate." title="Hình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580000" cy="3377283"/>
                    </a:xfrm>
                    <a:prstGeom prst="rect"/>
                  </pic:spPr>
                </pic:pic>
              </a:graphicData>
            </a:graphic>
          </wp:inline>
        </w:drawing>
      </w:r>
    </w:p>
    <w:p>
      <w:pPr>
        <w:pStyle w:val="ImageCaption"/>
        <w:spacing w:line="240" w:lineRule="auto" w:after="60"/>
        <w:ind w:firstLine="0"/>
        <w:jc w:val="both"/>
      </w:pPr>
      <w:r>
        <w:rPr>
          <w:rFonts w:ascii="Times New Roman" w:hAnsi="Times New Roman" w:eastAsia="Times New Roman" w:cs="Times New Roman"/>
          <w:b/>
          <w:i w:val="0"/>
          <w:sz w:val="24"/>
        </w:rPr>
        <w:t>Hình 3. Kiến trúc dữ liệu phân tán tỉnh–trung ương – góc nhìn ứng dụng–dữ liệu theo ArchiMate</w:t>
      </w:r>
    </w:p>
    <w:bookmarkEnd w:id="38"/>
    <w:bookmarkStart w:id="40" w:name="subsec:masterdata"/>
    <w:p>
      <w:pPr>
        <w:pStyle w:val="Heading2"/>
        <w:spacing w:line="240" w:lineRule="auto" w:after="40" w:before="100"/>
        <w:ind w:firstLine="0"/>
        <w:jc w:val="both"/>
      </w:pPr>
      <w:r>
        <w:rPr>
          <w:rFonts w:ascii="Times New Roman" w:hAnsi="Times New Roman" w:eastAsia="Times New Roman" w:cs="Times New Roman"/>
          <w:b/>
          <w:sz w:val="24"/>
        </w:rPr>
        <w:t>5.2. Phân vùng, đồng bộ và thẩm quyền dữ liệu</w:t>
      </w:r>
    </w:p>
    <w:p>
      <w:pPr>
        <w:pStyle w:val="FirstParagraph"/>
        <w:spacing w:line="240" w:lineRule="auto" w:after="0"/>
        <w:ind w:firstLine="720"/>
        <w:jc w:val="both"/>
      </w:pPr>
      <w:r>
        <w:rPr>
          <w:rFonts w:ascii="Times New Roman" w:hAnsi="Times New Roman" w:eastAsia="Times New Roman" w:cs="Times New Roman"/>
          <w:sz w:val="24"/>
        </w:rPr>
        <w:t xml:space="preserve">Mỗi nút AE24 dùng cùng lược đồ logic và phải lưu tối thiểu mã địa phương, định danh doanh nghiệp/chủ thể, định danh hồ sơ/quyết định, phiên bản lược đồ, nguồn, thời điểm tạo và thời điểm hiệu lực. B1-R bổ sung bản ghi gán quyền ghi gồm tối thiểu</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subject_id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jurisdiction_id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valid_from</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valid_to</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source_evidence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và</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transfer_id</w:t>
      </w:r>
      <w:r>
        <w:rPr>
          <w:rFonts w:ascii="Times New Roman" w:hAnsi="Times New Roman" w:eastAsia="Times New Roman" w:cs="Times New Roman"/>
          <w:sz w:val="24"/>
        </w:rPr>
        <w:t xml:space="preserve">; bất biến thiết kế là một chủ thể chỉ có tối đa một gán quyền ghi đang hiệu lực tại cùng thời điểm. Khi chuyển gán, quyền ghi cũ phải kết thúc tại điểm cắt, lịch sử được bảo toàn và quyền mới chỉ có hiệu lực sau khi điều kiện chuyển hoàn tất. Đây là L2, không phải cấu trúc dữ liệu do văn bản pháp lý quy định. AE25 có thể nhận dữ liệu bằng truy vấn, đồng bộ một phần hoặc đồng bộ miền được phép theo điểm a–b khoản 2 Điều 7 NĐ 278; chiến lược được chọn theo tập dữ liệu. Mô hình đọc phải công bố thời điểm nhận bản mới nhất và không được trình bày bản sao như quyết định gốc [22].</w:t>
      </w:r>
    </w:p>
    <w:p>
      <w:pPr>
        <w:pStyle w:val="BodyText"/>
        <w:spacing w:line="240" w:lineRule="auto" w:after="0"/>
        <w:ind w:firstLine="720"/>
        <w:jc w:val="both"/>
      </w:pPr>
      <w:r>
        <w:rPr>
          <w:rFonts w:ascii="Times New Roman" w:hAnsi="Times New Roman" w:eastAsia="Times New Roman" w:cs="Times New Roman"/>
          <w:sz w:val="24"/>
        </w:rPr>
        <w:t xml:space="preserve">Nguyên tắc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một nguồn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được áp dụng tới từng nhóm thuộc tính, không suy rộng thành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một doanh nghiệp chỉ có một CSDL vật lý</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Khoản 2 Điều 5 NĐ 278 và Mục II.1(b), II.2(đ) QĐ 1973 yêu cầu xác định nguồn/điểm tạo lập theo loại dữ liệu; Mục III.3.3 QĐ 1973 xác định dữ liệu tổ chức, doanh nghiệp nhận từ CSDL quốc gia về doanh nghiệp [22, 11]. AE16 vì vậy phân biệt bốn vai trò:</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thẩm quyền pháp lý</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thẩm quyền tạo/cập nhật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hệ thống lưu bản ghi nghiệp vụ chính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i/>
          <w:iCs/>
          <w:sz w:val="24"/>
        </w:rPr>
        <w:t xml:space="preserve">system of record</w:t>
      </w:r>
      <w:r>
        <w:rPr>
          <w:rFonts w:ascii="Times New Roman" w:hAnsi="Times New Roman" w:eastAsia="Times New Roman" w:cs="Times New Roman"/>
          <w:sz w:val="24"/>
        </w:rPr>
        <w:t xml:space="preserve">, SoR); và</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nguồn phân phối/tham chiếu</w:t>
      </w:r>
      <w:r>
        <w:rPr>
          <w:rFonts w:ascii="Times New Roman" w:hAnsi="Times New Roman" w:eastAsia="Times New Roman" w:cs="Times New Roman"/>
          <w:sz w:val="24"/>
        </w:rPr>
        <w:t xml:space="preserve">. Bản sao tại nền tảng không tự trở thành thẩm quyền pháp lý hoặc SoR.</w:t>
      </w:r>
    </w:p>
    <w:bookmarkStart w:id="39" w:name="tab:masterdata"/>
    <w:p>
      <w:pPr>
        <w:pStyle w:val="TableCaption"/>
        <w:spacing w:line="240" w:lineRule="auto" w:after="40" w:before="60"/>
        <w:ind w:firstLine="0"/>
        <w:jc w:val="both"/>
      </w:pPr>
      <w:r>
        <w:rPr>
          <w:rFonts w:ascii="Times New Roman" w:hAnsi="Times New Roman" w:eastAsia="Times New Roman" w:cs="Times New Roman"/>
          <w:b/>
          <w:i w:val="0"/>
          <w:sz w:val="24"/>
        </w:rPr>
        <w:t>Bảng 3. Nguồn có thẩm quyền theo nhóm dữ liệu</w:t>
      </w:r>
    </w:p>
    <w:tbl>
      <w:tblPr>
        <w:tblStyle w:val="Table"/>
        <w:tblW w:type="auto" w:w="0"/>
        <w:jc w:val="left"/>
        <w:tblLayout w:type="autofit"/>
        <w:tblLook w:firstRow="1" w:lastRow="0" w:firstColumn="0" w:lastColumn="0" w:noHBand="0" w:noVBand="0" w:val="0020"/>
        <w:tblCaption w:val="Nguồn có thẩm quyền theo nhóm dữ liệu"/>
      </w:tblPr>
      <w:tblGrid>
        <w:gridCol w:w="2640"/>
        <w:gridCol w:w="2640"/>
        <w:gridCol w:w="2640"/>
      </w:tblGrid>
      <w:tr>
        <w:trPr>
          <w:tblHeader w:val="on"/>
          <w:tblHeader w:val="true"/>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Nhóm dữ liệu</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Nguồn/vai trò có thẩm quyền</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Vai trò của nền tảng</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Định danh pháp lý DN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Điểm b khoản 2 Điều 11 Luật Dữ liệu; khoản 1–3 Điều 5 NĐ 278; QĐ 1973 Mục III.3.3, STT 3 [24, 22, 11]. CSDL quốc gia về doanh nghiệp là nguồn tham chiếu/định danh.</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Tham chiếu/đồng bộ khóa và thuộc tính cần thiết; không tạo lại tên, mã hay trạng thái đăng ký.</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Trạng thái/giấy DN KH&amp;CN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Khoản 1,3 Điều 48; khoản 1–3 Điều 51; khoản 3 Điều 52; khoản 1–5 Điều 53; khoản 2 Điều 66 NĐ 268 [1]. Tỉnh có thẩm quyền tạo quyết định; AE24 đang có gán quyền ghi hiệu lực là SoR nghiệp vụ cho trạng thái chuyên ngành thuộc phạm vi đó.</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AE25 nhận bản đọc/thông báo để giám sát, tổng hợp và giữ sổ định tuyến quyền ghi; luôn giữ nguồn, phiên bản và thời điểm đồng bộ.</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Trạng thái/giấy DN KNST</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Khoản 2–3 Điều 39; khoản 1–3 Điều 43; khoản 3–4 Điều 44; khoản 1–3 Điều 45; khoản 2 Điều 66 NĐ 268 [1]. Tỉnh có thẩm quyền tạo quyết định; AE24 đang có gán quyền ghi hiệu lực là SoR nghiệp vụ cho trạng thái chuyên ngành thuộc phạm vi đó.</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Quản lý vòng đời tại tỉnh; trung ương lưu bản đọc/tổng hợp, bằng chứng trao đổi và thông tin định tuyến quyền ghi.</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Minh chứng, năng lực và báo cáo</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QĐ 1973 Phụ lục Mục 3–4; dự thảo Phụ lục IV/IX [11, 26]. Nguồn cụ thể phụ thuộc từng loại kết quả/văn bằng/báo cáo.</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Lưu tham chiếu hoặc dữ liệu nghiệp vụ cần thiết kèm trạng thái xác minh; không biến dữ liệu tự khai thành dữ liệu chủ đã xác thực.</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Quan hệ hệ sinh thái</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QĐ 1973 Phụ lục Mục 3; quan hệ có thể vượt địa giới [13, pp. 27–28]; [14, pp. 1483–1484].</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Lưu liên kết có nguồn, thời gian hiệu lực và địa bàn hai đầu; không nhân bản thành nhiều</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sự thật</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theo tỉnh.</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Danh mục/từ điển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NĐ 278 khoản 4 Điều 4, khoản 1–2 Điều 6; QĐ 1973 Mục II.1–II.2, III.3.2 [22, 11].</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Kế thừa mã/danh mục cấp trên; mở rộng chuyên ngành có phiên bản và ánh xạ.</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Siêu dữ liệu/nguồn gốc</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Luật Dữ liệu điểm đ khoản 2 Điều 11, khoản 1 Điều 12; NĐ 278 khoản 5,7 Điều 4; QĐ 1973 Mục III.3.2 [24, 22, 11].</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Gắn nguồn, thời điểm, trạng thái xác minh, phiên bản và lịch sử thay đổi; hỗ trợ kiểm toán/đối soát.</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Dữ liệu tổng hợp/mở</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QĐ 1973 Mục III.3.2, STT 6–7 [11].</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Dữ liệu dẫn xuất phải truy nguyên về tập nguồn/phiên bản và không thay nguồn có thẩm quyền đầu vào.</w:t>
            </w:r>
          </w:p>
        </w:tc>
      </w:tr>
    </w:tbl>
    <w:bookmarkEnd w:id="39"/>
    <w:p>
      <w:pPr>
        <w:pStyle w:val="BodyText"/>
        <w:spacing w:line="240" w:lineRule="auto" w:after="0"/>
        <w:ind w:firstLine="720"/>
        <w:jc w:val="both"/>
      </w:pPr>
      <w:r>
        <w:rPr>
          <w:rFonts w:ascii="Times New Roman" w:hAnsi="Times New Roman" w:eastAsia="Times New Roman" w:cs="Times New Roman"/>
          <w:sz w:val="24"/>
        </w:rPr>
        <w:t xml:space="preserve">Phụ lục IV/IX của dự thảo mô tả MD001 như</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bản ghi gốc</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đồng thời lấy dữ liệu đăng ký doanh nghiệp và dữ liệu chuyên ngành [26]; trong khi Mục III.3.3 QĐ 1973 đặt dữ liệu tổ chức/doanh nghiệp ở nguồn quốc gia [11]. Bài không kết luận xung đột mà yêu cầu tách ở cấp thuộc tính. Tương tự, cụm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quản lý tập trung, thống nhất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tại khoản 3 Điều 4 dự thảo được hiểu thận trọng là quản trị logic thống nhất; nếu văn bản chính thức sau này yêu cầu một CSDL vật lý tập trung duy nhất, AD01 phải được đánh giá lại.</w:t>
      </w:r>
    </w:p>
    <w:bookmarkEnd w:id="40"/>
    <w:bookmarkStart w:id="41" w:name="subsec:chuanhoa"/>
    <w:p>
      <w:pPr>
        <w:pStyle w:val="Heading2"/>
        <w:spacing w:line="240" w:lineRule="auto" w:after="40" w:before="100"/>
        <w:ind w:firstLine="0"/>
        <w:jc w:val="both"/>
      </w:pPr>
      <w:r>
        <w:rPr>
          <w:rFonts w:ascii="Times New Roman" w:hAnsi="Times New Roman" w:eastAsia="Times New Roman" w:cs="Times New Roman"/>
          <w:b/>
          <w:sz w:val="24"/>
        </w:rPr>
        <w:t>5.3. Chuẩn hóa, chất lượng và lưu vết</w:t>
      </w:r>
    </w:p>
    <w:p>
      <w:pPr>
        <w:pStyle w:val="FirstParagraph"/>
        <w:spacing w:line="240" w:lineRule="auto" w:after="0"/>
        <w:ind w:firstLine="720"/>
        <w:jc w:val="both"/>
      </w:pPr>
      <w:r>
        <w:rPr>
          <w:rFonts w:ascii="Times New Roman" w:hAnsi="Times New Roman" w:eastAsia="Times New Roman" w:cs="Times New Roman"/>
          <w:sz w:val="24"/>
        </w:rPr>
        <w:t xml:space="preserve">Dự thảo Phụ lục I quy định hệ mã DC/MD/F/LC/SYS tại Điều 4, mã quốc gia/ngôn ngữ và UTF-8 tại Điều 7, các định dạng JSON/XML/CSV/XLSX tại Điều 8 và siêu dữ liệu nguồn–thời gian–trạng thái–phiên bản tại Điều 9 [26]. Đây là nguồn D nên chỉ dùng để kiểm tra khả năng tương thích. Các quy ước phải được đối sánh với yêu cầu dùng thống nhất bảng mã/dữ liệu chủ và chất lượng tại điểm a–b khoản 2 Điều 11, khoản 1 Điều 12 Luật Dữ liệu; yêu cầu khung/từ điển, mô tả và khả năng liên thông tại khoản 4–5,7 Điều 4 và khoản 1–2 Điều 6 NĐ 278; cùng Mục II.2(e), IV.2.3.3 và IV.3 QĐ 1973 [24, 22, 11].</w:t>
      </w:r>
    </w:p>
    <w:p>
      <w:pPr>
        <w:pStyle w:val="BodyText"/>
        <w:spacing w:line="240" w:lineRule="auto" w:after="0"/>
        <w:ind w:firstLine="720"/>
        <w:jc w:val="both"/>
      </w:pPr>
      <w:r>
        <w:rPr>
          <w:rFonts w:ascii="Times New Roman" w:hAnsi="Times New Roman" w:eastAsia="Times New Roman" w:cs="Times New Roman"/>
          <w:sz w:val="24"/>
        </w:rPr>
        <w:t xml:space="preserve">Phép đối sánh giữ ba điểm chẩn đoán: dự thảo còn viện dẫn NĐ 47/2020/NĐ-CP dù khoản 2 Điều 23 NĐ 278 đã làm văn bản này hết hiệu lực; MD001 cần tách định danh pháp lý khỏi trạng thái chuyên ngành; và Phụ lục STT 38 QĐ 1762 hiện chỉ liệt kê</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CSDL Doanh nghiệp khởi nghiệp</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trong khi dự thảo tổ chức cả hai miền DN KH&amp;CN/DN KNST [22, 25, 26]. Hai điểm sau giữ trạng thái</w:t>
      </w:r>
      <w:r>
        <w:rPr>
          <w:rFonts w:ascii="Times New Roman" w:hAnsi="Times New Roman" w:eastAsia="Times New Roman" w:cs="Times New Roman"/>
          <w:sz w:val="24"/>
        </w:rPr>
        <w:t xml:space="preserve"> </w:t>
      </w:r>
      <w:r>
        <w:rPr>
          <w:rFonts w:ascii="Times New Roman" w:hAnsi="Times New Roman" w:eastAsia="Times New Roman" w:cs="Times New Roman"/>
          <w:smallCaps/>
          <w:sz w:val="24"/>
        </w:rPr>
        <w:t xml:space="preserve">cần làm rõ</w:t>
      </w:r>
      <w:r>
        <w:rPr>
          <w:rFonts w:ascii="Times New Roman" w:hAnsi="Times New Roman" w:eastAsia="Times New Roman" w:cs="Times New Roman"/>
          <w:sz w:val="24"/>
        </w:rPr>
        <w:t xml:space="preserve">, không được nâng thành xung đột khi chưa có quyết định có thẩm quyền.</w:t>
      </w:r>
    </w:p>
    <w:p>
      <w:pPr>
        <w:pStyle w:val="BodyText"/>
        <w:spacing w:line="240" w:lineRule="auto" w:after="0"/>
        <w:ind w:firstLine="720"/>
        <w:jc w:val="both"/>
      </w:pPr>
      <w:r>
        <w:rPr>
          <w:rFonts w:ascii="Times New Roman" w:hAnsi="Times New Roman" w:eastAsia="Times New Roman" w:cs="Times New Roman"/>
          <w:sz w:val="24"/>
        </w:rPr>
        <w:t xml:space="preserve">Chất lượng và nguồn gốc phải là thuộc tính xuyên vòng đời. Khoản 1–2 Điều 14 NĐ 278 yêu cầu kiểm toán về đầy đủ, chính xác, kịp thời và khả năng chia sẻ/tái sử dụng; Mục IV.2.3.1 và IV.2.4.1 QĐ 1973 đặt quản lý chất lượng/vòng đời trong quản trị dữ liệu [22, 11]. Vì vậy, mỗi bản ghi tối thiểu phải truy nguyên được nguồn, thời điểm ghi nhận/hiệu lực, trạng thái xác minh, phiên bản và lịch sử tác động. Đối với giấy công nhận/chứng nhận, các biến cố cấp/cấp lại/chấm dứt/thu hồi tại khoản 1–3 Điều 43, khoản 3 Điều 44, khoản 3 Điều 45 và khoản 1–3 Điều 51, khoản 3 Điều 52, khoản 1,5 Điều 53 NĐ 268 phải được lưu theo phiên bản thay vì ghi đè trạng thái cuối [1].</w:t>
      </w:r>
    </w:p>
    <w:bookmarkEnd w:id="41"/>
    <w:bookmarkEnd w:id="42"/>
    <w:bookmarkStart w:id="48" w:name="sec:interop"/>
    <w:p>
      <w:pPr>
        <w:pStyle w:val="Heading1"/>
        <w:spacing w:line="240" w:lineRule="auto" w:after="60" w:before="120"/>
        <w:ind w:firstLine="0"/>
        <w:jc w:val="both"/>
      </w:pPr>
      <w:r>
        <w:rPr>
          <w:rFonts w:ascii="Times New Roman" w:hAnsi="Times New Roman" w:eastAsia="Times New Roman" w:cs="Times New Roman"/>
          <w:b/>
          <w:sz w:val="24"/>
        </w:rPr>
        <w:t>6. Liên thông và ranh giới hệ thống</w:t>
      </w:r>
    </w:p>
    <w:bookmarkStart w:id="44" w:name="subsec:matran"/>
    <w:p>
      <w:pPr>
        <w:pStyle w:val="Heading2"/>
        <w:spacing w:line="240" w:lineRule="auto" w:after="40" w:before="100"/>
        <w:ind w:firstLine="0"/>
        <w:jc w:val="both"/>
      </w:pPr>
      <w:r>
        <w:rPr>
          <w:rFonts w:ascii="Times New Roman" w:hAnsi="Times New Roman" w:eastAsia="Times New Roman" w:cs="Times New Roman"/>
          <w:b/>
          <w:sz w:val="24"/>
        </w:rPr>
        <w:t>6.1. Ma trận liên thông bốn lớp</w:t>
      </w:r>
    </w:p>
    <w:p>
      <w:pPr>
        <w:pStyle w:val="FirstParagraph"/>
        <w:spacing w:line="240" w:lineRule="auto" w:after="0"/>
        <w:ind w:firstLine="720"/>
        <w:jc w:val="both"/>
      </w:pPr>
      <w:r>
        <w:rPr>
          <w:rFonts w:ascii="Times New Roman" w:hAnsi="Times New Roman" w:eastAsia="Times New Roman" w:cs="Times New Roman"/>
          <w:sz w:val="24"/>
        </w:rPr>
        <w:t xml:space="preserve">EIF được dùng như danh sách kiểm tra (</w:t>
      </w:r>
      <w:r>
        <w:rPr>
          <w:rFonts w:ascii="Times New Roman" w:hAnsi="Times New Roman" w:eastAsia="Times New Roman" w:cs="Times New Roman"/>
          <w:i/>
          <w:iCs/>
          <w:sz w:val="24"/>
        </w:rPr>
        <w:t xml:space="preserve">checklist</w:t>
      </w:r>
      <w:r>
        <w:rPr>
          <w:rFonts w:ascii="Times New Roman" w:hAnsi="Times New Roman" w:eastAsia="Times New Roman" w:cs="Times New Roman"/>
          <w:sz w:val="24"/>
        </w:rPr>
        <w:t xml:space="preserve">) bốn lớp pháp lý–tổ chức–ngữ nghĩa–kỹ thuật, không phải nguồn nghĩa vụ Việt Nam [12, Hình 3, p. 22; pp. 27–30]. Bảng </w:t>
      </w:r>
      <w:hyperlink w:anchor="tab:lienthong">
        <w:r>
          <w:rPr>
            <w:rStyle w:val="Hyperlink"/>
          </w:rPr>
          <w:t xml:space="preserve">4</w:t>
        </w:r>
      </w:hyperlink>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gom bảy giao diện chi tiết trước đây thành năm nhóm ranh giới; I5 bao gồm các nguồn bằng chứng chuyên ngành vì nguồn hiện hành mới xác lập giá trị dữ liệu/tài liệu, chưa bắt buộc giao diện lập trình ứng dụng (Application Programming Interface, API) trực tiếp.</w:t>
      </w:r>
    </w:p>
    <w:bookmarkStart w:id="43" w:name="tab:lienthong"/>
    <w:p>
      <w:pPr>
        <w:pStyle w:val="TableCaption"/>
        <w:spacing w:line="240" w:lineRule="auto" w:after="40" w:before="60"/>
        <w:ind w:firstLine="0"/>
        <w:jc w:val="both"/>
      </w:pPr>
      <w:r>
        <w:rPr>
          <w:rFonts w:ascii="Times New Roman" w:hAnsi="Times New Roman" w:eastAsia="Times New Roman" w:cs="Times New Roman"/>
          <w:b/>
          <w:i w:val="0"/>
          <w:sz w:val="24"/>
        </w:rPr>
        <w:t>Bảng 4. Ma trận liên thông theo bốn lớp EIF</w:t>
      </w:r>
    </w:p>
    <w:tbl>
      <w:tblPr>
        <w:tblStyle w:val="Table"/>
        <w:tblW w:type="auto" w:w="0"/>
        <w:jc w:val="left"/>
        <w:tblLayout w:type="autofit"/>
        <w:tblLook w:firstRow="1" w:lastRow="0" w:firstColumn="0" w:lastColumn="0" w:noHBand="0" w:noVBand="0" w:val="0020"/>
        <w:tblCaption w:val="Ma trận liên thông theo bốn lớp EIF"/>
      </w:tblPr>
      <w:tblGrid>
        <w:gridCol w:w="1584"/>
        <w:gridCol w:w="1584"/>
        <w:gridCol w:w="1584"/>
        <w:gridCol w:w="1584"/>
        <w:gridCol w:w="1584"/>
      </w:tblGrid>
      <w:tr>
        <w:trPr>
          <w:tblHeader w:val="on"/>
          <w:tblHeader w:val="true"/>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Giao diện</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Pháp lý</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Tổ chức</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Ngữ nghĩa</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Kỹ thuật</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I1. Định danh/xác thực</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NĐ 69 khoản 1–2 Điều 18; khoản 1–2,4 Điều 19; NĐ 169 khoản 1–2 Điều 43 [27, 28].</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Nền tảng là bên sử dụng dịch vụ; không tạo định danh pháp lý song song.</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Thông tin tổ chức được đối soát với CSDL đăng ký doanh nghiệp theo khoản 2 Điều 12 NĐ 69.</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Kết nối phải đáp ứng điều kiện an toàn tại khoản 1 Điều 18 NĐ 69; giao thức cụ thể là L3.</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I2. Tỉnh–trung ương–hạ tầng chia sẻ</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NĐ 268 khoản 1 Điều 48, khoản 2,5 Điều 66; NĐ 278 khoản 2 Điều 4, điểm a–b khoản 2, khoản 3 Điều 7 [1, 22].</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AE24 tạo quyết định; AE25 tổng hợp/giám sát; lớp Bộ/Agent Node (theo ký hiệu của NĐ 278) trung gian trao đổi.</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Hợp đồng chung giữ mã tỉnh, hồ sơ/quyết định, trạng thái, ngày hiệu lực, nguồn và phiên bản.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Truy vấn/đồng bộ qua hạ tầng quy định; gửi lại phải kiểm soát trùng và giữ bằng chứng nhận.</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I3. CSDL quốc gia về doanh nghiệp</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Điểm b khoản 2 Điều 11 Luật Dữ liệu; khoản 1–2 Điều 5 NĐ 278; QĐ 1973 Mục III.3.3 STT 3 [24, 22, 11].</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Nguồn quốc gia giữ định danh pháp lý; nền tảng chỉ tiêu thụ/tham chiếu.</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Giữ khóa định danh chính thức, nguồn, phiên bản/thời điểm đồng bộ.</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API/chu kỳ bộ nhớ đệm chỉ chốt khi có đặc tả nguồn; trao đổi liên cơ quan theo NĐ 278.</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I4. Hệ thống thủ tục hành chính</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NĐ 268 khoản 1 Điều 50 và khoản 1 Điều 43; NĐ 278 khoản 2 Điều 4, điểm a–b khoản 2 Điều 7 [1, 22].</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Hệ thống TTHC giữ kênh tiếp nhận/trả kết quả; nền tảng thực hiện nghiệp vụ chuyên ngành.</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Tối thiểu ánh xạ mã hồ sơ, chủ thể, thủ tục, trạng thái, kết quả và quyết định/giấy.</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Có thể dùng API/dịch vụ dữ liệu/sự kiện qua lớp tích hợp; cơ chế cụ thể là L3.</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I5. Nguồn bằng chứng chuyên ngành</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Điểm b khoản 2 Điều 50 NĐ 268 công nhận kết quả nhiệm vụ KH,CN&amp;ĐMST và văn bằng SHTT là tài liệu chứng minh [1].</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Hệ thống nguồn vẫn tạo/xác nhận bằng chứng; nền tảng chỉ tham chiếu/xác minh.</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Chuẩn hóa định danh kết quả/văn bằng, cơ quan ban hành, hiệu lực và quan hệ với DN.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Tra cứu tự động chỉ là L3 khi có quyền và dịch vụ nguồn; không giả định API bắt buộc.</w:t>
            </w:r>
          </w:p>
        </w:tc>
      </w:tr>
    </w:tbl>
    <w:bookmarkEnd w:id="43"/>
    <w:p>
      <w:pPr>
        <w:pStyle w:val="BodyText"/>
        <w:spacing w:line="240" w:lineRule="auto" w:after="0"/>
        <w:ind w:firstLine="720"/>
        <w:jc w:val="both"/>
      </w:pPr>
      <w:r>
        <w:rPr>
          <w:rFonts w:ascii="Times New Roman" w:hAnsi="Times New Roman" w:eastAsia="Times New Roman" w:cs="Times New Roman"/>
          <w:sz w:val="24"/>
        </w:rPr>
        <w:t xml:space="preserve">Ranh giới tổ chức được tách thành năm vai trò: cơ quan trung ương quản trị chuẩn/mô hình đọc; tỉnh vận hành AE24 và chịu trách nhiệm quyết định/thông báo; chủ quản hệ thống nguồn chịu trách nhiệm dữ liệu gốc; đơn vị vận hành nền tảng chịu trách nhiệm kỹ thuật/truy vết; đầu mối kiến trúc–dữ liệu duy trì từ điển, hợp đồng và phiên bản. Với thông tin địa phương phải công bố theo khoản 4 Điều 66 NĐ 268, nền tảng chỉ cung cấp hợp đồng dữ liệu công bố; trách nhiệm công bố vẫn thuộc cơ quan địa phương [1].</w:t>
      </w:r>
    </w:p>
    <w:bookmarkEnd w:id="44"/>
    <w:bookmarkStart w:id="45" w:name="subsec:sla"/>
    <w:p>
      <w:pPr>
        <w:pStyle w:val="Heading2"/>
        <w:spacing w:line="240" w:lineRule="auto" w:after="40" w:before="100"/>
        <w:ind w:firstLine="0"/>
        <w:jc w:val="both"/>
      </w:pPr>
      <w:r>
        <w:rPr>
          <w:rFonts w:ascii="Times New Roman" w:hAnsi="Times New Roman" w:eastAsia="Times New Roman" w:cs="Times New Roman"/>
          <w:b/>
          <w:sz w:val="24"/>
        </w:rPr>
        <w:t>6.2. Từ thời hạn pháp lý đến đặc tả tích hợp</w:t>
      </w:r>
    </w:p>
    <w:p>
      <w:pPr>
        <w:pStyle w:val="FirstParagraph"/>
        <w:spacing w:line="240" w:lineRule="auto" w:after="0"/>
        <w:ind w:firstLine="720"/>
        <w:jc w:val="both"/>
      </w:pPr>
      <w:r>
        <w:rPr>
          <w:rFonts w:ascii="Times New Roman" w:hAnsi="Times New Roman" w:eastAsia="Times New Roman" w:cs="Times New Roman"/>
          <w:sz w:val="24"/>
        </w:rPr>
        <w:t xml:space="preserve">Khoản 2 Điều 66 NĐ 268 yêu cầu thông báo cho Bộ trong 15 ngày kể từ ngày ra các quyết định được liệt kê [1]. Đây là thời hạn nghiệp vụ L1, không phải thời gian đáp ứng API hay thỏa thuận mức dịch vụ kỹ thuật. Hệ quả L2 là mỗi thay đổi có hiệu lực phải có định danh sự kiện, mã quyết định, cơ quan phát hành, ngày quyết định/hiệu lực, dấu thời gian gửi–nhận, xác nhận tiếp nhận, gửi lại có kiểm soát, nhật ký và cảnh báo hạn. Mẫu hộp thư giao dịch, hàng đợi hay API đồng bộ là L3.</w:t>
      </w:r>
    </w:p>
    <w:bookmarkEnd w:id="45"/>
    <w:bookmarkStart w:id="46" w:name="subsec:ranhgioi"/>
    <w:p>
      <w:pPr>
        <w:pStyle w:val="Heading2"/>
        <w:spacing w:line="240" w:lineRule="auto" w:after="40" w:before="100"/>
        <w:ind w:firstLine="0"/>
        <w:jc w:val="both"/>
      </w:pPr>
      <w:r>
        <w:rPr>
          <w:rFonts w:ascii="Times New Roman" w:hAnsi="Times New Roman" w:eastAsia="Times New Roman" w:cs="Times New Roman"/>
          <w:b/>
          <w:sz w:val="24"/>
        </w:rPr>
        <w:t>6.3. Ranh giới vùng chứa của nền tảng phân tán tỉnh–trung ương</w:t>
      </w:r>
    </w:p>
    <w:p>
      <w:pPr>
        <w:pStyle w:val="FirstParagraph"/>
        <w:spacing w:line="240" w:lineRule="auto" w:after="0"/>
        <w:ind w:firstLine="720"/>
        <w:jc w:val="both"/>
      </w:pPr>
      <w:r>
        <w:rPr>
          <w:rFonts w:ascii="Times New Roman" w:hAnsi="Times New Roman" w:eastAsia="Times New Roman" w:cs="Times New Roman"/>
          <w:sz w:val="24"/>
        </w:rPr>
        <w:t xml:space="preserve">Hình </w:t>
      </w:r>
      <w:hyperlink w:anchor="fig:ranhgioi">
        <w:r>
          <w:rPr>
            <w:rStyle w:val="Hyperlink"/>
          </w:rPr>
          <w:t xml:space="preserve">4</w:t>
        </w:r>
      </w:hyperlink>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dùng góc nhìn vùng chứa logic theo mô hình C4 (</w:t>
      </w:r>
      <w:r>
        <w:rPr>
          <w:rFonts w:ascii="Times New Roman" w:hAnsi="Times New Roman" w:eastAsia="Times New Roman" w:cs="Times New Roman"/>
          <w:i/>
          <w:iCs/>
          <w:sz w:val="24"/>
        </w:rPr>
        <w:t xml:space="preserve">C4 Container Diagram</w:t>
      </w:r>
      <w:r>
        <w:rPr>
          <w:rFonts w:ascii="Times New Roman" w:hAnsi="Times New Roman" w:eastAsia="Times New Roman" w:cs="Times New Roman"/>
          <w:sz w:val="24"/>
        </w:rPr>
        <w:t xml:space="preserve">) để mô tả cấu trúc tĩnh và trách nhiệm, không mô tả vị trí triển khai vật lý [33]. Hình dùng các loại người dùng (</w:t>
      </w:r>
      <w:r>
        <w:rPr>
          <w:rFonts w:ascii="Times New Roman" w:hAnsi="Times New Roman" w:eastAsia="Times New Roman" w:cs="Times New Roman"/>
          <w:i/>
          <w:iCs/>
          <w:sz w:val="24"/>
        </w:rPr>
        <w:t xml:space="preserve">Person</w:t>
      </w:r>
      <w:r>
        <w:rPr>
          <w:rFonts w:ascii="Times New Roman" w:hAnsi="Times New Roman" w:eastAsia="Times New Roman" w:cs="Times New Roman"/>
          <w:sz w:val="24"/>
        </w:rPr>
        <w:t xml:space="preserve">), vùng chứa (</w:t>
      </w:r>
      <w:r>
        <w:rPr>
          <w:rFonts w:ascii="Times New Roman" w:hAnsi="Times New Roman" w:eastAsia="Times New Roman" w:cs="Times New Roman"/>
          <w:i/>
          <w:iCs/>
          <w:sz w:val="24"/>
        </w:rPr>
        <w:t xml:space="preserve">Container</w:t>
      </w:r>
      <w:r>
        <w:rPr>
          <w:rFonts w:ascii="Times New Roman" w:hAnsi="Times New Roman" w:eastAsia="Times New Roman" w:cs="Times New Roman"/>
          <w:sz w:val="24"/>
        </w:rPr>
        <w:t xml:space="preserve">) và hệ thống phần mềm (</w:t>
      </w:r>
      <w:r>
        <w:rPr>
          <w:rFonts w:ascii="Times New Roman" w:hAnsi="Times New Roman" w:eastAsia="Times New Roman" w:cs="Times New Roman"/>
          <w:i/>
          <w:iCs/>
          <w:sz w:val="24"/>
        </w:rPr>
        <w:t xml:space="preserve">Software System</w:t>
      </w:r>
      <w:r>
        <w:rPr>
          <w:rFonts w:ascii="Times New Roman" w:hAnsi="Times New Roman" w:eastAsia="Times New Roman" w:cs="Times New Roman"/>
          <w:sz w:val="24"/>
        </w:rPr>
        <w:t xml:space="preserve">); mỗi quan hệ là một chiều và có nhãn theo hướng tương tác. Hướng dẫn C4 khuyến nghị ghi công nghệ của vùng chứa và giao thức giữa các vùng chứa; vì SRA này chủ ý giữ các lựa chọn đó ở L3, các trường tương ứng được ghi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L3–không khóa</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thay vì suy đoán sản phẩm hoặc giao thức. Vì vậy hình được hiểu là góc nhìn logic dùng các phần tử C4, không phải đặc tả triển khai công nghệ đầy đủ. Nút tỉnh trong hình là vùng chứa logic được hiện thực lặp lại theo địa phương; các bản thực thi được tách sang V5 ở Hình </w:t>
      </w:r>
      <w:hyperlink w:anchor="fig:deployment">
        <w:r>
          <w:rPr>
            <w:rStyle w:val="Hyperlink"/>
          </w:rPr>
          <w:t xml:space="preserve">5</w:t>
        </w:r>
      </w:hyperlink>
      <w:r>
        <w:rPr>
          <w:rFonts w:ascii="Times New Roman" w:hAnsi="Times New Roman" w:eastAsia="Times New Roman" w:cs="Times New Roman"/>
          <w:sz w:val="24"/>
        </w:rPr>
        <w:t xml:space="preserve">. Nền tảng không sở hữu định danh pháp lý doanh nghiệp, kênh TTHC hay dữ liệu bằng chứng chuyên ngành; AE24 giữ trạng thái vận hành tỉnh, AE25 giữ bản đọc/tổng hợp và AE26 giữ cấu hình nền/phiên bản quy trình.</w:t>
      </w:r>
    </w:p>
    <w:tbl>
      <w:tblPr>
        <w:tblStyle w:val="FigureTable"/>
        <w:tblW w:type="auto" w:w="0"/>
        <w:jc w:val="center"/>
        <w:tblLayout w:type="autofit"/>
        <w:tblLook w:firstRow="0" w:lastRow="0" w:firstColumn="0" w:lastColumn="0"/>
      </w:tblPr>
      <w:tblGrid/>
    </w:tbl>
    <w:p>
      <w:pPr>
        <w:spacing w:before="0" w:after="0" w:line="240" w:lineRule="auto"/>
        <w:ind w:firstLine="0"/>
        <w:jc w:val="center"/>
      </w:pPr>
      <w:r>
        <w:drawing>
          <wp:inline>
            <wp:extent cx="5580000" cy="3471638"/>
            <wp:docPr id="4" name="Picture 4" descr="Hình 4. Cấu trúc vùng chứa logic và ranh giới trách nhiệm theo mô hình C4." title="Hình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580000" cy="3471638"/>
                    </a:xfrm>
                    <a:prstGeom prst="rect"/>
                  </pic:spPr>
                </pic:pic>
              </a:graphicData>
            </a:graphic>
          </wp:inline>
        </w:drawing>
      </w:r>
    </w:p>
    <w:p>
      <w:pPr>
        <w:pStyle w:val="ImageCaption"/>
        <w:spacing w:line="240" w:lineRule="auto" w:after="60"/>
        <w:ind w:firstLine="0"/>
        <w:jc w:val="both"/>
      </w:pPr>
      <w:r>
        <w:rPr>
          <w:rFonts w:ascii="Times New Roman" w:hAnsi="Times New Roman" w:eastAsia="Times New Roman" w:cs="Times New Roman"/>
          <w:b/>
          <w:i w:val="0"/>
          <w:sz w:val="24"/>
        </w:rPr>
        <w:t>Hình 4. Cấu trúc vùng chứa và ranh giới trách nhiệm – góc nhìn vùng chứa logic dùng các phần tử C4; công nghệ/giao thức cụ thể được giữ ở L3</w:t>
      </w:r>
    </w:p>
    <w:bookmarkEnd w:id="46"/>
    <w:bookmarkStart w:id="47" w:name="subsec:v5v6"/>
    <w:p>
      <w:pPr>
        <w:pStyle w:val="Heading2"/>
        <w:spacing w:line="240" w:lineRule="auto" w:after="40" w:before="100"/>
        <w:ind w:firstLine="0"/>
        <w:jc w:val="both"/>
      </w:pPr>
      <w:r>
        <w:rPr>
          <w:rFonts w:ascii="Times New Roman" w:hAnsi="Times New Roman" w:eastAsia="Times New Roman" w:cs="Times New Roman"/>
          <w:b/>
          <w:sz w:val="24"/>
        </w:rPr>
        <w:t>6.4. Góc nhìn V5–V6: triển khai, biên tin cậy và kiểm soát</w:t>
      </w:r>
    </w:p>
    <w:p>
      <w:pPr>
        <w:pStyle w:val="FirstParagraph"/>
        <w:spacing w:line="240" w:lineRule="auto" w:after="0"/>
        <w:ind w:firstLine="720"/>
        <w:jc w:val="both"/>
      </w:pPr>
      <w:r>
        <w:rPr>
          <w:rFonts w:ascii="Times New Roman" w:hAnsi="Times New Roman" w:eastAsia="Times New Roman" w:cs="Times New Roman"/>
          <w:sz w:val="24"/>
        </w:rPr>
        <w:t xml:space="preserve">V5 mô tả</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mẫu triển khai logic</w:t>
      </w:r>
      <w:r>
        <w:rPr>
          <w:rFonts w:ascii="Times New Roman" w:hAnsi="Times New Roman" w:eastAsia="Times New Roman" w:cs="Times New Roman"/>
          <w:sz w:val="24"/>
        </w:rPr>
        <w:t xml:space="preserve">, không khóa máy chủ, nền tảng đám mây, hệ quản trị CSDL hay cấu hình sẵn sàng cao. Theo mô hình C4, sơ đồ vùng chứa mô tả cấu trúc tĩnh còn sơ đồ triển khai (</w:t>
      </w:r>
      <w:r>
        <w:rPr>
          <w:rFonts w:ascii="Times New Roman" w:hAnsi="Times New Roman" w:eastAsia="Times New Roman" w:cs="Times New Roman"/>
          <w:i/>
          <w:iCs/>
          <w:sz w:val="24"/>
        </w:rPr>
        <w:t xml:space="preserve">C4 Deployment Diagram</w:t>
      </w:r>
      <w:r>
        <w:rPr>
          <w:rFonts w:ascii="Times New Roman" w:hAnsi="Times New Roman" w:eastAsia="Times New Roman" w:cs="Times New Roman"/>
          <w:sz w:val="24"/>
        </w:rPr>
        <w:t xml:space="preserve">) ánh xạ các bản thực thi vùng chứa (</w:t>
      </w:r>
      <w:r>
        <w:rPr>
          <w:rFonts w:ascii="Times New Roman" w:hAnsi="Times New Roman" w:eastAsia="Times New Roman" w:cs="Times New Roman"/>
          <w:i/>
          <w:iCs/>
          <w:sz w:val="24"/>
        </w:rPr>
        <w:t xml:space="preserve">Container instance</w:t>
      </w:r>
      <w:r>
        <w:rPr>
          <w:rFonts w:ascii="Times New Roman" w:hAnsi="Times New Roman" w:eastAsia="Times New Roman" w:cs="Times New Roman"/>
          <w:sz w:val="24"/>
        </w:rPr>
        <w:t xml:space="preserve">) lên nút triển khai (</w:t>
      </w:r>
      <w:r>
        <w:rPr>
          <w:rFonts w:ascii="Times New Roman" w:hAnsi="Times New Roman" w:eastAsia="Times New Roman" w:cs="Times New Roman"/>
          <w:i/>
          <w:iCs/>
          <w:sz w:val="24"/>
        </w:rPr>
        <w:t xml:space="preserve">Deployment Node</w:t>
      </w:r>
      <w:r>
        <w:rPr>
          <w:rFonts w:ascii="Times New Roman" w:hAnsi="Times New Roman" w:eastAsia="Times New Roman" w:cs="Times New Roman"/>
          <w:sz w:val="24"/>
        </w:rPr>
        <w:t xml:space="preserve">); nút hạ tầng (</w:t>
      </w:r>
      <w:r>
        <w:rPr>
          <w:rFonts w:ascii="Times New Roman" w:hAnsi="Times New Roman" w:eastAsia="Times New Roman" w:cs="Times New Roman"/>
          <w:i/>
          <w:iCs/>
          <w:sz w:val="24"/>
        </w:rPr>
        <w:t xml:space="preserve">Infrastructure Node</w:t>
      </w:r>
      <w:r>
        <w:rPr>
          <w:rFonts w:ascii="Times New Roman" w:hAnsi="Times New Roman" w:eastAsia="Times New Roman" w:cs="Times New Roman"/>
          <w:sz w:val="24"/>
        </w:rPr>
        <w:t xml:space="preserve">) có thể biểu diễn hạ tầng hỗ trợ [33]. Vì vậy, Hình </w:t>
      </w:r>
      <w:hyperlink w:anchor="fig:deployment">
        <w:r>
          <w:rPr>
            <w:rStyle w:val="Hyperlink"/>
          </w:rPr>
          <w:t xml:space="preserve">5</w:t>
        </w:r>
      </w:hyperlink>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dùng đúng tên vùng chứa của Hình </w:t>
      </w:r>
      <w:hyperlink w:anchor="fig:ranhgioi">
        <w:r>
          <w:rPr>
            <w:rStyle w:val="Hyperlink"/>
          </w:rPr>
          <w:t xml:space="preserve">4</w:t>
        </w:r>
      </w:hyperlink>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cho các bản thực thi. Mỗi nút tỉnh</w:t>
      </w:r>
      <w:r>
        <w:rPr>
          <w:rFonts w:ascii="Times New Roman" w:hAnsi="Times New Roman" w:eastAsia="Times New Roman" w:cs="Times New Roman"/>
          <w:sz w:val="24"/>
        </w:rPr>
        <w:t xml:space="preserve"> </w:t>
      </w:r>
      <m:oMath>
        <m:sSub>
          <m:e>
            <m:r>
              <m:t>P</m:t>
            </m:r>
          </m:e>
          <m:sub>
            <m:r>
              <m:t>i</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có bản thực thi dịch vụ hồ sơ/quyết định, kho dữ liệu vận hành và cổng tích hợp; nút trung ương có dịch vụ điều phối/đọc, mô hình đọc hợp nhất, dịch vụ quản trị cấu hình và cổng tích hợp. VP7 cho phép mỗi nút triển khai được hiện thực hóa bằng một vùng, cụm dự phòng hoặc cấu trúc khác sau khi có yêu cầu phi chức năng; SRA chỉ khóa biên lỗi và quan hệ phụ thuộc.</w:t>
      </w:r>
    </w:p>
    <w:tbl>
      <w:tblPr>
        <w:tblStyle w:val="FigureTable"/>
        <w:tblW w:type="auto" w:w="0"/>
        <w:jc w:val="center"/>
        <w:tblLayout w:type="autofit"/>
        <w:tblLook w:firstRow="0" w:lastRow="0" w:firstColumn="0" w:lastColumn="0"/>
      </w:tblPr>
      <w:tblGrid/>
    </w:tbl>
    <w:p>
      <w:pPr>
        <w:spacing w:before="0" w:after="0" w:line="240" w:lineRule="auto"/>
        <w:ind w:firstLine="0"/>
        <w:jc w:val="center"/>
      </w:pPr>
      <w:r>
        <w:drawing>
          <wp:inline>
            <wp:extent cx="5580000" cy="3673364"/>
            <wp:docPr id="5" name="Picture 5" descr="Hình 5. Mẫu triển khai logic tỉnh-trung ương theo C4 Deployment." title="Hình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580000" cy="3673364"/>
                    </a:xfrm>
                    <a:prstGeom prst="rect"/>
                  </pic:spPr>
                </pic:pic>
              </a:graphicData>
            </a:graphic>
          </wp:inline>
        </w:drawing>
      </w:r>
    </w:p>
    <w:p>
      <w:pPr>
        <w:pStyle w:val="ImageCaption"/>
        <w:spacing w:line="240" w:lineRule="auto" w:after="60"/>
        <w:ind w:firstLine="0"/>
        <w:jc w:val="both"/>
      </w:pPr>
      <w:r>
        <w:rPr>
          <w:rFonts w:ascii="Times New Roman" w:hAnsi="Times New Roman" w:eastAsia="Times New Roman" w:cs="Times New Roman"/>
          <w:b/>
          <w:i w:val="0"/>
          <w:sz w:val="24"/>
        </w:rPr>
        <w:t>Hình 5. Mẫu triển khai logic tỉnh–trung ương – góc nhìn C4 Deployment ánh xạ các vùng chứa của Hình 4 vào các nút triển khai</w:t>
      </w:r>
    </w:p>
    <w:p>
      <w:pPr>
        <w:pStyle w:val="BodyText"/>
        <w:spacing w:line="240" w:lineRule="auto" w:after="0"/>
        <w:ind w:firstLine="720"/>
        <w:jc w:val="both"/>
      </w:pPr>
      <w:r>
        <w:rPr>
          <w:rFonts w:ascii="Times New Roman" w:hAnsi="Times New Roman" w:eastAsia="Times New Roman" w:cs="Times New Roman"/>
          <w:sz w:val="24"/>
        </w:rPr>
        <w:t xml:space="preserve">V6 không giả định một sản phẩm quản lý danh tính hoặc thuật toán mật mã cụ thể. Hồ sơ kiểm soát chỉ khóa</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biên tin cậy, quyền theo phạm vi, phân loại dữ liệu, nguồn gốc và trách nhiệm kiểm toán</w:t>
      </w:r>
      <w:r>
        <w:rPr>
          <w:rFonts w:ascii="Times New Roman" w:hAnsi="Times New Roman" w:eastAsia="Times New Roman" w:cs="Times New Roman"/>
          <w:sz w:val="24"/>
        </w:rPr>
        <w:t xml:space="preserve">; cơ chế hiện thực là L3. Các yêu cầu này ánh xạ từ NĐ 69 khoản 1–2 Điều 18 và khoản 1–2,4 Điều 19 về điều kiện/kết nối định danh điện tử; NĐ 278 khoản 1,6–8 Điều 4 và khoản 1–3 Điều 14 về phạm vi, bảo vệ và kiểm toán dữ liệu; cùng các nghĩa vụ tại điểm c khoản 1 và khoản 2 Điều 19, điểm c,e khoản 1 Điều 37 Luật Bảo vệ dữ liệu cá nhân và khoản 2 Điều 4 NĐ 356 [27, 22, 29, 30].</w:t>
      </w:r>
    </w:p>
    <w:p>
      <w:pPr>
        <w:pStyle w:val="BodyText"/>
        <w:spacing w:line="240" w:lineRule="auto" w:after="0"/>
        <w:ind w:firstLine="720"/>
        <w:jc w:val="both"/>
      </w:pPr>
      <w:r>
        <w:rPr>
          <w:rFonts w:ascii="Times New Roman" w:hAnsi="Times New Roman" w:eastAsia="Times New Roman" w:cs="Times New Roman"/>
          <w:b/>
          <w:bCs/>
          <w:sz w:val="24"/>
        </w:rPr>
        <w:t xml:space="preserve">Ma trận V6 – biên tin cậy và kiểm soát kiến trúc</w:t>
      </w:r>
    </w:p>
    <w:tbl>
      <w:tblPr>
        <w:tblStyle w:val="Table"/>
        <w:tblW w:type="auto" w:w="0"/>
        <w:jc w:val="left"/>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Vùng/đối tượng</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Quyền và dữ liệu</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Kiểm soát kiến trúc bắt buộc</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Chủ bằng chứng/kiểm toán</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Z1. Kênh người dùng</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DN và cán bộ truy cập hồ sơ theo vai trò và phạm vi được cấp.</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Xác thực qua nguồn phù hợp; ủy quyền theo vai trò/phạm vi; ghi mục đích và sự kiện truy cập đối với thao tác cần kiểm toán.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Đơn vị vận hành dịch vụ và cơ quan xử lý hồ sơ.</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Z2. Nút tỉnh AE24</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Quyền ghi đối với hồ sơ/quyết định thuộc thẩm quyền; dữ liệu nhạy cảm chỉ cho vai trò được phép.</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Tách quyền theo địa bàn; cấu hình có phiên bản; nhật ký thay đổi trạng thái/quyết định; nhãn phân loại và hạn chế truy cập.</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Cơ quan tỉnh và đơn vị vận hành nút tỉnh.</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Z3. Biên liên thông AE11–AE12</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Chỉ trao đổi trường dữ liệu nằm trong hợp đồng và mục đích được phép.</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Kiểm tra nguồn và đích, lược đồ, phiên bản; bảo vệ kênh theo mức áp dụng; chống xử lý trùng cho thông điệp nghiệp vụ; lưu bằng chứng gửi–nhận.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Đơn vị vận hành tích hợp; nhật ký phía gửi và nhận.</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Z4. Trung ương AE25–AE26</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Đọc/tổng hợp toàn quốc; phân phối mô hình nền và cấu hình; không sửa thay quyết định pháp lý của tỉnh.</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Tách đặc quyền trung ương–tỉnh; lưu nguồn, độ mới và phiên bản; kiểm soát phát hành cấu hình; theo dõi thay đổi/đối soát.</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Cơ quan trung ương và đơn vị vận hành nền tảng.</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Z5. Hệ thống nguồn ngoài</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Nền tảng chỉ đọc/xác minh theo quyền được cấp, trừ khi hợp đồng nguồn quy định khác.</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Không nhân bản quyền sở hữu dữ liệu; lưu định danh nguồn và thời điểm; áp dụng điều kiện truy cập và nhật ký của hệ thống nguồn.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Chủ quản hệ thống nguồn và đầu mối tích hợp.</w:t>
            </w:r>
          </w:p>
        </w:tc>
      </w:tr>
    </w:tbl>
    <w:p>
      <w:pPr>
        <w:pStyle w:val="BodyText"/>
        <w:spacing w:line="240" w:lineRule="auto" w:after="0"/>
        <w:ind w:firstLine="720"/>
        <w:jc w:val="both"/>
      </w:pPr>
      <w:r>
        <w:rPr>
          <w:rFonts w:ascii="Times New Roman" w:hAnsi="Times New Roman" w:eastAsia="Times New Roman" w:cs="Times New Roman"/>
          <w:sz w:val="24"/>
        </w:rPr>
        <w:t xml:space="preserve">Điều kiện an toàn thông tin tối thiểu cấp độ 3 đối với kết nối định danh điện tử tại khoản 1 Điều 18 NĐ 69 vẫn được đánh dấu</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MỘT PHẦN</w:t>
      </w:r>
      <w:r>
        <w:rPr>
          <w:rFonts w:ascii="Times New Roman" w:hAnsi="Times New Roman" w:eastAsia="Times New Roman" w:cs="Times New Roman"/>
          <w:sz w:val="24"/>
        </w:rPr>
        <w:t xml:space="preserve">: V6 ghi đây là điều kiện trước triển khai, nhưng chỉ bằng chứng hệ thống thực tế mới chứng minh đạt cấp độ yêu cầu. Tương tự, V5/V6 không tạo ra các con số giả về tính sẵn sàng, thông lượng hay thời gian phục hồi.</w:t>
      </w:r>
    </w:p>
    <w:p>
      <w:pPr>
        <w:pStyle w:val="BodyText"/>
        <w:spacing w:line="240" w:lineRule="auto" w:after="0"/>
        <w:ind w:firstLine="720"/>
        <w:jc w:val="both"/>
      </w:pPr>
      <w:r>
        <w:rPr>
          <w:rFonts w:ascii="Times New Roman" w:hAnsi="Times New Roman" w:eastAsia="Times New Roman" w:cs="Times New Roman"/>
          <w:sz w:val="24"/>
        </w:rPr>
        <w:t xml:space="preserve">Mỗi địa phương được cấu hình bước nội bộ, vai trò phối hợp và biểu mẫu phụ trợ nhưng không được thay đổi thẩm quyền, trạng thái quyết định hoặc thời hạn L1; mỗi cấu hình phải có phiên bản/ngày hiệu lực và qua cổng kiểm tra tuân thủ trước kích hoạt. Cấu trúc mô hình chung–biến thể địa phương phù hợp với tiền lệ về quy trình cấu hình trong chính quyền đô thị [37, pp. 486–500]. Đồng thời, địa bàn chỉ là thuộc tính thẩm quyền; quan hệ doanh nghiệp–quỹ–chuyên gia–viện/trường được lưu xuyên địa bàn vì ranh giới hệ sinh thái không mặc định trùng đơn vị hành chính [13, pp. 27–28]; [14, pp. 1483–1484].</w:t>
      </w:r>
    </w:p>
    <w:bookmarkEnd w:id="47"/>
    <w:bookmarkEnd w:id="48"/>
    <w:bookmarkStart w:id="52" w:name="sec:evaluation"/>
    <w:p>
      <w:pPr>
        <w:pStyle w:val="Heading1"/>
        <w:spacing w:line="240" w:lineRule="auto" w:after="60" w:before="120"/>
        <w:ind w:firstLine="0"/>
        <w:jc w:val="both"/>
      </w:pPr>
      <w:r>
        <w:rPr>
          <w:rFonts w:ascii="Times New Roman" w:hAnsi="Times New Roman" w:eastAsia="Times New Roman" w:cs="Times New Roman"/>
          <w:b/>
          <w:sz w:val="24"/>
        </w:rPr>
        <w:t>7. Đánh giá kiến trúc theo kịch bản</w:t>
      </w:r>
    </w:p>
    <w:bookmarkStart w:id="50" w:name="subsec:eval-baseline"/>
    <w:p>
      <w:pPr>
        <w:pStyle w:val="Heading2"/>
        <w:spacing w:line="240" w:lineRule="auto" w:after="40" w:before="100"/>
        <w:ind w:firstLine="0"/>
        <w:jc w:val="both"/>
      </w:pPr>
      <w:r>
        <w:rPr>
          <w:rFonts w:ascii="Times New Roman" w:hAnsi="Times New Roman" w:eastAsia="Times New Roman" w:cs="Times New Roman"/>
          <w:b/>
          <w:sz w:val="24"/>
        </w:rPr>
        <w:t>7.1. Kiến trúc ứng viên ban đầu B1₀ và đường cơ sở B0</w:t>
      </w:r>
    </w:p>
    <w:p>
      <w:pPr>
        <w:pStyle w:val="FirstParagraph"/>
        <w:spacing w:line="240" w:lineRule="auto" w:after="0"/>
        <w:ind w:firstLine="720"/>
        <w:jc w:val="both"/>
      </w:pPr>
      <w:r>
        <w:rPr>
          <w:rFonts w:ascii="Times New Roman" w:hAnsi="Times New Roman" w:eastAsia="Times New Roman" w:cs="Times New Roman"/>
          <w:sz w:val="24"/>
        </w:rPr>
        <w:t xml:space="preserve">B1₀ là kiến trúc ứng viên được tổng hợp từ DRV1–DRV5 trước khi thực hiện phép thử kịch bản: quyền ghi bám thẩm quyền; cấu hình quy trình địa phương có kiểm soát; khả năng tiếp tục xử lý cục bộ trong phạm vi cho phép; quản trị thống nhất ngữ nghĩa/nguồn/liên thông; và truy vết phiên bản. B1₀ dùng nút dữ liệu nghiệp vụ AE24 ở từng tỉnh, AE25 làm mô hình đọc/điều phối trung ương và AE26 quản trị cấu hình hai cấp. B0 dùng một kho vận hành và luồng thực thi tập trung; nó chỉ là đường cơ sở để làm rõ đánh đổi, không phải phương án tháo bỏ từng biến của B1₀. Vì vậy, khác biệt quan sát được giữa B0–B1₀ không được quy cho riêng cấu trúc triển khai dữ liệu, vị trí thực thi hay khả năng cấu hình.</w:t>
      </w:r>
    </w:p>
    <w:p>
      <w:pPr>
        <w:pStyle w:val="BodyText"/>
        <w:spacing w:line="240" w:lineRule="auto" w:after="0"/>
        <w:ind w:firstLine="720"/>
        <w:jc w:val="both"/>
      </w:pPr>
      <w:r>
        <w:rPr>
          <w:rFonts w:ascii="Times New Roman" w:hAnsi="Times New Roman" w:eastAsia="Times New Roman" w:cs="Times New Roman"/>
          <w:sz w:val="24"/>
        </w:rPr>
        <w:t xml:space="preserve">Mỗi kịch bản được chấm đối với B1₀ bằng ba mức đã định nghĩa trước:</w:t>
      </w:r>
      <w:r>
        <w:rPr>
          <w:rFonts w:ascii="Times New Roman" w:hAnsi="Times New Roman" w:eastAsia="Times New Roman" w:cs="Times New Roman"/>
          <w:sz w:val="24"/>
        </w:rPr>
        <w:t xml:space="preserve"> </w:t>
      </w:r>
      <w:r>
        <w:rPr>
          <w:rFonts w:ascii="Times New Roman" w:hAnsi="Times New Roman" w:eastAsia="Times New Roman" w:cs="Times New Roman"/>
          <w:smallCaps/>
          <w:sz w:val="24"/>
        </w:rPr>
        <w:t xml:space="preserve">đáp ứng trực tiếp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nếu lõi B1₀ xử lý kịch bản mà không sửa AD/lõi ổn định;</w:t>
      </w:r>
      <w:r>
        <w:rPr>
          <w:rFonts w:ascii="Times New Roman" w:hAnsi="Times New Roman" w:eastAsia="Times New Roman" w:cs="Times New Roman"/>
          <w:sz w:val="24"/>
        </w:rPr>
        <w:t xml:space="preserve"> </w:t>
      </w:r>
      <w:r>
        <w:rPr>
          <w:rFonts w:ascii="Times New Roman" w:hAnsi="Times New Roman" w:eastAsia="Times New Roman" w:cs="Times New Roman"/>
          <w:smallCaps/>
          <w:sz w:val="24"/>
        </w:rPr>
        <w:t xml:space="preserve">đáp ứng có điều kiện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nếu phải cụ thể hóa hoặc kiểm chứng một cơ chế/điểm biến thiên đã được cho phép; và</w:t>
      </w:r>
      <w:r>
        <w:rPr>
          <w:rFonts w:ascii="Times New Roman" w:hAnsi="Times New Roman" w:eastAsia="Times New Roman" w:cs="Times New Roman"/>
          <w:sz w:val="24"/>
        </w:rPr>
        <w:t xml:space="preserve"> </w:t>
      </w:r>
      <w:r>
        <w:rPr>
          <w:rFonts w:ascii="Times New Roman" w:hAnsi="Times New Roman" w:eastAsia="Times New Roman" w:cs="Times New Roman"/>
          <w:smallCaps/>
          <w:sz w:val="24"/>
        </w:rPr>
        <w:t xml:space="preserve">rủi ro kiến trúc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nếu phải xem xét lại AD/lõi ổn định hoặc còn vấn đề thẩm quyền/toàn vẹn chưa giải quyết. Cột B0 chỉ nêu tương phản kiến trúc, không tạo điểm tổng hợp hay thứ hạng.</w:t>
      </w:r>
    </w:p>
    <w:bookmarkStart w:id="49" w:name="tab:evaluation"/>
    <w:p>
      <w:pPr>
        <w:pStyle w:val="TableCaption"/>
        <w:spacing w:line="240" w:lineRule="auto" w:after="40" w:before="60"/>
        <w:ind w:firstLine="0"/>
        <w:jc w:val="both"/>
      </w:pPr>
      <w:r>
        <w:rPr>
          <w:rFonts w:ascii="Times New Roman" w:hAnsi="Times New Roman" w:eastAsia="Times New Roman" w:cs="Times New Roman"/>
          <w:b/>
          <w:i w:val="0"/>
          <w:sz w:val="24"/>
        </w:rPr>
        <w:t>Bảng 5. Thử thách kiến trúc B1₀ theo mười kịch bản và đối chiếu với B0</w:t>
      </w:r>
    </w:p>
    <w:tbl>
      <w:tblPr>
        <w:tblStyle w:val="Table"/>
        <w:tblW w:type="auto" w:w="0"/>
        <w:jc w:val="left"/>
        <w:tblLayout w:type="autofit"/>
        <w:tblLook w:firstRow="1" w:lastRow="0" w:firstColumn="0" w:lastColumn="0" w:noHBand="0" w:noVBand="0" w:val="0020"/>
        <w:tblCaption w:val="Thử thách kiến trúc B1₀ theo mười kịch bản và đối chiếu với B0"/>
      </w:tblPr>
      <w:tblGrid>
        <w:gridCol w:w="1980"/>
        <w:gridCol w:w="1980"/>
        <w:gridCol w:w="1980"/>
        <w:gridCol w:w="1980"/>
      </w:tblGrid>
      <w:tr>
        <w:trPr>
          <w:tblHeader w:val="on"/>
          <w:tblHeader w:val="true"/>
          <w:cantSplit/>
        </w:trPr>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Kịch bản</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B1₀</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Điều kiện/điểm nhạy chính</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Đối chiếu B0</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S1. Tỉnh xử lý/quyết định theo thẩm quyền</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Đáp ứng trực tiếp</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AE24 tạo biên ghi theo tỉnh; kiểm tra định tuyến thẩm quyền vẫn là bắt buộc.</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Có thể phân quyền logic nhưng phụ thuộc môi trường thực thi/kho trung tâm.</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S2. Hai tỉnh khác bước nội bộ, cùng nghĩa vụ pháp lý</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Đáp ứng trực tiếp</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AE26 khóa mô hình nền và phiên bản cấu hình; cần kiểm thử cổng tuân thủ.</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Đơn giản hơn nếu chỉ có một quy trình chuẩn.</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S3. Quy định thay đổi trạng thái/biểu mẫu/thời hạn</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Đáp ứng có điều kiện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Phải phát hành mô hình nền mới, tái kiểm tra cấu hình địa phương và quản lý hồ sơ đang chạy theo phiên bản.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Ít điểm phát hành/cấu hình hơn.</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S4. Trung ương/chia sẻ gián đoạn sau quyết định tỉnh</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Đáp ứng có điều kiện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Ghi cục bộ, gửi lại, chống trùng và giám sát hạn; rủi ro nếu gián đoạn vượt cửa sổ pháp lý.</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Phụ thuộc trực tiếp hơn vào lớp trung tâm.</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S5. Bộ cần ảnh dữ liệu toàn quốc</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Đáp ứng có điều kiện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AE25 phải công bố độ mới, nguồn và thời điểm đồng bộ; ảnh đọc không được giả lập nguồn pháp lý.</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Ảnh đọc tập trung đơn giản hơn.</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S6. Định danh DN đổi ở nguồn quốc gia</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Đáp ứng có điều kiện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Bản tham chiếu tại tỉnh cần quy tắc làm mới/xác minh lại nguồn có thẩm quyền trước bước nhạy cảm.</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Ít bản tham chiếu vận hành hơn.</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S7. Lớp trung ương không sẵn sàng khi tỉnh đang xử lý</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Đáp ứng có điều kiện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Các bước thuần địa phương tiếp tục; bước phụ thuộc bắt buộc vào nguồn ngoài phải có chính sách dừng/khôi phục rõ.</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Miền sự cố trung tâm rộng hơn.</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S8. Quan hệ đầu tư/hỗ trợ xuyên tỉnh</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Đáp ứng có điều kiện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AD05/AE25 phải hợp nhất quan hệ theo định danh, nguồn và thời gian hiệu lực để tránh nhân bản theo địa bàn.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Một kho trung tâm đơn giản hơn cho truy vấn liên tỉnh.</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S9. Chuyển phạm vi quản lý từ tỉnh A sang B</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Rủi ro kiến trúc</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B1₀ có biên ghi theo tỉnh nhưng chưa định nghĩa giao thức chuyển quyền ghi theo thời gian, bảo đảm chỉ một nút đang có quyền ghi và bảo toàn lịch sử.</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Một kho chung giảm phức tạp chuyển dữ liệu vật lý, nhưng vẫn phải đổi quyền nghiệp vụ và lưu bằng chứng.</w:t>
            </w:r>
          </w:p>
        </w:tc>
      </w:tr>
      <w:tr>
        <w:trPr>
          <w:cantSplit/>
        </w:trPr>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S10. Các tỉnh nâng lược đồ/quy trình lệch thời điểm</w:t>
            </w:r>
          </w:p>
        </w:tc>
        <w:tc>
          <w:tcPr>
            <w:vAlign w:val="center"/>
          </w:tcPr>
          <w:p>
            <w:pPr>
              <w:pStyle w:val="Compact"/>
              <w:spacing w:before="0" w:after="0" w:line="240" w:lineRule="auto"/>
              <w:ind w:firstLine="0"/>
              <w:jc w:val="left"/>
            </w:pPr>
            <w:r>
              <w:rPr>
                <w:rFonts w:ascii="Times New Roman" w:hAnsi="Times New Roman" w:eastAsia="Times New Roman" w:cs="Times New Roman"/>
                <w:b/>
                <w:bCs/>
                <w:sz w:val="20"/>
              </w:rPr>
              <w:t xml:space="preserve">Đáp ứng có điều kiện</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Cần hợp đồng mang phiên bản, chính sách tương thích, ghim hồ sơ vào phiên bản quy trình và AE25 đọc/biến đổi các phiên bản còn được hỗ trợ.</w:t>
            </w:r>
          </w:p>
        </w:tc>
        <w:tc>
          <w:tcPr>
            <w:vAlign w:val="center"/>
          </w:tcPr>
          <w:p>
            <w:pPr>
              <w:pStyle w:val="Compact"/>
              <w:spacing w:before="0" w:after="0" w:line="240" w:lineRule="auto"/>
              <w:ind w:firstLine="0"/>
              <w:jc w:val="left"/>
            </w:pPr>
            <w:r>
              <w:rPr>
                <w:rFonts w:ascii="Times New Roman" w:hAnsi="Times New Roman" w:eastAsia="Times New Roman" w:cs="Times New Roman"/>
                <w:sz w:val="20"/>
              </w:rPr>
              <w:t xml:space="preserve">Ít trạng thái phát hành phân tán hơn, nhưng vẫn phải quản lý tương thích giao diện ngoài.</w:t>
            </w:r>
          </w:p>
        </w:tc>
      </w:tr>
    </w:tbl>
    <w:bookmarkEnd w:id="49"/>
    <w:bookmarkEnd w:id="50"/>
    <w:bookmarkStart w:id="51" w:name="subsec:eval-results"/>
    <w:p>
      <w:pPr>
        <w:pStyle w:val="Heading2"/>
        <w:spacing w:line="240" w:lineRule="auto" w:after="40" w:before="100"/>
        <w:ind w:firstLine="0"/>
        <w:jc w:val="both"/>
      </w:pPr>
      <w:r>
        <w:rPr>
          <w:rFonts w:ascii="Times New Roman" w:hAnsi="Times New Roman" w:eastAsia="Times New Roman" w:cs="Times New Roman"/>
          <w:b/>
          <w:sz w:val="24"/>
        </w:rPr>
        <w:t>7.2. Kết quả, điểm nhạy và tinh chỉnh được đề xuất</w:t>
      </w:r>
    </w:p>
    <w:p>
      <w:pPr>
        <w:pStyle w:val="FirstParagraph"/>
        <w:spacing w:line="240" w:lineRule="auto" w:after="0"/>
        <w:ind w:firstLine="720"/>
        <w:jc w:val="both"/>
      </w:pPr>
      <w:r>
        <w:rPr>
          <w:rFonts w:ascii="Times New Roman" w:hAnsi="Times New Roman" w:eastAsia="Times New Roman" w:cs="Times New Roman"/>
          <w:sz w:val="24"/>
        </w:rPr>
        <w:t xml:space="preserve">Hai kịch bản S1–S2 được B1₀ đáp ứng trực tiếp; S3–S8 và S10 được đáp ứng có điều kiện; S9 được phân loại</w:t>
      </w:r>
      <w:r>
        <w:rPr>
          <w:rFonts w:ascii="Times New Roman" w:hAnsi="Times New Roman" w:eastAsia="Times New Roman" w:cs="Times New Roman"/>
          <w:sz w:val="24"/>
        </w:rPr>
        <w:t xml:space="preserve"> </w:t>
      </w:r>
      <w:r>
        <w:rPr>
          <w:rFonts w:ascii="Times New Roman" w:hAnsi="Times New Roman" w:eastAsia="Times New Roman" w:cs="Times New Roman"/>
          <w:smallCaps/>
          <w:sz w:val="24"/>
        </w:rPr>
        <w:t xml:space="preserve">rủi ro kiến trúc</w:t>
      </w:r>
      <w:r>
        <w:rPr>
          <w:rFonts w:ascii="Times New Roman" w:hAnsi="Times New Roman" w:eastAsia="Times New Roman" w:cs="Times New Roman"/>
          <w:sz w:val="24"/>
        </w:rPr>
        <w:t xml:space="preserve">. S9 cho thấy kiến trúc ban đầu mới xác định</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biên ghi theo địa bàn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nhưng chưa xem quyền ghi là một quan hệ có hiệu lực theo thời gian. Nếu thẩm quyền quản lý một chủ thể chuyển từ A sang B, việc chỉ sao chép dữ liệu hoặc thay mã tỉnh không đủ để ngăn hai nút cùng ghi, mất dấu lịch sử hoặc định tuyến nhầm hồ sơ đang xử lý.</w:t>
      </w:r>
    </w:p>
    <w:p>
      <w:pPr>
        <w:pStyle w:val="BodyText"/>
        <w:spacing w:line="240" w:lineRule="auto" w:after="0"/>
        <w:ind w:firstLine="720"/>
        <w:jc w:val="both"/>
      </w:pPr>
      <w:r>
        <w:rPr>
          <w:rFonts w:ascii="Times New Roman" w:hAnsi="Times New Roman" w:eastAsia="Times New Roman" w:cs="Times New Roman"/>
          <w:sz w:val="24"/>
        </w:rPr>
        <w:t xml:space="preserve">Từ S9, vòng DSR hấp thụ R-S9 vào</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B1-R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bằng cách sửa AD01: mỗi gán quyền ghi có chủ thể, địa bàn, khoảng hiệu lực, nguồn/bằng chứng thay đổi và định danh lần chuyển; tại một thời điểm chỉ có một gán quyền ghi đang hoạt động. Quá trình chuyển kết thúc quyền ghi cũ tại điểm cắt, bảo toàn lịch sử bất biến, ghi/phát bằng chứng chuyển và chỉ kích hoạt quyền ghi mới sau khi điều kiện chuyển hoàn tất. AE25 duy trì sổ định tuyến quyền ghi theo thời gian, còn AE24 chỉ ghi khi gán quyền hiện hành trỏ tới nút đó. Việc đưa quy tắc này vào kiến trúc là một quyết định thiết kế L2 của DRV1/DRV5, không phải nghĩa vụ pháp lý mới; tính đúng của cơ chế cắt chuyển vẫn phải được kiểm chứng khi hiện thực hóa.</w:t>
      </w:r>
    </w:p>
    <w:p>
      <w:pPr>
        <w:pStyle w:val="BodyText"/>
        <w:spacing w:line="240" w:lineRule="auto" w:after="0"/>
        <w:ind w:firstLine="720"/>
        <w:jc w:val="both"/>
      </w:pPr>
      <w:r>
        <w:rPr>
          <w:rFonts w:ascii="Times New Roman" w:hAnsi="Times New Roman" w:eastAsia="Times New Roman" w:cs="Times New Roman"/>
          <w:sz w:val="24"/>
        </w:rPr>
        <w:t xml:space="preserve">S10 không làm thay đổi cấu trúc triển khai nhưng làm rõ một khoảng trống quản trị phiên bản, nên R-S10 được hấp thụ vào B1-R qua AD03/AE18/AE26: hợp đồng trao đổi phải mang phiên bản, có cửa sổ tương thích được công bố, xác định phiên bản tối thiểu còn hỗ trợ, và AE25 phải đọc/biến đổi các phiên bản còn trong cửa sổ đó. Hồ sơ đang xử lý giữ phiên bản quy trình đã ghim trừ khi có quy tắc chuyển phiên bản minh thị; dữ liệu lịch sử không bị âm thầm viết lại. Tương tự R-S9, đây là quyết định thiết kế cần kiểm thử tương thích/nâng cấp cuốn chiếu khi triển khai.</w:t>
      </w:r>
    </w:p>
    <w:p>
      <w:pPr>
        <w:pStyle w:val="BodyText"/>
        <w:spacing w:line="240" w:lineRule="auto" w:after="0"/>
        <w:ind w:firstLine="720"/>
        <w:jc w:val="both"/>
      </w:pPr>
      <w:r>
        <w:rPr>
          <w:rFonts w:ascii="Times New Roman" w:hAnsi="Times New Roman" w:eastAsia="Times New Roman" w:cs="Times New Roman"/>
          <w:sz w:val="24"/>
        </w:rPr>
        <w:t xml:space="preserve">Kết quả không được dùng để kết luận kiến trúc phân tán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tốt hơn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B0. B0 cho thấy lợi ích đối chứng về ít điểm cấu hình, ảnh đọc tập trung, ít bản tham chiếu và chuyển dữ liệu vật lý đơn giản hơn; B1₀ đổi các lợi ích đó lấy biên ghi và miền thực thi theo tỉnh. Đáng chú ý, S9 đã phủ định tính đầy đủ của AD01 ban đầu và buộc sửa sản phẩm kiến trúc; S10 buộc mở rộng AD03. Vì vậy, chuỗi</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B1₀</w:t>
      </w:r>
      <w:r>
        <w:rPr>
          <w:rFonts w:ascii="Times New Roman" w:hAnsi="Times New Roman" w:eastAsia="Times New Roman" w:cs="Times New Roman"/>
          <w:b/>
          <w:bCs/>
          <w:sz w:val="24"/>
        </w:rPr>
        <w:t xml:space="preserve"> </w:t>
      </w:r>
      <m:oMath>
        <m:r>
          <m:rPr>
            <m:sty m:val="p"/>
          </m:rPr>
          <m:t>→</m:t>
        </m:r>
      </m:oMath>
      <w:r>
        <w:rPr>
          <w:rFonts w:ascii="Times New Roman" w:hAnsi="Times New Roman" w:eastAsia="Times New Roman" w:cs="Times New Roman"/>
          <w:b/>
          <w:bCs/>
          <w:sz w:val="24"/>
        </w:rPr>
        <w:t xml:space="preserve"> </w:t>
      </w:r>
      <w:r>
        <w:rPr>
          <w:rFonts w:ascii="Times New Roman" w:hAnsi="Times New Roman" w:eastAsia="Times New Roman" w:cs="Times New Roman"/>
          <w:b/>
          <w:bCs/>
          <w:sz w:val="24"/>
        </w:rPr>
        <w:t xml:space="preserve">thử thách theo kịch bản</w:t>
      </w:r>
      <w:r>
        <w:rPr>
          <w:rFonts w:ascii="Times New Roman" w:hAnsi="Times New Roman" w:eastAsia="Times New Roman" w:cs="Times New Roman"/>
          <w:b/>
          <w:bCs/>
          <w:sz w:val="24"/>
        </w:rPr>
        <w:t xml:space="preserve"> </w:t>
      </w:r>
      <m:oMath>
        <m:r>
          <m:rPr>
            <m:sty m:val="p"/>
          </m:rPr>
          <m:t>→</m:t>
        </m:r>
      </m:oMath>
      <w:r>
        <w:rPr>
          <w:rFonts w:ascii="Times New Roman" w:hAnsi="Times New Roman" w:eastAsia="Times New Roman" w:cs="Times New Roman"/>
          <w:b/>
          <w:bCs/>
          <w:sz w:val="24"/>
        </w:rPr>
        <w:t xml:space="preserve"> </w:t>
      </w:r>
      <w:r>
        <w:rPr>
          <w:rFonts w:ascii="Times New Roman" w:hAnsi="Times New Roman" w:eastAsia="Times New Roman" w:cs="Times New Roman"/>
          <w:b/>
          <w:bCs/>
          <w:sz w:val="24"/>
        </w:rPr>
        <w:t xml:space="preserve">R-S9/R-S10</w:t>
      </w:r>
      <w:r>
        <w:rPr>
          <w:rFonts w:ascii="Times New Roman" w:hAnsi="Times New Roman" w:eastAsia="Times New Roman" w:cs="Times New Roman"/>
          <w:b/>
          <w:bCs/>
          <w:sz w:val="24"/>
        </w:rPr>
        <w:t xml:space="preserve"> </w:t>
      </w:r>
      <m:oMath>
        <m:r>
          <m:rPr>
            <m:sty m:val="p"/>
          </m:rPr>
          <m:t>→</m:t>
        </m:r>
      </m:oMath>
      <w:r>
        <w:rPr>
          <w:rFonts w:ascii="Times New Roman" w:hAnsi="Times New Roman" w:eastAsia="Times New Roman" w:cs="Times New Roman"/>
          <w:b/>
          <w:bCs/>
          <w:sz w:val="24"/>
        </w:rPr>
        <w:t xml:space="preserve"> </w:t>
      </w:r>
      <w:r>
        <w:rPr>
          <w:rFonts w:ascii="Times New Roman" w:hAnsi="Times New Roman" w:eastAsia="Times New Roman" w:cs="Times New Roman"/>
          <w:b/>
          <w:bCs/>
          <w:sz w:val="24"/>
        </w:rPr>
        <w:t xml:space="preserve">B1-R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tạo một vòng thiết kế–đánh giá–tinh chỉnh thay vì dùng kịch bản chỉ để xác nhận kiến trúc đã có.</w:t>
      </w:r>
    </w:p>
    <w:p>
      <w:pPr>
        <w:pStyle w:val="BodyText"/>
        <w:spacing w:line="240" w:lineRule="auto" w:after="0"/>
        <w:ind w:firstLine="720"/>
        <w:jc w:val="both"/>
      </w:pPr>
      <w:r>
        <w:rPr>
          <w:rFonts w:ascii="Times New Roman" w:hAnsi="Times New Roman" w:eastAsia="Times New Roman" w:cs="Times New Roman"/>
          <w:sz w:val="24"/>
        </w:rPr>
        <w:t xml:space="preserve">NĐ 278 cho phép truy vấn/đồng bộ qua hạ tầng dùng chung, còn QĐ 1973 yêu cầu xác định nguồn tạo lập và hạn chế trùng lặp; vì vậy AE25 chỉ là bản đọc/tổng hợp và sổ điều phối, không trở thành nguồn pháp lý mới [22, 11]. Phép đánh giá vẫn do cùng nhóm tác giả thiết kế/chấm, chưa phản ánh tải thực, thời gian phục hồi, chi phí vận hành hay trải nghiệm người dùng. B0 và B1₀ cũng khác nhau ở nhiều quyết định cùng lúc, nên phép đối chiếu không có giá trị suy luận nhân quả cho một quyết định riêng lẻ. R-S9/R-S10 đã được đưa vào B1-R ở cấp thiết kế, nhưng điều đó không chứng minh cơ chế triển khai hoạt động đúng: nguyên mẫu vẫn phải kiểm tra tính duy nhất của quyền ghi qua ghi đồng thời, cắt chuyển, gửi lại, hoàn tác và bảo toàn nguồn gốc; đồng thời kiểm tra ma trận tương thích, nâng cấp cuốn chiếu và phát lại dữ liệu lịch sử qua các phiên bản còn được hỗ trợ.</w:t>
      </w:r>
    </w:p>
    <w:bookmarkEnd w:id="51"/>
    <w:bookmarkEnd w:id="52"/>
    <w:bookmarkStart w:id="56" w:name="sec:discussion"/>
    <w:p>
      <w:pPr>
        <w:pStyle w:val="Heading1"/>
        <w:spacing w:line="240" w:lineRule="auto" w:after="60" w:before="120"/>
        <w:ind w:firstLine="0"/>
        <w:jc w:val="both"/>
      </w:pPr>
      <w:r>
        <w:rPr>
          <w:rFonts w:ascii="Times New Roman" w:hAnsi="Times New Roman" w:eastAsia="Times New Roman" w:cs="Times New Roman"/>
          <w:b/>
          <w:sz w:val="24"/>
        </w:rPr>
        <w:t>8. Bàn luận</w:t>
      </w:r>
    </w:p>
    <w:bookmarkStart w:id="53" w:name="subsec:delta"/>
    <w:p>
      <w:pPr>
        <w:pStyle w:val="Heading2"/>
        <w:spacing w:line="240" w:lineRule="auto" w:after="40" w:before="100"/>
        <w:ind w:firstLine="0"/>
        <w:jc w:val="both"/>
      </w:pPr>
      <w:r>
        <w:rPr>
          <w:rFonts w:ascii="Times New Roman" w:hAnsi="Times New Roman" w:eastAsia="Times New Roman" w:cs="Times New Roman"/>
          <w:b/>
          <w:sz w:val="24"/>
        </w:rPr>
        <w:t>8.1. Đóng góp kiến trúc và khả năng truy vết</w:t>
      </w:r>
    </w:p>
    <w:p>
      <w:pPr>
        <w:pStyle w:val="FirstParagraph"/>
        <w:spacing w:line="240" w:lineRule="auto" w:after="0"/>
        <w:ind w:firstLine="720"/>
        <w:jc w:val="both"/>
      </w:pPr>
      <w:r>
        <w:rPr>
          <w:rFonts w:ascii="Times New Roman" w:hAnsi="Times New Roman" w:eastAsia="Times New Roman" w:cs="Times New Roman"/>
          <w:sz w:val="24"/>
        </w:rPr>
        <w:t xml:space="preserve">Công trình trước đã thực hiện bước mã hóa FR, tổ chức sáu lớp năng lực và minh họa C4 ở mức vùng chứa [2, pp. 6–7, 17–18]; trong nghiên cứu này, nó chỉ xác lập ranh giới đóng góp mới, không cung cấp đầu vào cho phép tổng hợp SRA. Kiến trúc hiện tại được suy ra độc lập theo chuỗi tập nguồn hiện hành</w:t>
      </w:r>
      <w:r>
        <w:rPr>
          <w:rFonts w:ascii="Times New Roman" w:hAnsi="Times New Roman" w:eastAsia="Times New Roman" w:cs="Times New Roman"/>
          <w:sz w:val="24"/>
        </w:rPr>
        <w:t xml:space="preserve"> </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đơn vị nguồn</w:t>
      </w:r>
      <w:r>
        <w:rPr>
          <w:rFonts w:ascii="Times New Roman" w:hAnsi="Times New Roman" w:eastAsia="Times New Roman" w:cs="Times New Roman"/>
          <w:sz w:val="24"/>
        </w:rPr>
        <w:t xml:space="preserve"> </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Cxx.yy</w:t>
      </w:r>
      <w:r>
        <w:rPr>
          <w:rFonts w:ascii="Times New Roman" w:hAnsi="Times New Roman" w:eastAsia="Times New Roman" w:cs="Times New Roman"/>
          <w:sz w:val="24"/>
        </w:rPr>
        <w:t xml:space="preserve"> </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DRV1–DRV5</w:t>
      </w:r>
      <w:r>
        <w:rPr>
          <w:rFonts w:ascii="Times New Roman" w:hAnsi="Times New Roman" w:eastAsia="Times New Roman" w:cs="Times New Roman"/>
          <w:sz w:val="24"/>
        </w:rPr>
        <w:t xml:space="preserve"> </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AD/AE. Vì vậy, đóng góp mới nằm ở SRA đa góc nhìn, thẩm quyền dữ liệu theo nhóm thuộc tính, ranh giới trách nhiệm, mô hình phân tán tỉnh–trung ương và vòng đánh giá–tinh chỉnh có truy vết, không phải ở việc nhận lại FR, sáu lớp hay C4 trước đây.</w:t>
      </w:r>
    </w:p>
    <w:p>
      <w:pPr>
        <w:pStyle w:val="BodyText"/>
        <w:spacing w:line="240" w:lineRule="auto" w:after="0"/>
        <w:ind w:firstLine="720"/>
        <w:jc w:val="both"/>
      </w:pPr>
      <w:r>
        <w:rPr>
          <w:rFonts w:ascii="Times New Roman" w:hAnsi="Times New Roman" w:eastAsia="Times New Roman" w:cs="Times New Roman"/>
          <w:sz w:val="24"/>
        </w:rPr>
        <w:t xml:space="preserve">Chuỗi A4 vận hành hóa yêu cầu phù hợp kiến trúc trước đầu tư tại Mục VI.1.1 QĐ 1973 thành nguồn</w:t>
      </w:r>
      <w:r>
        <w:rPr>
          <w:rFonts w:ascii="Times New Roman" w:hAnsi="Times New Roman" w:eastAsia="Times New Roman" w:cs="Times New Roman"/>
          <w:sz w:val="24"/>
        </w:rPr>
        <w:t xml:space="preserve"> </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Cxx.yy</w:t>
      </w:r>
      <w:r>
        <w:rPr>
          <w:rFonts w:ascii="Times New Roman" w:hAnsi="Times New Roman" w:eastAsia="Times New Roman" w:cs="Times New Roman"/>
          <w:sz w:val="24"/>
        </w:rPr>
        <w:t xml:space="preserve"> </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L1/L2/L3</w:t>
      </w:r>
      <w:r>
        <w:rPr>
          <w:rFonts w:ascii="Times New Roman" w:hAnsi="Times New Roman" w:eastAsia="Times New Roman" w:cs="Times New Roman"/>
          <w:sz w:val="24"/>
        </w:rPr>
        <w:t xml:space="preserve"> </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AD/AE</w:t>
      </w:r>
      <w:r>
        <w:rPr>
          <w:rFonts w:ascii="Times New Roman" w:hAnsi="Times New Roman" w:eastAsia="Times New Roman" w:cs="Times New Roman"/>
          <w:sz w:val="24"/>
        </w:rPr>
        <w:t xml:space="preserve"> </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tiêu chí kiểm tra [11]. Trong 128 dòng, 114 ràng buộc lớp A tạo đường cơ sở, 8 dòng D dùng chẩn đoán và 6 dòng M dùng tham chiếu; sau khi hình thức hóa, 114/114 dòng A có liên kết kiến trúc, gồm 110</w:t>
      </w:r>
      <w:r>
        <w:rPr>
          <w:rFonts w:ascii="Times New Roman" w:hAnsi="Times New Roman" w:eastAsia="Times New Roman" w:cs="Times New Roman"/>
          <w:sz w:val="24"/>
        </w:rPr>
        <w:t xml:space="preserve"> </w:t>
      </w:r>
      <w:r>
        <w:rPr>
          <w:rFonts w:ascii="Times New Roman" w:hAnsi="Times New Roman" w:eastAsia="Times New Roman" w:cs="Times New Roman"/>
          <w:smallCaps/>
          <w:sz w:val="24"/>
        </w:rPr>
        <w:t xml:space="preserve">đáp ứng</w:t>
      </w:r>
      <w:r>
        <w:rPr>
          <w:rFonts w:ascii="Times New Roman" w:hAnsi="Times New Roman" w:eastAsia="Times New Roman" w:cs="Times New Roman"/>
          <w:sz w:val="24"/>
        </w:rPr>
        <w:t xml:space="preserve">, 3</w:t>
      </w:r>
      <w:r>
        <w:rPr>
          <w:rFonts w:ascii="Times New Roman" w:hAnsi="Times New Roman" w:eastAsia="Times New Roman" w:cs="Times New Roman"/>
          <w:sz w:val="24"/>
        </w:rPr>
        <w:t xml:space="preserve"> </w:t>
      </w:r>
      <w:r>
        <w:rPr>
          <w:rFonts w:ascii="Times New Roman" w:hAnsi="Times New Roman" w:eastAsia="Times New Roman" w:cs="Times New Roman"/>
          <w:smallCaps/>
          <w:sz w:val="24"/>
        </w:rPr>
        <w:t xml:space="preserve">một phần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và 1</w:t>
      </w:r>
      <w:r>
        <w:rPr>
          <w:rFonts w:ascii="Times New Roman" w:hAnsi="Times New Roman" w:eastAsia="Times New Roman" w:cs="Times New Roman"/>
          <w:sz w:val="24"/>
        </w:rPr>
        <w:t xml:space="preserve"> </w:t>
      </w:r>
      <w:r>
        <w:rPr>
          <w:rFonts w:ascii="Times New Roman" w:hAnsi="Times New Roman" w:eastAsia="Times New Roman" w:cs="Times New Roman"/>
          <w:smallCaps/>
          <w:sz w:val="24"/>
        </w:rPr>
        <w:t xml:space="preserve">cần làm rõ</w:t>
      </w:r>
      <w:r>
        <w:rPr>
          <w:rFonts w:ascii="Times New Roman" w:hAnsi="Times New Roman" w:eastAsia="Times New Roman" w:cs="Times New Roman"/>
          <w:sz w:val="24"/>
        </w:rPr>
        <w:t xml:space="preserve">. Đây là độ bao phủ/trạng thái ở thời điểm thiết kế, không phải tỷ lệ tuân thủ của hệ thống đã triển khai.</w:t>
      </w:r>
    </w:p>
    <w:p>
      <w:pPr>
        <w:pStyle w:val="BodyText"/>
        <w:spacing w:line="240" w:lineRule="auto" w:after="0"/>
        <w:ind w:firstLine="720"/>
        <w:jc w:val="both"/>
      </w:pPr>
      <w:r>
        <w:rPr>
          <w:rFonts w:ascii="Times New Roman" w:hAnsi="Times New Roman" w:eastAsia="Times New Roman" w:cs="Times New Roman"/>
          <w:sz w:val="24"/>
        </w:rPr>
        <w:t xml:space="preserve">Ba vấn đề của dự thảo–viện dẫn NĐ 47 đã hết hiệu lực theo khoản 2 Điều 23 NĐ 278, phạm vi MD001 chưa tách định danh pháp lý với trạng thái chuyên ngành, và phạm vi hai miền chưa trùng danh mục STT 38 QĐ 1762–chỉ là ca minh họa cho khả năng chẩn đoán [26, 22, 25]. Nếu dự thảo thay đổi, SRA và thủ tục truy vết vẫn giữ giá trị; chỉ các dòng D phải đối sánh lại.</w:t>
      </w:r>
    </w:p>
    <w:bookmarkEnd w:id="53"/>
    <w:bookmarkStart w:id="54" w:name="subsec:distributed-discussion"/>
    <w:p>
      <w:pPr>
        <w:pStyle w:val="Heading2"/>
        <w:spacing w:line="240" w:lineRule="auto" w:after="40" w:before="100"/>
        <w:ind w:firstLine="0"/>
        <w:jc w:val="both"/>
      </w:pPr>
      <w:r>
        <w:rPr>
          <w:rFonts w:ascii="Times New Roman" w:hAnsi="Times New Roman" w:eastAsia="Times New Roman" w:cs="Times New Roman"/>
          <w:b/>
          <w:sz w:val="24"/>
        </w:rPr>
        <w:t>8.2. Ý nghĩa của mô hình phân tán tỉnh–trung ương</w:t>
      </w:r>
    </w:p>
    <w:p>
      <w:pPr>
        <w:pStyle w:val="FirstParagraph"/>
        <w:spacing w:line="240" w:lineRule="auto" w:after="0"/>
        <w:ind w:firstLine="720"/>
        <w:jc w:val="both"/>
      </w:pPr>
      <w:r>
        <w:rPr>
          <w:rFonts w:ascii="Times New Roman" w:hAnsi="Times New Roman" w:eastAsia="Times New Roman" w:cs="Times New Roman"/>
          <w:sz w:val="24"/>
        </w:rPr>
        <w:t xml:space="preserve">Phép thử kịch bản không xếp hạng B1₀ và B0. Hai kịch bản được B1₀ đáp ứng trực tiếp, bảy kịch bản phụ thuộc các cơ chế quản trị/khôi phục cụ thể và S9 làm lộ một</w:t>
      </w:r>
      <w:r>
        <w:rPr>
          <w:rFonts w:ascii="Times New Roman" w:hAnsi="Times New Roman" w:eastAsia="Times New Roman" w:cs="Times New Roman"/>
          <w:sz w:val="24"/>
        </w:rPr>
        <w:t xml:space="preserve"> </w:t>
      </w:r>
      <w:r>
        <w:rPr>
          <w:rFonts w:ascii="Times New Roman" w:hAnsi="Times New Roman" w:eastAsia="Times New Roman" w:cs="Times New Roman"/>
          <w:smallCaps/>
          <w:sz w:val="24"/>
        </w:rPr>
        <w:t xml:space="preserve">rủi ro kiến trúc</w:t>
      </w:r>
      <w:r>
        <w:rPr>
          <w:rFonts w:ascii="Times New Roman" w:hAnsi="Times New Roman" w:eastAsia="Times New Roman" w:cs="Times New Roman"/>
          <w:sz w:val="24"/>
        </w:rPr>
        <w:t xml:space="preserve">: biên ghi theo tỉnh chưa đủ nếu quyền ghi có thể chuyển giữa hai địa bàn theo thời gian. Phát hiện này được hấp thụ vào B1-R bằng gán quyền ghi có khoảng hiệu lực và bất biến một chủ thể chỉ có một nút ghi đang hoạt động tại một thời điểm; S10 đồng thời được hấp thụ vào AD03 bằng cửa sổ tương thích, phiên bản tối thiểu và ghim phiên bản hồ sơ. Việc đưa hai quy tắc vào sản phẩm kiến trúc không thay cho bằng chứng triển khai: cắt chuyển, cạnh tranh ghi, hoàn tác, bảo toàn nguồn gốc và nâng cấp cuốn chiếu vẫn phải được kiểm thử trên nguyên mẫu. B0 tiếp tục làm rõ lợi ích của tập trung hóa ở phát hành thay đổi, ảnh đọc toàn quốc, số bản tham chiếu và chuyển dữ liệu vật lý đơn giản hơn. Vì vậy, kết luận không phải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phân tán tốt hơn tập trung</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mà là B1-R đáp ứng các động lực về biên ghi theo tỉnh và biến thiên quy trình với một chi phí kiến trúc xác định.</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Quản trị tập trung không đồng nghĩa lưu trữ vật lý tập trung</w:t>
      </w:r>
      <w:r>
        <w:rPr>
          <w:rFonts w:ascii="Times New Roman" w:hAnsi="Times New Roman" w:eastAsia="Times New Roman" w:cs="Times New Roman"/>
          <w:sz w:val="24"/>
        </w:rPr>
        <w:t xml:space="preserve">: tỉnh là biên ghi cho quyết định thuộc thẩm quyền tại khoảng hiệu lực tương ứng; trung ương là biên quản trị logic, tổng hợp, định tuyến và điều phối.</w:t>
      </w:r>
    </w:p>
    <w:p>
      <w:pPr>
        <w:pStyle w:val="BodyText"/>
        <w:spacing w:line="240" w:lineRule="auto" w:after="0"/>
        <w:ind w:firstLine="720"/>
        <w:jc w:val="both"/>
      </w:pPr>
      <w:r>
        <w:rPr>
          <w:rFonts w:ascii="Times New Roman" w:hAnsi="Times New Roman" w:eastAsia="Times New Roman" w:cs="Times New Roman"/>
          <w:sz w:val="24"/>
        </w:rPr>
        <w:t xml:space="preserve">Tách biên thẩm quyền khỏi biên hệ sinh thái cũng quan trọng. Fischer và cộng sự cho rằng ranh giới hệ sinh thái không nên mặc định trùng đơn vị hành chính [13, pp. 28, 32]; Noak và Christian cho thấy liên kết đầu tư có thể trải qua cấp vùng, quốc gia và quốc tế [14, pp. 1483–1484]. Vì vậy, địa bàn được dùng cho quyền ghi/phân quyền, còn quan hệ doanh nghiệp–quỹ–chuyên gia–viện/trường là liên kết xuyên địa bàn có nguồn và thời gian hiệu lực.</w:t>
      </w:r>
    </w:p>
    <w:bookmarkEnd w:id="54"/>
    <w:bookmarkStart w:id="55" w:name="subsec:limits-transfer"/>
    <w:p>
      <w:pPr>
        <w:pStyle w:val="Heading2"/>
        <w:spacing w:line="240" w:lineRule="auto" w:after="40" w:before="100"/>
        <w:ind w:firstLine="0"/>
        <w:jc w:val="both"/>
      </w:pPr>
      <w:r>
        <w:rPr>
          <w:rFonts w:ascii="Times New Roman" w:hAnsi="Times New Roman" w:eastAsia="Times New Roman" w:cs="Times New Roman"/>
          <w:b/>
          <w:sz w:val="24"/>
        </w:rPr>
        <w:t>8.3. Giới hạn và khả năng chuyển giao</w:t>
      </w:r>
    </w:p>
    <w:p>
      <w:pPr>
        <w:pStyle w:val="FirstParagraph"/>
        <w:spacing w:line="240" w:lineRule="auto" w:after="0"/>
        <w:ind w:firstLine="720"/>
        <w:jc w:val="both"/>
      </w:pPr>
      <w:r>
        <w:rPr>
          <w:rFonts w:ascii="Times New Roman" w:hAnsi="Times New Roman" w:eastAsia="Times New Roman" w:cs="Times New Roman"/>
          <w:sz w:val="24"/>
        </w:rPr>
        <w:t xml:space="preserve">Khả năng chuyển giao nằm ở</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phương pháp thiết kế</w:t>
      </w:r>
      <w:r>
        <w:rPr>
          <w:rFonts w:ascii="Times New Roman" w:hAnsi="Times New Roman" w:eastAsia="Times New Roman" w:cs="Times New Roman"/>
          <w:sz w:val="24"/>
        </w:rPr>
        <w:t xml:space="preserve">: phân lớp nguồn A/D/M, mã hóa nguyên tử, tách L1–L3, xác định thẩm quyền dữ liệu, ghi AD/đánh đổi và đánh giá bằng kịch bản. Lựa chọn B1-R không nên sao chép sang mọi hệ thống; một miền khác phải quyết định lại giữa tập trung và phân tán theo thẩm quyền, miền sự cố và yêu cầu đồng bộ. Tương tự, thời hạn 15 ngày tại khoản 2 Điều 66 NĐ 268 là L1; dấu thời gian, gửi lại và cảnh báo là L2, nhưng không được biến 15 ngày thành độ trễ API [1].</w:t>
      </w:r>
    </w:p>
    <w:p>
      <w:pPr>
        <w:pStyle w:val="BodyText"/>
        <w:spacing w:line="240" w:lineRule="auto" w:after="0"/>
        <w:ind w:firstLine="720"/>
        <w:jc w:val="both"/>
      </w:pPr>
      <w:r>
        <w:rPr>
          <w:rFonts w:ascii="Times New Roman" w:hAnsi="Times New Roman" w:eastAsia="Times New Roman" w:cs="Times New Roman"/>
          <w:sz w:val="24"/>
        </w:rPr>
        <w:t xml:space="preserve">Nghiên cứu vẫn là đánh giá trước triển khai: tập nguồn khóa ngày 08/08/2026, dự thảo dữ liệu chưa phải nguồn A, chưa có nguyên mẫu, kiểm thử hiệu năng/an toàn hoặc thử nghiệm liên thông. Bộ mười kịch bản giảm vòng lặp tự chứng minh bằng truy vết và S9 thực sự phát hiện một khoảng trống thiết kế; khoảng trống đó đã được đưa trở lại B1-R. Ma trận DRV–góc nhìn làm rõ độ phủ của S1–S10 nhưng không chứng minh bộ kịch bản là đầy đủ; việc xây dựng và chấm kịch bản vẫn do nhóm tác giả thực hiện. Vì vậy, bước xác nhận tiếp theo phải dựa trên nguyên mẫu và các phép thử có thể lặp lại: liên thông qua hạ tầng dùng chung, chuyển quyền ghi A–B, nâng cấp cuốn chiếu, phục hồi sau gián đoạn, kiểm soát an toàn và đo các thuộc tính chất lượng bằng dữ liệu kiểm thử hoặc dữ liệu vận hành khi có.</w:t>
      </w:r>
    </w:p>
    <w:bookmarkEnd w:id="55"/>
    <w:bookmarkEnd w:id="56"/>
    <w:bookmarkStart w:id="72" w:name="sec:conclusion"/>
    <w:p>
      <w:pPr>
        <w:pStyle w:val="Heading1"/>
        <w:spacing w:line="240" w:lineRule="auto" w:after="60" w:before="120"/>
        <w:ind w:firstLine="0"/>
        <w:jc w:val="both"/>
      </w:pPr>
      <w:r>
        <w:rPr>
          <w:rFonts w:ascii="Times New Roman" w:hAnsi="Times New Roman" w:eastAsia="Times New Roman" w:cs="Times New Roman"/>
          <w:b/>
          <w:sz w:val="24"/>
        </w:rPr>
        <w:t>9. Kết luận</w:t>
      </w:r>
    </w:p>
    <w:p>
      <w:pPr>
        <w:pStyle w:val="FirstParagraph"/>
        <w:spacing w:line="240" w:lineRule="auto" w:after="0"/>
        <w:ind w:firstLine="720"/>
        <w:jc w:val="both"/>
      </w:pPr>
      <w:r>
        <w:rPr>
          <w:rFonts w:ascii="Times New Roman" w:hAnsi="Times New Roman" w:eastAsia="Times New Roman" w:cs="Times New Roman"/>
          <w:sz w:val="24"/>
        </w:rPr>
        <w:t xml:space="preserve">Bài báo đề xuất SRA cho nền tảng quản lý DN KH&amp;CN và DN KNST trong điều kiện quyết định nghiệp vụ thuộc tỉnh nhưng dữ liệu/liên thông phải thống nhất ở cấp Bộ/quốc gia. Công trình trước về FR và sáu lớp năng lực chỉ được dùng để xác lập ranh giới đóng góp [2]; SRA hiện tại được tổng hợp độc lập từ tập nguồn hiện hành, 128 mệnh đề ràng buộc nguồn nguyên tử và DRV1–DRV5. Đóng góp nằm ở lớp hiện thực hóa: SRA đa góc nhìn và năm quyết định kiến trúc; mô hình thẩm quyền dữ liệu theo nhóm thuộc tính; ma trận liên thông/ranh giới trách nhiệm; và chuỗi truy vết tới AD/AE cùng vòng đánh giá–tinh chỉnh.</w:t>
      </w:r>
    </w:p>
    <w:p>
      <w:pPr>
        <w:pStyle w:val="BodyText"/>
        <w:spacing w:line="240" w:lineRule="auto" w:after="0"/>
        <w:ind w:firstLine="720"/>
        <w:jc w:val="both"/>
      </w:pPr>
      <w:r>
        <w:rPr>
          <w:rFonts w:ascii="Times New Roman" w:hAnsi="Times New Roman" w:eastAsia="Times New Roman" w:cs="Times New Roman"/>
          <w:sz w:val="24"/>
        </w:rPr>
        <w:t xml:space="preserve">Kiến trúc ban đầu B1₀ dùng mô hình phân tán tỉnh–trung ương: AE24 là nút dữ liệu nghiệp vụ theo thẩm quyền tỉnh, AE25 duy trì mô hình đọc/tổng hợp và AE26 quản trị mô hình nền pháp lý cùng cấu hình địa phương có phiên bản. Mười kịch bản không chứng minh B1₀ trội hơn B0: S1–S2 được đáp ứng trực tiếp, S3–S8 và S10 cần điều kiện, còn S9 làm lộ khoảng trống chuyển quyền ghi theo thời gian. Kết quả được hấp thụ vào kiến trúc cuối B1-R: AD01 quản lý gán quyền ghi có khoảng hiệu lực với bất biến một nút ghi hoạt động tại một thời điểm; AD03 quản lý cửa sổ tương thích, phiên bản tối thiểu và ghim phiên bản cho hồ sơ đang xử lý. Ở hiện thực hóa mục tiêu, mỗi AE24 vẫn có kho dữ liệu vận hành vật lý tách biệt nhưng không được coi là một CSDL chuyên ngành độc lập về pháp lý. B0 vẫn là đối chứng hữu ích cho các lợi ích của tập trung hóa.</w:t>
      </w:r>
    </w:p>
    <w:p>
      <w:pPr>
        <w:pStyle w:val="BodyText"/>
        <w:spacing w:line="240" w:lineRule="auto" w:after="0"/>
        <w:ind w:firstLine="720"/>
        <w:jc w:val="both"/>
      </w:pPr>
      <w:r>
        <w:rPr>
          <w:rFonts w:ascii="Times New Roman" w:hAnsi="Times New Roman" w:eastAsia="Times New Roman" w:cs="Times New Roman"/>
          <w:sz w:val="24"/>
        </w:rPr>
        <w:t xml:space="preserve">Kết quả hiện là đánh giá trước triển khai. Việc tích hợp R-S9/R-S10 vào B1-R khép kín vòng thiết kế ở mức L2 nhưng không chứng minh cơ chế triển khai hoạt động đúng. Ba ràng buộc A còn</w:t>
      </w:r>
      <w:r>
        <w:rPr>
          <w:rFonts w:ascii="Times New Roman" w:hAnsi="Times New Roman" w:eastAsia="Times New Roman" w:cs="Times New Roman"/>
          <w:sz w:val="24"/>
        </w:rPr>
        <w:t xml:space="preserve"> </w:t>
      </w:r>
      <w:r>
        <w:rPr>
          <w:rFonts w:ascii="Times New Roman" w:hAnsi="Times New Roman" w:eastAsia="Times New Roman" w:cs="Times New Roman"/>
          <w:smallCaps/>
          <w:sz w:val="24"/>
        </w:rPr>
        <w:t xml:space="preserve">một phần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cần lược đồ hoặc bằng chứng triển khai và C07.01 vẫn cần cơ quan có thẩm quyền làm rõ phạm vi CSDL. Bước tiếp theo là xây dựng nguyên mẫu và kiểm thử có thể lặp lại đối với liên thông, tính duy nhất khi chuyển quyền ghi giữa tỉnh, nâng cấp cuốn chiếu, phục hồi, an toàn và các thuộc tính chất lượng bằng dữ liệu kiểm thử hoặc dữ liệu vận hành khi có.</w:t>
      </w:r>
    </w:p>
    <w:p>
      <w:pPr>
        <w:pStyle w:val="BodyText"/>
        <w:spacing w:line="240" w:lineRule="auto" w:after="80" w:before="160"/>
        <w:ind w:firstLine="0"/>
        <w:jc w:val="both"/>
      </w:pPr>
      <w:r>
        <w:rPr>
          <w:rFonts w:ascii="Times New Roman" w:hAnsi="Times New Roman" w:eastAsia="Times New Roman" w:cs="Times New Roman"/>
          <w:b/>
          <w:sz w:val="24"/>
        </w:rPr>
        <w:t>TÀI LIỆU THAM KHẢO</w:t>
      </w:r>
    </w:p>
    <w:p>
      <w:r>
        <w:rPr>
          <w:rFonts w:ascii="Times New Roman" w:hAnsi="Times New Roman" w:eastAsia="Times New Roman" w:cs="Times New Roman"/>
          <w:sz w:val="24"/>
          <w:szCs w:val="24"/>
        </w:rPr>
        <w:t>[1] </w:t>
      </w:r>
      <w:pPr>
        <w:pStyle w:val="BodyText"/>
        <w:spacing w:line="240" w:lineRule="auto" w:after="40"/>
        <w:ind w:firstLine="454"/>
        <w:jc w:val="both"/>
      </w:pPr>
      <w:r>
        <w:rPr>
          <w:rFonts w:ascii="Times New Roman" w:hAnsi="Times New Roman" w:eastAsia="Times New Roman" w:cs="Times New Roman"/>
          <w:sz w:val="24"/>
        </w:rPr>
        <w:t xml:space="preserve">Government of Vietnam (2025),</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Decree No. 268/2025/ND-CP Detailing and Guiding a Number of Articles of the Law on Science, Technology and Innovation Concerning Innovation, Science, Technology and Innovation Activities in Enterprises, Recognition of Innovation Centers and Innovative Startups, and Startup Ecosystem Infrastructure</w:t>
      </w:r>
      <w:r>
        <w:rPr>
          <w:rFonts w:ascii="Times New Roman" w:hAnsi="Times New Roman" w:eastAsia="Times New Roman" w:cs="Times New Roman"/>
          <w:sz w:val="24"/>
        </w:rPr>
        <w:t xml:space="preserve">, 69pp,</w:t>
      </w:r>
      <w:r>
        <w:rPr>
          <w:rFonts w:ascii="Times New Roman" w:hAnsi="Times New Roman" w:eastAsia="Times New Roman" w:cs="Times New Roman"/>
          <w:sz w:val="24"/>
        </w:rPr>
        <w:t xml:space="preserve"> </w:t>
      </w:r>
      <w:hyperlink r:id="rId57">
        <w:r>
          <w:rPr>
            <w:rStyle w:val="Hyperlink"/>
          </w:rPr>
          <w:t xml:space="preserve">https://vanban.chinhphu.vn/?classid=1&amp;docid=215663&amp;orggroupid=2&amp;pageid=27160</w:t>
        </w:r>
      </w:hyperlink>
      <w:r>
        <w:rPr>
          <w:rFonts w:ascii="Times New Roman" w:hAnsi="Times New Roman" w:eastAsia="Times New Roman" w:cs="Times New Roman"/>
          <w:sz w:val="24"/>
        </w:rPr>
        <w:t xml:space="preserve">, accessed 9 August 2026 (in Vietnamese).</w:t>
      </w:r>
    </w:p>
    <w:p>
      <w:r>
        <w:rPr>
          <w:rFonts w:ascii="Times New Roman" w:hAnsi="Times New Roman" w:eastAsia="Times New Roman" w:cs="Times New Roman"/>
          <w:sz w:val="24"/>
          <w:szCs w:val="24"/>
        </w:rPr>
        <w:t>[2] </w:t>
      </w:r>
      <w:pPr>
        <w:pStyle w:val="BodyText"/>
        <w:spacing w:line="240" w:lineRule="auto" w:after="40"/>
        <w:ind w:firstLine="454"/>
        <w:jc w:val="both"/>
      </w:pPr>
      <w:r>
        <w:rPr>
          <w:rFonts w:ascii="Times New Roman" w:hAnsi="Times New Roman" w:eastAsia="Times New Roman" w:cs="Times New Roman"/>
          <w:sz w:val="24"/>
        </w:rPr>
        <w:t xml:space="preserve">N.D. Quang, N.H. Cuong (2026),</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Digital governance platform for the innovative startup and science–technology enterprise ecosystem: Insights from Decree No. 268/2025/ND-CP and Korean experience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Vietnam Journal of Science and Technology</w:t>
      </w:r>
      <w:r>
        <w:rPr>
          <w:rFonts w:ascii="Times New Roman" w:hAnsi="Times New Roman" w:eastAsia="Times New Roman" w:cs="Times New Roman"/>
          <w:sz w:val="24"/>
        </w:rPr>
        <w:t xml:space="preserve">, accepted for publication, accepted manuscript, 28pp, DOI not yet assigned (in Vietnamese).</w:t>
      </w:r>
    </w:p>
    <w:p>
      <w:r>
        <w:rPr>
          <w:rFonts w:ascii="Times New Roman" w:hAnsi="Times New Roman" w:eastAsia="Times New Roman" w:cs="Times New Roman"/>
          <w:sz w:val="24"/>
          <w:szCs w:val="24"/>
        </w:rPr>
        <w:t>[3] </w:t>
      </w:r>
      <w:pPr>
        <w:pStyle w:val="BodyText"/>
        <w:spacing w:line="240" w:lineRule="auto" w:after="40"/>
        <w:ind w:firstLine="454"/>
        <w:jc w:val="both"/>
      </w:pPr>
      <w:r>
        <w:rPr>
          <w:rFonts w:ascii="Times New Roman" w:hAnsi="Times New Roman" w:eastAsia="Times New Roman" w:cs="Times New Roman"/>
          <w:sz w:val="24"/>
        </w:rPr>
        <w:t xml:space="preserve">S. Angelov, P. Grefen, D. Greefhorst (2012),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 framework for analysis and design of software reference architectures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Information and Software Technology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54(4)</w:t>
      </w:r>
      <w:r>
        <w:rPr>
          <w:rFonts w:ascii="Times New Roman" w:hAnsi="Times New Roman" w:eastAsia="Times New Roman" w:cs="Times New Roman"/>
          <w:sz w:val="24"/>
        </w:rPr>
        <w:t xml:space="preserve">, pp.417–431, DOI: 10.1016/j.infsof.2011.11.009.</w:t>
      </w:r>
    </w:p>
    <w:p>
      <w:r>
        <w:rPr>
          <w:rFonts w:ascii="Times New Roman" w:hAnsi="Times New Roman" w:eastAsia="Times New Roman" w:cs="Times New Roman"/>
          <w:sz w:val="24"/>
          <w:szCs w:val="24"/>
        </w:rPr>
        <w:t>[4] </w:t>
      </w:r>
      <w:pPr>
        <w:pStyle w:val="BodyText"/>
        <w:spacing w:line="240" w:lineRule="auto" w:after="40"/>
        <w:ind w:firstLine="454"/>
        <w:jc w:val="both"/>
      </w:pPr>
      <w:r>
        <w:rPr>
          <w:rFonts w:ascii="Times New Roman" w:hAnsi="Times New Roman" w:eastAsia="Times New Roman" w:cs="Times New Roman"/>
          <w:sz w:val="24"/>
        </w:rPr>
        <w:t xml:space="preserve">ISO/IEC/IEEE (2022),</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ISO/IEC/IEEE 42010:2022 Software, Systems and Enterprise—Architecture Description</w:t>
      </w:r>
      <w:r>
        <w:rPr>
          <w:rFonts w:ascii="Times New Roman" w:hAnsi="Times New Roman" w:eastAsia="Times New Roman" w:cs="Times New Roman"/>
          <w:sz w:val="24"/>
        </w:rPr>
        <w:t xml:space="preserve">, 2nd ed., International Organization for Standardization, 62pp,</w:t>
      </w:r>
      <w:r>
        <w:rPr>
          <w:rFonts w:ascii="Times New Roman" w:hAnsi="Times New Roman" w:eastAsia="Times New Roman" w:cs="Times New Roman"/>
          <w:sz w:val="24"/>
        </w:rPr>
        <w:t xml:space="preserve"> </w:t>
      </w:r>
      <w:hyperlink r:id="rId58">
        <w:r>
          <w:rPr>
            <w:rStyle w:val="Hyperlink"/>
          </w:rPr>
          <w:t xml:space="preserve">https://www.iso.org/standard/74393.html</w:t>
        </w:r>
      </w:hyperlink>
      <w:r>
        <w:rPr>
          <w:rFonts w:ascii="Times New Roman" w:hAnsi="Times New Roman" w:eastAsia="Times New Roman" w:cs="Times New Roman"/>
          <w:sz w:val="24"/>
        </w:rPr>
        <w:t xml:space="preserve">, accessed 9 August 2026.</w:t>
      </w:r>
    </w:p>
    <w:p>
      <w:r>
        <w:rPr>
          <w:rFonts w:ascii="Times New Roman" w:hAnsi="Times New Roman" w:eastAsia="Times New Roman" w:cs="Times New Roman"/>
          <w:sz w:val="24"/>
          <w:szCs w:val="24"/>
        </w:rPr>
        <w:t>[5] </w:t>
      </w:r>
      <w:pPr>
        <w:pStyle w:val="BodyText"/>
        <w:spacing w:line="240" w:lineRule="auto" w:after="40"/>
        <w:ind w:firstLine="454"/>
        <w:jc w:val="both"/>
      </w:pPr>
      <w:r>
        <w:rPr>
          <w:rFonts w:ascii="Times New Roman" w:hAnsi="Times New Roman" w:eastAsia="Times New Roman" w:cs="Times New Roman"/>
          <w:sz w:val="24"/>
        </w:rPr>
        <w:t xml:space="preserve">K. Manikas, K.M. Hansen (2013),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Software ecosystems—A systematic literature review</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Journal of Systems and Software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86(5)</w:t>
      </w:r>
      <w:r>
        <w:rPr>
          <w:rFonts w:ascii="Times New Roman" w:hAnsi="Times New Roman" w:eastAsia="Times New Roman" w:cs="Times New Roman"/>
          <w:sz w:val="24"/>
        </w:rPr>
        <w:t xml:space="preserve">, pp.1294–1306, DOI: 10.1016/j.jss.2012.12.026.</w:t>
      </w:r>
    </w:p>
    <w:p>
      <w:r>
        <w:rPr>
          <w:rFonts w:ascii="Times New Roman" w:hAnsi="Times New Roman" w:eastAsia="Times New Roman" w:cs="Times New Roman"/>
          <w:sz w:val="24"/>
          <w:szCs w:val="24"/>
        </w:rPr>
        <w:t>[6] </w:t>
      </w:r>
      <w:pPr>
        <w:pStyle w:val="BodyText"/>
        <w:spacing w:line="240" w:lineRule="auto" w:after="40"/>
        <w:ind w:firstLine="454"/>
        <w:jc w:val="both"/>
      </w:pPr>
      <w:r>
        <w:rPr>
          <w:rFonts w:ascii="Times New Roman" w:hAnsi="Times New Roman" w:eastAsia="Times New Roman" w:cs="Times New Roman"/>
          <w:sz w:val="24"/>
        </w:rPr>
        <w:t xml:space="preserve">P. Wang (2021),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Connecting the parts with the whole: Toward an information ecology theory of digital innovation ecosystems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MIS Quarterly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45(1)</w:t>
      </w:r>
      <w:r>
        <w:rPr>
          <w:rFonts w:ascii="Times New Roman" w:hAnsi="Times New Roman" w:eastAsia="Times New Roman" w:cs="Times New Roman"/>
          <w:sz w:val="24"/>
        </w:rPr>
        <w:t xml:space="preserve">, pp.397–422, DOI: 10.25300/MISQ/2021/15864.</w:t>
      </w:r>
    </w:p>
    <w:p>
      <w:r>
        <w:rPr>
          <w:rFonts w:ascii="Times New Roman" w:hAnsi="Times New Roman" w:eastAsia="Times New Roman" w:cs="Times New Roman"/>
          <w:sz w:val="24"/>
          <w:szCs w:val="24"/>
        </w:rPr>
        <w:t>[7] </w:t>
      </w:r>
      <w:pPr>
        <w:pStyle w:val="BodyText"/>
        <w:spacing w:line="240" w:lineRule="auto" w:after="40"/>
        <w:ind w:firstLine="454"/>
        <w:jc w:val="both"/>
      </w:pPr>
      <w:r>
        <w:rPr>
          <w:rFonts w:ascii="Times New Roman" w:hAnsi="Times New Roman" w:eastAsia="Times New Roman" w:cs="Times New Roman"/>
          <w:sz w:val="24"/>
        </w:rPr>
        <w:t xml:space="preserve">S. Winkler, J. von Pilgrim (2010),</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 survey of traceability in requirements engineering and model-driven development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Software &amp; Systems Modeling</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9</w:t>
      </w:r>
      <w:r>
        <w:rPr>
          <w:rFonts w:ascii="Times New Roman" w:hAnsi="Times New Roman" w:eastAsia="Times New Roman" w:cs="Times New Roman"/>
          <w:sz w:val="24"/>
        </w:rPr>
        <w:t xml:space="preserve">, pp.529–565, DOI: 10.1007/s10270-009-0145-0.</w:t>
      </w:r>
    </w:p>
    <w:p>
      <w:r>
        <w:rPr>
          <w:rFonts w:ascii="Times New Roman" w:hAnsi="Times New Roman" w:eastAsia="Times New Roman" w:cs="Times New Roman"/>
          <w:sz w:val="24"/>
          <w:szCs w:val="24"/>
        </w:rPr>
        <w:t>[8] </w:t>
      </w:r>
      <w:pPr>
        <w:pStyle w:val="BodyText"/>
        <w:spacing w:line="240" w:lineRule="auto" w:after="40"/>
        <w:ind w:firstLine="454"/>
        <w:jc w:val="both"/>
      </w:pPr>
      <w:r>
        <w:rPr>
          <w:rFonts w:ascii="Times New Roman" w:hAnsi="Times New Roman" w:eastAsia="Times New Roman" w:cs="Times New Roman"/>
          <w:sz w:val="24"/>
        </w:rPr>
        <w:t xml:space="preserve">O. Kosenkov, P. Elahidoost, T. Gorschek, et al. (2025),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Systematic mapping study on requirements engineering for regulatory compliance of software systems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Information and Software Technology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178</w:t>
      </w:r>
      <w:r>
        <w:rPr>
          <w:rFonts w:ascii="Times New Roman" w:hAnsi="Times New Roman" w:eastAsia="Times New Roman" w:cs="Times New Roman"/>
          <w:sz w:val="24"/>
        </w:rPr>
        <w:t xml:space="preserve">, Article 107622, DOI: 10.1016/j.infsof.2024.107622.</w:t>
      </w:r>
    </w:p>
    <w:p>
      <w:r>
        <w:rPr>
          <w:rFonts w:ascii="Times New Roman" w:hAnsi="Times New Roman" w:eastAsia="Times New Roman" w:cs="Times New Roman"/>
          <w:sz w:val="24"/>
          <w:szCs w:val="24"/>
        </w:rPr>
        <w:t>[9] </w:t>
      </w:r>
      <w:pPr>
        <w:pStyle w:val="BodyText"/>
        <w:spacing w:line="240" w:lineRule="auto" w:after="40"/>
        <w:ind w:firstLine="454"/>
        <w:jc w:val="both"/>
      </w:pPr>
      <w:r>
        <w:rPr>
          <w:rFonts w:ascii="Times New Roman" w:hAnsi="Times New Roman" w:eastAsia="Times New Roman" w:cs="Times New Roman"/>
          <w:sz w:val="24"/>
        </w:rPr>
        <w:t xml:space="preserve">Ministry of Science and Technology of Vietnam (2025),</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Decision No. 3090/QD-BKHCN Promulgating the National Overall Digital Architecture Framework</w:t>
      </w:r>
      <w:r>
        <w:rPr>
          <w:rFonts w:ascii="Times New Roman" w:hAnsi="Times New Roman" w:eastAsia="Times New Roman" w:cs="Times New Roman"/>
          <w:sz w:val="24"/>
        </w:rPr>
        <w:t xml:space="preserve">, issued 8 October 2025 (in Vietnamese).</w:t>
      </w:r>
    </w:p>
    <w:p>
      <w:r>
        <w:rPr>
          <w:rFonts w:ascii="Times New Roman" w:hAnsi="Times New Roman" w:eastAsia="Times New Roman" w:cs="Times New Roman"/>
          <w:sz w:val="24"/>
          <w:szCs w:val="24"/>
        </w:rPr>
        <w:t>[10] </w:t>
      </w:r>
      <w:pPr>
        <w:pStyle w:val="BodyText"/>
        <w:spacing w:line="240" w:lineRule="auto" w:after="40"/>
        <w:ind w:firstLine="454"/>
        <w:jc w:val="both"/>
      </w:pPr>
      <w:r>
        <w:rPr>
          <w:rFonts w:ascii="Times New Roman" w:hAnsi="Times New Roman" w:eastAsia="Times New Roman" w:cs="Times New Roman"/>
          <w:sz w:val="24"/>
        </w:rPr>
        <w:t xml:space="preserve">Prime Minister of Vietnam (2025),</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Decision No. 2439/QD-TTg Promulgating the National Data Architecture Framework, National Data Governance and Management Framework, and Common Data Dictionary (Version 1.0)</w:t>
      </w:r>
      <w:r>
        <w:rPr>
          <w:rFonts w:ascii="Times New Roman" w:hAnsi="Times New Roman" w:eastAsia="Times New Roman" w:cs="Times New Roman"/>
          <w:sz w:val="24"/>
        </w:rPr>
        <w:t xml:space="preserve">, issued 4 November 2025,</w:t>
      </w:r>
      <w:r>
        <w:rPr>
          <w:rFonts w:ascii="Times New Roman" w:hAnsi="Times New Roman" w:eastAsia="Times New Roman" w:cs="Times New Roman"/>
          <w:sz w:val="24"/>
        </w:rPr>
        <w:t xml:space="preserve"> </w:t>
      </w:r>
      <w:hyperlink r:id="rId59">
        <w:r>
          <w:rPr>
            <w:rStyle w:val="Hyperlink"/>
          </w:rPr>
          <w:t xml:space="preserve">https://vanban.chinhphu.vn/?classid=0&amp;docid=215785&amp;pageid=27160</w:t>
        </w:r>
      </w:hyperlink>
      <w:r>
        <w:rPr>
          <w:rFonts w:ascii="Times New Roman" w:hAnsi="Times New Roman" w:eastAsia="Times New Roman" w:cs="Times New Roman"/>
          <w:sz w:val="24"/>
        </w:rPr>
        <w:t xml:space="preserve">, accessed 9 August 2026 (in Vietnamese).</w:t>
      </w:r>
    </w:p>
    <w:p>
      <w:r>
        <w:rPr>
          <w:rFonts w:ascii="Times New Roman" w:hAnsi="Times New Roman" w:eastAsia="Times New Roman" w:cs="Times New Roman"/>
          <w:sz w:val="24"/>
          <w:szCs w:val="24"/>
        </w:rPr>
        <w:t>[11] </w:t>
      </w:r>
      <w:pPr>
        <w:pStyle w:val="BodyText"/>
        <w:spacing w:line="240" w:lineRule="auto" w:after="40"/>
        <w:ind w:firstLine="454"/>
        <w:jc w:val="both"/>
      </w:pPr>
      <w:r>
        <w:rPr>
          <w:rFonts w:ascii="Times New Roman" w:hAnsi="Times New Roman" w:eastAsia="Times New Roman" w:cs="Times New Roman"/>
          <w:sz w:val="24"/>
        </w:rPr>
        <w:t xml:space="preserve">Ministry of Science and Technology of Vietnam (2026),</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Decision No. 1973/QD-BKHCN Promulgating the Data Architecture Framework and Data Governance and Management Framework of the Ministry of Science and Technology (Version 1.0)</w:t>
      </w:r>
      <w:r>
        <w:rPr>
          <w:rFonts w:ascii="Times New Roman" w:hAnsi="Times New Roman" w:eastAsia="Times New Roman" w:cs="Times New Roman"/>
          <w:sz w:val="24"/>
        </w:rPr>
        <w:t xml:space="preserve">, issued 31 March 2026 (in Vietnamese).</w:t>
      </w:r>
    </w:p>
    <w:p>
      <w:r>
        <w:rPr>
          <w:rFonts w:ascii="Times New Roman" w:hAnsi="Times New Roman" w:eastAsia="Times New Roman" w:cs="Times New Roman"/>
          <w:sz w:val="24"/>
          <w:szCs w:val="24"/>
        </w:rPr>
        <w:t>[12] </w:t>
      </w:r>
      <w:pPr>
        <w:pStyle w:val="BodyText"/>
        <w:spacing w:line="240" w:lineRule="auto" w:after="40"/>
        <w:ind w:firstLine="454"/>
        <w:jc w:val="both"/>
      </w:pPr>
      <w:r>
        <w:rPr>
          <w:rFonts w:ascii="Times New Roman" w:hAnsi="Times New Roman" w:eastAsia="Times New Roman" w:cs="Times New Roman"/>
          <w:sz w:val="24"/>
        </w:rPr>
        <w:t xml:space="preserve">European Commission (2017),</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New European Interoperability Framework: Promoting Seamless Services and Data Flows for European Public Administrations</w:t>
      </w:r>
      <w:r>
        <w:rPr>
          <w:rFonts w:ascii="Times New Roman" w:hAnsi="Times New Roman" w:eastAsia="Times New Roman" w:cs="Times New Roman"/>
          <w:sz w:val="24"/>
        </w:rPr>
        <w:t xml:space="preserve">, Publications Office of the European Union, 48pp, DOI: 10.2799/78681.</w:t>
      </w:r>
    </w:p>
    <w:p>
      <w:r>
        <w:rPr>
          <w:rFonts w:ascii="Times New Roman" w:hAnsi="Times New Roman" w:eastAsia="Times New Roman" w:cs="Times New Roman"/>
          <w:sz w:val="24"/>
          <w:szCs w:val="24"/>
        </w:rPr>
        <w:t>[13] </w:t>
      </w:r>
      <w:pPr>
        <w:pStyle w:val="BodyText"/>
        <w:spacing w:line="240" w:lineRule="auto" w:after="40"/>
        <w:ind w:firstLine="454"/>
        <w:jc w:val="both"/>
      </w:pPr>
      <w:r>
        <w:rPr>
          <w:rFonts w:ascii="Times New Roman" w:hAnsi="Times New Roman" w:eastAsia="Times New Roman" w:cs="Times New Roman"/>
          <w:sz w:val="24"/>
        </w:rPr>
        <w:t xml:space="preserve">B. Fischer, D. Meissner, N. Vonortas, et al. (2022),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Spatial features of entrepreneurial ecosystems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Journal of Business Research</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147</w:t>
      </w:r>
      <w:r>
        <w:rPr>
          <w:rFonts w:ascii="Times New Roman" w:hAnsi="Times New Roman" w:eastAsia="Times New Roman" w:cs="Times New Roman"/>
          <w:sz w:val="24"/>
        </w:rPr>
        <w:t xml:space="preserve">, pp.27–36, DOI: 10.1016/j.jbusres.2022.04.018.</w:t>
      </w:r>
    </w:p>
    <w:p>
      <w:r>
        <w:rPr>
          <w:rFonts w:ascii="Times New Roman" w:hAnsi="Times New Roman" w:eastAsia="Times New Roman" w:cs="Times New Roman"/>
          <w:sz w:val="24"/>
          <w:szCs w:val="24"/>
        </w:rPr>
        <w:t>[14] </w:t>
      </w:r>
      <w:pPr>
        <w:pStyle w:val="BodyText"/>
        <w:spacing w:line="240" w:lineRule="auto" w:after="40"/>
        <w:ind w:firstLine="454"/>
        <w:jc w:val="both"/>
      </w:pPr>
      <w:r>
        <w:rPr>
          <w:rFonts w:ascii="Times New Roman" w:hAnsi="Times New Roman" w:eastAsia="Times New Roman" w:cs="Times New Roman"/>
          <w:sz w:val="24"/>
        </w:rPr>
        <w:t xml:space="preserve">N.V. Noak, L. Christian (2025),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Exploring spatial network structures in entrepreneurial ecosystems: A network and clustering analysis of global venture funding flows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Small Business Economics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65</w:t>
      </w:r>
      <w:r>
        <w:rPr>
          <w:rFonts w:ascii="Times New Roman" w:hAnsi="Times New Roman" w:eastAsia="Times New Roman" w:cs="Times New Roman"/>
          <w:sz w:val="24"/>
        </w:rPr>
        <w:t xml:space="preserve">, pp.1483–1500, DOI: 10.1007/s11187-025-01029-y.</w:t>
      </w:r>
    </w:p>
    <w:p>
      <w:r>
        <w:rPr>
          <w:rFonts w:ascii="Times New Roman" w:hAnsi="Times New Roman" w:eastAsia="Times New Roman" w:cs="Times New Roman"/>
          <w:sz w:val="24"/>
          <w:szCs w:val="24"/>
        </w:rPr>
        <w:t>[15] </w:t>
      </w:r>
      <w:pPr>
        <w:pStyle w:val="BodyText"/>
        <w:spacing w:line="240" w:lineRule="auto" w:after="40"/>
        <w:ind w:firstLine="454"/>
        <w:jc w:val="both"/>
      </w:pPr>
      <w:r>
        <w:rPr>
          <w:rFonts w:ascii="Times New Roman" w:hAnsi="Times New Roman" w:eastAsia="Times New Roman" w:cs="Times New Roman"/>
          <w:sz w:val="24"/>
        </w:rPr>
        <w:t xml:space="preserve">P. Brown, J.A. Estefan, K. Laskey, et al. (eds.) (2012),</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Reference Architecture Foundation for Service Oriented Architecture Version 1.0</w:t>
      </w:r>
      <w:r>
        <w:rPr>
          <w:rFonts w:ascii="Times New Roman" w:hAnsi="Times New Roman" w:eastAsia="Times New Roman" w:cs="Times New Roman"/>
          <w:sz w:val="24"/>
        </w:rPr>
        <w:t xml:space="preserve">, OASIS Committee Specification 01, 118pp,</w:t>
      </w:r>
      <w:r>
        <w:rPr>
          <w:rFonts w:ascii="Times New Roman" w:hAnsi="Times New Roman" w:eastAsia="Times New Roman" w:cs="Times New Roman"/>
          <w:sz w:val="24"/>
        </w:rPr>
        <w:t xml:space="preserve"> </w:t>
      </w:r>
      <w:hyperlink r:id="rId60">
        <w:r>
          <w:rPr>
            <w:rStyle w:val="Hyperlink"/>
          </w:rPr>
          <w:t xml:space="preserve">https://docs.oasis-open.org/soa-rm/soa-ra/v1.0/cs01/soa-ra-v1.0-cs01.pdf</w:t>
        </w:r>
      </w:hyperlink>
      <w:r>
        <w:rPr>
          <w:rFonts w:ascii="Times New Roman" w:hAnsi="Times New Roman" w:eastAsia="Times New Roman" w:cs="Times New Roman"/>
          <w:sz w:val="24"/>
        </w:rPr>
        <w:t xml:space="preserve">, accessed 9 August 2026.</w:t>
      </w:r>
    </w:p>
    <w:p>
      <w:r>
        <w:rPr>
          <w:rFonts w:ascii="Times New Roman" w:hAnsi="Times New Roman" w:eastAsia="Times New Roman" w:cs="Times New Roman"/>
          <w:sz w:val="24"/>
          <w:szCs w:val="24"/>
        </w:rPr>
        <w:t>[16] </w:t>
      </w:r>
      <w:pPr>
        <w:pStyle w:val="BodyText"/>
        <w:spacing w:line="240" w:lineRule="auto" w:after="40"/>
        <w:ind w:firstLine="454"/>
        <w:jc w:val="both"/>
      </w:pPr>
      <w:r>
        <w:rPr>
          <w:rFonts w:ascii="Times New Roman" w:hAnsi="Times New Roman" w:eastAsia="Times New Roman" w:cs="Times New Roman"/>
          <w:sz w:val="24"/>
        </w:rPr>
        <w:t xml:space="preserve">J. Knodel, K. Manikas (2016),</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Towards reference architectures as an enabler for software ecosystems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in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Proceedings of the 10th European Conference on Software Architecture Workshops (ECSAW 2016)</w:t>
      </w:r>
      <w:r>
        <w:rPr>
          <w:rFonts w:ascii="Times New Roman" w:hAnsi="Times New Roman" w:eastAsia="Times New Roman" w:cs="Times New Roman"/>
          <w:sz w:val="24"/>
        </w:rPr>
        <w:t xml:space="preserve">, Article 26, Association for Computing Machinery, DOI: 10.1145/2993412.3003387.</w:t>
      </w:r>
    </w:p>
    <w:p>
      <w:r>
        <w:rPr>
          <w:rFonts w:ascii="Times New Roman" w:hAnsi="Times New Roman" w:eastAsia="Times New Roman" w:cs="Times New Roman"/>
          <w:sz w:val="24"/>
          <w:szCs w:val="24"/>
        </w:rPr>
        <w:t>[17] </w:t>
      </w:r>
      <w:pPr>
        <w:pStyle w:val="BodyText"/>
        <w:spacing w:line="240" w:lineRule="auto" w:after="40"/>
        <w:ind w:firstLine="454"/>
        <w:jc w:val="both"/>
      </w:pPr>
      <w:r>
        <w:rPr>
          <w:rFonts w:ascii="Times New Roman" w:hAnsi="Times New Roman" w:eastAsia="Times New Roman" w:cs="Times New Roman"/>
          <w:sz w:val="24"/>
        </w:rPr>
        <w:t xml:space="preserve">J.W. Kruize, J. Wolfert, H. Scholten, et al. (2016),</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 reference architecture for Farm Software Ecosystems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Computers and Electronics in Agriculture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125</w:t>
      </w:r>
      <w:r>
        <w:rPr>
          <w:rFonts w:ascii="Times New Roman" w:hAnsi="Times New Roman" w:eastAsia="Times New Roman" w:cs="Times New Roman"/>
          <w:sz w:val="24"/>
        </w:rPr>
        <w:t xml:space="preserve">, pp.12–28, DOI: 10.1016/j.compag.2016.04.011.</w:t>
      </w:r>
    </w:p>
    <w:p>
      <w:r>
        <w:rPr>
          <w:rFonts w:ascii="Times New Roman" w:hAnsi="Times New Roman" w:eastAsia="Times New Roman" w:cs="Times New Roman"/>
          <w:sz w:val="24"/>
          <w:szCs w:val="24"/>
        </w:rPr>
        <w:t>[18] </w:t>
      </w:r>
      <w:pPr>
        <w:pStyle w:val="BodyText"/>
        <w:spacing w:line="240" w:lineRule="auto" w:after="40"/>
        <w:ind w:firstLine="454"/>
        <w:jc w:val="both"/>
      </w:pPr>
      <w:r>
        <w:rPr>
          <w:rFonts w:ascii="Times New Roman" w:hAnsi="Times New Roman" w:eastAsia="Times New Roman" w:cs="Times New Roman"/>
          <w:sz w:val="24"/>
        </w:rPr>
        <w:t xml:space="preserve">T.D. Breaux, M.W. Vail, A.I. Antón (2006),</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Towards regulatory compliance: Extracting rights and obligations to align requirements with regulations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in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14th IEEE International Requirements Engineering Conference (RE’06)</w:t>
      </w:r>
      <w:r>
        <w:rPr>
          <w:rFonts w:ascii="Times New Roman" w:hAnsi="Times New Roman" w:eastAsia="Times New Roman" w:cs="Times New Roman"/>
          <w:sz w:val="24"/>
        </w:rPr>
        <w:t xml:space="preserve">, pp.49–58, DOI: 10.1109/RE.2006.68.</w:t>
      </w:r>
    </w:p>
    <w:p>
      <w:r>
        <w:rPr>
          <w:rFonts w:ascii="Times New Roman" w:hAnsi="Times New Roman" w:eastAsia="Times New Roman" w:cs="Times New Roman"/>
          <w:sz w:val="24"/>
          <w:szCs w:val="24"/>
        </w:rPr>
        <w:t>[19] </w:t>
      </w:r>
      <w:pPr>
        <w:pStyle w:val="BodyText"/>
        <w:spacing w:line="240" w:lineRule="auto" w:after="40"/>
        <w:ind w:firstLine="454"/>
        <w:jc w:val="both"/>
      </w:pPr>
      <w:r>
        <w:rPr>
          <w:rFonts w:ascii="Times New Roman" w:hAnsi="Times New Roman" w:eastAsia="Times New Roman" w:cs="Times New Roman"/>
          <w:sz w:val="24"/>
        </w:rPr>
        <w:t xml:space="preserve">B.P. Gallagher (2000),</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Using the Architecture Tradeoff Analysis Method to Evaluate a Reference Architecture: A Case Study</w:t>
      </w:r>
      <w:r>
        <w:rPr>
          <w:rFonts w:ascii="Times New Roman" w:hAnsi="Times New Roman" w:eastAsia="Times New Roman" w:cs="Times New Roman"/>
          <w:sz w:val="24"/>
        </w:rPr>
        <w:t xml:space="preserve">, Technical Note CMU/SEI-2000-TN-007, Software Engineering Institute, Carnegie Mellon University, 25pp,</w:t>
      </w:r>
      <w:r>
        <w:rPr>
          <w:rFonts w:ascii="Times New Roman" w:hAnsi="Times New Roman" w:eastAsia="Times New Roman" w:cs="Times New Roman"/>
          <w:sz w:val="24"/>
        </w:rPr>
        <w:t xml:space="preserve"> </w:t>
      </w:r>
      <w:hyperlink r:id="rId61">
        <w:r>
          <w:rPr>
            <w:rStyle w:val="Hyperlink"/>
          </w:rPr>
          <w:t xml:space="preserve">https://www.sei.cmu.edu/documents/1960/2000_004_001_13679.pdf</w:t>
        </w:r>
      </w:hyperlink>
      <w:r>
        <w:rPr>
          <w:rFonts w:ascii="Times New Roman" w:hAnsi="Times New Roman" w:eastAsia="Times New Roman" w:cs="Times New Roman"/>
          <w:sz w:val="24"/>
        </w:rPr>
        <w:t xml:space="preserve">, accessed 9 August 2026.</w:t>
      </w:r>
    </w:p>
    <w:p>
      <w:r>
        <w:rPr>
          <w:rFonts w:ascii="Times New Roman" w:hAnsi="Times New Roman" w:eastAsia="Times New Roman" w:cs="Times New Roman"/>
          <w:sz w:val="24"/>
          <w:szCs w:val="24"/>
        </w:rPr>
        <w:t>[20] </w:t>
      </w:r>
      <w:pPr>
        <w:pStyle w:val="BodyText"/>
        <w:spacing w:line="240" w:lineRule="auto" w:after="40"/>
        <w:ind w:firstLine="454"/>
        <w:jc w:val="both"/>
      </w:pPr>
      <w:r>
        <w:rPr>
          <w:rFonts w:ascii="Times New Roman" w:hAnsi="Times New Roman" w:eastAsia="Times New Roman" w:cs="Times New Roman"/>
          <w:sz w:val="24"/>
        </w:rPr>
        <w:t xml:space="preserve">European Parliament, Council of the European Union (2024),</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Regulation (EU) 2024/903 of 13 March 2024 Laying Down Measures for a High Level of Public Sector Interoperability Across the Union (Interoperable Europe Act)</w:t>
      </w:r>
      <w:r>
        <w:rPr>
          <w:rFonts w:ascii="Times New Roman" w:hAnsi="Times New Roman" w:eastAsia="Times New Roman" w:cs="Times New Roman"/>
          <w:sz w:val="24"/>
        </w:rPr>
        <w:t xml:space="preserve">, Official Journal of the European Union, L series, 26pp,</w:t>
      </w:r>
      <w:r>
        <w:rPr>
          <w:rFonts w:ascii="Times New Roman" w:hAnsi="Times New Roman" w:eastAsia="Times New Roman" w:cs="Times New Roman"/>
          <w:sz w:val="24"/>
        </w:rPr>
        <w:t xml:space="preserve"> </w:t>
      </w:r>
      <w:hyperlink r:id="rId62">
        <w:r>
          <w:rPr>
            <w:rStyle w:val="Hyperlink"/>
          </w:rPr>
          <w:t xml:space="preserve">https://eur-lex.europa.eu/eli/reg/2024/903/oj</w:t>
        </w:r>
      </w:hyperlink>
      <w:r>
        <w:rPr>
          <w:rFonts w:ascii="Times New Roman" w:hAnsi="Times New Roman" w:eastAsia="Times New Roman" w:cs="Times New Roman"/>
          <w:sz w:val="24"/>
        </w:rPr>
        <w:t xml:space="preserve">, accessed 9 August 2026.</w:t>
      </w:r>
    </w:p>
    <w:p>
      <w:r>
        <w:rPr>
          <w:rFonts w:ascii="Times New Roman" w:hAnsi="Times New Roman" w:eastAsia="Times New Roman" w:cs="Times New Roman"/>
          <w:sz w:val="24"/>
          <w:szCs w:val="24"/>
        </w:rPr>
        <w:t>[21] </w:t>
      </w:r>
      <w:pPr>
        <w:pStyle w:val="BodyText"/>
        <w:spacing w:line="240" w:lineRule="auto" w:after="40"/>
        <w:ind w:firstLine="454"/>
        <w:jc w:val="both"/>
      </w:pPr>
      <w:r>
        <w:rPr>
          <w:rFonts w:ascii="Times New Roman" w:hAnsi="Times New Roman" w:eastAsia="Times New Roman" w:cs="Times New Roman"/>
          <w:sz w:val="24"/>
        </w:rPr>
        <w:t xml:space="preserve">Ministry of Science and Technology of Vietnam (2025),</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Decision No. 292/QD-BKHCN Promulgating the Vietnam Digital Government Architecture Framework, Version 4.0</w:t>
      </w:r>
      <w:r>
        <w:rPr>
          <w:rFonts w:ascii="Times New Roman" w:hAnsi="Times New Roman" w:eastAsia="Times New Roman" w:cs="Times New Roman"/>
          <w:sz w:val="24"/>
        </w:rPr>
        <w:t xml:space="preserve">, issued 25 March 2025 (in Vietnamese).</w:t>
      </w:r>
    </w:p>
    <w:p>
      <w:r>
        <w:rPr>
          <w:rFonts w:ascii="Times New Roman" w:hAnsi="Times New Roman" w:eastAsia="Times New Roman" w:cs="Times New Roman"/>
          <w:sz w:val="24"/>
          <w:szCs w:val="24"/>
        </w:rPr>
        <w:t>[22] </w:t>
      </w:r>
      <w:pPr>
        <w:pStyle w:val="BodyText"/>
        <w:spacing w:line="240" w:lineRule="auto" w:after="40"/>
        <w:ind w:firstLine="454"/>
        <w:jc w:val="both"/>
      </w:pPr>
      <w:r>
        <w:rPr>
          <w:rFonts w:ascii="Times New Roman" w:hAnsi="Times New Roman" w:eastAsia="Times New Roman" w:cs="Times New Roman"/>
          <w:sz w:val="24"/>
        </w:rPr>
        <w:t xml:space="preserve">Government of Vietnam (2025),</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Decree No. 278/2025/ND-CP on Mandatory Data Connection and Sharing Among Agencies in the Political System</w:t>
      </w:r>
      <w:r>
        <w:rPr>
          <w:rFonts w:ascii="Times New Roman" w:hAnsi="Times New Roman" w:eastAsia="Times New Roman" w:cs="Times New Roman"/>
          <w:sz w:val="24"/>
        </w:rPr>
        <w:t xml:space="preserve">, issued 22 October 2025,</w:t>
      </w:r>
      <w:r>
        <w:rPr>
          <w:rFonts w:ascii="Times New Roman" w:hAnsi="Times New Roman" w:eastAsia="Times New Roman" w:cs="Times New Roman"/>
          <w:sz w:val="24"/>
        </w:rPr>
        <w:t xml:space="preserve"> </w:t>
      </w:r>
      <w:hyperlink r:id="rId63">
        <w:r>
          <w:rPr>
            <w:rStyle w:val="Hyperlink"/>
          </w:rPr>
          <w:t xml:space="preserve">https://vanban.chinhphu.vn/?docid=215682&amp;pageid=27160</w:t>
        </w:r>
      </w:hyperlink>
      <w:r>
        <w:rPr>
          <w:rFonts w:ascii="Times New Roman" w:hAnsi="Times New Roman" w:eastAsia="Times New Roman" w:cs="Times New Roman"/>
          <w:sz w:val="24"/>
        </w:rPr>
        <w:t xml:space="preserve">, accessed 9 August 2026 (in Vietnamese).</w:t>
      </w:r>
    </w:p>
    <w:p>
      <w:r>
        <w:rPr>
          <w:rFonts w:ascii="Times New Roman" w:hAnsi="Times New Roman" w:eastAsia="Times New Roman" w:cs="Times New Roman"/>
          <w:sz w:val="24"/>
          <w:szCs w:val="24"/>
        </w:rPr>
        <w:t>[23] </w:t>
      </w:r>
      <w:pPr>
        <w:pStyle w:val="BodyText"/>
        <w:spacing w:line="240" w:lineRule="auto" w:after="40"/>
        <w:ind w:firstLine="454"/>
        <w:jc w:val="both"/>
      </w:pPr>
      <w:r>
        <w:rPr>
          <w:rFonts w:ascii="Times New Roman" w:hAnsi="Times New Roman" w:eastAsia="Times New Roman" w:cs="Times New Roman"/>
          <w:sz w:val="24"/>
        </w:rPr>
        <w:t xml:space="preserve">National Assembly of Vietnam (2025),</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Law on Science, Technology and Innovation No. 93/2025/QH15</w:t>
      </w:r>
      <w:r>
        <w:rPr>
          <w:rFonts w:ascii="Times New Roman" w:hAnsi="Times New Roman" w:eastAsia="Times New Roman" w:cs="Times New Roman"/>
          <w:sz w:val="24"/>
        </w:rPr>
        <w:t xml:space="preserve">, adopted 27 June 2025,</w:t>
      </w:r>
      <w:r>
        <w:rPr>
          <w:rFonts w:ascii="Times New Roman" w:hAnsi="Times New Roman" w:eastAsia="Times New Roman" w:cs="Times New Roman"/>
          <w:sz w:val="24"/>
        </w:rPr>
        <w:t xml:space="preserve"> </w:t>
      </w:r>
      <w:hyperlink r:id="rId64">
        <w:r>
          <w:rPr>
            <w:rStyle w:val="Hyperlink"/>
          </w:rPr>
          <w:t xml:space="preserve">https://vanban.chinhphu.vn/?docid=214603&amp;pageid=27160</w:t>
        </w:r>
      </w:hyperlink>
      <w:r>
        <w:rPr>
          <w:rFonts w:ascii="Times New Roman" w:hAnsi="Times New Roman" w:eastAsia="Times New Roman" w:cs="Times New Roman"/>
          <w:sz w:val="24"/>
        </w:rPr>
        <w:t xml:space="preserve">, accessed 9 August 2026 (in Vietnamese).</w:t>
      </w:r>
    </w:p>
    <w:p>
      <w:r>
        <w:rPr>
          <w:rFonts w:ascii="Times New Roman" w:hAnsi="Times New Roman" w:eastAsia="Times New Roman" w:cs="Times New Roman"/>
          <w:sz w:val="24"/>
          <w:szCs w:val="24"/>
        </w:rPr>
        <w:t>[24] </w:t>
      </w:r>
      <w:pPr>
        <w:pStyle w:val="BodyText"/>
        <w:spacing w:line="240" w:lineRule="auto" w:after="40"/>
        <w:ind w:firstLine="454"/>
        <w:jc w:val="both"/>
      </w:pPr>
      <w:r>
        <w:rPr>
          <w:rFonts w:ascii="Times New Roman" w:hAnsi="Times New Roman" w:eastAsia="Times New Roman" w:cs="Times New Roman"/>
          <w:sz w:val="24"/>
        </w:rPr>
        <w:t xml:space="preserve">National Assembly of Vietnam (2024),</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Data Law No. 60/2024/QH15</w:t>
      </w:r>
      <w:r>
        <w:rPr>
          <w:rFonts w:ascii="Times New Roman" w:hAnsi="Times New Roman" w:eastAsia="Times New Roman" w:cs="Times New Roman"/>
          <w:sz w:val="24"/>
        </w:rPr>
        <w:t xml:space="preserve">, adopted 30 November 2024,</w:t>
      </w:r>
      <w:r>
        <w:rPr>
          <w:rFonts w:ascii="Times New Roman" w:hAnsi="Times New Roman" w:eastAsia="Times New Roman" w:cs="Times New Roman"/>
          <w:sz w:val="24"/>
        </w:rPr>
        <w:t xml:space="preserve"> </w:t>
      </w:r>
      <w:hyperlink r:id="rId65">
        <w:r>
          <w:rPr>
            <w:rStyle w:val="Hyperlink"/>
          </w:rPr>
          <w:t xml:space="preserve">https://vanban.chinhphu.vn/?classid=1&amp;docid=212488&amp;pageid=27160&amp;typegroupid=3</w:t>
        </w:r>
      </w:hyperlink>
      <w:r>
        <w:rPr>
          <w:rFonts w:ascii="Times New Roman" w:hAnsi="Times New Roman" w:eastAsia="Times New Roman" w:cs="Times New Roman"/>
          <w:sz w:val="24"/>
        </w:rPr>
        <w:t xml:space="preserve">, accessed 9 August 2026 (in Vietnamese).</w:t>
      </w:r>
    </w:p>
    <w:p>
      <w:r>
        <w:rPr>
          <w:rFonts w:ascii="Times New Roman" w:hAnsi="Times New Roman" w:eastAsia="Times New Roman" w:cs="Times New Roman"/>
          <w:sz w:val="24"/>
          <w:szCs w:val="24"/>
        </w:rPr>
        <w:t>[25] </w:t>
      </w:r>
      <w:pPr>
        <w:pStyle w:val="BodyText"/>
        <w:spacing w:line="240" w:lineRule="auto" w:after="40"/>
        <w:ind w:firstLine="454"/>
        <w:jc w:val="both"/>
      </w:pPr>
      <w:r>
        <w:rPr>
          <w:rFonts w:ascii="Times New Roman" w:hAnsi="Times New Roman" w:eastAsia="Times New Roman" w:cs="Times New Roman"/>
          <w:sz w:val="24"/>
        </w:rPr>
        <w:t xml:space="preserve">Ministry of Science and Technology of Vietnam (2025),</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Decision No. 1762/QD-BKHCN Promulgating the Catalogue of Specialised Databases Under the Management of the Ministry of Science and Technology</w:t>
      </w:r>
      <w:r>
        <w:rPr>
          <w:rFonts w:ascii="Times New Roman" w:hAnsi="Times New Roman" w:eastAsia="Times New Roman" w:cs="Times New Roman"/>
          <w:sz w:val="24"/>
        </w:rPr>
        <w:t xml:space="preserve">, issued 16 July 2025 (in Vietnamese).</w:t>
      </w:r>
    </w:p>
    <w:p>
      <w:r>
        <w:rPr>
          <w:rFonts w:ascii="Times New Roman" w:hAnsi="Times New Roman" w:eastAsia="Times New Roman" w:cs="Times New Roman"/>
          <w:sz w:val="24"/>
          <w:szCs w:val="24"/>
        </w:rPr>
        <w:t>[26] </w:t>
      </w:r>
      <w:pPr>
        <w:pStyle w:val="BodyText"/>
        <w:spacing w:line="240" w:lineRule="auto" w:after="40"/>
        <w:ind w:firstLine="454"/>
        <w:jc w:val="both"/>
      </w:pPr>
      <w:r>
        <w:rPr>
          <w:rFonts w:ascii="Times New Roman" w:hAnsi="Times New Roman" w:eastAsia="Times New Roman" w:cs="Times New Roman"/>
          <w:sz w:val="24"/>
        </w:rPr>
        <w:t xml:space="preserve">National Agency for Technology Entrepreneurship and Commercialization, Ministry of Science and Technology of Vietnam (2026),</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Draft Decision on the Temporary Promulgation of Data Standards, Data Standardisation Rules and Specialised Data Catalogues for Science and Technology Enterprises and Innovative Startups</w:t>
      </w:r>
      <w:r>
        <w:rPr>
          <w:rFonts w:ascii="Times New Roman" w:hAnsi="Times New Roman" w:eastAsia="Times New Roman" w:cs="Times New Roman"/>
          <w:sz w:val="24"/>
        </w:rPr>
        <w:t xml:space="preserve">, draft version reviewed 8 August 2026 (in Vietnamese).</w:t>
      </w:r>
    </w:p>
    <w:p>
      <w:r>
        <w:rPr>
          <w:rFonts w:ascii="Times New Roman" w:hAnsi="Times New Roman" w:eastAsia="Times New Roman" w:cs="Times New Roman"/>
          <w:sz w:val="24"/>
          <w:szCs w:val="24"/>
        </w:rPr>
        <w:t>[27] </w:t>
      </w:r>
      <w:pPr>
        <w:pStyle w:val="BodyText"/>
        <w:spacing w:line="240" w:lineRule="auto" w:after="40"/>
        <w:ind w:firstLine="454"/>
        <w:jc w:val="both"/>
      </w:pPr>
      <w:r>
        <w:rPr>
          <w:rFonts w:ascii="Times New Roman" w:hAnsi="Times New Roman" w:eastAsia="Times New Roman" w:cs="Times New Roman"/>
          <w:sz w:val="24"/>
        </w:rPr>
        <w:t xml:space="preserve">Government of Vietnam (2024),</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Decree No. 69/2024/ND-CP on Electronic Identification and Authentication</w:t>
      </w:r>
      <w:r>
        <w:rPr>
          <w:rFonts w:ascii="Times New Roman" w:hAnsi="Times New Roman" w:eastAsia="Times New Roman" w:cs="Times New Roman"/>
          <w:sz w:val="24"/>
        </w:rPr>
        <w:t xml:space="preserve">, issued 25 June 2024,</w:t>
      </w:r>
      <w:r>
        <w:rPr>
          <w:rFonts w:ascii="Times New Roman" w:hAnsi="Times New Roman" w:eastAsia="Times New Roman" w:cs="Times New Roman"/>
          <w:sz w:val="24"/>
        </w:rPr>
        <w:t xml:space="preserve"> </w:t>
      </w:r>
      <w:hyperlink r:id="rId66">
        <w:r>
          <w:rPr>
            <w:rStyle w:val="Hyperlink"/>
          </w:rPr>
          <w:t xml:space="preserve">https://vanban.chinhphu.vn/?classid=1&amp;docid=210491&amp;pageid=27160</w:t>
        </w:r>
      </w:hyperlink>
      <w:r>
        <w:rPr>
          <w:rFonts w:ascii="Times New Roman" w:hAnsi="Times New Roman" w:eastAsia="Times New Roman" w:cs="Times New Roman"/>
          <w:sz w:val="24"/>
        </w:rPr>
        <w:t xml:space="preserve">, accessed 9 August 2026 (in Vietnamese).</w:t>
      </w:r>
    </w:p>
    <w:p>
      <w:r>
        <w:rPr>
          <w:rFonts w:ascii="Times New Roman" w:hAnsi="Times New Roman" w:eastAsia="Times New Roman" w:cs="Times New Roman"/>
          <w:sz w:val="24"/>
          <w:szCs w:val="24"/>
        </w:rPr>
        <w:t>[28] </w:t>
      </w:r>
      <w:pPr>
        <w:pStyle w:val="BodyText"/>
        <w:spacing w:line="240" w:lineRule="auto" w:after="40"/>
        <w:ind w:firstLine="454"/>
        <w:jc w:val="both"/>
      </w:pPr>
      <w:r>
        <w:rPr>
          <w:rFonts w:ascii="Times New Roman" w:hAnsi="Times New Roman" w:eastAsia="Times New Roman" w:cs="Times New Roman"/>
          <w:sz w:val="24"/>
        </w:rPr>
        <w:t xml:space="preserve">Government of Vietnam (2025),</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Decree No. 169/2025/ND-CP on Science, Technology and Innovation Activities and Data Products and Services</w:t>
      </w:r>
      <w:r>
        <w:rPr>
          <w:rFonts w:ascii="Times New Roman" w:hAnsi="Times New Roman" w:eastAsia="Times New Roman" w:cs="Times New Roman"/>
          <w:sz w:val="24"/>
        </w:rPr>
        <w:t xml:space="preserve">, issued 30 June 2025,</w:t>
      </w:r>
      <w:r>
        <w:rPr>
          <w:rFonts w:ascii="Times New Roman" w:hAnsi="Times New Roman" w:eastAsia="Times New Roman" w:cs="Times New Roman"/>
          <w:sz w:val="24"/>
        </w:rPr>
        <w:t xml:space="preserve"> </w:t>
      </w:r>
      <w:hyperlink r:id="rId67">
        <w:r>
          <w:rPr>
            <w:rStyle w:val="Hyperlink"/>
          </w:rPr>
          <w:t xml:space="preserve">https://vanban.chinhphu.vn/?classid=0&amp;docid=214306&amp;pageid=27160</w:t>
        </w:r>
      </w:hyperlink>
      <w:r>
        <w:rPr>
          <w:rFonts w:ascii="Times New Roman" w:hAnsi="Times New Roman" w:eastAsia="Times New Roman" w:cs="Times New Roman"/>
          <w:sz w:val="24"/>
        </w:rPr>
        <w:t xml:space="preserve">, accessed 9 August 2026 (in Vietnamese).</w:t>
      </w:r>
    </w:p>
    <w:p>
      <w:r>
        <w:rPr>
          <w:rFonts w:ascii="Times New Roman" w:hAnsi="Times New Roman" w:eastAsia="Times New Roman" w:cs="Times New Roman"/>
          <w:sz w:val="24"/>
          <w:szCs w:val="24"/>
        </w:rPr>
        <w:t>[29] </w:t>
      </w:r>
      <w:pPr>
        <w:pStyle w:val="BodyText"/>
        <w:spacing w:line="240" w:lineRule="auto" w:after="40"/>
        <w:ind w:firstLine="454"/>
        <w:jc w:val="both"/>
      </w:pPr>
      <w:r>
        <w:rPr>
          <w:rFonts w:ascii="Times New Roman" w:hAnsi="Times New Roman" w:eastAsia="Times New Roman" w:cs="Times New Roman"/>
          <w:sz w:val="24"/>
        </w:rPr>
        <w:t xml:space="preserve">National Assembly of Vietnam (2025),</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Law on Personal Data Protection No. 91/2025/QH15</w:t>
      </w:r>
      <w:r>
        <w:rPr>
          <w:rFonts w:ascii="Times New Roman" w:hAnsi="Times New Roman" w:eastAsia="Times New Roman" w:cs="Times New Roman"/>
          <w:sz w:val="24"/>
        </w:rPr>
        <w:t xml:space="preserve">, adopted 26 June 2025,</w:t>
      </w:r>
      <w:r>
        <w:rPr>
          <w:rFonts w:ascii="Times New Roman" w:hAnsi="Times New Roman" w:eastAsia="Times New Roman" w:cs="Times New Roman"/>
          <w:sz w:val="24"/>
        </w:rPr>
        <w:t xml:space="preserve"> </w:t>
      </w:r>
      <w:hyperlink r:id="rId68">
        <w:r>
          <w:rPr>
            <w:rStyle w:val="Hyperlink"/>
          </w:rPr>
          <w:t xml:space="preserve">https://vanban.chinhphu.vn/?classid=1&amp;docid=214590&amp;pageid=27160&amp;typegroup=</w:t>
        </w:r>
      </w:hyperlink>
      <w:r>
        <w:rPr>
          <w:rFonts w:ascii="Times New Roman" w:hAnsi="Times New Roman" w:eastAsia="Times New Roman" w:cs="Times New Roman"/>
          <w:sz w:val="24"/>
        </w:rPr>
        <w:t xml:space="preserve">, accessed 9 August 2026 (in Vietnamese).</w:t>
      </w:r>
    </w:p>
    <w:p>
      <w:r>
        <w:rPr>
          <w:rFonts w:ascii="Times New Roman" w:hAnsi="Times New Roman" w:eastAsia="Times New Roman" w:cs="Times New Roman"/>
          <w:sz w:val="24"/>
          <w:szCs w:val="24"/>
        </w:rPr>
        <w:t>[30] </w:t>
      </w:r>
      <w:pPr>
        <w:pStyle w:val="BodyText"/>
        <w:spacing w:line="240" w:lineRule="auto" w:after="40"/>
        <w:ind w:firstLine="454"/>
        <w:jc w:val="both"/>
      </w:pPr>
      <w:r>
        <w:rPr>
          <w:rFonts w:ascii="Times New Roman" w:hAnsi="Times New Roman" w:eastAsia="Times New Roman" w:cs="Times New Roman"/>
          <w:sz w:val="24"/>
        </w:rPr>
        <w:t xml:space="preserve">Government of Vietnam (2025),</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Decree No. 356/2025/ND-CP Detailing a Number of Articles and Measures for Implementing the Law on Personal Data Protection</w:t>
      </w:r>
      <w:r>
        <w:rPr>
          <w:rFonts w:ascii="Times New Roman" w:hAnsi="Times New Roman" w:eastAsia="Times New Roman" w:cs="Times New Roman"/>
          <w:sz w:val="24"/>
        </w:rPr>
        <w:t xml:space="preserve">, issued 31 December 2025,</w:t>
      </w:r>
      <w:r>
        <w:rPr>
          <w:rFonts w:ascii="Times New Roman" w:hAnsi="Times New Roman" w:eastAsia="Times New Roman" w:cs="Times New Roman"/>
          <w:sz w:val="24"/>
        </w:rPr>
        <w:t xml:space="preserve"> </w:t>
      </w:r>
      <w:hyperlink r:id="rId69">
        <w:r>
          <w:rPr>
            <w:rStyle w:val="Hyperlink"/>
          </w:rPr>
          <w:t xml:space="preserve">https://vanban.chinhphu.vn/?classid=1&amp;docid=216387&amp;pageid=27160</w:t>
        </w:r>
      </w:hyperlink>
      <w:r>
        <w:rPr>
          <w:rFonts w:ascii="Times New Roman" w:hAnsi="Times New Roman" w:eastAsia="Times New Roman" w:cs="Times New Roman"/>
          <w:sz w:val="24"/>
        </w:rPr>
        <w:t xml:space="preserve">, accessed 9 August 2026 (in Vietnamese).</w:t>
      </w:r>
    </w:p>
    <w:p>
      <w:r>
        <w:rPr>
          <w:rFonts w:ascii="Times New Roman" w:hAnsi="Times New Roman" w:eastAsia="Times New Roman" w:cs="Times New Roman"/>
          <w:sz w:val="24"/>
          <w:szCs w:val="24"/>
        </w:rPr>
        <w:t>[31] </w:t>
      </w:r>
      <w:pPr>
        <w:pStyle w:val="BodyText"/>
        <w:spacing w:line="240" w:lineRule="auto" w:after="40"/>
        <w:ind w:firstLine="454"/>
        <w:jc w:val="both"/>
      </w:pPr>
      <w:r>
        <w:rPr>
          <w:rFonts w:ascii="Times New Roman" w:hAnsi="Times New Roman" w:eastAsia="Times New Roman" w:cs="Times New Roman"/>
          <w:sz w:val="24"/>
        </w:rPr>
        <w:t xml:space="preserve">A.R. Hevner, S.T. March, J. Park, et al. (2004),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Design science in information systems research</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MIS Quarterly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28(1)</w:t>
      </w:r>
      <w:r>
        <w:rPr>
          <w:rFonts w:ascii="Times New Roman" w:hAnsi="Times New Roman" w:eastAsia="Times New Roman" w:cs="Times New Roman"/>
          <w:sz w:val="24"/>
        </w:rPr>
        <w:t xml:space="preserve">, pp.75–105.</w:t>
      </w:r>
    </w:p>
    <w:p>
      <w:r>
        <w:rPr>
          <w:rFonts w:ascii="Times New Roman" w:hAnsi="Times New Roman" w:eastAsia="Times New Roman" w:cs="Times New Roman"/>
          <w:sz w:val="24"/>
          <w:szCs w:val="24"/>
        </w:rPr>
        <w:t>[32] </w:t>
      </w:r>
      <w:pPr>
        <w:pStyle w:val="BodyText"/>
        <w:spacing w:line="240" w:lineRule="auto" w:after="40"/>
        <w:ind w:firstLine="454"/>
        <w:jc w:val="both"/>
      </w:pPr>
      <w:r>
        <w:rPr>
          <w:rFonts w:ascii="Times New Roman" w:hAnsi="Times New Roman" w:eastAsia="Times New Roman" w:cs="Times New Roman"/>
          <w:sz w:val="24"/>
        </w:rPr>
        <w:t xml:space="preserve">K. Peffers, T. Tuunanen, M.A. Rothenberger, et al. (2007),</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 design science research methodology for information systems research</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Journal of Management Information Systems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24(3)</w:t>
      </w:r>
      <w:r>
        <w:rPr>
          <w:rFonts w:ascii="Times New Roman" w:hAnsi="Times New Roman" w:eastAsia="Times New Roman" w:cs="Times New Roman"/>
          <w:sz w:val="24"/>
        </w:rPr>
        <w:t xml:space="preserve">, pp.45–77, DOI: 10.2753/MIS0742-1222240302.</w:t>
      </w:r>
    </w:p>
    <w:p>
      <w:r>
        <w:rPr>
          <w:rFonts w:ascii="Times New Roman" w:hAnsi="Times New Roman" w:eastAsia="Times New Roman" w:cs="Times New Roman"/>
          <w:sz w:val="24"/>
          <w:szCs w:val="24"/>
        </w:rPr>
        <w:t>[33] </w:t>
      </w:r>
      <w:pPr>
        <w:pStyle w:val="BodyText"/>
        <w:spacing w:line="240" w:lineRule="auto" w:after="40"/>
        <w:ind w:firstLine="454"/>
        <w:jc w:val="both"/>
      </w:pPr>
      <w:r>
        <w:rPr>
          <w:rFonts w:ascii="Times New Roman" w:hAnsi="Times New Roman" w:eastAsia="Times New Roman" w:cs="Times New Roman"/>
          <w:sz w:val="24"/>
        </w:rPr>
        <w:t xml:space="preserve">S. Brown (n.d.),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C4 model for visualising software architecture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official C4 model website,</w:t>
      </w:r>
      <w:r>
        <w:rPr>
          <w:rFonts w:ascii="Times New Roman" w:hAnsi="Times New Roman" w:eastAsia="Times New Roman" w:cs="Times New Roman"/>
          <w:sz w:val="24"/>
        </w:rPr>
        <w:t xml:space="preserve"> </w:t>
      </w:r>
      <w:hyperlink r:id="rId70">
        <w:r>
          <w:rPr>
            <w:rStyle w:val="Hyperlink"/>
          </w:rPr>
          <w:t xml:space="preserve">https://c4model.com/</w:t>
        </w:r>
      </w:hyperlink>
      <w:r>
        <w:rPr>
          <w:rFonts w:ascii="Times New Roman" w:hAnsi="Times New Roman" w:eastAsia="Times New Roman" w:cs="Times New Roman"/>
          <w:sz w:val="24"/>
        </w:rPr>
        <w:t xml:space="preserve">, accessed 9 August 2026.</w:t>
      </w:r>
    </w:p>
    <w:p>
      <w:r>
        <w:rPr>
          <w:rFonts w:ascii="Times New Roman" w:hAnsi="Times New Roman" w:eastAsia="Times New Roman" w:cs="Times New Roman"/>
          <w:sz w:val="24"/>
          <w:szCs w:val="24"/>
        </w:rPr>
        <w:t>[34] </w:t>
      </w:r>
      <w:pPr>
        <w:pStyle w:val="BodyText"/>
        <w:spacing w:line="240" w:lineRule="auto" w:after="40"/>
        <w:ind w:firstLine="454"/>
        <w:jc w:val="both"/>
      </w:pPr>
      <w:r>
        <w:rPr>
          <w:rFonts w:ascii="Times New Roman" w:hAnsi="Times New Roman" w:eastAsia="Times New Roman" w:cs="Times New Roman"/>
          <w:sz w:val="24"/>
        </w:rPr>
        <w:t xml:space="preserve">The Open Group (2022),</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ArchiMate</w:t>
      </w:r>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3.2 Specification</w:t>
      </w:r>
      <w:r>
        <w:rPr>
          <w:rFonts w:ascii="Times New Roman" w:hAnsi="Times New Roman" w:eastAsia="Times New Roman" w:cs="Times New Roman"/>
          <w:sz w:val="24"/>
        </w:rPr>
        <w:t xml:space="preserve">, Version 3.2, released October 2022,</w:t>
      </w:r>
      <w:r>
        <w:rPr>
          <w:rFonts w:ascii="Times New Roman" w:hAnsi="Times New Roman" w:eastAsia="Times New Roman" w:cs="Times New Roman"/>
          <w:sz w:val="24"/>
        </w:rPr>
        <w:t xml:space="preserve"> </w:t>
      </w:r>
      <w:hyperlink r:id="rId71">
        <w:r>
          <w:rPr>
            <w:rStyle w:val="Hyperlink"/>
          </w:rPr>
          <w:t xml:space="preserve">https://www.opengroup.org/archimate-licensed-downloads</w:t>
        </w:r>
      </w:hyperlink>
      <w:r>
        <w:rPr>
          <w:rFonts w:ascii="Times New Roman" w:hAnsi="Times New Roman" w:eastAsia="Times New Roman" w:cs="Times New Roman"/>
          <w:sz w:val="24"/>
        </w:rPr>
        <w:t xml:space="preserve">, accessed 9 August 2026.</w:t>
      </w:r>
    </w:p>
    <w:p>
      <w:r>
        <w:rPr>
          <w:rFonts w:ascii="Times New Roman" w:hAnsi="Times New Roman" w:eastAsia="Times New Roman" w:cs="Times New Roman"/>
          <w:sz w:val="24"/>
          <w:szCs w:val="24"/>
        </w:rPr>
        <w:t>[35] </w:t>
      </w:r>
      <w:pPr>
        <w:pStyle w:val="BodyText"/>
        <w:spacing w:line="240" w:lineRule="auto" w:after="40"/>
        <w:ind w:firstLine="454"/>
        <w:jc w:val="both"/>
      </w:pPr>
      <w:r>
        <w:rPr>
          <w:rFonts w:ascii="Times New Roman" w:hAnsi="Times New Roman" w:eastAsia="Times New Roman" w:cs="Times New Roman"/>
          <w:sz w:val="24"/>
        </w:rPr>
        <w:t xml:space="preserve">J. Tyree, A. Akerman (2005),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Architecture decisions: Demystifying architecture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IEEE Software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22(2)</w:t>
      </w:r>
      <w:r>
        <w:rPr>
          <w:rFonts w:ascii="Times New Roman" w:hAnsi="Times New Roman" w:eastAsia="Times New Roman" w:cs="Times New Roman"/>
          <w:sz w:val="24"/>
        </w:rPr>
        <w:t xml:space="preserve">, pp.19–27, DOI: 10.1109/MS.2005.27.</w:t>
      </w:r>
    </w:p>
    <w:p>
      <w:r>
        <w:rPr>
          <w:rFonts w:ascii="Times New Roman" w:hAnsi="Times New Roman" w:eastAsia="Times New Roman" w:cs="Times New Roman"/>
          <w:sz w:val="24"/>
          <w:szCs w:val="24"/>
        </w:rPr>
        <w:t>[36] </w:t>
      </w:r>
      <w:pPr>
        <w:pStyle w:val="BodyText"/>
        <w:spacing w:line="240" w:lineRule="auto" w:after="40"/>
        <w:ind w:firstLine="454"/>
        <w:jc w:val="both"/>
      </w:pPr>
      <w:r>
        <w:rPr>
          <w:rFonts w:ascii="Times New Roman" w:hAnsi="Times New Roman" w:eastAsia="Times New Roman" w:cs="Times New Roman"/>
          <w:sz w:val="24"/>
        </w:rPr>
        <w:t xml:space="preserve">A.P. Sheth, J.A. Larson (1990),</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Federated database systems for managing distributed, heterogeneous, and autonomous databases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ACM Computing Surveys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22(3)</w:t>
      </w:r>
      <w:r>
        <w:rPr>
          <w:rFonts w:ascii="Times New Roman" w:hAnsi="Times New Roman" w:eastAsia="Times New Roman" w:cs="Times New Roman"/>
          <w:sz w:val="24"/>
        </w:rPr>
        <w:t xml:space="preserve">, pp.183–236, DOI: 10.1145/96602.96604.</w:t>
      </w:r>
    </w:p>
    <w:p>
      <w:r>
        <w:rPr>
          <w:rFonts w:ascii="Times New Roman" w:hAnsi="Times New Roman" w:eastAsia="Times New Roman" w:cs="Times New Roman"/>
          <w:sz w:val="24"/>
          <w:szCs w:val="24"/>
        </w:rPr>
        <w:t>[37] </w:t>
      </w:r>
      <w:pPr>
        <w:pStyle w:val="BodyText"/>
        <w:spacing w:line="240" w:lineRule="auto" w:after="40"/>
        <w:ind w:firstLine="454"/>
        <w:jc w:val="both"/>
      </w:pPr>
      <w:r>
        <w:rPr>
          <w:rFonts w:ascii="Times New Roman" w:hAnsi="Times New Roman" w:eastAsia="Times New Roman" w:cs="Times New Roman"/>
          <w:sz w:val="24"/>
        </w:rPr>
        <w:t xml:space="preserve">F. Gottschalk, T.A.C. Wagemakers, M.H. Jansen-Vullers, et al. (2009),</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Configurable process models: Experiences from a municipality case study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in P. Eck, J. Gordijn, R. Wieringa (eds.),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Advanced Information Systems Engineering</w:t>
      </w:r>
      <w:r>
        <w:rPr>
          <w:rFonts w:ascii="Times New Roman" w:hAnsi="Times New Roman" w:eastAsia="Times New Roman" w:cs="Times New Roman"/>
          <w:sz w:val="24"/>
        </w:rPr>
        <w:t xml:space="preserve">, Lecture Notes in Computer Science, Vol. 5565, Springer, pp.486–500, DOI: 10.1007/978-3-642-02144-2_38.</w:t>
      </w:r>
    </w:p>
    <w:bookmarkEnd w:id="72"/>
    <w:sectPr w:rsidR="00B43D5A" w:rsidRPr="00B43D5A">
      <w:footerReference r:id="rId9" w:type="default"/>
      <w:footnotePr>
        <w:numFmt w:val="chicago"/>
      </w:footnotePr>
      <w:pgSz w:h="16838" w:w="11906"/>
      <w:pgMar w:bottom="1134" w:footer="567" w:gutter="0" w:header="567" w:left="1701" w:right="1134" w:top="1134"/>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51271"/>
      <w:docPartObj>
        <w:docPartGallery w:val="Page Numbers (Bottom of Page)"/>
        <w:docPartUnique/>
      </w:docPartObj>
    </w:sdtPr>
    <w:sdtEndPr>
      <w:rPr>
        <w:noProof/>
      </w:rPr>
    </w:sdtEndPr>
    <w:sdtContent>
      <w:p w14:paraId="1601414B" w14:textId="50692F3D" w:rsidR="005038E8" w:rsidRDefault="005038E8">
        <w:pPr>
          <w:pStyle w:val="Footer"/>
          <w:jc w:val="right"/>
        </w:pPr>
        <w:r>
          <w:fldChar w:fldCharType="begin"/>
        </w:r>
        <w:r>
          <w:instrText xml:space="preserve"> PAGE   \* MERGEFORMAT </w:instrText>
        </w:r>
        <w:r>
          <w:fldChar w:fldCharType="separate"/>
        </w:r>
        <w:r w:rsidR="0075550F">
          <w:rPr>
            <w:noProof/>
          </w:rPr>
          <w:t>3</w:t>
        </w:r>
        <w:r>
          <w:rPr>
            <w:noProof/>
          </w:rPr>
          <w:fldChar w:fldCharType="end"/>
        </w:r>
      </w:p>
    </w:sdtContent>
  </w:sdt>
  <w:p w14:paraId="0DAEA196" w14:textId="77777777" w:rsidR="005038E8" w:rsidRDefault="005038E8">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8"/>
    <w:multiLevelType w:val="singleLevel"/>
    <w:tmpl w:val="98348D4E"/>
    <w:lvl w:ilvl="0">
      <w:start w:val="1"/>
      <w:numFmt w:val="decimal"/>
      <w:pStyle w:val="ListNumber"/>
      <w:lvlText w:val="%1."/>
      <w:lvlJc w:val="left"/>
      <w:pPr>
        <w:tabs>
          <w:tab w:pos="360" w:val="num"/>
        </w:tabs>
        <w:ind w:hanging="360" w:left="360"/>
      </w:pPr>
    </w:lvl>
  </w:abstractNum>
  <w:abstractNum w15:restartNumberingAfterBreak="0" w:abstractNumId="1">
    <w:nsid w:val="0000A990"/>
    <w:multiLevelType w:val="multilevel"/>
    <w:tmpl w:val="043AA2B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2">
    <w:nsid w:val="0000A991"/>
    <w:multiLevelType w:val="multilevel"/>
    <w:tmpl w:val="387C6E16"/>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3">
    <w:nsid w:val="00A99411"/>
    <w:multiLevelType w:val="multilevel"/>
    <w:tmpl w:val="71F65FE8"/>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4">
    <w:nsid w:val="12017610"/>
    <w:multiLevelType w:val="hybridMultilevel"/>
    <w:tmpl w:val="683C3120"/>
    <w:lvl w:ilvl="0" w:tplc="AFE2E450">
      <w:numFmt w:val="bullet"/>
      <w:lvlText w:val="-"/>
      <w:lvlJc w:val="left"/>
      <w:pPr>
        <w:ind w:hanging="360" w:left="720"/>
      </w:pPr>
      <w:rPr>
        <w:rFonts w:ascii="Times New Roman" w:cs="Times New Roman" w:eastAsia="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28F44A0C"/>
    <w:multiLevelType w:val="multilevel"/>
    <w:tmpl w:val="67C45CEA"/>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6">
    <w:nsid w:val="39E1252B"/>
    <w:multiLevelType w:val="multilevel"/>
    <w:tmpl w:val="555617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787752A6"/>
    <w:multiLevelType w:val="hybridMultilevel"/>
    <w:tmpl w:val="00F2C33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8">
    <w:nsid w:val="7E357AEA"/>
    <w:multiLevelType w:val="hybridMultilevel"/>
    <w:tmpl w:val="48B84C70"/>
    <w:lvl w:ilvl="0" w:tplc="AFE2E450">
      <w:numFmt w:val="bullet"/>
      <w:lvlText w:val="-"/>
      <w:lvlJc w:val="left"/>
      <w:pPr>
        <w:ind w:hanging="360" w:left="720"/>
      </w:pPr>
      <w:rPr>
        <w:rFonts w:ascii="Times New Roman" w:cs="Times New Roman" w:eastAsia="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657218506" w:numId="1">
    <w:abstractNumId w:val="1"/>
  </w:num>
  <w:num w16cid:durableId="1953704635" w:numId="2">
    <w:abstractNumId w:val="2"/>
  </w:num>
  <w:num w16cid:durableId="1336376142" w:numId="3">
    <w:abstractNumId w:val="2"/>
  </w:num>
  <w:num w16cid:durableId="1859586054" w:numId="4">
    <w:abstractNumId w:val="2"/>
  </w:num>
  <w:num w16cid:durableId="1884781094"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4524419"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7648122" w:numId="7">
    <w:abstractNumId w:val="6"/>
  </w:num>
  <w:num w16cid:durableId="1022316992" w:numId="8">
    <w:abstractNumId w:val="0"/>
  </w:num>
  <w:num w16cid:durableId="768694814" w:numId="9">
    <w:abstractNumId w:val="0"/>
    <w:lvlOverride w:ilvl="0">
      <w:startOverride w:val="1"/>
    </w:lvlOverride>
  </w:num>
  <w:num w16cid:durableId="672030215" w:numId="10">
    <w:abstractNumId w:val="0"/>
    <w:lvlOverride w:ilvl="0">
      <w:startOverride w:val="1"/>
    </w:lvlOverride>
  </w:num>
  <w:num w16cid:durableId="355157775" w:numId="11">
    <w:abstractNumId w:val="0"/>
    <w:lvlOverride w:ilvl="0">
      <w:startOverride w:val="1"/>
    </w:lvlOverride>
  </w:num>
  <w:num w16cid:durableId="1415513585" w:numId="12">
    <w:abstractNumId w:val="0"/>
    <w:lvlOverride w:ilvl="0">
      <w:startOverride w:val="1"/>
    </w:lvlOverride>
  </w:num>
  <w:num w16cid:durableId="1577931086" w:numId="13">
    <w:abstractNumId w:val="0"/>
  </w:num>
  <w:num w16cid:durableId="1754011554" w:numId="14">
    <w:abstractNumId w:val="0"/>
    <w:lvlOverride w:ilvl="0">
      <w:startOverride w:val="1"/>
    </w:lvlOverride>
  </w:num>
  <w:num w16cid:durableId="334381444" w:numId="15">
    <w:abstractNumId w:val="0"/>
  </w:num>
  <w:num w16cid:durableId="1148204209" w:numId="16">
    <w:abstractNumId w:val="0"/>
    <w:lvlOverride w:ilvl="0">
      <w:startOverride w:val="1"/>
    </w:lvlOverride>
  </w:num>
  <w:num w16cid:durableId="1839416771" w:numId="17">
    <w:abstractNumId w:val="0"/>
  </w:num>
  <w:num w16cid:durableId="549616881" w:numId="18">
    <w:abstractNumId w:val="7"/>
  </w:num>
  <w:num w16cid:durableId="818422580" w:numId="19">
    <w:abstractNumId w:val="5"/>
  </w:num>
  <w:num w16cid:durableId="195578704" w:numId="20">
    <w:abstractNumId w:val="4"/>
  </w:num>
  <w:num w16cid:durableId="388040094" w:numId="21">
    <w:abstractNumId w:va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Fmt w:val="chicago"/>
    <w:footnote w:id="-1"/>
    <w:footnote w:id="0"/>
  </w:footnotePr>
  <w:compat>
    <w:compatSetting w:name="compatibilityMode" w:uri="http://schemas.microsoft.com/office/word" w:val="12"/>
    <w:compatSetting w:name="useWord2013TrackBottomHyphenation" w:uri="http://schemas.microsoft.com/office/word" w:val="1"/>
  </w:compat>
  <w:rsids>
    <w:rsidRoot w:val="007F44D5"/>
    <w:rsid w:val="00001D80"/>
    <w:rsid w:val="000059A4"/>
    <w:rsid w:val="00015CC5"/>
    <w:rsid w:val="00023D77"/>
    <w:rsid w:val="000418CC"/>
    <w:rsid w:val="00062DF4"/>
    <w:rsid w:val="0006331F"/>
    <w:rsid w:val="000642E1"/>
    <w:rsid w:val="00076EAF"/>
    <w:rsid w:val="0008193C"/>
    <w:rsid w:val="0008282C"/>
    <w:rsid w:val="00091D2F"/>
    <w:rsid w:val="00091D3E"/>
    <w:rsid w:val="000969EF"/>
    <w:rsid w:val="000A1225"/>
    <w:rsid w:val="000A4956"/>
    <w:rsid w:val="000A4AB4"/>
    <w:rsid w:val="000B209F"/>
    <w:rsid w:val="000B62FF"/>
    <w:rsid w:val="000B6F88"/>
    <w:rsid w:val="000C2726"/>
    <w:rsid w:val="000C4858"/>
    <w:rsid w:val="000C53C7"/>
    <w:rsid w:val="000C63B0"/>
    <w:rsid w:val="000D7CF1"/>
    <w:rsid w:val="000E2F0D"/>
    <w:rsid w:val="000E49A9"/>
    <w:rsid w:val="000E69BB"/>
    <w:rsid w:val="000F500A"/>
    <w:rsid w:val="00100BD0"/>
    <w:rsid w:val="00113B6C"/>
    <w:rsid w:val="00114184"/>
    <w:rsid w:val="00132B79"/>
    <w:rsid w:val="001349A6"/>
    <w:rsid w:val="00134C24"/>
    <w:rsid w:val="001368EC"/>
    <w:rsid w:val="00144265"/>
    <w:rsid w:val="001459C2"/>
    <w:rsid w:val="00146489"/>
    <w:rsid w:val="00161AD7"/>
    <w:rsid w:val="00162CD7"/>
    <w:rsid w:val="00165331"/>
    <w:rsid w:val="00166138"/>
    <w:rsid w:val="001710B0"/>
    <w:rsid w:val="00172882"/>
    <w:rsid w:val="00180187"/>
    <w:rsid w:val="00181561"/>
    <w:rsid w:val="00184022"/>
    <w:rsid w:val="00191122"/>
    <w:rsid w:val="00194311"/>
    <w:rsid w:val="001978E2"/>
    <w:rsid w:val="001A3B9C"/>
    <w:rsid w:val="001A4D2C"/>
    <w:rsid w:val="001B0034"/>
    <w:rsid w:val="001B380D"/>
    <w:rsid w:val="001B6B2D"/>
    <w:rsid w:val="001B7D55"/>
    <w:rsid w:val="001C2278"/>
    <w:rsid w:val="001C2A47"/>
    <w:rsid w:val="001C5C09"/>
    <w:rsid w:val="001E0C34"/>
    <w:rsid w:val="001F0D2E"/>
    <w:rsid w:val="001F3980"/>
    <w:rsid w:val="001F5823"/>
    <w:rsid w:val="001F6423"/>
    <w:rsid w:val="00204A54"/>
    <w:rsid w:val="00205E36"/>
    <w:rsid w:val="002252DC"/>
    <w:rsid w:val="00230E87"/>
    <w:rsid w:val="00234C40"/>
    <w:rsid w:val="00234E41"/>
    <w:rsid w:val="00243A34"/>
    <w:rsid w:val="0024791B"/>
    <w:rsid w:val="00250D56"/>
    <w:rsid w:val="00263164"/>
    <w:rsid w:val="00263DDC"/>
    <w:rsid w:val="00264A52"/>
    <w:rsid w:val="002663F9"/>
    <w:rsid w:val="00266A9F"/>
    <w:rsid w:val="00270F53"/>
    <w:rsid w:val="00276CFD"/>
    <w:rsid w:val="00293538"/>
    <w:rsid w:val="0029762F"/>
    <w:rsid w:val="002B04AD"/>
    <w:rsid w:val="002C45B7"/>
    <w:rsid w:val="002C6398"/>
    <w:rsid w:val="002C7D12"/>
    <w:rsid w:val="002F1596"/>
    <w:rsid w:val="002F4BF0"/>
    <w:rsid w:val="002F5381"/>
    <w:rsid w:val="002F72BC"/>
    <w:rsid w:val="00304462"/>
    <w:rsid w:val="00320329"/>
    <w:rsid w:val="003238C2"/>
    <w:rsid w:val="00332732"/>
    <w:rsid w:val="00336E5D"/>
    <w:rsid w:val="00341E0A"/>
    <w:rsid w:val="00341E52"/>
    <w:rsid w:val="00342B72"/>
    <w:rsid w:val="00352191"/>
    <w:rsid w:val="00355B92"/>
    <w:rsid w:val="0035778F"/>
    <w:rsid w:val="0037339B"/>
    <w:rsid w:val="00374BE5"/>
    <w:rsid w:val="00377673"/>
    <w:rsid w:val="0038065D"/>
    <w:rsid w:val="00394603"/>
    <w:rsid w:val="003A4C64"/>
    <w:rsid w:val="003B7368"/>
    <w:rsid w:val="003D63D8"/>
    <w:rsid w:val="003E247C"/>
    <w:rsid w:val="003E70A8"/>
    <w:rsid w:val="003F3187"/>
    <w:rsid w:val="0040044A"/>
    <w:rsid w:val="0040063F"/>
    <w:rsid w:val="004008B1"/>
    <w:rsid w:val="00402266"/>
    <w:rsid w:val="00416B56"/>
    <w:rsid w:val="00420664"/>
    <w:rsid w:val="00425322"/>
    <w:rsid w:val="004254C5"/>
    <w:rsid w:val="00442957"/>
    <w:rsid w:val="00442CB3"/>
    <w:rsid w:val="004447DB"/>
    <w:rsid w:val="00451473"/>
    <w:rsid w:val="0045168F"/>
    <w:rsid w:val="00455CD9"/>
    <w:rsid w:val="00470D28"/>
    <w:rsid w:val="00474A47"/>
    <w:rsid w:val="00475CE6"/>
    <w:rsid w:val="00477DE0"/>
    <w:rsid w:val="00487494"/>
    <w:rsid w:val="004B3670"/>
    <w:rsid w:val="004B50F2"/>
    <w:rsid w:val="004B5DA7"/>
    <w:rsid w:val="004C63D6"/>
    <w:rsid w:val="004C657A"/>
    <w:rsid w:val="004D0CC2"/>
    <w:rsid w:val="004D4E41"/>
    <w:rsid w:val="004E35A3"/>
    <w:rsid w:val="004E3636"/>
    <w:rsid w:val="004E70D1"/>
    <w:rsid w:val="004F21B6"/>
    <w:rsid w:val="005031EA"/>
    <w:rsid w:val="005038E8"/>
    <w:rsid w:val="0050548D"/>
    <w:rsid w:val="005176F0"/>
    <w:rsid w:val="00530E1D"/>
    <w:rsid w:val="00532EC0"/>
    <w:rsid w:val="0053562E"/>
    <w:rsid w:val="00537284"/>
    <w:rsid w:val="00537DA2"/>
    <w:rsid w:val="005537E5"/>
    <w:rsid w:val="00555E37"/>
    <w:rsid w:val="00556A78"/>
    <w:rsid w:val="00560FFF"/>
    <w:rsid w:val="00564C2A"/>
    <w:rsid w:val="00567A66"/>
    <w:rsid w:val="00571CBD"/>
    <w:rsid w:val="00573AA5"/>
    <w:rsid w:val="00575217"/>
    <w:rsid w:val="0057635A"/>
    <w:rsid w:val="00590E52"/>
    <w:rsid w:val="0059384D"/>
    <w:rsid w:val="005940D8"/>
    <w:rsid w:val="00594E16"/>
    <w:rsid w:val="005970CA"/>
    <w:rsid w:val="005A1647"/>
    <w:rsid w:val="005A306C"/>
    <w:rsid w:val="005B3037"/>
    <w:rsid w:val="005B423E"/>
    <w:rsid w:val="005B6F8F"/>
    <w:rsid w:val="005D60DC"/>
    <w:rsid w:val="005E0AC0"/>
    <w:rsid w:val="005E32CB"/>
    <w:rsid w:val="005E4299"/>
    <w:rsid w:val="005E7858"/>
    <w:rsid w:val="005F1769"/>
    <w:rsid w:val="005F3260"/>
    <w:rsid w:val="005F458B"/>
    <w:rsid w:val="00605EFF"/>
    <w:rsid w:val="006070BF"/>
    <w:rsid w:val="006123BB"/>
    <w:rsid w:val="00616887"/>
    <w:rsid w:val="006341B3"/>
    <w:rsid w:val="006358F2"/>
    <w:rsid w:val="006367F5"/>
    <w:rsid w:val="0064353B"/>
    <w:rsid w:val="00645C56"/>
    <w:rsid w:val="0065569E"/>
    <w:rsid w:val="00670A6B"/>
    <w:rsid w:val="00673FC7"/>
    <w:rsid w:val="006764A3"/>
    <w:rsid w:val="00684598"/>
    <w:rsid w:val="006853CD"/>
    <w:rsid w:val="00685968"/>
    <w:rsid w:val="00687A92"/>
    <w:rsid w:val="00693480"/>
    <w:rsid w:val="00694306"/>
    <w:rsid w:val="00694FB5"/>
    <w:rsid w:val="00697C84"/>
    <w:rsid w:val="006A20A7"/>
    <w:rsid w:val="006A7CDA"/>
    <w:rsid w:val="006B0A0D"/>
    <w:rsid w:val="006B1236"/>
    <w:rsid w:val="006B51C9"/>
    <w:rsid w:val="006C5D49"/>
    <w:rsid w:val="006D2C19"/>
    <w:rsid w:val="006E30C5"/>
    <w:rsid w:val="006F2547"/>
    <w:rsid w:val="006F5817"/>
    <w:rsid w:val="006F78DF"/>
    <w:rsid w:val="0071307E"/>
    <w:rsid w:val="00713E19"/>
    <w:rsid w:val="0072151A"/>
    <w:rsid w:val="00724AB1"/>
    <w:rsid w:val="007312B7"/>
    <w:rsid w:val="0075550F"/>
    <w:rsid w:val="007559D9"/>
    <w:rsid w:val="007621D9"/>
    <w:rsid w:val="0076262D"/>
    <w:rsid w:val="00765C43"/>
    <w:rsid w:val="00770B0D"/>
    <w:rsid w:val="0079351D"/>
    <w:rsid w:val="007A0D46"/>
    <w:rsid w:val="007A6C50"/>
    <w:rsid w:val="007B1DC3"/>
    <w:rsid w:val="007D114E"/>
    <w:rsid w:val="007D6132"/>
    <w:rsid w:val="007D780F"/>
    <w:rsid w:val="007E5048"/>
    <w:rsid w:val="007E58CD"/>
    <w:rsid w:val="007E6AEC"/>
    <w:rsid w:val="007F0FA6"/>
    <w:rsid w:val="007F44D5"/>
    <w:rsid w:val="007F65CC"/>
    <w:rsid w:val="00804143"/>
    <w:rsid w:val="00804B54"/>
    <w:rsid w:val="00826A1F"/>
    <w:rsid w:val="00840B9F"/>
    <w:rsid w:val="00852DCB"/>
    <w:rsid w:val="00863494"/>
    <w:rsid w:val="00864EDB"/>
    <w:rsid w:val="00865468"/>
    <w:rsid w:val="008665BE"/>
    <w:rsid w:val="00871F9C"/>
    <w:rsid w:val="0087715D"/>
    <w:rsid w:val="00877EEC"/>
    <w:rsid w:val="008800EF"/>
    <w:rsid w:val="00881D61"/>
    <w:rsid w:val="008844BF"/>
    <w:rsid w:val="00885F44"/>
    <w:rsid w:val="00890C2A"/>
    <w:rsid w:val="00891404"/>
    <w:rsid w:val="00892C5E"/>
    <w:rsid w:val="0089474D"/>
    <w:rsid w:val="00894989"/>
    <w:rsid w:val="008A20E9"/>
    <w:rsid w:val="008A4F4C"/>
    <w:rsid w:val="008B0D8C"/>
    <w:rsid w:val="008B3A81"/>
    <w:rsid w:val="008B4928"/>
    <w:rsid w:val="008B7BBA"/>
    <w:rsid w:val="008C029F"/>
    <w:rsid w:val="008C287B"/>
    <w:rsid w:val="008C6C20"/>
    <w:rsid w:val="008E55B5"/>
    <w:rsid w:val="008F0CB7"/>
    <w:rsid w:val="008F6A45"/>
    <w:rsid w:val="00914C21"/>
    <w:rsid w:val="00916128"/>
    <w:rsid w:val="0092010E"/>
    <w:rsid w:val="00923E50"/>
    <w:rsid w:val="00925A6E"/>
    <w:rsid w:val="009325A6"/>
    <w:rsid w:val="00936D61"/>
    <w:rsid w:val="00936DB6"/>
    <w:rsid w:val="0094402E"/>
    <w:rsid w:val="009453C6"/>
    <w:rsid w:val="00946962"/>
    <w:rsid w:val="0095132C"/>
    <w:rsid w:val="0096626C"/>
    <w:rsid w:val="00980F62"/>
    <w:rsid w:val="00981C6C"/>
    <w:rsid w:val="009833B5"/>
    <w:rsid w:val="009859C5"/>
    <w:rsid w:val="009902A2"/>
    <w:rsid w:val="009A299F"/>
    <w:rsid w:val="009B3FF3"/>
    <w:rsid w:val="009C1CB7"/>
    <w:rsid w:val="009C1F10"/>
    <w:rsid w:val="009C28EF"/>
    <w:rsid w:val="009C3B1F"/>
    <w:rsid w:val="009C569D"/>
    <w:rsid w:val="009D06D0"/>
    <w:rsid w:val="009D0922"/>
    <w:rsid w:val="009E2E69"/>
    <w:rsid w:val="009F0279"/>
    <w:rsid w:val="009F09A9"/>
    <w:rsid w:val="009F4ECA"/>
    <w:rsid w:val="009F6C7E"/>
    <w:rsid w:val="00A062AC"/>
    <w:rsid w:val="00A138AD"/>
    <w:rsid w:val="00A16DFB"/>
    <w:rsid w:val="00A30F09"/>
    <w:rsid w:val="00A31801"/>
    <w:rsid w:val="00A3322E"/>
    <w:rsid w:val="00A36B3D"/>
    <w:rsid w:val="00A42DD1"/>
    <w:rsid w:val="00A43034"/>
    <w:rsid w:val="00A45D28"/>
    <w:rsid w:val="00A54F97"/>
    <w:rsid w:val="00A65FF7"/>
    <w:rsid w:val="00A70829"/>
    <w:rsid w:val="00A70CA1"/>
    <w:rsid w:val="00A81F46"/>
    <w:rsid w:val="00A93EE3"/>
    <w:rsid w:val="00AA5A3B"/>
    <w:rsid w:val="00AA5B20"/>
    <w:rsid w:val="00AB025A"/>
    <w:rsid w:val="00AB4563"/>
    <w:rsid w:val="00AD7E26"/>
    <w:rsid w:val="00AE5BD5"/>
    <w:rsid w:val="00B22783"/>
    <w:rsid w:val="00B27241"/>
    <w:rsid w:val="00B307A7"/>
    <w:rsid w:val="00B40A93"/>
    <w:rsid w:val="00B43D5A"/>
    <w:rsid w:val="00B5761F"/>
    <w:rsid w:val="00B666E1"/>
    <w:rsid w:val="00B7183B"/>
    <w:rsid w:val="00B75661"/>
    <w:rsid w:val="00B76BEF"/>
    <w:rsid w:val="00B83F54"/>
    <w:rsid w:val="00B83F79"/>
    <w:rsid w:val="00B9043F"/>
    <w:rsid w:val="00B906BC"/>
    <w:rsid w:val="00B916A3"/>
    <w:rsid w:val="00BA3135"/>
    <w:rsid w:val="00BA7A21"/>
    <w:rsid w:val="00BB06F6"/>
    <w:rsid w:val="00BB20CA"/>
    <w:rsid w:val="00BB25CC"/>
    <w:rsid w:val="00BC3A2E"/>
    <w:rsid w:val="00BC695C"/>
    <w:rsid w:val="00BC726F"/>
    <w:rsid w:val="00BD1C7C"/>
    <w:rsid w:val="00BD2A33"/>
    <w:rsid w:val="00BD2A71"/>
    <w:rsid w:val="00BD70D4"/>
    <w:rsid w:val="00BE0BA8"/>
    <w:rsid w:val="00BE119E"/>
    <w:rsid w:val="00BE4C69"/>
    <w:rsid w:val="00BE572A"/>
    <w:rsid w:val="00BF06DC"/>
    <w:rsid w:val="00BF6303"/>
    <w:rsid w:val="00C01DF2"/>
    <w:rsid w:val="00C15192"/>
    <w:rsid w:val="00C2072F"/>
    <w:rsid w:val="00C20749"/>
    <w:rsid w:val="00C25CE7"/>
    <w:rsid w:val="00C31E15"/>
    <w:rsid w:val="00C34165"/>
    <w:rsid w:val="00C35C87"/>
    <w:rsid w:val="00C37AF6"/>
    <w:rsid w:val="00C426A0"/>
    <w:rsid w:val="00C44D05"/>
    <w:rsid w:val="00C55301"/>
    <w:rsid w:val="00C567E8"/>
    <w:rsid w:val="00C571FD"/>
    <w:rsid w:val="00C7065E"/>
    <w:rsid w:val="00C7146D"/>
    <w:rsid w:val="00C73D12"/>
    <w:rsid w:val="00C84C5A"/>
    <w:rsid w:val="00C85F34"/>
    <w:rsid w:val="00C862C9"/>
    <w:rsid w:val="00C9054F"/>
    <w:rsid w:val="00CA188A"/>
    <w:rsid w:val="00CA44EE"/>
    <w:rsid w:val="00CA6B54"/>
    <w:rsid w:val="00CB5721"/>
    <w:rsid w:val="00CB6A50"/>
    <w:rsid w:val="00CC0154"/>
    <w:rsid w:val="00CC03C4"/>
    <w:rsid w:val="00CC44E2"/>
    <w:rsid w:val="00CD65EE"/>
    <w:rsid w:val="00CF571B"/>
    <w:rsid w:val="00D0125C"/>
    <w:rsid w:val="00D137EA"/>
    <w:rsid w:val="00D21DA3"/>
    <w:rsid w:val="00D2386E"/>
    <w:rsid w:val="00D2511F"/>
    <w:rsid w:val="00D30827"/>
    <w:rsid w:val="00D33320"/>
    <w:rsid w:val="00D3770F"/>
    <w:rsid w:val="00D47920"/>
    <w:rsid w:val="00D544CF"/>
    <w:rsid w:val="00D55711"/>
    <w:rsid w:val="00D6376E"/>
    <w:rsid w:val="00D75B17"/>
    <w:rsid w:val="00D824EA"/>
    <w:rsid w:val="00D826EE"/>
    <w:rsid w:val="00D97E7A"/>
    <w:rsid w:val="00DA07A5"/>
    <w:rsid w:val="00DA355A"/>
    <w:rsid w:val="00DB01DC"/>
    <w:rsid w:val="00DB0CDA"/>
    <w:rsid w:val="00DB34B2"/>
    <w:rsid w:val="00DB39A1"/>
    <w:rsid w:val="00DB7129"/>
    <w:rsid w:val="00DD16F4"/>
    <w:rsid w:val="00DD32F5"/>
    <w:rsid w:val="00DD56BB"/>
    <w:rsid w:val="00DD690A"/>
    <w:rsid w:val="00DE583D"/>
    <w:rsid w:val="00DF3FF3"/>
    <w:rsid w:val="00E02B9B"/>
    <w:rsid w:val="00E0510B"/>
    <w:rsid w:val="00E05551"/>
    <w:rsid w:val="00E07ADE"/>
    <w:rsid w:val="00E1631C"/>
    <w:rsid w:val="00E17B0C"/>
    <w:rsid w:val="00E210A0"/>
    <w:rsid w:val="00E32A4B"/>
    <w:rsid w:val="00E32CE2"/>
    <w:rsid w:val="00E3478E"/>
    <w:rsid w:val="00E37101"/>
    <w:rsid w:val="00E41859"/>
    <w:rsid w:val="00E44222"/>
    <w:rsid w:val="00E4478E"/>
    <w:rsid w:val="00E50C51"/>
    <w:rsid w:val="00E72C88"/>
    <w:rsid w:val="00E9219C"/>
    <w:rsid w:val="00E9413F"/>
    <w:rsid w:val="00EA1787"/>
    <w:rsid w:val="00EA3842"/>
    <w:rsid w:val="00EA694F"/>
    <w:rsid w:val="00EB2D3A"/>
    <w:rsid w:val="00EB3355"/>
    <w:rsid w:val="00EC3D58"/>
    <w:rsid w:val="00EC47EC"/>
    <w:rsid w:val="00ED20D3"/>
    <w:rsid w:val="00EE1FFB"/>
    <w:rsid w:val="00EE5BBC"/>
    <w:rsid w:val="00EE6FCC"/>
    <w:rsid w:val="00EE762D"/>
    <w:rsid w:val="00EF1A9F"/>
    <w:rsid w:val="00F04DD2"/>
    <w:rsid w:val="00F05FF3"/>
    <w:rsid w:val="00F130A1"/>
    <w:rsid w:val="00F13786"/>
    <w:rsid w:val="00F16809"/>
    <w:rsid w:val="00F17E31"/>
    <w:rsid w:val="00F253C2"/>
    <w:rsid w:val="00F274AC"/>
    <w:rsid w:val="00F30D88"/>
    <w:rsid w:val="00F34EA7"/>
    <w:rsid w:val="00F435C5"/>
    <w:rsid w:val="00F54384"/>
    <w:rsid w:val="00F60BF4"/>
    <w:rsid w:val="00F63380"/>
    <w:rsid w:val="00F67744"/>
    <w:rsid w:val="00F67B60"/>
    <w:rsid w:val="00F71E97"/>
    <w:rsid w:val="00F75179"/>
    <w:rsid w:val="00F7701D"/>
    <w:rsid w:val="00F82B46"/>
    <w:rsid w:val="00F93CBB"/>
    <w:rsid w:val="00F94938"/>
    <w:rsid w:val="00F95AC9"/>
    <w:rsid w:val="00FA167F"/>
    <w:rsid w:val="00FA3BAA"/>
    <w:rsid w:val="00FA600F"/>
    <w:rsid w:val="00FB1955"/>
    <w:rsid w:val="00FC27FE"/>
    <w:rsid w:val="00FD181D"/>
    <w:rsid w:val="00FD2312"/>
    <w:rsid w:val="00FD3E5D"/>
    <w:rsid w:val="00FE3B42"/>
    <w:rsid w:val="00FE4D56"/>
    <w:rsid w:val="00FF1199"/>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szCs w:val="24"/>
        <w:lang w:bidi="ar-SA" w:eastAsia="en-US" w:val="vi"/>
      </w:rPr>
    </w:rPrDefault>
    <w:pPrDefault>
      <w:pPr>
        <w:spacing w:after="120"/>
      </w:pPr>
    </w:pPrDefault>
  </w:docDefaults>
  <w:latentStyles w:count="376" w:defLockedState="0" w:defQFormat="0" w:defSemiHidden="0" w:defUIPriority="0" w:defUnhideWhenUsed="0">
    <w:lsdException w:name="heading 2" w:qFormat="1" w:uiPriority="9"/>
    <w:lsdException w:name="footnote text" w:uiPriority="99"/>
    <w:lsdException w:name="footer" w:uiPriority="99"/>
    <w:lsdException w:name="footnote reference" w:qFormat="1" w:uiPriority="99"/>
    <w:lsdException w:name="List Number" w:uiPriority="99"/>
    <w:lsdException w:name="Body Text" w:qFormat="1"/>
    <w:lsdException w:name="Strong" w:qFormat="1" w:uiPriority="22"/>
    <w:lsdException w:name="Emphasis" w:qFormat="1" w:uiPriority="20"/>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line="240" w:lineRule="auto" w:after="0" w:before="0"/>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b/>
      <w:bCs/>
      <w:color w:val="000000"/>
    </w:rPr>
  </w:style>
  <w:style w:styleId="Heading4" w:type="paragraph">
    <w:name w:val="heading 4"/>
    <w:basedOn w:val="Normal"/>
    <w:next w:val="BodyText"/>
    <w:uiPriority w:val="9"/>
    <w:unhideWhenUsed/>
    <w:qFormat/>
    <w:pPr>
      <w:keepNext/>
      <w:keepLines/>
      <w:spacing w:after="0" w:before="200"/>
      <w:outlineLvl w:val="3"/>
    </w:pPr>
    <w:rPr>
      <w:bCs/>
      <w:i/>
      <w:color w:val="000000"/>
    </w:rPr>
  </w:style>
  <w:style w:styleId="Heading5" w:type="paragraph">
    <w:name w:val="heading 5"/>
    <w:basedOn w:val="Normal"/>
    <w:next w:val="BodyText"/>
    <w:uiPriority w:val="9"/>
    <w:unhideWhenUsed/>
    <w:qFormat/>
    <w:pPr>
      <w:keepNext/>
      <w:keepLines/>
      <w:spacing w:after="0" w:before="200"/>
      <w:outlineLvl w:val="4"/>
    </w:pPr>
    <w:rPr>
      <w:iCs/>
      <w:color w:val="000000"/>
    </w:rPr>
  </w:style>
  <w:style w:styleId="Heading6" w:type="paragraph">
    <w:name w:val="heading 6"/>
    <w:basedOn w:val="Normal"/>
    <w:next w:val="BodyText"/>
    <w:uiPriority w:val="9"/>
    <w:unhideWhenUsed/>
    <w:qFormat/>
    <w:pPr>
      <w:keepNext/>
      <w:keepLines/>
      <w:spacing w:after="0" w:before="200"/>
      <w:outlineLvl w:val="5"/>
    </w:pPr>
    <w:rPr>
      <w:color w:val="000000"/>
    </w:rPr>
  </w:style>
  <w:style w:styleId="Heading7" w:type="paragraph">
    <w:name w:val="heading 7"/>
    <w:basedOn w:val="Normal"/>
    <w:next w:val="BodyText"/>
    <w:uiPriority w:val="9"/>
    <w:unhideWhenUsed/>
    <w:qFormat/>
    <w:pPr>
      <w:keepNext/>
      <w:keepLines/>
      <w:spacing w:after="0" w:before="200"/>
      <w:outlineLvl w:val="6"/>
    </w:pPr>
    <w:rPr>
      <w:color w:val="000000"/>
    </w:rPr>
  </w:style>
  <w:style w:styleId="Heading8" w:type="paragraph">
    <w:name w:val="heading 8"/>
    <w:basedOn w:val="Normal"/>
    <w:next w:val="BodyText"/>
    <w:uiPriority w:val="9"/>
    <w:unhideWhenUsed/>
    <w:qFormat/>
    <w:pPr>
      <w:keepNext/>
      <w:keepLines/>
      <w:spacing w:after="0" w:before="200"/>
      <w:outlineLvl w:val="7"/>
    </w:pPr>
    <w:rPr>
      <w:color w:val="000000"/>
    </w:rPr>
  </w:style>
  <w:style w:styleId="Heading9" w:type="paragraph">
    <w:name w:val="heading 9"/>
    <w:basedOn w:val="Normal"/>
    <w:next w:val="BodyText"/>
    <w:uiPriority w:val="9"/>
    <w:unhideWhenUsed/>
    <w:qFormat/>
    <w:pPr>
      <w:keepNext/>
      <w:keepLines/>
      <w:spacing w:after="0" w:before="200"/>
      <w:outlineLvl w:val="8"/>
    </w:pPr>
    <w:rPr>
      <w:color w:val="000000"/>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0" w:before="0" w:line="240" w:lineRule="auto"/>
    </w:pPr>
    <w:rPr>
      <w:rFonts w:ascii="Times New Roman" w:hAnsi="Times New Roman"/>
      <w:sz w:val="24"/>
    </w:rPr>
  </w:style>
  <w:style w:customStyle="1" w:styleId="FirstParagraph" w:type="paragraph">
    <w:name w:val="First Paragraph"/>
    <w:basedOn w:val="BodyText"/>
    <w:next w:val="BodyText"/>
    <w:qFormat/>
    <w:pPr>
      <w:spacing w:line="240" w:lineRule="auto" w:after="0" w:before="0"/>
    </w:pPr>
    <w:rPr>
      <w:rFonts w:ascii="Times New Roman" w:hAnsi="Times New Roman"/>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b/>
      <w:bCs/>
      <w:color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iPriority w:val="9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uiPriority w:val="99"/>
    <w:qFormat/>
    <w:rPr>
      <w:vertAlign w:val="superscript"/>
    </w:rPr>
  </w:style>
  <w:style w:styleId="Hyperlink" w:type="character">
    <w:name w:val="Hyperlink"/>
    <w:basedOn w:val="CaptionChar"/>
    <w:rPr>
      <w:color w:val="000000"/>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UnresolvedMention1" w:type="character">
    <w:name w:val="Unresolved Mention1"/>
    <w:basedOn w:val="DefaultParagraphFont"/>
    <w:uiPriority w:val="99"/>
    <w:semiHidden/>
    <w:unhideWhenUsed/>
    <w:rsid w:val="008C287B"/>
    <w:rPr>
      <w:color w:val="605E5C"/>
      <w:shd w:color="auto" w:fill="E1DFDD" w:val="clear"/>
    </w:rPr>
  </w:style>
  <w:style w:styleId="Revision" w:type="paragraph">
    <w:name w:val="Revision"/>
    <w:hidden/>
    <w:rsid w:val="000C2726"/>
    <w:pPr>
      <w:spacing w:after="0"/>
    </w:pPr>
  </w:style>
  <w:style w:styleId="ListParagraph" w:type="paragraph">
    <w:name w:val="List Paragraph"/>
    <w:basedOn w:val="Normal"/>
    <w:rsid w:val="00F71E97"/>
    <w:pPr>
      <w:ind w:left="720"/>
      <w:contextualSpacing/>
    </w:pPr>
  </w:style>
  <w:style w:styleId="TableGrid" w:type="table">
    <w:name w:val="Table Grid"/>
    <w:basedOn w:val="TableNormal"/>
    <w:uiPriority w:val="59"/>
    <w:rsid w:val="00D824EA"/>
    <w:pPr>
      <w:spacing w:after="0"/>
    </w:pPr>
    <w:rPr>
      <w:rFonts w:asciiTheme="minorHAnsi" w:cstheme="minorBidi" w:eastAsiaTheme="minorEastAsia"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Number" w:type="paragraph">
    <w:name w:val="List Number"/>
    <w:basedOn w:val="Normal"/>
    <w:uiPriority w:val="99"/>
    <w:unhideWhenUsed/>
    <w:rsid w:val="000D7CF1"/>
    <w:pPr>
      <w:numPr>
        <w:numId w:val="8"/>
      </w:numPr>
      <w:spacing w:after="200" w:line="276" w:lineRule="auto"/>
      <w:contextualSpacing/>
    </w:pPr>
    <w:rPr>
      <w:rFonts w:ascii="Arial" w:cstheme="minorBidi" w:eastAsia="Arial" w:hAnsi="Arial"/>
      <w:sz w:val="22"/>
      <w:szCs w:val="22"/>
    </w:rPr>
  </w:style>
  <w:style w:styleId="Header" w:type="paragraph">
    <w:name w:val="header"/>
    <w:basedOn w:val="Normal"/>
    <w:link w:val="HeaderChar"/>
    <w:rsid w:val="00ED20D3"/>
    <w:pPr>
      <w:tabs>
        <w:tab w:pos="4680" w:val="center"/>
        <w:tab w:pos="9360" w:val="right"/>
      </w:tabs>
      <w:spacing w:after="0"/>
    </w:pPr>
  </w:style>
  <w:style w:customStyle="1" w:styleId="HeaderChar" w:type="character">
    <w:name w:val="Header Char"/>
    <w:basedOn w:val="DefaultParagraphFont"/>
    <w:link w:val="Header"/>
    <w:rsid w:val="00ED20D3"/>
  </w:style>
  <w:style w:styleId="Footer" w:type="paragraph">
    <w:name w:val="footer"/>
    <w:basedOn w:val="Normal"/>
    <w:link w:val="FooterChar"/>
    <w:uiPriority w:val="99"/>
    <w:rsid w:val="00ED20D3"/>
    <w:pPr>
      <w:tabs>
        <w:tab w:pos="4680" w:val="center"/>
        <w:tab w:pos="9360" w:val="right"/>
      </w:tabs>
      <w:spacing w:after="0"/>
    </w:pPr>
  </w:style>
  <w:style w:customStyle="1" w:styleId="FooterChar" w:type="character">
    <w:name w:val="Footer Char"/>
    <w:basedOn w:val="DefaultParagraphFont"/>
    <w:link w:val="Footer"/>
    <w:uiPriority w:val="99"/>
    <w:rsid w:val="00ED20D3"/>
  </w:style>
  <w:style w:customStyle="1" w:styleId="FootnoteTextChar" w:type="character">
    <w:name w:val="Footnote Text Char"/>
    <w:basedOn w:val="DefaultParagraphFont"/>
    <w:link w:val="FootnoteText"/>
    <w:uiPriority w:val="99"/>
    <w:rsid w:val="00B83F79"/>
  </w:style>
  <w:style w:styleId="BalloonText" w:type="paragraph">
    <w:name w:val="Balloon Text"/>
    <w:basedOn w:val="Normal"/>
    <w:link w:val="BalloonTextChar"/>
    <w:rsid w:val="0092010E"/>
    <w:pPr>
      <w:spacing w:after="0"/>
    </w:pPr>
    <w:rPr>
      <w:rFonts w:ascii="Segoe UI" w:cs="Segoe UI" w:hAnsi="Segoe UI"/>
      <w:sz w:val="18"/>
      <w:szCs w:val="18"/>
    </w:rPr>
  </w:style>
  <w:style w:customStyle="1" w:styleId="BalloonTextChar" w:type="character">
    <w:name w:val="Balloon Text Char"/>
    <w:basedOn w:val="DefaultParagraphFont"/>
    <w:link w:val="BalloonText"/>
    <w:rsid w:val="0092010E"/>
    <w:rPr>
      <w:rFonts w:ascii="Segoe UI" w:cs="Segoe UI" w:hAnsi="Segoe UI"/>
      <w:sz w:val="18"/>
      <w:szCs w:val="18"/>
    </w:rPr>
  </w:style>
  <w:style w:customStyle="1" w:styleId="text-token-text-primary" w:type="character">
    <w:name w:val="text-token-text-primary"/>
    <w:basedOn w:val="DefaultParagraphFont"/>
    <w:rsid w:val="00EA1787"/>
  </w:style>
  <w:style w:styleId="Emphasis" w:type="character">
    <w:name w:val="Emphasis"/>
    <w:basedOn w:val="DefaultParagraphFont"/>
    <w:uiPriority w:val="20"/>
    <w:qFormat/>
    <w:rsid w:val="00EA1787"/>
    <w:rPr>
      <w:i/>
      <w:iCs/>
    </w:rPr>
  </w:style>
  <w:style w:customStyle="1" w:styleId="isselectedend" w:type="paragraph">
    <w:name w:val="isselectedend"/>
    <w:basedOn w:val="Normal"/>
    <w:rsid w:val="00EA1787"/>
    <w:pPr>
      <w:spacing w:after="100" w:afterAutospacing="1" w:before="100" w:beforeAutospacing="1"/>
    </w:pPr>
    <w:rPr>
      <w:lang w:eastAsia="ja-JP"/>
    </w:rPr>
  </w:style>
  <w:style w:styleId="Strong" w:type="character">
    <w:name w:val="Strong"/>
    <w:basedOn w:val="DefaultParagraphFont"/>
    <w:uiPriority w:val="22"/>
    <w:qFormat/>
    <w:rsid w:val="00EA1787"/>
    <w:rPr>
      <w:b/>
      <w:bCs/>
    </w:rPr>
  </w:style>
  <w:style w:styleId="NormalWeb" w:type="paragraph">
    <w:name w:val="Normal (Web)"/>
    <w:basedOn w:val="Normal"/>
    <w:uiPriority w:val="99"/>
    <w:unhideWhenUsed/>
    <w:rsid w:val="00EA1787"/>
    <w:pPr>
      <w:spacing w:after="100" w:afterAutospacing="1" w:before="100" w:beforeAutospacing="1"/>
    </w:pPr>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1059">
      <w:bodyDiv w:val="1"/>
      <w:marLeft w:val="0"/>
      <w:marRight w:val="0"/>
      <w:marTop w:val="0"/>
      <w:marBottom w:val="0"/>
      <w:divBdr>
        <w:top w:val="none" w:sz="0" w:space="0" w:color="auto"/>
        <w:left w:val="none" w:sz="0" w:space="0" w:color="auto"/>
        <w:bottom w:val="none" w:sz="0" w:space="0" w:color="auto"/>
        <w:right w:val="none" w:sz="0" w:space="0" w:color="auto"/>
      </w:divBdr>
    </w:div>
    <w:div w:id="561252926">
      <w:bodyDiv w:val="1"/>
      <w:marLeft w:val="0"/>
      <w:marRight w:val="0"/>
      <w:marTop w:val="0"/>
      <w:marBottom w:val="0"/>
      <w:divBdr>
        <w:top w:val="none" w:sz="0" w:space="0" w:color="auto"/>
        <w:left w:val="none" w:sz="0" w:space="0" w:color="auto"/>
        <w:bottom w:val="none" w:sz="0" w:space="0" w:color="auto"/>
        <w:right w:val="none" w:sz="0" w:space="0" w:color="auto"/>
      </w:divBdr>
    </w:div>
    <w:div w:id="904415314">
      <w:bodyDiv w:val="1"/>
      <w:marLeft w:val="0"/>
      <w:marRight w:val="0"/>
      <w:marTop w:val="0"/>
      <w:marBottom w:val="0"/>
      <w:divBdr>
        <w:top w:val="none" w:sz="0" w:space="0" w:color="auto"/>
        <w:left w:val="none" w:sz="0" w:space="0" w:color="auto"/>
        <w:bottom w:val="none" w:sz="0" w:space="0" w:color="auto"/>
        <w:right w:val="none" w:sz="0" w:space="0" w:color="auto"/>
      </w:divBdr>
    </w:div>
    <w:div w:id="1367608840">
      <w:bodyDiv w:val="1"/>
      <w:marLeft w:val="0"/>
      <w:marRight w:val="0"/>
      <w:marTop w:val="0"/>
      <w:marBottom w:val="0"/>
      <w:divBdr>
        <w:top w:val="none" w:sz="0" w:space="0" w:color="auto"/>
        <w:left w:val="none" w:sz="0" w:space="0" w:color="auto"/>
        <w:bottom w:val="none" w:sz="0" w:space="0" w:color="auto"/>
        <w:right w:val="none" w:sz="0" w:space="0" w:color="auto"/>
      </w:divBdr>
    </w:div>
    <w:div w:id="1669668722">
      <w:bodyDiv w:val="1"/>
      <w:marLeft w:val="0"/>
      <w:marRight w:val="0"/>
      <w:marTop w:val="0"/>
      <w:marBottom w:val="0"/>
      <w:divBdr>
        <w:top w:val="none" w:sz="0" w:space="0" w:color="auto"/>
        <w:left w:val="none" w:sz="0" w:space="0" w:color="auto"/>
        <w:bottom w:val="none" w:sz="0" w:space="0" w:color="auto"/>
        <w:right w:val="none" w:sz="0" w:space="0" w:color="auto"/>
      </w:divBdr>
    </w:div>
    <w:div w:id="1674533487">
      <w:bodyDiv w:val="1"/>
      <w:marLeft w:val="0"/>
      <w:marRight w:val="0"/>
      <w:marTop w:val="0"/>
      <w:marBottom w:val="0"/>
      <w:divBdr>
        <w:top w:val="none" w:sz="0" w:space="0" w:color="auto"/>
        <w:left w:val="none" w:sz="0" w:space="0" w:color="auto"/>
        <w:bottom w:val="none" w:sz="0" w:space="0" w:color="auto"/>
        <w:right w:val="none" w:sz="0" w:space="0" w:color="auto"/>
      </w:divBdr>
    </w:div>
    <w:div w:id="1761632475">
      <w:bodyDiv w:val="1"/>
      <w:marLeft w:val="0"/>
      <w:marRight w:val="0"/>
      <w:marTop w:val="0"/>
      <w:marBottom w:val="0"/>
      <w:divBdr>
        <w:top w:val="none" w:sz="0" w:space="0" w:color="auto"/>
        <w:left w:val="none" w:sz="0" w:space="0" w:color="auto"/>
        <w:bottom w:val="none" w:sz="0" w:space="0" w:color="auto"/>
        <w:right w:val="none" w:sz="0" w:space="0" w:color="auto"/>
      </w:divBdr>
    </w:div>
    <w:div w:id="1963997109">
      <w:bodyDiv w:val="1"/>
      <w:marLeft w:val="0"/>
      <w:marRight w:val="0"/>
      <w:marTop w:val="0"/>
      <w:marBottom w:val="0"/>
      <w:divBdr>
        <w:top w:val="none" w:sz="0" w:space="0" w:color="auto"/>
        <w:left w:val="none" w:sz="0" w:space="0" w:color="auto"/>
        <w:bottom w:val="none" w:sz="0" w:space="0" w:color="auto"/>
        <w:right w:val="none" w:sz="0" w:space="0" w:color="auto"/>
      </w:divBdr>
    </w:div>
    <w:div w:id="2009137898">
      <w:bodyDiv w:val="1"/>
      <w:marLeft w:val="0"/>
      <w:marRight w:val="0"/>
      <w:marTop w:val="0"/>
      <w:marBottom w:val="0"/>
      <w:divBdr>
        <w:top w:val="none" w:sz="0" w:space="0" w:color="auto"/>
        <w:left w:val="none" w:sz="0" w:space="0" w:color="auto"/>
        <w:bottom w:val="none" w:sz="0" w:space="0" w:color="auto"/>
        <w:right w:val="none" w:sz="0" w:space="0" w:color="auto"/>
      </w:divBdr>
    </w:div>
    <w:div w:id="2097507528">
      <w:bodyDiv w:val="1"/>
      <w:marLeft w:val="0"/>
      <w:marRight w:val="0"/>
      <w:marTop w:val="0"/>
      <w:marBottom w:val="0"/>
      <w:divBdr>
        <w:top w:val="none" w:sz="0" w:space="0" w:color="auto"/>
        <w:left w:val="none" w:sz="0" w:space="0" w:color="auto"/>
        <w:bottom w:val="none" w:sz="0" w:space="0" w:color="auto"/>
        <w:right w:val="none" w:sz="0" w:space="0" w:color="auto"/>
      </w:divBdr>
    </w:div>
    <w:div w:id="2110540937">
      <w:bodyDiv w:val="1"/>
      <w:marLeft w:val="0"/>
      <w:marRight w:val="0"/>
      <w:marTop w:val="0"/>
      <w:marBottom w:val="0"/>
      <w:divBdr>
        <w:top w:val="none" w:sz="0" w:space="0" w:color="auto"/>
        <w:left w:val="none" w:sz="0" w:space="0" w:color="auto"/>
        <w:bottom w:val="none" w:sz="0" w:space="0" w:color="auto"/>
        <w:right w:val="none" w:sz="0" w:space="0" w:color="auto"/>
      </w:divBdr>
    </w:div>
    <w:div w:id="21131600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footer" Target="footer1.xml"/><Relationship Id="rId70" Type="http://schemas.openxmlformats.org/officeDocument/2006/relationships/hyperlink" Target="https://c4model.com/" TargetMode="External"/><Relationship Id="rId60" Type="http://schemas.openxmlformats.org/officeDocument/2006/relationships/hyperlink" Target="https://docs.oasis-open.org/soa-rm/soa-ra/v1.0/cs01/soa-ra-v1.0-cs01.pdf" TargetMode="External"/><Relationship Id="rId62" Type="http://schemas.openxmlformats.org/officeDocument/2006/relationships/hyperlink" Target="https://eur-lex.europa.eu/eli/reg/2024/903/oj" TargetMode="External"/><Relationship Id="rId67" Type="http://schemas.openxmlformats.org/officeDocument/2006/relationships/hyperlink" Target="https://vanban.chinhphu.vn/?classid=0&amp;docid=214306&amp;pageid=27160" TargetMode="External"/><Relationship Id="rId59" Type="http://schemas.openxmlformats.org/officeDocument/2006/relationships/hyperlink" Target="https://vanban.chinhphu.vn/?classid=0&amp;docid=215785&amp;pageid=27160" TargetMode="External"/><Relationship Id="rId66" Type="http://schemas.openxmlformats.org/officeDocument/2006/relationships/hyperlink" Target="https://vanban.chinhphu.vn/?classid=1&amp;docid=210491&amp;pageid=27160" TargetMode="External"/><Relationship Id="rId65" Type="http://schemas.openxmlformats.org/officeDocument/2006/relationships/hyperlink" Target="https://vanban.chinhphu.vn/?classid=1&amp;docid=212488&amp;pageid=27160&amp;typegroupid=3" TargetMode="External"/><Relationship Id="rId68" Type="http://schemas.openxmlformats.org/officeDocument/2006/relationships/hyperlink" Target="https://vanban.chinhphu.vn/?classid=1&amp;docid=214590&amp;pageid=27160&amp;typegroup=" TargetMode="External"/><Relationship Id="rId57" Type="http://schemas.openxmlformats.org/officeDocument/2006/relationships/hyperlink" Target="https://vanban.chinhphu.vn/?classid=1&amp;docid=215663&amp;orggroupid=2&amp;pageid=27160" TargetMode="External"/><Relationship Id="rId69" Type="http://schemas.openxmlformats.org/officeDocument/2006/relationships/hyperlink" Target="https://vanban.chinhphu.vn/?classid=1&amp;docid=216387&amp;pageid=27160" TargetMode="External"/><Relationship Id="rId64" Type="http://schemas.openxmlformats.org/officeDocument/2006/relationships/hyperlink" Target="https://vanban.chinhphu.vn/?docid=214603&amp;pageid=27160" TargetMode="External"/><Relationship Id="rId63" Type="http://schemas.openxmlformats.org/officeDocument/2006/relationships/hyperlink" Target="https://vanban.chinhphu.vn/?docid=215682&amp;pageid=27160" TargetMode="External"/><Relationship Id="rId58" Type="http://schemas.openxmlformats.org/officeDocument/2006/relationships/hyperlink" Target="https://www.iso.org/standard/74393.html" TargetMode="External"/><Relationship Id="rId71" Type="http://schemas.openxmlformats.org/officeDocument/2006/relationships/hyperlink" Target="https://www.opengroup.org/archimate-licensed-downloads" TargetMode="External"/><Relationship Id="rId61" Type="http://schemas.openxmlformats.org/officeDocument/2006/relationships/hyperlink" Target="https://www.sei.cmu.edu/documents/1960/2000_004_001_13679.pdf"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70" Type="http://schemas.openxmlformats.org/officeDocument/2006/relationships/hyperlink" Target="https://c4model.com/" TargetMode="External"/><Relationship Id="rId60" Type="http://schemas.openxmlformats.org/officeDocument/2006/relationships/hyperlink" Target="https://docs.oasis-open.org/soa-rm/soa-ra/v1.0/cs01/soa-ra-v1.0-cs01.pdf" TargetMode="External"/><Relationship Id="rId62" Type="http://schemas.openxmlformats.org/officeDocument/2006/relationships/hyperlink" Target="https://eur-lex.europa.eu/eli/reg/2024/903/oj" TargetMode="External"/><Relationship Id="rId67" Type="http://schemas.openxmlformats.org/officeDocument/2006/relationships/hyperlink" Target="https://vanban.chinhphu.vn/?classid=0&amp;docid=214306&amp;pageid=27160" TargetMode="External"/><Relationship Id="rId59" Type="http://schemas.openxmlformats.org/officeDocument/2006/relationships/hyperlink" Target="https://vanban.chinhphu.vn/?classid=0&amp;docid=215785&amp;pageid=27160" TargetMode="External"/><Relationship Id="rId66" Type="http://schemas.openxmlformats.org/officeDocument/2006/relationships/hyperlink" Target="https://vanban.chinhphu.vn/?classid=1&amp;docid=210491&amp;pageid=27160" TargetMode="External"/><Relationship Id="rId65" Type="http://schemas.openxmlformats.org/officeDocument/2006/relationships/hyperlink" Target="https://vanban.chinhphu.vn/?classid=1&amp;docid=212488&amp;pageid=27160&amp;typegroupid=3" TargetMode="External"/><Relationship Id="rId68" Type="http://schemas.openxmlformats.org/officeDocument/2006/relationships/hyperlink" Target="https://vanban.chinhphu.vn/?classid=1&amp;docid=214590&amp;pageid=27160&amp;typegroup=" TargetMode="External"/><Relationship Id="rId57" Type="http://schemas.openxmlformats.org/officeDocument/2006/relationships/hyperlink" Target="https://vanban.chinhphu.vn/?classid=1&amp;docid=215663&amp;orggroupid=2&amp;pageid=27160" TargetMode="External"/><Relationship Id="rId69" Type="http://schemas.openxmlformats.org/officeDocument/2006/relationships/hyperlink" Target="https://vanban.chinhphu.vn/?classid=1&amp;docid=216387&amp;pageid=27160" TargetMode="External"/><Relationship Id="rId64" Type="http://schemas.openxmlformats.org/officeDocument/2006/relationships/hyperlink" Target="https://vanban.chinhphu.vn/?docid=214603&amp;pageid=27160" TargetMode="External"/><Relationship Id="rId63" Type="http://schemas.openxmlformats.org/officeDocument/2006/relationships/hyperlink" Target="https://vanban.chinhphu.vn/?docid=215682&amp;pageid=27160" TargetMode="External"/><Relationship Id="rId58" Type="http://schemas.openxmlformats.org/officeDocument/2006/relationships/hyperlink" Target="https://www.iso.org/standard/74393.html" TargetMode="External"/><Relationship Id="rId71" Type="http://schemas.openxmlformats.org/officeDocument/2006/relationships/hyperlink" Target="https://www.opengroup.org/archimate-licensed-downloads" TargetMode="External"/><Relationship Id="rId61" Type="http://schemas.openxmlformats.org/officeDocument/2006/relationships/hyperlink" Target="https://www.sei.cmu.edu/documents/1960/2000_004_001_1367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1795</TotalTime>
  <Pages>28</Pages>
  <Words>10056</Words>
  <Characters>57323</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tham chiếu phân tán tỉnh–trung ương cho nền tảng số quản lý doanh nghiệp khoa học và công nghệ và doanh nghiệp khởi nghiệp sáng tạo</dc:title>
  <dc:creator>Nguyễn Đình Quảng; Nguyễn Huy Cường</dc:creator>
  <dc:language>vi</dc:language>
  <cp:keywords/>
  <dcterms:created xsi:type="dcterms:W3CDTF">2026-08-09T07:12:18Z</dcterms:created>
  <dcterms:modified xsi:type="dcterms:W3CDTF">2026-08-09T07:12:18Z</dcterms:modified>
  <dc:subject>Bản thảo nộp VJST-MOST - kiến trúc tham chiếu phân tán tỉnh-trung ương</dc:subject>
</cp:coreProperties>
</file>

<file path=docProps/custom.xml><?xml version="1.0" encoding="utf-8"?>
<Properties xmlns="http://schemas.openxmlformats.org/officeDocument/2006/custom-properties" xmlns:vt="http://schemas.openxmlformats.org/officeDocument/2006/docPropsVTypes"/>
</file>