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46FD" w14:textId="77777777" w:rsidR="0086399D" w:rsidRPr="0086399D" w:rsidRDefault="0086399D" w:rsidP="0086399D">
      <w:pPr>
        <w:pStyle w:val="1"/>
        <w:jc w:val="center"/>
        <w:rPr>
          <w:b w:val="0"/>
          <w:bCs w:val="0"/>
        </w:rPr>
      </w:pPr>
      <w:r w:rsidRPr="0086399D">
        <w:rPr>
          <w:rFonts w:hint="eastAsia"/>
          <w:b w:val="0"/>
          <w:bCs w:val="0"/>
        </w:rPr>
        <w:t>二、实战篇</w:t>
      </w:r>
    </w:p>
    <w:p w14:paraId="48FCD735" w14:textId="3C3BBE07" w:rsidR="0050507D" w:rsidRDefault="0086399D" w:rsidP="0086399D">
      <w:pPr>
        <w:spacing w:line="480" w:lineRule="exact"/>
        <w:rPr>
          <w:rFonts w:ascii="Times New Roman" w:hAnsi="Times New Roman" w:cs="Times New Roman"/>
          <w:sz w:val="28"/>
          <w:szCs w:val="28"/>
        </w:rPr>
      </w:pPr>
      <w:r w:rsidRPr="0086399D">
        <w:rPr>
          <w:rFonts w:ascii="Times New Roman" w:hAnsi="Times New Roman" w:cs="Times New Roman"/>
          <w:sz w:val="28"/>
          <w:szCs w:val="28"/>
        </w:rPr>
        <w:t>1</w:t>
      </w:r>
      <w:r w:rsidRPr="0086399D">
        <w:rPr>
          <w:rFonts w:ascii="Times New Roman" w:hAnsi="Times New Roman" w:cs="Times New Roman"/>
          <w:sz w:val="28"/>
          <w:szCs w:val="28"/>
        </w:rPr>
        <w:t>、</w:t>
      </w:r>
      <w:r w:rsidRPr="0086399D">
        <w:rPr>
          <w:rFonts w:ascii="Times New Roman" w:hAnsi="Times New Roman" w:cs="Times New Roman"/>
          <w:sz w:val="28"/>
          <w:szCs w:val="28"/>
        </w:rPr>
        <w:t xml:space="preserve">Of all the changes that have taken place in English-language newspapers during the past quarter-century, perhaps the most far-reaching has been the inexorable decline in the scope and seriousness of their arts coverage. </w:t>
      </w:r>
      <w:r w:rsidR="0050507D">
        <w:rPr>
          <w:rFonts w:ascii="Times New Roman" w:hAnsi="Times New Roman" w:cs="Times New Roman"/>
          <w:sz w:val="28"/>
          <w:szCs w:val="28"/>
        </w:rPr>
        <w:br w:type="page"/>
      </w:r>
    </w:p>
    <w:p w14:paraId="5AF5DC6C" w14:textId="535ED8AE" w:rsidR="00E96B8D" w:rsidRDefault="0050507D" w:rsidP="0050507D">
      <w:pPr>
        <w:spacing w:line="480" w:lineRule="exact"/>
        <w:rPr>
          <w:rFonts w:ascii="Times New Roman" w:hAnsi="Times New Roman" w:cs="Times New Roman"/>
          <w:sz w:val="28"/>
          <w:szCs w:val="28"/>
        </w:rPr>
      </w:pPr>
      <w:r w:rsidRPr="0050507D"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50507D">
        <w:rPr>
          <w:rFonts w:ascii="Times New Roman" w:hAnsi="Times New Roman" w:cs="Times New Roman"/>
          <w:sz w:val="28"/>
          <w:szCs w:val="28"/>
        </w:rPr>
        <w:t>It is difficult to the point of impossibility for the average reader under the age of forty to imagine a time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50507D">
        <w:rPr>
          <w:rFonts w:ascii="Times New Roman" w:hAnsi="Times New Roman" w:cs="Times New Roman"/>
          <w:sz w:val="28"/>
          <w:szCs w:val="28"/>
        </w:rPr>
        <w:t>when high-quality arts criticism could be found in most big-city newspapers.</w:t>
      </w:r>
      <w:r w:rsidR="00E96B8D">
        <w:rPr>
          <w:rFonts w:ascii="Times New Roman" w:hAnsi="Times New Roman" w:cs="Times New Roman"/>
          <w:sz w:val="28"/>
          <w:szCs w:val="28"/>
        </w:rPr>
        <w:br w:type="page"/>
      </w:r>
    </w:p>
    <w:p w14:paraId="78AB7F7F" w14:textId="166378B1" w:rsidR="00E96B8D" w:rsidRDefault="00E96B8D" w:rsidP="00E96B8D">
      <w:pPr>
        <w:spacing w:line="480" w:lineRule="exact"/>
        <w:rPr>
          <w:rFonts w:ascii="Times New Roman" w:hAnsi="Times New Roman" w:cs="Times New Roman"/>
          <w:sz w:val="28"/>
          <w:szCs w:val="28"/>
        </w:rPr>
      </w:pPr>
      <w:r w:rsidRPr="00E96B8D"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E96B8D">
        <w:rPr>
          <w:rFonts w:ascii="Times New Roman" w:hAnsi="Times New Roman" w:cs="Times New Roman"/>
          <w:sz w:val="28"/>
          <w:szCs w:val="28"/>
        </w:rPr>
        <w:t>For example, some early societies ceased to consider certain rites essential to their well-being and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96B8D">
        <w:rPr>
          <w:rFonts w:ascii="Times New Roman" w:hAnsi="Times New Roman" w:cs="Times New Roman"/>
          <w:sz w:val="28"/>
          <w:szCs w:val="28"/>
        </w:rPr>
        <w:t>abandoned them, nevertheless, they retained as parts of their oral tradition the myths that had grown up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96B8D">
        <w:rPr>
          <w:rFonts w:ascii="Times New Roman" w:hAnsi="Times New Roman" w:cs="Times New Roman"/>
          <w:sz w:val="28"/>
          <w:szCs w:val="28"/>
        </w:rPr>
        <w:t>around the rites and admired them for their artistic qualities rather than for their religious usefulness.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19D7DA" w14:textId="628C08DA" w:rsidR="00781543" w:rsidRDefault="00E96B8D" w:rsidP="00E96B8D">
      <w:pPr>
        <w:spacing w:line="480" w:lineRule="exact"/>
        <w:rPr>
          <w:rFonts w:ascii="Times New Roman" w:hAnsi="Times New Roman" w:cs="Times New Roman"/>
          <w:sz w:val="28"/>
          <w:szCs w:val="28"/>
        </w:rPr>
      </w:pPr>
      <w:r w:rsidRPr="00E96B8D">
        <w:rPr>
          <w:rFonts w:ascii="Times New Roman" w:hAnsi="Times New Roman" w:cs="Times New Roman"/>
          <w:sz w:val="28"/>
          <w:szCs w:val="28"/>
        </w:rPr>
        <w:lastRenderedPageBreak/>
        <w:t>4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E96B8D">
        <w:rPr>
          <w:rFonts w:ascii="Times New Roman" w:hAnsi="Times New Roman" w:cs="Times New Roman"/>
          <w:sz w:val="28"/>
          <w:szCs w:val="28"/>
        </w:rPr>
        <w:t>Yet a considerable number of the most significant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96B8D">
        <w:rPr>
          <w:rFonts w:ascii="Times New Roman" w:hAnsi="Times New Roman" w:cs="Times New Roman"/>
          <w:sz w:val="28"/>
          <w:szCs w:val="28"/>
        </w:rPr>
        <w:t>collections of criticism published in the 20th century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96B8D">
        <w:rPr>
          <w:rFonts w:ascii="Times New Roman" w:hAnsi="Times New Roman" w:cs="Times New Roman"/>
          <w:sz w:val="28"/>
          <w:szCs w:val="28"/>
        </w:rPr>
        <w:t>consisted in large part of newspaper reviews.</w:t>
      </w:r>
      <w:r w:rsidR="00781543">
        <w:rPr>
          <w:rFonts w:ascii="Times New Roman" w:hAnsi="Times New Roman" w:cs="Times New Roman"/>
          <w:sz w:val="28"/>
          <w:szCs w:val="28"/>
        </w:rPr>
        <w:br w:type="page"/>
      </w:r>
    </w:p>
    <w:p w14:paraId="313C7CFF" w14:textId="010636BF" w:rsidR="00781543" w:rsidRDefault="00781543" w:rsidP="00781543">
      <w:pPr>
        <w:spacing w:line="480" w:lineRule="exact"/>
        <w:rPr>
          <w:rFonts w:ascii="Times New Roman" w:hAnsi="Times New Roman" w:cs="Times New Roman"/>
          <w:sz w:val="28"/>
          <w:szCs w:val="28"/>
        </w:rPr>
      </w:pPr>
      <w:r w:rsidRPr="00781543">
        <w:rPr>
          <w:rFonts w:ascii="Times New Roman" w:hAnsi="Times New Roman" w:cs="Times New Roman"/>
          <w:sz w:val="28"/>
          <w:szCs w:val="28"/>
        </w:rPr>
        <w:lastRenderedPageBreak/>
        <w:t>5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781543">
        <w:rPr>
          <w:rFonts w:ascii="Times New Roman" w:hAnsi="Times New Roman" w:cs="Times New Roman"/>
          <w:sz w:val="28"/>
          <w:szCs w:val="28"/>
        </w:rPr>
        <w:t>We are even farther removed from the unfocused newspaper reviews published in England between the turn of the 20th century and the eve of World War Ⅱ, at a time when newsprint was dirt-cheap and stylish arts criticism was considered an ornament to the publications in which it appeared.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B02470" w14:textId="09BD3E52" w:rsidR="003778C3" w:rsidRPr="003778C3" w:rsidRDefault="00781543" w:rsidP="003778C3">
      <w:pPr>
        <w:spacing w:line="480" w:lineRule="exact"/>
        <w:rPr>
          <w:rFonts w:ascii="Times New Roman" w:hAnsi="Times New Roman" w:cs="Times New Roman" w:hint="eastAsia"/>
          <w:sz w:val="28"/>
          <w:szCs w:val="28"/>
        </w:rPr>
      </w:pPr>
      <w:r w:rsidRPr="00781543">
        <w:rPr>
          <w:rFonts w:ascii="Times New Roman" w:hAnsi="Times New Roman" w:cs="Times New Roman"/>
          <w:sz w:val="28"/>
          <w:szCs w:val="28"/>
        </w:rPr>
        <w:lastRenderedPageBreak/>
        <w:t>6.“So few authors have brains enough or literary gift enough to keep their own end up in journalism,”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781543">
        <w:rPr>
          <w:rFonts w:ascii="Times New Roman" w:hAnsi="Times New Roman" w:cs="Times New Roman"/>
          <w:sz w:val="28"/>
          <w:szCs w:val="28"/>
        </w:rPr>
        <w:t>Newman wrote, “that I am tempted to define ‘journalism’ as ‘a term of contempt applied by writers who are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781543">
        <w:rPr>
          <w:rFonts w:ascii="Times New Roman" w:hAnsi="Times New Roman" w:cs="Times New Roman"/>
          <w:sz w:val="28"/>
          <w:szCs w:val="28"/>
        </w:rPr>
        <w:t>not read to writers who are.’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1543">
        <w:rPr>
          <w:rFonts w:ascii="Times New Roman" w:hAnsi="Times New Roman" w:cs="Times New Roman"/>
          <w:sz w:val="28"/>
          <w:szCs w:val="28"/>
        </w:rPr>
        <w:t>”</w:t>
      </w:r>
      <w:r w:rsidR="003778C3">
        <w:rPr>
          <w:rFonts w:ascii="Times New Roman" w:hAnsi="Times New Roman" w:cs="Times New Roman"/>
          <w:sz w:val="28"/>
          <w:szCs w:val="28"/>
        </w:rPr>
        <w:br w:type="page"/>
      </w:r>
    </w:p>
    <w:p w14:paraId="59520DA3" w14:textId="282F4B35" w:rsidR="003778C3" w:rsidRDefault="003778C3" w:rsidP="003778C3">
      <w:pPr>
        <w:spacing w:line="480" w:lineRule="exact"/>
        <w:rPr>
          <w:rFonts w:ascii="Times New Roman" w:hAnsi="Times New Roman" w:cs="Times New Roman"/>
          <w:sz w:val="28"/>
          <w:szCs w:val="28"/>
        </w:rPr>
      </w:pPr>
      <w:r w:rsidRPr="003778C3">
        <w:rPr>
          <w:rFonts w:ascii="Times New Roman" w:hAnsi="Times New Roman" w:cs="Times New Roman"/>
          <w:sz w:val="28"/>
          <w:szCs w:val="28"/>
        </w:rPr>
        <w:lastRenderedPageBreak/>
        <w:t>7.Curbs on business-method claims would be a dramatic about-face, because it was the Federal Circuit itself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778C3">
        <w:rPr>
          <w:rFonts w:ascii="Times New Roman" w:hAnsi="Times New Roman" w:cs="Times New Roman"/>
          <w:sz w:val="28"/>
          <w:szCs w:val="28"/>
        </w:rPr>
        <w:t>that introduced such patents with its 1998 decision in the so-called State Street Bank case, approving a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778C3">
        <w:rPr>
          <w:rFonts w:ascii="Times New Roman" w:hAnsi="Times New Roman" w:cs="Times New Roman"/>
          <w:sz w:val="28"/>
          <w:szCs w:val="28"/>
        </w:rPr>
        <w:t>patent on a way of pooling mutual-fund assets.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64E90D" w14:textId="51A3671A" w:rsidR="00CF6071" w:rsidRDefault="003778C3" w:rsidP="003778C3">
      <w:pPr>
        <w:spacing w:line="480" w:lineRule="exact"/>
        <w:rPr>
          <w:rFonts w:ascii="Times New Roman" w:hAnsi="Times New Roman" w:cs="Times New Roman"/>
          <w:sz w:val="28"/>
          <w:szCs w:val="28"/>
        </w:rPr>
      </w:pPr>
      <w:r w:rsidRPr="003778C3">
        <w:rPr>
          <w:rFonts w:ascii="Times New Roman" w:hAnsi="Times New Roman" w:cs="Times New Roman"/>
          <w:sz w:val="28"/>
          <w:szCs w:val="28"/>
        </w:rPr>
        <w:lastRenderedPageBreak/>
        <w:t>8.The Federal Circuit issued an unusual order stating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778C3">
        <w:rPr>
          <w:rFonts w:ascii="Times New Roman" w:hAnsi="Times New Roman" w:cs="Times New Roman"/>
          <w:sz w:val="28"/>
          <w:szCs w:val="28"/>
        </w:rPr>
        <w:t>that the case would be heard by all 12 of the court’s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778C3">
        <w:rPr>
          <w:rFonts w:ascii="Times New Roman" w:hAnsi="Times New Roman" w:cs="Times New Roman"/>
          <w:sz w:val="28"/>
          <w:szCs w:val="28"/>
        </w:rPr>
        <w:t>judges, rather than a typical panel of three, and that one issue it wants to evaluate is whether it should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“</w:t>
      </w:r>
      <w:r w:rsidRPr="003778C3">
        <w:rPr>
          <w:rFonts w:ascii="Times New Roman" w:hAnsi="Times New Roman" w:cs="Times New Roman"/>
          <w:sz w:val="28"/>
          <w:szCs w:val="28"/>
        </w:rPr>
        <w:t>reconsider</w:t>
      </w:r>
      <w:r>
        <w:rPr>
          <w:rFonts w:ascii="Times New Roman" w:hAnsi="Times New Roman" w:cs="Times New Roman" w:hint="eastAsia"/>
          <w:sz w:val="28"/>
          <w:szCs w:val="28"/>
        </w:rPr>
        <w:t>”</w:t>
      </w:r>
      <w:r w:rsidRPr="003778C3">
        <w:rPr>
          <w:rFonts w:ascii="Times New Roman" w:hAnsi="Times New Roman" w:cs="Times New Roman"/>
          <w:sz w:val="28"/>
          <w:szCs w:val="28"/>
        </w:rPr>
        <w:t xml:space="preserve"> its State Street Bank ruling.</w:t>
      </w:r>
      <w:r w:rsidR="00CF6071">
        <w:rPr>
          <w:rFonts w:ascii="Times New Roman" w:hAnsi="Times New Roman" w:cs="Times New Roman"/>
          <w:sz w:val="28"/>
          <w:szCs w:val="28"/>
        </w:rPr>
        <w:br w:type="page"/>
      </w:r>
    </w:p>
    <w:p w14:paraId="04B73AEC" w14:textId="5E53BECA" w:rsidR="00CF6071" w:rsidRDefault="00CF6071" w:rsidP="00CF6071">
      <w:pPr>
        <w:spacing w:line="480" w:lineRule="exact"/>
        <w:rPr>
          <w:rFonts w:ascii="Times New Roman" w:hAnsi="Times New Roman" w:cs="Times New Roman"/>
          <w:sz w:val="28"/>
          <w:szCs w:val="28"/>
        </w:rPr>
      </w:pPr>
      <w:r w:rsidRPr="00CF6071">
        <w:rPr>
          <w:rFonts w:ascii="Times New Roman" w:hAnsi="Times New Roman" w:cs="Times New Roman"/>
          <w:sz w:val="28"/>
          <w:szCs w:val="28"/>
        </w:rPr>
        <w:lastRenderedPageBreak/>
        <w:t>9.In his book The Tipping Point, Malcolm Gladwell argues that “social epidemics” are driven in large part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F6071">
        <w:rPr>
          <w:rFonts w:ascii="Times New Roman" w:hAnsi="Times New Roman" w:cs="Times New Roman"/>
          <w:sz w:val="28"/>
          <w:szCs w:val="28"/>
        </w:rPr>
        <w:t>by the actions of a tiny minority of special individuals, often called influentials, who are unusually informed,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F6071">
        <w:rPr>
          <w:rFonts w:ascii="Times New Roman" w:hAnsi="Times New Roman" w:cs="Times New Roman"/>
          <w:sz w:val="28"/>
          <w:szCs w:val="28"/>
        </w:rPr>
        <w:t>persuasive, or well-connected.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CB2CDD" w14:textId="5B187E3E" w:rsidR="00CF6071" w:rsidRDefault="00CF6071" w:rsidP="00CF6071">
      <w:pPr>
        <w:spacing w:line="480" w:lineRule="exact"/>
        <w:rPr>
          <w:rFonts w:ascii="Times New Roman" w:hAnsi="Times New Roman" w:cs="Times New Roman"/>
          <w:sz w:val="28"/>
          <w:szCs w:val="28"/>
        </w:rPr>
      </w:pPr>
      <w:r w:rsidRPr="00CF6071">
        <w:rPr>
          <w:rFonts w:ascii="Times New Roman" w:hAnsi="Times New Roman" w:cs="Times New Roman"/>
          <w:sz w:val="28"/>
          <w:szCs w:val="28"/>
        </w:rPr>
        <w:lastRenderedPageBreak/>
        <w:t>10.The researchers’ argument stems from a simple observation about social influence: With the exception of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F6071">
        <w:rPr>
          <w:rFonts w:ascii="Times New Roman" w:hAnsi="Times New Roman" w:cs="Times New Roman"/>
          <w:sz w:val="28"/>
          <w:szCs w:val="28"/>
        </w:rPr>
        <w:t>a few celebrities like Oprah Winfrey— whose outsize presence is primarily a function of media, not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F6071">
        <w:rPr>
          <w:rFonts w:ascii="Times New Roman" w:hAnsi="Times New Roman" w:cs="Times New Roman"/>
          <w:sz w:val="28"/>
          <w:szCs w:val="28"/>
        </w:rPr>
        <w:t>interpersonal, influence—even the most influential members of a population simply don’t interact with that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F6071">
        <w:rPr>
          <w:rFonts w:ascii="Times New Roman" w:hAnsi="Times New Roman" w:cs="Times New Roman"/>
          <w:sz w:val="28"/>
          <w:szCs w:val="28"/>
        </w:rPr>
        <w:t>many others.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AFF53A" w14:textId="03541B56" w:rsidR="00CF6071" w:rsidRDefault="00CF6071" w:rsidP="00CF6071">
      <w:pPr>
        <w:spacing w:line="480" w:lineRule="exact"/>
        <w:rPr>
          <w:rFonts w:ascii="Times New Roman" w:hAnsi="Times New Roman" w:cs="Times New Roman"/>
          <w:sz w:val="28"/>
          <w:szCs w:val="28"/>
        </w:rPr>
      </w:pPr>
      <w:r w:rsidRPr="00CF6071">
        <w:rPr>
          <w:rFonts w:ascii="Times New Roman" w:hAnsi="Times New Roman" w:cs="Times New Roman"/>
          <w:sz w:val="28"/>
          <w:szCs w:val="28"/>
        </w:rPr>
        <w:lastRenderedPageBreak/>
        <w:t>11.These rules say they must value some assets at the price a third party would pay, not the price managers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F6071">
        <w:rPr>
          <w:rFonts w:ascii="Times New Roman" w:hAnsi="Times New Roman" w:cs="Times New Roman"/>
          <w:sz w:val="28"/>
          <w:szCs w:val="28"/>
        </w:rPr>
        <w:t>and regulators would like them to fetch.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A961D2" w14:textId="26AA5E42" w:rsidR="0073419A" w:rsidRPr="00781543" w:rsidRDefault="00CF6071" w:rsidP="00CF6071">
      <w:pPr>
        <w:spacing w:line="480" w:lineRule="exact"/>
        <w:rPr>
          <w:rFonts w:ascii="Times New Roman" w:hAnsi="Times New Roman" w:cs="Times New Roman"/>
          <w:sz w:val="28"/>
          <w:szCs w:val="28"/>
        </w:rPr>
      </w:pPr>
      <w:r w:rsidRPr="00CF6071">
        <w:rPr>
          <w:rFonts w:ascii="Times New Roman" w:hAnsi="Times New Roman" w:cs="Times New Roman"/>
          <w:sz w:val="28"/>
          <w:szCs w:val="28"/>
        </w:rPr>
        <w:lastRenderedPageBreak/>
        <w:t>12.The IASB says it does not want to act without overall planning, but the pressure to fold when it completes its reconstruction of rules later this year is strong.</w:t>
      </w:r>
    </w:p>
    <w:sectPr w:rsidR="0073419A" w:rsidRPr="00781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343E8" w14:textId="77777777" w:rsidR="000B4888" w:rsidRDefault="000B4888" w:rsidP="0086399D">
      <w:r>
        <w:separator/>
      </w:r>
    </w:p>
  </w:endnote>
  <w:endnote w:type="continuationSeparator" w:id="0">
    <w:p w14:paraId="51DA02F0" w14:textId="77777777" w:rsidR="000B4888" w:rsidRDefault="000B4888" w:rsidP="00863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E8749" w14:textId="77777777" w:rsidR="000B4888" w:rsidRDefault="000B4888" w:rsidP="0086399D">
      <w:r>
        <w:separator/>
      </w:r>
    </w:p>
  </w:footnote>
  <w:footnote w:type="continuationSeparator" w:id="0">
    <w:p w14:paraId="70B23C4B" w14:textId="77777777" w:rsidR="000B4888" w:rsidRDefault="000B4888" w:rsidP="008639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0A"/>
    <w:rsid w:val="000B4888"/>
    <w:rsid w:val="002C1180"/>
    <w:rsid w:val="003778C3"/>
    <w:rsid w:val="0050507D"/>
    <w:rsid w:val="0073419A"/>
    <w:rsid w:val="00781543"/>
    <w:rsid w:val="0086399D"/>
    <w:rsid w:val="00CF6071"/>
    <w:rsid w:val="00D8690A"/>
    <w:rsid w:val="00E9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D4171"/>
  <w15:chartTrackingRefBased/>
  <w15:docId w15:val="{33B04B12-1AAB-4003-B78C-8B791909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39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39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9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9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9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39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39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A8FC0-4C8C-4AB4-B82D-BA10BBE95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Code</dc:creator>
  <cp:keywords/>
  <dc:description/>
  <cp:lastModifiedBy>tan Code</cp:lastModifiedBy>
  <cp:revision>7</cp:revision>
  <dcterms:created xsi:type="dcterms:W3CDTF">2023-01-12T03:13:00Z</dcterms:created>
  <dcterms:modified xsi:type="dcterms:W3CDTF">2023-01-13T09:39:00Z</dcterms:modified>
</cp:coreProperties>
</file>