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rFonts w:ascii="Calibri" w:hAnsi="Calibri"/>
          <w:b/>
          <w:i w:val="0"/>
          <w:color w:val="1F3864"/>
          <w:sz w:val="56"/>
        </w:rPr>
        <w:t>NDRS</w:t>
      </w:r>
    </w:p>
    <w:p>
      <w:pPr>
        <w:spacing w:after="400"/>
        <w:jc w:val="center"/>
      </w:pPr>
      <w:r>
        <w:rPr>
          <w:rFonts w:ascii="Calibri" w:hAnsi="Calibri"/>
          <w:b/>
          <w:i w:val="0"/>
          <w:color w:val="2E75B6"/>
          <w:sz w:val="28"/>
        </w:rPr>
        <w:t>QUALITY MANAGEMENT SYSTEM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4"/>
        </w:rPr>
        <w:t>คู่มือการจัดซื้อ</w:t>
      </w:r>
    </w:p>
    <w:p>
      <w:pPr>
        <w:spacing w:after="400"/>
        <w:jc w:val="center"/>
      </w:pPr>
      <w:r>
        <w:rPr>
          <w:rFonts w:ascii="Calibri" w:hAnsi="Calibri"/>
          <w:b w:val="0"/>
          <w:i w:val="0"/>
          <w:color w:val="2E75B6"/>
          <w:sz w:val="32"/>
        </w:rPr>
        <w:t>Purchasing Manual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666666"/>
          <w:sz w:val="24"/>
        </w:rPr>
        <w:t>ISO 9001:2015 — Clause 8.4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1F3864"/>
          <w:sz w:val="20"/>
        </w:rPr>
        <w:t>Document No.: NDRS-PM-001     |     Revision: 01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666666"/>
          <w:sz w:val="20"/>
        </w:rPr>
        <w:t>Effective Date: 18/06/2026     |     Status: DRAFT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1F386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NDRS-PM-001</w:t>
            </w:r>
          </w:p>
        </w:tc>
        <w:tc>
          <w:tcPr>
            <w:tcW w:type="dxa" w:w="3402"/>
            <w:shd w:fill="1F386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คู่มือการจัดซื้อ  Purchasing Manual</w:t>
            </w:r>
          </w:p>
        </w:tc>
        <w:tc>
          <w:tcPr>
            <w:tcW w:type="dxa" w:w="1134"/>
            <w:shd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Rev. 01</w:t>
            </w:r>
          </w:p>
        </w:tc>
        <w:tc>
          <w:tcPr>
            <w:tcW w:type="dxa" w:w="1417"/>
            <w:shd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TH/EN</w:t>
            </w:r>
          </w:p>
        </w:tc>
      </w:tr>
      <w:tr>
        <w:tc>
          <w:tcPr>
            <w:tcW w:type="dxa" w:w="2339"/>
            <w:shd w:fill="D6E4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F3864"/>
                <w:sz w:val="16"/>
              </w:rPr>
              <w:t>Effective Date: 18/06/2026</w:t>
            </w:r>
          </w:p>
        </w:tc>
        <w:tc>
          <w:tcPr>
            <w:tcW w:type="dxa" w:w="2339"/>
            <w:shd w:fill="D6E4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6"/>
              </w:rPr>
              <w:t>Document Type: Procedure / คู่มือ</w:t>
            </w:r>
          </w:p>
        </w:tc>
        <w:tc>
          <w:tcPr>
            <w:tcW w:type="dxa" w:w="2339"/>
            <w:shd w:fill="FFF2CC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C0392B"/>
                <w:sz w:val="16"/>
              </w:rPr>
              <w:t>Status: DRAFT</w:t>
            </w:r>
          </w:p>
        </w:tc>
        <w:tc>
          <w:tcPr>
            <w:tcW w:type="dxa" w:w="2339"/>
            <w:shd w:fill="D6E4F0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Issued: 18/06/2026</w:t>
            </w:r>
          </w:p>
        </w:tc>
      </w:tr>
    </w:tbl>
    <w:p/>
    <w:p>
      <w:pPr>
        <w:pStyle w:val="Heading1"/>
      </w:pPr>
      <w:r>
        <w:t>สารบัญ (Table of Contents)</w:t>
      </w:r>
    </w:p>
    <w:p>
      <w:pPr>
        <w:pStyle w:val="ListBullet"/>
      </w:pPr>
      <w:r>
        <w:rPr>
          <w:rFonts w:ascii="Calibri" w:hAnsi="Calibri"/>
          <w:sz w:val="20"/>
        </w:rPr>
        <w:t>ข้อ 1: วัตถุประสงค์ (Purpose / Objective)</w:t>
      </w:r>
    </w:p>
    <w:p>
      <w:pPr>
        <w:pStyle w:val="ListBullet"/>
      </w:pPr>
      <w:r>
        <w:rPr>
          <w:rFonts w:ascii="Calibri" w:hAnsi="Calibri"/>
          <w:sz w:val="20"/>
        </w:rPr>
        <w:t>ข้อ 2: ขอบเขต (Scope)</w:t>
      </w:r>
    </w:p>
    <w:p>
      <w:pPr>
        <w:pStyle w:val="ListBullet"/>
      </w:pPr>
      <w:r>
        <w:rPr>
          <w:rFonts w:ascii="Calibri" w:hAnsi="Calibri"/>
          <w:sz w:val="20"/>
        </w:rPr>
        <w:t>ข้อ 3: คำจำกัดความ (Definitions)</w:t>
      </w:r>
    </w:p>
    <w:p>
      <w:pPr>
        <w:pStyle w:val="ListBullet"/>
      </w:pPr>
      <w:r>
        <w:rPr>
          <w:rFonts w:ascii="Calibri" w:hAnsi="Calibri"/>
          <w:sz w:val="20"/>
        </w:rPr>
        <w:t>ข้อ 4: หน้าที่ความรับผิดชอบ (Responsibilities)</w:t>
      </w:r>
    </w:p>
    <w:p>
      <w:pPr>
        <w:pStyle w:val="ListBullet"/>
      </w:pPr>
      <w:r>
        <w:rPr>
          <w:rFonts w:ascii="Calibri" w:hAnsi="Calibri"/>
          <w:sz w:val="20"/>
        </w:rPr>
        <w:t>ข้อ 5: ขั้นตอนการดำเนินงาน (Procedure)</w:t>
      </w:r>
    </w:p>
    <w:p>
      <w:pPr>
        <w:pStyle w:val="ListBullet"/>
      </w:pPr>
      <w:r>
        <w:rPr>
          <w:rFonts w:ascii="Calibri" w:hAnsi="Calibri"/>
          <w:sz w:val="20"/>
        </w:rPr>
        <w:t>ข้อ 6: เอกสารอ้างอิง (Reference Documents)</w:t>
      </w:r>
    </w:p>
    <w:p>
      <w:pPr>
        <w:pStyle w:val="ListBullet"/>
      </w:pPr>
      <w:r>
        <w:rPr>
          <w:rFonts w:ascii="Calibri" w:hAnsi="Calibri"/>
          <w:sz w:val="20"/>
        </w:rPr>
        <w:t>ข้อ 7: แบบฟอร์มที่ใช้ (Forms)</w:t>
      </w:r>
    </w:p>
    <w:p>
      <w:pPr>
        <w:pStyle w:val="ListBullet"/>
      </w:pPr>
      <w:r>
        <w:rPr>
          <w:rFonts w:ascii="Calibri" w:hAnsi="Calibri"/>
          <w:sz w:val="20"/>
        </w:rPr>
        <w:t>ข้อ 8: ประวัติการแก้ไข (Revision History)</w:t>
      </w:r>
    </w:p>
    <w:p>
      <w:pPr>
        <w:pStyle w:val="ListBullet"/>
      </w:pPr>
      <w:r>
        <w:rPr>
          <w:rFonts w:ascii="Calibri" w:hAnsi="Calibri"/>
          <w:sz w:val="20"/>
        </w:rPr>
        <w:t>ข้อ 9: ภาคผนวก (Appendix) — รายละเอียดเพิ่มเติม</w:t>
      </w:r>
    </w:p>
    <w:p>
      <w:r>
        <w:br w:type="page"/>
      </w:r>
    </w:p>
    <w:p>
      <w:pPr>
        <w:pStyle w:val="Heading1"/>
      </w:pPr>
      <w:r>
        <w:t>1. วัตถุประสงค์ (Purpose / Objective)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คู่มือการจัดซื้อนี้จัดทำขึ้นโดยมีวัตถุประสงค์เพื่อกำหนดหลักเกณฑ์และขั้นตอนการจัดซื้อจัดจ้าง ของบริษัทฯ ให้เป็นมาตรฐานเดียวกัน สอดคล้องกับข้อกำหนด ISO 9001:2015 ข้อ 8.4 (การควบคุมผลิตภัณฑ์และบริการที่จัดหาจากภายนอก)</w:t>
      </w:r>
    </w:p>
    <w:p>
      <w:pPr>
        <w:pStyle w:val="ListBullet"/>
      </w:pPr>
      <w:r>
        <w:rPr>
          <w:rFonts w:ascii="Calibri" w:hAnsi="Calibri"/>
          <w:sz w:val="20"/>
        </w:rPr>
        <w:t>เพื่อกำหนดแนวทางและขั้นตอนการดำเนินงานจัดซื้อให้เป็นมาตรฐาน</w:t>
      </w:r>
    </w:p>
    <w:p>
      <w:pPr>
        <w:pStyle w:val="ListBullet"/>
      </w:pPr>
      <w:r>
        <w:rPr>
          <w:rFonts w:ascii="Calibri" w:hAnsi="Calibri"/>
          <w:sz w:val="20"/>
        </w:rPr>
        <w:t>เพื่อให้มั่นใจว่าผลิตภัณฑ์และบริการที่จัดซื้อมีคุณภาพตรงตามข้อกำหนดที่องค์กรต้องการ</w:t>
      </w:r>
    </w:p>
    <w:p>
      <w:pPr>
        <w:pStyle w:val="ListBullet"/>
      </w:pPr>
      <w:r>
        <w:rPr>
          <w:rFonts w:ascii="Calibri" w:hAnsi="Calibri"/>
          <w:sz w:val="20"/>
        </w:rPr>
        <w:t>เพื่อคัดเลือก ประเมิน และติดตามผลผู้ขาย/ผู้รับเหมาช่วงอย่างมีประสิทธิภาพ</w:t>
      </w:r>
    </w:p>
    <w:p>
      <w:pPr>
        <w:pStyle w:val="ListBullet"/>
      </w:pPr>
      <w:r>
        <w:rPr>
          <w:rFonts w:ascii="Calibri" w:hAnsi="Calibri"/>
          <w:sz w:val="20"/>
        </w:rPr>
        <w:t>เพื่อสร้างความโปร่งใส ตรวจสอบได้ และลดความเสี่ยงในการจัดซื้อ</w:t>
      </w:r>
    </w:p>
    <w:p>
      <w:pPr>
        <w:pStyle w:val="Heading1"/>
      </w:pPr>
      <w:r>
        <w:t>2. ขอบเขต (Scope)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คู่มือนี้ครอบคลุมทุกกิจกรรมที่เกี่ยวข้องกับการจัดซื้อจัดจ้างวัสดุและบริการที่สำคัญ (Critical materials or services) ที่ส่งผลต่อคุณภาพของผลิตภัณฑ์ของบริษัทฯ</w:t>
      </w:r>
    </w:p>
    <w:p>
      <w:pPr>
        <w:pStyle w:val="ListBullet"/>
      </w:pPr>
      <w:r>
        <w:rPr>
          <w:rFonts w:ascii="Calibri" w:hAnsi="Calibri"/>
          <w:sz w:val="20"/>
        </w:rPr>
        <w:t>วัตถุดิบและวัสดุสิ้นเปลืองที่ใช้ในการผลิต</w:t>
      </w:r>
    </w:p>
    <w:p>
      <w:pPr>
        <w:pStyle w:val="ListBullet"/>
      </w:pPr>
      <w:r>
        <w:rPr>
          <w:rFonts w:ascii="Calibri" w:hAnsi="Calibri"/>
          <w:sz w:val="20"/>
        </w:rPr>
        <w:t>บรรจุภัณฑ์ที่สัมผัสกับผลิตภัณฑ์</w:t>
      </w:r>
    </w:p>
    <w:p>
      <w:pPr>
        <w:pStyle w:val="ListBullet"/>
      </w:pPr>
      <w:r>
        <w:rPr>
          <w:rFonts w:ascii="Calibri" w:hAnsi="Calibri"/>
          <w:sz w:val="20"/>
        </w:rPr>
        <w:t>เครื่องจักรและอะไหล่ที่ส่งผลต่อคุณภาพผลิตภัณฑ์</w:t>
      </w:r>
    </w:p>
    <w:p>
      <w:pPr>
        <w:pStyle w:val="ListBullet"/>
      </w:pPr>
      <w:r>
        <w:rPr>
          <w:rFonts w:ascii="Calibri" w:hAnsi="Calibri"/>
          <w:sz w:val="20"/>
        </w:rPr>
        <w:t>บริการภายนอก (Outsourced Services) เช่น การสอบเทียบ การทดสอบ การบำรุงรักษา</w:t>
      </w:r>
    </w:p>
    <w:p>
      <w:pPr>
        <w:pStyle w:val="ListBullet"/>
      </w:pPr>
      <w:r>
        <w:rPr>
          <w:rFonts w:ascii="Calibri" w:hAnsi="Calibri"/>
          <w:sz w:val="20"/>
        </w:rPr>
        <w:t>กระบวนการผลิตที่จ้างช่วง (Subcontracted Manufacturing)</w:t>
      </w:r>
    </w:p>
    <w:p>
      <w:pPr>
        <w:spacing w:after="60"/>
      </w:pPr>
      <w:r>
        <w:rPr>
          <w:rFonts w:ascii="Calibri" w:hAnsi="Calibri"/>
          <w:b w:val="0"/>
          <w:i/>
          <w:sz w:val="18"/>
        </w:rPr>
        <w:t>ข้อยกเว้น: การจัดซื้อที่ไม่ส่งผลกระทบต่อคุณภาพของผลิตภัณฑ์ (เช่น อุปกรณ์สำนักงาน, วัสดุสิ้นเปลืองในฝ่ายบริหาร) ให้ใช้หลักเกณฑ์แบบย่อตามความเหมาะสม</w:t>
      </w:r>
    </w:p>
    <w:p>
      <w:pPr>
        <w:pStyle w:val="Heading1"/>
      </w:pPr>
      <w:r>
        <w:t>3. คำจำกัดความ (Definitions)</w:t>
      </w:r>
    </w:p>
    <w:p>
      <w:pPr>
        <w:pStyle w:val="Heading2"/>
      </w:pPr>
      <w:r>
        <w:t>3.1 เอกสารหลักในกระบวนการ</w:t>
      </w:r>
    </w:p>
    <w:p>
      <w:r>
        <w:rPr>
          <w:rFonts w:ascii="Calibri" w:hAnsi="Calibri"/>
          <w:b/>
          <w:sz w:val="20"/>
        </w:rPr>
        <w:t xml:space="preserve">ใบขอซื้อ (PR - Purchase Requisition) - </w:t>
      </w:r>
      <w:r>
        <w:rPr>
          <w:rFonts w:ascii="Calibri" w:hAnsi="Calibri"/>
          <w:sz w:val="20"/>
        </w:rPr>
        <w:t>เอกสารภายในที่จัดทำโดยผู้ขอซื้อ เพื่อแจ้งรายละเอียดความต้องการและขออนุมัติการจัดซื้อ</w:t>
      </w:r>
    </w:p>
    <w:p>
      <w:r>
        <w:rPr>
          <w:rFonts w:ascii="Calibri" w:hAnsi="Calibri"/>
          <w:b/>
          <w:sz w:val="20"/>
        </w:rPr>
        <w:t xml:space="preserve">ใบสั่งซื้อ (PO - Purchase Order) - </w:t>
      </w:r>
      <w:r>
        <w:rPr>
          <w:rFonts w:ascii="Calibri" w:hAnsi="Calibri"/>
          <w:sz w:val="20"/>
        </w:rPr>
        <w:t>เอกสารทางการที่ออกให้แก่ผู้ขาย เพื่อยืนยันการสั่งซื้อสินค้าหรือบริการตามเงื่อนไขที่ตกลงกัน</w:t>
      </w:r>
    </w:p>
    <w:p>
      <w:r>
        <w:rPr>
          <w:rFonts w:ascii="Calibri" w:hAnsi="Calibri"/>
          <w:b/>
          <w:sz w:val="20"/>
        </w:rPr>
        <w:t xml:space="preserve">ใบกำกับภาษี / Invoice - </w:t>
      </w:r>
      <w:r>
        <w:rPr>
          <w:rFonts w:ascii="Calibri" w:hAnsi="Calibri"/>
          <w:sz w:val="20"/>
        </w:rPr>
        <w:t>เอกสารที่ผู้ขายออกเพื่อเป็นหลักฐานการซื้อขายและเรียกเก็บเงิน</w:t>
      </w:r>
    </w:p>
    <w:p>
      <w:r>
        <w:rPr>
          <w:rFonts w:ascii="Calibri" w:hAnsi="Calibri"/>
          <w:b/>
          <w:sz w:val="20"/>
        </w:rPr>
        <w:t xml:space="preserve">ใบยืนยันการตรวจรับสินค้า (GRN) - </w:t>
      </w:r>
      <w:r>
        <w:rPr>
          <w:rFonts w:ascii="Calibri" w:hAnsi="Calibri"/>
          <w:sz w:val="20"/>
        </w:rPr>
        <w:t>เอกสารภายในที่จัดทำโดยผู้รับสินค้า เพื่อยืนยันการรับมอบสินค้าที่ถูกต้อง</w:t>
      </w:r>
    </w:p>
    <w:p>
      <w:pPr>
        <w:pStyle w:val="Heading2"/>
      </w:pPr>
      <w:r>
        <w:t>3.2 บุคคลและกลุ่มที่เกี่ยวข้อง</w:t>
      </w:r>
    </w:p>
    <w:p>
      <w:r>
        <w:rPr>
          <w:rFonts w:ascii="Calibri" w:hAnsi="Calibri"/>
          <w:b/>
          <w:sz w:val="20"/>
        </w:rPr>
        <w:t xml:space="preserve">ผู้ขอซื้อ (Requester) - </w:t>
      </w:r>
      <w:r>
        <w:rPr>
          <w:rFonts w:ascii="Calibri" w:hAnsi="Calibri"/>
          <w:sz w:val="20"/>
        </w:rPr>
        <w:t>พนักงานที่ต้องการสินค้าหรือบริการ และเริ่มต้นจัดทำ PR</w:t>
      </w:r>
    </w:p>
    <w:p>
      <w:r>
        <w:rPr>
          <w:rFonts w:ascii="Calibri" w:hAnsi="Calibri"/>
          <w:b/>
          <w:sz w:val="20"/>
        </w:rPr>
        <w:t xml:space="preserve">ผู้อนุมัติ (Approver) - </w:t>
      </w:r>
      <w:r>
        <w:rPr>
          <w:rFonts w:ascii="Calibri" w:hAnsi="Calibri"/>
          <w:sz w:val="20"/>
        </w:rPr>
        <w:t>ผู้บังคับบัญชาที่มีอำนาจอนุมัติ PR / PO ตาม DOA</w:t>
      </w:r>
    </w:p>
    <w:p>
      <w:r>
        <w:rPr>
          <w:rFonts w:ascii="Calibri" w:hAnsi="Calibri"/>
          <w:b/>
          <w:sz w:val="20"/>
        </w:rPr>
        <w:t xml:space="preserve">ผู้รับผิดชอบการจัดซื้อ (Assigned Purchaser) - </w:t>
      </w:r>
      <w:r>
        <w:rPr>
          <w:rFonts w:ascii="Calibri" w:hAnsi="Calibri"/>
          <w:sz w:val="20"/>
        </w:rPr>
        <w:t>ผู้ดำเนินการจัดซื้อหลังจากได้รับ PR ที่อนุมัติแล้ว</w:t>
      </w:r>
    </w:p>
    <w:p>
      <w:r>
        <w:rPr>
          <w:rFonts w:ascii="Calibri" w:hAnsi="Calibri"/>
          <w:b/>
          <w:sz w:val="20"/>
        </w:rPr>
        <w:t xml:space="preserve">ผู้ขาย / ผู้ให้บริการ (Supplier / Vendor) - </w:t>
      </w:r>
      <w:r>
        <w:rPr>
          <w:rFonts w:ascii="Calibri" w:hAnsi="Calibri"/>
          <w:sz w:val="20"/>
        </w:rPr>
        <w:t>บุคคลภายนอกหรือนิติบุคคลที่จัดหาสินค้า/บริการ</w:t>
      </w:r>
    </w:p>
    <w:p>
      <w:r>
        <w:rPr>
          <w:rFonts w:ascii="Calibri" w:hAnsi="Calibri"/>
          <w:b/>
          <w:sz w:val="20"/>
        </w:rPr>
        <w:t xml:space="preserve">ผู้รับสินค้า (On-site Receiver) - </w:t>
      </w:r>
      <w:r>
        <w:rPr>
          <w:rFonts w:ascii="Calibri" w:hAnsi="Calibri"/>
          <w:sz w:val="20"/>
        </w:rPr>
        <w:t>ผู้รับมอบสินค้าทางกายภาพและตรวจสอบเบื้องต้น</w:t>
      </w:r>
    </w:p>
    <w:p>
      <w:pPr>
        <w:pStyle w:val="Heading2"/>
      </w:pPr>
      <w:r>
        <w:t>3.3 แนวคิดและเครื่องมือสำคัญ</w:t>
      </w:r>
    </w:p>
    <w:p>
      <w:r>
        <w:rPr>
          <w:rFonts w:ascii="Calibri" w:hAnsi="Calibri"/>
          <w:b/>
          <w:sz w:val="20"/>
        </w:rPr>
        <w:t xml:space="preserve">การประเมินผู้ขาย (Supplier Evaluation) - </w:t>
      </w:r>
      <w:r>
        <w:rPr>
          <w:rFonts w:ascii="Calibri" w:hAnsi="Calibri"/>
          <w:sz w:val="20"/>
        </w:rPr>
        <w:t>กระบวนการพิจารณาคัดเลือกผู้ขายโดยใช้เกณฑ์ ราคา คุณภาพ การส่งมอบ บริการ และ EHS</w:t>
      </w:r>
    </w:p>
    <w:p>
      <w:r>
        <w:rPr>
          <w:rFonts w:ascii="Calibri" w:hAnsi="Calibri"/>
          <w:b/>
          <w:sz w:val="20"/>
        </w:rPr>
        <w:t xml:space="preserve">บัญชีรายชื่อผู้ขายฯ (ASL) - </w:t>
      </w:r>
      <w:r>
        <w:rPr>
          <w:rFonts w:ascii="Calibri" w:hAnsi="Calibri"/>
          <w:sz w:val="20"/>
        </w:rPr>
        <w:t>รายชื่อผู้ขายที่ผ่านการประเมินและอนุมัติแล้ว</w:t>
      </w:r>
    </w:p>
    <w:p>
      <w:r>
        <w:rPr>
          <w:rFonts w:ascii="Calibri" w:hAnsi="Calibri"/>
          <w:b/>
          <w:sz w:val="20"/>
        </w:rPr>
        <w:t xml:space="preserve">การเทียบราคา (Quotation Comparison) - </w:t>
      </w:r>
      <w:r>
        <w:rPr>
          <w:rFonts w:ascii="Calibri" w:hAnsi="Calibri"/>
          <w:sz w:val="20"/>
        </w:rPr>
        <w:t>การขอใบเสนอราคาจากผู้ขายหลายรายเพื่อเปรียบเทียบ</w:t>
      </w:r>
    </w:p>
    <w:p>
      <w:r>
        <w:rPr>
          <w:rFonts w:ascii="Calibri" w:hAnsi="Calibri"/>
          <w:b/>
          <w:sz w:val="20"/>
        </w:rPr>
        <w:t xml:space="preserve">3-Way Matching - </w:t>
      </w:r>
      <w:r>
        <w:rPr>
          <w:rFonts w:ascii="Calibri" w:hAnsi="Calibri"/>
          <w:sz w:val="20"/>
        </w:rPr>
        <w:t>การตรวจสอบ PO, GRN, และ Invoice ให้ตรงกันก่อนจ่ายเงิน</w:t>
      </w:r>
    </w:p>
    <w:p>
      <w:r>
        <w:rPr>
          <w:rFonts w:ascii="Calibri" w:hAnsi="Calibri"/>
          <w:b/>
          <w:sz w:val="20"/>
        </w:rPr>
        <w:t xml:space="preserve">Lead Time - </w:t>
      </w:r>
      <w:r>
        <w:rPr>
          <w:rFonts w:ascii="Calibri" w:hAnsi="Calibri"/>
          <w:sz w:val="20"/>
        </w:rPr>
        <w:t>ระยะเวลาตั้งแต่ออก PO จนถึงรับสินค้า</w:t>
      </w:r>
    </w:p>
    <w:p>
      <w:pPr>
        <w:pStyle w:val="Heading2"/>
      </w:pPr>
      <w:r>
        <w:t>3.4 สถานะและเงื่อนไข</w:t>
      </w:r>
    </w:p>
    <w:p>
      <w:r>
        <w:rPr>
          <w:rFonts w:ascii="Calibri" w:hAnsi="Calibri"/>
          <w:b/>
          <w:sz w:val="20"/>
        </w:rPr>
        <w:t xml:space="preserve">วัสดุและบริการที่สำคัญ (Critical Materials) - </w:t>
      </w:r>
      <w:r>
        <w:rPr>
          <w:rFonts w:ascii="Calibri" w:hAnsi="Calibri"/>
          <w:sz w:val="20"/>
        </w:rPr>
        <w:t>วัสดุ/บริการที่มีผลกระทบโดยตรงต่อคุณภาพผลิตภัณฑ์</w:t>
      </w:r>
    </w:p>
    <w:p>
      <w:r>
        <w:rPr>
          <w:rFonts w:ascii="Calibri" w:hAnsi="Calibri"/>
          <w:b/>
          <w:sz w:val="20"/>
        </w:rPr>
        <w:t xml:space="preserve">สถานะผู้ขาย (Supplier Status) - </w:t>
      </w:r>
      <w:r>
        <w:rPr>
          <w:rFonts w:ascii="Calibri" w:hAnsi="Calibri"/>
          <w:sz w:val="20"/>
        </w:rPr>
        <w:t>Approved / Conditional / Disapproved</w:t>
      </w:r>
    </w:p>
    <w:p>
      <w:r>
        <w:rPr>
          <w:rFonts w:ascii="Calibri" w:hAnsi="Calibri"/>
          <w:b/>
          <w:sz w:val="20"/>
        </w:rPr>
        <w:t xml:space="preserve">เงื่อนไขการชำระเงิน (Payment Term) - </w:t>
      </w:r>
      <w:r>
        <w:rPr>
          <w:rFonts w:ascii="Calibri" w:hAnsi="Calibri"/>
          <w:sz w:val="20"/>
        </w:rPr>
        <w:t>ข้อตกลงระยะเวลาชำระเงิน เช่น 30 วัน 60 วัน</w:t>
      </w:r>
    </w:p>
    <w:p>
      <w:pPr>
        <w:pStyle w:val="Heading1"/>
      </w:pPr>
      <w:r>
        <w:t>4. หน้าที่ความรับผิดชอบ (Responsibilities)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บทบาท / Role</w:t>
            </w:r>
          </w:p>
        </w:tc>
        <w:tc>
          <w:tcPr>
            <w:tcW w:type="dxa" w:w="6520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หน้าที่ความรับผิดชอบ (Responsibilities)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ผู้ขอซื้อ (Requester)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จัดทำ PR ระบุสเปกและเหตุผล, เสนอผู้อนุมัติ, ยืนยันความถูกต้องทางเทคนิคเมื่อรับสินค้า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ผู้อนุมัติ (Approver)</w:t>
            </w:r>
          </w:p>
        </w:tc>
        <w:tc>
          <w:tcPr>
            <w:tcW w:type="dxa" w:w="652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อนุมัติ PR และ PO ตาม DOA, พิจารณาความจำเป็นและงบประมาณ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ผู้รับผิดชอบการจัดซื้อ (Assigned Purchaser)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คัดเลือกผู้ขาย, จัดทำ PO, ส่ง PO ให้ผู้ขาย/ผู้ขอซื้อ/ผู้รับสินค้า, รวบรวมเอกสารส่ง HAAP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ผู้รับสินค้า (On-site Receiver)</w:t>
            </w:r>
          </w:p>
        </w:tc>
        <w:tc>
          <w:tcPr>
            <w:tcW w:type="dxa" w:w="652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รับสินค้า, ตรวจสอบเบื้องต้น, แจ้งผู้ขอซื้อ, จัดทำ GRN, ส่งเอกสารให้ผู้รับผิดชอบการจัดซื้อ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ทีม HAAP (Accounting/Finance)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ตรวจสอบ 3-Way Matching, ดำเนินการชำระเงิน, เบิกจ่ายคืนพนักงาน</w:t>
            </w:r>
          </w:p>
        </w:tc>
      </w:tr>
    </w:tbl>
    <w:p/>
    <w:p>
      <w:pPr>
        <w:pStyle w:val="Heading1"/>
      </w:pPr>
      <w:r>
        <w:t>5. ขั้นตอนการดำเนินงาน (Procedure)</w:t>
      </w:r>
    </w:p>
    <w:p>
      <w:pPr>
        <w:pStyle w:val="Heading2"/>
      </w:pPr>
      <w:r>
        <w:t>5.1 การขอซื้อและการอนุมัติ (Requisition and Approval)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5.1.1 การจัดทำใบขอซื้อ (PR)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เมื่อพนักงาน (ผู้ขอซื้อ) มีความต้องการวัสดุหรือบริการที่สำคัญ ให้เริ่มต้นกระบวนการ โดยการจัดทำใบขอซื้อ (PR) ตามแบบฟอร์ม NDRS-FM-PUR-001 พร้อมระบุ:</w:t>
      </w:r>
    </w:p>
    <w:p>
      <w:pPr>
        <w:pStyle w:val="ListBullet"/>
      </w:pPr>
      <w:r>
        <w:rPr>
          <w:rFonts w:ascii="Calibri" w:hAnsi="Calibri"/>
          <w:sz w:val="20"/>
        </w:rPr>
        <w:t>วันที่ต้องการใช้งานจริง</w:t>
      </w:r>
    </w:p>
    <w:p>
      <w:pPr>
        <w:pStyle w:val="ListBullet"/>
      </w:pPr>
      <w:r>
        <w:rPr>
          <w:rFonts w:ascii="Calibri" w:hAnsi="Calibri"/>
          <w:sz w:val="20"/>
        </w:rPr>
        <w:t>คุณลักษณะเฉพาะ (Specification) ของสินค้า/บริการอย่างละเอียด</w:t>
      </w:r>
    </w:p>
    <w:p>
      <w:pPr>
        <w:pStyle w:val="ListBullet"/>
      </w:pPr>
      <w:r>
        <w:rPr>
          <w:rFonts w:ascii="Calibri" w:hAnsi="Calibri"/>
          <w:sz w:val="20"/>
        </w:rPr>
        <w:t>วัตถุประสงค์ในการนำไปใช้งาน</w:t>
      </w:r>
    </w:p>
    <w:p>
      <w:pPr>
        <w:pStyle w:val="ListBullet"/>
      </w:pPr>
      <w:r>
        <w:rPr>
          <w:rFonts w:ascii="Calibri" w:hAnsi="Calibri"/>
          <w:sz w:val="20"/>
        </w:rPr>
        <w:t>ผู้ขายที่แนะนำ (ถ้ามี)</w:t>
      </w:r>
    </w:p>
    <w:p>
      <w:pPr>
        <w:pStyle w:val="ListBullet"/>
      </w:pPr>
      <w:r>
        <w:rPr>
          <w:rFonts w:ascii="Calibri" w:hAnsi="Calibri"/>
          <w:sz w:val="20"/>
        </w:rPr>
        <w:t>เอกสารแนบ เช่น ใบเสนอราคา, รูปภาพ, Link สินค้า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5.1.2 การนำเสนอเพื่อขออนุมัติ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ผู้ขอซื้อนำส่ง PR ที่กรอกข้อมูลครบถ้วนแล้ว พร้อมเอกสารแนบ ให้ผู้อนุมัติพิจารณา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5.1.3 การพิจารณาและอนุมัติ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ผู้อนุมัติตรวจสอบ PR ในประเด็นความจำเป็น ความสมเหตุสมผล และงบประมาณ</w:t>
      </w:r>
    </w:p>
    <w:p>
      <w:pPr>
        <w:pStyle w:val="ListBullet"/>
      </w:pPr>
      <w:r>
        <w:rPr>
          <w:rFonts w:ascii="Calibri" w:hAnsi="Calibri"/>
          <w:sz w:val="20"/>
        </w:rPr>
        <w:t>กรณีอนุมัติ: ลงนามหรืออนุมัติผ่านช่องทางที่ตรวจสอบย้อนกลับได้</w:t>
      </w:r>
    </w:p>
    <w:p>
      <w:pPr>
        <w:pStyle w:val="ListBullet"/>
      </w:pPr>
      <w:r>
        <w:rPr>
          <w:rFonts w:ascii="Calibri" w:hAnsi="Calibri"/>
          <w:sz w:val="20"/>
        </w:rPr>
        <w:t>กรณีไม่อนุมัติ: แจ้งเหตุผลและส่ง PR คืนผู้ขอซื้อ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5.1.4 การส่งมอบเรื่อง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หลังจากได้รับอนุมัติแล้ว ผู้ขอซื้อส่งมอบ PR ที่อนุมัติให้ผู้รับผิดชอบการจัดซื้อดำเนินการ</w:t>
      </w:r>
    </w:p>
    <w:p>
      <w:pPr>
        <w:pStyle w:val="Heading2"/>
      </w:pPr>
      <w:r>
        <w:t>5.2 การดำเนินการจัดซื้อและออก PO (Purchasing and PO Issuance)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5.2.1 การจำแนกประเภทผู้ขาย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ผู้รับผิดชอบการจัดซื้อจำแนกผู้ขายออกเป็น 3 ประเภท: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ประเภท</w:t>
            </w:r>
          </w:p>
        </w:tc>
        <w:tc>
          <w:tcPr>
            <w:tcW w:type="dxa" w:w="255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คำอธิบาย</w:t>
            </w:r>
          </w:p>
        </w:tc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เอกสาร</w:t>
            </w:r>
          </w:p>
        </w:tc>
        <w:tc>
          <w:tcPr>
            <w:tcW w:type="dxa" w:w="255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วิธีจัดซื้อ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ประเภทที่ 1</w:t>
              <w:br/>
              <w:t>Strategic Supplier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ผู้จัดจำหน่ายรายใหญ่ระดับสากล</w:t>
              <w:br/>
              <w:t>(เช่น DigiKey, Mouser)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Commercial Invoice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ออก PO มาตรฐาน</w:t>
              <w:br/>
              <w:t>ชำระผ่านบัตรเครดิต/โอน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ประเภทที่ 2</w:t>
              <w:br/>
              <w:t>Domestic Supplier</w:t>
            </w:r>
          </w:p>
        </w:tc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นิติบุคคลในประเทศที่ออก</w:t>
              <w:br/>
              <w:t>ใบกำกับภาษีเต็มรูปแบบได้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ใบกำกับภาษีเต็มรูปแบบ</w:t>
            </w:r>
          </w:p>
        </w:tc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ออก PO มาตรฐาน</w:t>
              <w:br/>
              <w:t>เครดิตเทอม/โอน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ประเภทที่ 3</w:t>
              <w:br/>
              <w:t>Exceptional Case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ร้านค้ารายย่อย/แพลตฟอร์มออนไลน์</w:t>
              <w:br/>
              <w:t>(Shopee, AliExpress)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ไม่มีเอกสารภาษี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สร้าง PO ภายใน (ห้ามส่ง)</w:t>
              <w:br/>
              <w:t>พนักงานสำรองจ่าย</w:t>
            </w:r>
          </w:p>
        </w:tc>
      </w:tr>
    </w:tbl>
    <w:p/>
    <w:p>
      <w:pPr>
        <w:spacing w:after="60"/>
      </w:pPr>
      <w:r>
        <w:rPr>
          <w:rFonts w:ascii="Calibri" w:hAnsi="Calibri"/>
          <w:b/>
          <w:i w:val="0"/>
          <w:sz w:val="20"/>
        </w:rPr>
        <w:t>5.2.2 การจัดทำใบสั่งซื้อ (PO)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ผู้รับผิดชอบการจัดซื้อดำเนินการ:</w:t>
      </w:r>
    </w:p>
    <w:p>
      <w:pPr>
        <w:pStyle w:val="ListBullet"/>
      </w:pPr>
      <w:r>
        <w:rPr>
          <w:rFonts w:ascii="Calibri" w:hAnsi="Calibri"/>
          <w:sz w:val="20"/>
        </w:rPr>
        <w:t>สร้าง PO ในระบบ PEAK ตามประเภทผู้ขาย</w:t>
      </w:r>
    </w:p>
    <w:p>
      <w:pPr>
        <w:pStyle w:val="ListBullet"/>
      </w:pPr>
      <w:r>
        <w:rPr>
          <w:rFonts w:ascii="Calibri" w:hAnsi="Calibri"/>
          <w:sz w:val="20"/>
        </w:rPr>
        <w:t>นำส่ง PO ให้ผู้อนุมัติตรวจสอบและอนุมัติขั้นสุดท้าย</w:t>
      </w:r>
    </w:p>
    <w:p>
      <w:pPr>
        <w:pStyle w:val="ListBullet"/>
      </w:pPr>
      <w:r>
        <w:rPr>
          <w:rFonts w:ascii="Calibri" w:hAnsi="Calibri"/>
          <w:sz w:val="20"/>
        </w:rPr>
        <w:t>ส่ง PO ที่อนุมัติแล้วให้: ผู้ขาย, ผู้ขอซื้อ, และผู้รับสินค้า</w:t>
      </w:r>
    </w:p>
    <w:p>
      <w:pPr>
        <w:pStyle w:val="ListBullet"/>
      </w:pPr>
      <w:r>
        <w:rPr>
          <w:rFonts w:ascii="Calibri" w:hAnsi="Calibri"/>
          <w:sz w:val="20"/>
        </w:rPr>
        <w:t>กรณีประเภทที่ 3: สร้าง PO ภายในระบบเท่านั้น ห้ามส่งให้ผู้ขาย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5.2.3 การยืนยันคำสั่งซื้อและการติดตาม</w:t>
      </w:r>
    </w:p>
    <w:p>
      <w:pPr>
        <w:pStyle w:val="ListBullet"/>
      </w:pPr>
      <w:r>
        <w:rPr>
          <w:rFonts w:ascii="Calibri" w:hAnsi="Calibri"/>
          <w:sz w:val="20"/>
        </w:rPr>
        <w:t>ขอใบยืนยันคำสั่งซื้อ (Order Confirmation) จากผู้ขาย</w:t>
      </w:r>
    </w:p>
    <w:p>
      <w:pPr>
        <w:pStyle w:val="ListBullet"/>
      </w:pPr>
      <w:r>
        <w:rPr>
          <w:rFonts w:ascii="Calibri" w:hAnsi="Calibri"/>
          <w:sz w:val="20"/>
        </w:rPr>
        <w:t>ขอหมายเลขติดตามพัสดุ (Tracking Number) เมื่อผู้ขายจัดส่ง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5.2.4 การจัดการที่อยู่จัดส่งและที่อยู่ออกบิล</w:t>
      </w:r>
    </w:p>
    <w:p>
      <w:pPr>
        <w:pStyle w:val="ListBullet"/>
      </w:pPr>
      <w:r>
        <w:rPr>
          <w:rFonts w:ascii="Calibri" w:hAnsi="Calibri"/>
          <w:sz w:val="20"/>
        </w:rPr>
        <w:t>ระบุ Bill To และ Ship To ให้ชัดเจนใน PO</w:t>
      </w:r>
    </w:p>
    <w:p>
      <w:pPr>
        <w:pStyle w:val="ListBullet"/>
      </w:pPr>
      <w:r>
        <w:rPr>
          <w:rFonts w:ascii="Calibri" w:hAnsi="Calibri"/>
          <w:sz w:val="20"/>
        </w:rPr>
        <w:t>ยืนยันกับผู้ขายเพื่อให้ข้อมูลถูกต้องแก่บริษัทขนส่ง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5.2.5 การจัดการชำระเงินล่วงหน้า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ในกรณีที่ผู้ขายกำหนดให้ชำระก่อนจัดส่ง ให้ขอ Proforma Invoice และจัดทำใบขอเบิกเงินจ่ายล่วงหน้าเสนอผู้อนุมัติ ก่อนส่งให้ทีม HAAP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5.2.6 การจัดการสถานการณ์พิเศษ</w:t>
      </w:r>
    </w:p>
    <w:p>
      <w:pPr>
        <w:pStyle w:val="ListBullet"/>
      </w:pPr>
      <w:r>
        <w:rPr>
          <w:rFonts w:ascii="Calibri" w:hAnsi="Calibri"/>
          <w:sz w:val="20"/>
        </w:rPr>
        <w:t>การเปลี่ยนแปลง/ยกเลิก PO: ต้องได้รับการอนุมัติก่อนดำเนินการ</w:t>
      </w:r>
    </w:p>
    <w:p>
      <w:pPr>
        <w:pStyle w:val="ListBullet"/>
      </w:pPr>
      <w:r>
        <w:rPr>
          <w:rFonts w:ascii="Calibri" w:hAnsi="Calibri"/>
          <w:sz w:val="20"/>
        </w:rPr>
        <w:t>Backorder: แจ้งผู้ขอซื้อเพื่อพิจารณาหรือหารือแนวทางแก้ไข</w:t>
      </w:r>
    </w:p>
    <w:p>
      <w:pPr>
        <w:pStyle w:val="Heading2"/>
      </w:pPr>
      <w:r>
        <w:t>5.3 การตรวจรับสินค้าและบริการ (Receiving of Goods and Services)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5.3.1 การเตรียมการตรวจรับ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ผู้รับสินค้าและผู้ขอซื้อได้รับสำเนา PO จากผู้รับผิดชอบการจัดซื้อแล้ว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5.3.2 การรับมอบสินค้าทางกายภาพ</w:t>
      </w:r>
    </w:p>
    <w:p>
      <w:pPr>
        <w:pStyle w:val="ListBullet"/>
      </w:pPr>
      <w:r>
        <w:rPr>
          <w:rFonts w:ascii="Calibri" w:hAnsi="Calibri"/>
          <w:sz w:val="20"/>
        </w:rPr>
        <w:t>ตรวจสอบสภาพภายนอกของบรรจุภัณฑ์</w:t>
      </w:r>
    </w:p>
    <w:p>
      <w:pPr>
        <w:pStyle w:val="ListBullet"/>
      </w:pPr>
      <w:r>
        <w:rPr>
          <w:rFonts w:ascii="Calibri" w:hAnsi="Calibri"/>
          <w:sz w:val="20"/>
        </w:rPr>
        <w:t>ตรวจนับจำนวนให้ตรงกับเอกสารจัดส่ง</w:t>
      </w:r>
    </w:p>
    <w:p>
      <w:pPr>
        <w:pStyle w:val="ListBullet"/>
      </w:pPr>
      <w:r>
        <w:rPr>
          <w:rFonts w:ascii="Calibri" w:hAnsi="Calibri"/>
          <w:sz w:val="20"/>
        </w:rPr>
        <w:t>ลงนามในเอกสารการจัดส่ง (ระบุหมายเหตุหากพบความเสียหาย)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5.3.3 การแจ้งเตือนเพื่อทวนสอบ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ผู้รับสินค้าแจ้งผู้ขอซื้อทันที พร้อมส่งรูปถ่ายสินค้า ป้ายรุ่น และหมายเลขชิ้นส่วน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5.3.4 การยืนยันความถูกต้อง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ผู้ขอซื้อยืนยันความถูกต้องทางเทคนิคโดยเปรียบเทียบรูปภาพกับสเปกใน PR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5.3.5 การจัดทำเอกสารยืนยันการตรวจรับ</w:t>
      </w:r>
    </w:p>
    <w:p>
      <w:pPr>
        <w:pStyle w:val="ListBullet"/>
      </w:pPr>
      <w:r>
        <w:rPr>
          <w:rFonts w:ascii="Calibri" w:hAnsi="Calibri"/>
          <w:sz w:val="20"/>
        </w:rPr>
        <w:t>ผู้รับสินค้าจัดทำและลงนามในเอกสารยืนยันการตรวจรับ (NDRS-FM-PUR-003)</w:t>
      </w:r>
    </w:p>
    <w:p>
      <w:pPr>
        <w:pStyle w:val="ListBullet"/>
      </w:pPr>
      <w:r>
        <w:rPr>
          <w:rFonts w:ascii="Calibri" w:hAnsi="Calibri"/>
          <w:sz w:val="20"/>
        </w:rPr>
        <w:t>กรณีสินค้าไม่ถูกต้อง ให้หมายเหตุและแจ้งผู้รับผิดชอบการจัดซื้อ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5.3.6 การส่งมอบเอกสาร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ผู้รับสินค้าส่งเอกสารยืนยันการตรวจรับที่ลงนามแล้วให้ผู้รับผิดชอบการจัดซื้อ</w:t>
      </w:r>
    </w:p>
    <w:p>
      <w:pPr>
        <w:pStyle w:val="Heading2"/>
      </w:pPr>
      <w:r>
        <w:t>5.4 การรวบรวมเอกสารส่งมอบให้ทีม HAAP (Document Consolidation)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5.4.1 การทวนสอบความครบถ้วน</w:t>
      </w:r>
    </w:p>
    <w:p>
      <w:pPr>
        <w:pStyle w:val="ListBullet"/>
      </w:pPr>
      <w:r>
        <w:rPr>
          <w:rFonts w:ascii="Calibri" w:hAnsi="Calibri"/>
          <w:sz w:val="20"/>
        </w:rPr>
        <w:t>สำหรับประเภท 1 และ 2: PO + Invoice/ใบกำกับภาษี + เอกสารยืนยันการตรวจรับ</w:t>
      </w:r>
    </w:p>
    <w:p>
      <w:pPr>
        <w:pStyle w:val="ListBullet"/>
      </w:pPr>
      <w:r>
        <w:rPr>
          <w:rFonts w:ascii="Calibri" w:hAnsi="Calibri"/>
          <w:sz w:val="20"/>
        </w:rPr>
        <w:t>สำหรับประเภท 3 (สำรองจ่าย): PO ภายใน + ชุดเอกสารเบิกคืนตามภาคผนวก ก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5.4.2 การส่งมอบเรื่องให้ทีม HAAP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เมื่อเอกสารครบถ้วน ผู้รับผิดชอบการจัดซื้อส่งมอบเรื่องให้ทีม HAAP เพื่อดำเนินการตรวจสอบ 3-Way Matching และชำระเงิน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5.4.3 การสิ้นสุดกระบวนการ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ณ จุดนี้ หน้าที่ความรับผิดชอบตามระเบียบปฏิบัติการจัดซื้อฉบับนี้สิ้นสุดลง</w:t>
      </w:r>
    </w:p>
    <w:p>
      <w:pPr>
        <w:pStyle w:val="Heading1"/>
      </w:pPr>
      <w:r>
        <w:t>6. เอกสารอ้างอิง (Reference Documents)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รหัสเอกสาร</w:t>
            </w:r>
          </w:p>
        </w:tc>
        <w:tc>
          <w:tcPr>
            <w:tcW w:type="dxa" w:w="6236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ชื่อเอกสาร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QM-001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Quality Manual / คู่มือคุณภาพ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NDRS-WI-PUR-001</w:t>
            </w:r>
          </w:p>
        </w:tc>
        <w:tc>
          <w:tcPr>
            <w:tcW w:type="dxa" w:w="6236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วิธีการจัดทำใบขอซื้อ (PR) / PR Creation Guide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NDRS-WI-PUR-002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วิธีการสร้างใบสั่งซื้อ (PO) ในโปรแกรม PEAK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NDRS-WI-PUR-003</w:t>
            </w:r>
          </w:p>
        </w:tc>
        <w:tc>
          <w:tcPr>
            <w:tcW w:type="dxa" w:w="6236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วิธีการจัดการที่อยู่จัดส่งสำหรับผู้ให้บริการขนส่ง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NDRS-WI-PUR-004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คู่มือและเช็คลิสต์สำหรับประเมินและคัดเลือกผู้ขายรายใหม่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NDRS-WI-PUR-005</w:t>
            </w:r>
          </w:p>
        </w:tc>
        <w:tc>
          <w:tcPr>
            <w:tcW w:type="dxa" w:w="6236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บัญชีรายชื่อผู้ขายฯ (ASL) / Approved Supplier List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NDRS-WI-PUR-006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วิธีการเบิกเงินคืนกรณีพนักงานสำรองจ่าย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WI-QC-001</w:t>
            </w:r>
          </w:p>
        </w:tc>
        <w:tc>
          <w:tcPr>
            <w:tcW w:type="dxa" w:w="6236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ขั้นตอนการตรวจสอบขาเข้า (Incoming Inspection)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ISO 9001:2015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Quality Management Systems — Requirements</w:t>
            </w:r>
          </w:p>
        </w:tc>
      </w:tr>
    </w:tbl>
    <w:p/>
    <w:p>
      <w:pPr>
        <w:pStyle w:val="Heading1"/>
      </w:pPr>
      <w:r>
        <w:t>7. แบบฟอร์มที่ใช้ (Forms)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แบบฟอร์มหลักที่ใช้ในกระบวนการจัดซื้อ มีดังนี้: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รหัสเอกสาร (Form ID)</w:t>
            </w:r>
          </w:p>
        </w:tc>
        <w:tc>
          <w:tcPr>
            <w:tcW w:type="dxa" w:w="3118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ชื่อแบบฟอร์ม (Form Name)</w:t>
            </w:r>
          </w:p>
        </w:tc>
        <w:tc>
          <w:tcPr>
            <w:tcW w:type="dxa" w:w="3685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วัตถุประสงค์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NDRS-FM-PUR-001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ใบขอซื้อ (Purchase Requisition Form)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ใช้สำหรับพนักงานทุกคนในการแจ้งความต้องการและขออนุมัติการจัดซื้อ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NDRS-FM-PUR-002</w:t>
            </w:r>
          </w:p>
        </w:tc>
        <w:tc>
          <w:tcPr>
            <w:tcW w:type="dxa" w:w="311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ใบรับรองแทนใบเสร็จรับเงิน</w:t>
            </w:r>
          </w:p>
        </w:tc>
        <w:tc>
          <w:tcPr>
            <w:tcW w:type="dxa" w:w="368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ใช้สำหรับพนักงานในการเบิกเงินคืน กรณีสำรองจ่ายสำหรับผู้ขายประเภทที่ 3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NDRS-FM-PUR-003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เอกสารยืนยันการตรวจรับสินค้า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ใช้สำหรับผู้รับสินค้าเพื่อยืนยันการรับมอบสินค้าที่ถูกต้อง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NDRS-FM-PUR-004</w:t>
            </w:r>
          </w:p>
        </w:tc>
        <w:tc>
          <w:tcPr>
            <w:tcW w:type="dxa" w:w="311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ใบประเมินผู้ขายรายใหม่</w:t>
            </w:r>
          </w:p>
        </w:tc>
        <w:tc>
          <w:tcPr>
            <w:tcW w:type="dxa" w:w="368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ใช้สำหรับบันทึกผลการประเมินผู้ขายรายใหม่ตามเกณฑ์ที่กำหนด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(สร้างจาก PEAK)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ใบสั่งซื้อ (Purchase Order)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เอกสารทางการที่สร้างจากระบบ PEAK เพื่อส่งให้ผู้ขาย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(ไฟล์ควบคุม)</w:t>
            </w:r>
          </w:p>
        </w:tc>
        <w:tc>
          <w:tcPr>
            <w:tcW w:type="dxa" w:w="311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บัญชีรายชื่อผู้ขายฯ (ASL)</w:t>
            </w:r>
          </w:p>
        </w:tc>
        <w:tc>
          <w:tcPr>
            <w:tcW w:type="dxa" w:w="368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Spreadsheet ที่ใช้ควบคุมรายชื่อและสถานะผู้ขาย</w:t>
            </w:r>
          </w:p>
        </w:tc>
      </w:tr>
    </w:tbl>
    <w:p/>
    <w:p>
      <w:pPr>
        <w:pStyle w:val="Heading1"/>
      </w:pPr>
      <w:r>
        <w:t>8. ประวัติการแก้ไข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Rev.</w:t>
            </w:r>
          </w:p>
        </w:tc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 of Change</w:t>
            </w:r>
          </w:p>
        </w:tc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Prepared</w:t>
            </w:r>
          </w:p>
        </w:tc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Approved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00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Initial draft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01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18/06/2026</w:t>
            </w:r>
          </w:p>
        </w:tc>
        <w:tc>
          <w:tcPr>
            <w:tcW w:type="dxa" w:w="34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First issue (DRAFT)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Purchasing Dept.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9. ภาคผนวก (Appendix)</w:t>
      </w:r>
    </w:p>
    <w:p>
      <w:pPr>
        <w:pStyle w:val="Heading2"/>
      </w:pPr>
      <w:r>
        <w:t>ภาคผนวก ก — นโยบายพนักงานสำรองจ่ายสำหรับผู้ให้บริการกรณีพิเศษ (ประเภทที่ 3)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1. หลักการและเงื่อนไข</w:t>
      </w:r>
    </w:p>
    <w:p>
      <w:pPr>
        <w:pStyle w:val="ListBullet"/>
      </w:pPr>
      <w:r>
        <w:rPr>
          <w:rFonts w:ascii="Calibri" w:hAnsi="Calibri"/>
          <w:sz w:val="20"/>
        </w:rPr>
        <w:t>นโยบายนี้ใช้เป็นข้อยกเว้นในกรณีจำเป็นเร่งด่วนที่ต้องจัดซื้อจากผู้ให้บริการกรณีพิเศษ (ประเภทที่ 3) ซึ่งไม่สามารถออกเอกสารทางภาษีได้</w:t>
      </w:r>
    </w:p>
    <w:p>
      <w:pPr>
        <w:pStyle w:val="ListBullet"/>
      </w:pPr>
      <w:r>
        <w:rPr>
          <w:rFonts w:ascii="Calibri" w:hAnsi="Calibri"/>
          <w:sz w:val="20"/>
        </w:rPr>
        <w:t>วงเงินจำกัดไม่เกิน [ระบุจำนวน] บาทต่อครั้ง</w:t>
      </w:r>
    </w:p>
    <w:p>
      <w:pPr>
        <w:pStyle w:val="ListBullet"/>
      </w:pPr>
      <w:r>
        <w:rPr>
          <w:rFonts w:ascii="Calibri" w:hAnsi="Calibri"/>
          <w:sz w:val="20"/>
        </w:rPr>
        <w:t>ผู้อนุมัติต้องรับทราบว่าบริษัทฯ ไม่สามารถใช้สิทธิ์ทางภาษีซื้อ (Input VAT) ได้</w:t>
      </w:r>
    </w:p>
    <w:p>
      <w:pPr>
        <w:spacing w:after="60"/>
      </w:pPr>
      <w:r>
        <w:rPr>
          <w:rFonts w:ascii="Calibri" w:hAnsi="Calibri"/>
          <w:b/>
          <w:i w:val="0"/>
          <w:sz w:val="20"/>
        </w:rPr>
        <w:t>2. ขั้นตอนการปฏิบัติและการเบิกเงินคืน</w:t>
      </w:r>
    </w:p>
    <w:p>
      <w:pPr>
        <w:pStyle w:val="ListBullet"/>
      </w:pPr>
      <w:r>
        <w:rPr>
          <w:rFonts w:ascii="Calibri" w:hAnsi="Calibri"/>
          <w:sz w:val="20"/>
        </w:rPr>
        <w:t>2.1 พนักงานสำรองจ่ายด้วยเงินส่วนตัวไปก่อน</w:t>
      </w:r>
    </w:p>
    <w:p>
      <w:pPr>
        <w:pStyle w:val="ListBullet"/>
      </w:pPr>
      <w:r>
        <w:rPr>
          <w:rFonts w:ascii="Calibri" w:hAnsi="Calibri"/>
          <w:sz w:val="20"/>
        </w:rPr>
        <w:t>2.2 รวบรวมหลักฐาน: ภาพหน้าจอคำสั่งซื้อ, หลักฐานการชำระเงิน, ภาพถ่ายสินค้า, และใบรับรองแทนใบเสร็จรับเงิน (NDRS-FM-PUR-002)</w:t>
      </w:r>
    </w:p>
    <w:p>
      <w:pPr>
        <w:pStyle w:val="ListBullet"/>
      </w:pPr>
      <w:r>
        <w:rPr>
          <w:rFonts w:ascii="Calibri" w:hAnsi="Calibri"/>
          <w:sz w:val="20"/>
        </w:rPr>
        <w:t>2.3 ขออนุมัติจากผู้อนุมัติ (หัวหน้างาน)</w:t>
      </w:r>
    </w:p>
    <w:p>
      <w:pPr>
        <w:pStyle w:val="ListBullet"/>
      </w:pPr>
      <w:r>
        <w:rPr>
          <w:rFonts w:ascii="Calibri" w:hAnsi="Calibri"/>
          <w:sz w:val="20"/>
        </w:rPr>
        <w:t>2.4 ส่งเอกสารให้ผู้รับผิดชอบการจัดซื้อเพื่อรวบรวมส่งทีม HAAP</w:t>
      </w:r>
    </w:p>
    <w:p/>
    <w:p>
      <w:pPr>
        <w:pStyle w:val="Heading2"/>
      </w:pPr>
      <w:r>
        <w:t>ภาคผนวก ข — ตารางอำนาจอนุมัติการจัดซื้อ (DOA)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ตารางอำนาจอนุมัติ (Delegation of Authority) สำหรับการอนุมัติ PR และ 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ระดับ (Level)</w:t>
            </w:r>
          </w:p>
        </w:tc>
        <w:tc>
          <w:tcPr>
            <w:tcW w:type="dxa" w:w="3685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ตำแหน่ง (Position)</w:t>
            </w:r>
          </w:p>
        </w:tc>
        <w:tc>
          <w:tcPr>
            <w:tcW w:type="dxa" w:w="3402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วงเงินอนุมัติต่อครั้ง (บาท)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Team Leader / หัวหน้าทีม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≤ 20,000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68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ผู้อำนวยการฝ่าย / หัวหน้า BU</w:t>
            </w:r>
          </w:p>
        </w:tc>
        <w:tc>
          <w:tcPr>
            <w:tcW w:type="dxa" w:w="34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20,001 - 200,000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กรรมการผู้จัดการ (Managing Director)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&gt; 200,000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/>
          <w:color w:val="666666"/>
          <w:sz w:val="18"/>
        </w:rPr>
        <w:t>หมายเหตุ:</w:t>
      </w:r>
    </w:p>
    <w:p>
      <w:pPr>
        <w:spacing w:after="60"/>
      </w:pPr>
      <w:r>
        <w:rPr>
          <w:rFonts w:ascii="Calibri" w:hAnsi="Calibri"/>
          <w:b w:val="0"/>
          <w:i/>
          <w:color w:val="666666"/>
          <w:sz w:val="18"/>
        </w:rPr>
        <w:t>ตารางอำนาจอนุมัตินี้ใช้บังคับทั้งการอนุมัติ PR และ PO</w:t>
      </w:r>
    </w:p>
    <w:p>
      <w:pPr>
        <w:spacing w:after="60"/>
      </w:pPr>
      <w:r>
        <w:rPr>
          <w:rFonts w:ascii="Calibri" w:hAnsi="Calibri"/>
          <w:b w:val="0"/>
          <w:i/>
          <w:color w:val="666666"/>
          <w:sz w:val="18"/>
        </w:rPr>
        <w:t>การขอซื้อที่มีมูลค่าสูงกว่าวงเงินของตำแหน่งใด ให้เสนอขออนุมัติจากผู้บังคับบัญชาในระดับถัดไป</w:t>
      </w:r>
    </w:p>
    <w:p/>
    <w:p>
      <w:pPr>
        <w:pStyle w:val="Heading2"/>
      </w:pPr>
      <w:r>
        <w:t>ภาคผนวก ค — สรุปแนวทางการจัดการผู้ให้บริการภายนอก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ประเภทผู้ให้บริการ</w:t>
            </w:r>
          </w:p>
        </w:tc>
        <w:tc>
          <w:tcPr>
            <w:tcW w:type="dxa" w:w="2268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เอกสารหลักที่ต้องได้รับ</w:t>
            </w:r>
          </w:p>
        </w:tc>
        <w:tc>
          <w:tcPr>
            <w:tcW w:type="dxa" w:w="2268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วิธีการจัดซื้อ</w:t>
            </w:r>
          </w:p>
        </w:tc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การชำระเงิน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ประเภทที่ 1</w:t>
              <w:br/>
              <w:t>Strategic Supplier</w:t>
              <w:br/>
              <w:t>(เช่น DigiKey, Mouser)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Commercial Invoice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ออก PO มาตรฐาน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บัตรเครดิตบริษัท,</w:t>
              <w:br/>
              <w:t>โอนเงิน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ประเภทที่ 2</w:t>
              <w:br/>
              <w:t>Domestic Supplier</w:t>
              <w:br/>
              <w:t>(บริษัทในประเทศ)</w:t>
            </w:r>
          </w:p>
        </w:tc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ใบกำกับภาษีเต็มรูปแบบ</w:t>
            </w:r>
          </w:p>
        </w:tc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ออก PO มาตรฐาน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เครดิตเทอม,</w:t>
              <w:br/>
              <w:t>โอนเงิน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ประเภทที่ 3</w:t>
              <w:br/>
              <w:t>Exceptional Case</w:t>
              <w:br/>
              <w:t>(Shopee, AliExpress)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ไม่มีเอกสารภาษี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สร้าง PO ภายใน</w:t>
              <w:br/>
              <w:t>(ห้ามส่งผู้ขาย)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พนักงานสำรองจ่าย</w:t>
              <w:br/>
              <w:t>เท่านั้น</w:t>
            </w:r>
          </w:p>
        </w:tc>
      </w:tr>
    </w:tbl>
    <w:p/>
    <w:p/>
    <w:p>
      <w:pPr>
        <w:spacing w:after="60"/>
        <w:jc w:val="center"/>
      </w:pPr>
      <w:r>
        <w:rPr>
          <w:rFonts w:ascii="Calibri" w:hAnsi="Calibri"/>
          <w:b/>
          <w:i w:val="0"/>
          <w:color w:val="1F3864"/>
          <w:sz w:val="22"/>
        </w:rPr>
        <w:t>— จบเอกสาร (End of Document) —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จัดทำโดย: ฝ่ายจัดซื้อ (Purchasing Dept.)  |  วันที่: 18/06/2026  |  เอกสารควบคุม: NDRS-PM-001 ฉบับที่ 01</w:t>
      </w:r>
    </w:p>
    <w:sectPr w:rsidR="00FC693F" w:rsidRPr="0006063C" w:rsidSect="00034616">
      <w:pgSz w:w="11906" w:h="16838"/>
      <w:pgMar w:top="85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