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AF6A6" w14:textId="77777777" w:rsidR="00440F9D" w:rsidRPr="00DE10A5" w:rsidRDefault="00F91594">
      <w:pPr>
        <w:pStyle w:val="Ttulo1"/>
        <w:pBdr>
          <w:bottom w:val="single" w:sz="12" w:space="10" w:color="2E75B6"/>
        </w:pBdr>
        <w:rPr>
          <w:lang w:val="es-ES"/>
        </w:rPr>
      </w:pPr>
      <w:bookmarkStart w:id="0" w:name="X3e84caa1e6638466e5a3a4e98dc2bc7b800597c"/>
      <w:r w:rsidRPr="00DE10A5">
        <w:rPr>
          <w:sz w:val="50"/>
          <w:lang w:val="es-ES"/>
        </w:rPr>
        <w:t>MDPAR — Formalismo estructural de trayectorias de razonamiento</w:t>
      </w:r>
    </w:p>
    <w:p w14:paraId="5F0539DC" w14:textId="77777777" w:rsidR="00440F9D" w:rsidRPr="00DE10A5" w:rsidRDefault="00F91594">
      <w:pPr>
        <w:pStyle w:val="FirstParagraph"/>
        <w:spacing w:after="160"/>
        <w:rPr>
          <w:lang w:val="es-ES"/>
        </w:rPr>
      </w:pPr>
      <w:r w:rsidRPr="00DE10A5">
        <w:rPr>
          <w:b/>
          <w:bCs/>
          <w:color w:val="5F5F5F"/>
          <w:sz w:val="25"/>
          <w:lang w:val="es-ES"/>
        </w:rPr>
        <w:t>Modelo de Dirección de Pensamiento Ampliado y Refinado</w:t>
      </w:r>
      <w:r w:rsidRPr="00DE10A5">
        <w:rPr>
          <w:color w:val="5F5F5F"/>
          <w:sz w:val="25"/>
          <w:lang w:val="es-ES"/>
        </w:rPr>
        <w:br/>
      </w:r>
      <w:r w:rsidRPr="00DE10A5">
        <w:rPr>
          <w:b/>
          <w:bCs/>
          <w:color w:val="5F5F5F"/>
          <w:sz w:val="25"/>
          <w:lang w:val="es-ES"/>
        </w:rPr>
        <w:t>Andrés Pérez Galán</w:t>
      </w:r>
      <w:r w:rsidRPr="00DE10A5">
        <w:rPr>
          <w:color w:val="5F5F5F"/>
          <w:sz w:val="25"/>
          <w:lang w:val="es-ES"/>
        </w:rPr>
        <w:br/>
      </w:r>
      <w:r w:rsidRPr="00DE10A5">
        <w:rPr>
          <w:b/>
          <w:bCs/>
          <w:color w:val="5F5F5F"/>
          <w:sz w:val="25"/>
          <w:lang w:val="es-ES"/>
        </w:rPr>
        <w:t>Formalismo, arquitectura ejecutable y programa de investigación</w:t>
      </w:r>
    </w:p>
    <w:p w14:paraId="66899AEA" w14:textId="77777777" w:rsidR="00440F9D" w:rsidRPr="00DE10A5" w:rsidRDefault="00F91594">
      <w:pPr>
        <w:pStyle w:val="Textoindependiente"/>
        <w:spacing w:after="240"/>
        <w:rPr>
          <w:lang w:val="es-ES"/>
        </w:rPr>
      </w:pPr>
      <w:r w:rsidRPr="00DE10A5">
        <w:rPr>
          <w:b/>
          <w:bCs/>
          <w:color w:val="2E74B5"/>
          <w:sz w:val="19"/>
          <w:lang w:val="es-ES"/>
        </w:rPr>
        <w:t>Java 21 · Matemática discreta · Representación del conocimiento · IA neuro-simbólica</w:t>
      </w:r>
    </w:p>
    <w:p w14:paraId="4808F5B9" w14:textId="77777777" w:rsidR="00440F9D" w:rsidRPr="00DE10A5" w:rsidRDefault="00F91594">
      <w:pPr>
        <w:pStyle w:val="Textodebloque"/>
        <w:pBdr>
          <w:left w:val="single" w:sz="18" w:space="8" w:color="2E75B6"/>
        </w:pBdr>
        <w:rPr>
          <w:lang w:val="es-ES"/>
        </w:rPr>
      </w:pPr>
      <w:r w:rsidRPr="00DE10A5">
        <w:rPr>
          <w:b/>
          <w:bCs/>
          <w:lang w:val="es-ES"/>
        </w:rPr>
        <w:t>MDPAR representa observaciones de razonamiento como estructuras finitas de ocurrencias ordenadas, proyectad</w:t>
      </w:r>
      <w:r w:rsidRPr="00DE10A5">
        <w:rPr>
          <w:b/>
          <w:bCs/>
          <w:lang w:val="es-ES"/>
        </w:rPr>
        <w:t>as sobre un sistema discreto de coordenadas cognitivas, para hacer explícitas, comparables y auditables propiedades estructurales sin exigir una ontología semántica global compartida.</w:t>
      </w:r>
    </w:p>
    <w:p w14:paraId="1AC79792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MDPAR es simultáneamente un formalismo estructural y una implementación </w:t>
      </w:r>
      <w:r w:rsidRPr="00DE10A5">
        <w:rPr>
          <w:lang w:val="es-ES"/>
        </w:rPr>
        <w:t xml:space="preserve">ejecutable. Su objeto no es decidir qué significa universalmente cada entidad de un dominio, sino separar </w:t>
      </w:r>
      <w:r w:rsidRPr="00DE10A5">
        <w:rPr>
          <w:b/>
          <w:bCs/>
          <w:lang w:val="es-ES"/>
        </w:rPr>
        <w:t>la semántica sobre la que se razona</w:t>
      </w:r>
      <w:r w:rsidRPr="00DE10A5">
        <w:rPr>
          <w:lang w:val="es-ES"/>
        </w:rPr>
        <w:t xml:space="preserve"> de </w:t>
      </w:r>
      <w:r w:rsidRPr="00DE10A5">
        <w:rPr>
          <w:b/>
          <w:bCs/>
          <w:lang w:val="es-ES"/>
        </w:rPr>
        <w:t>la estructura que adopta el razonamiento observado</w:t>
      </w:r>
      <w:r w:rsidRPr="00DE10A5">
        <w:rPr>
          <w:lang w:val="es-ES"/>
        </w:rPr>
        <w:t>.</w:t>
      </w:r>
    </w:p>
    <w:p w14:paraId="760E7BF3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Esta separación permite que texto, conocimiento acotado de </w:t>
      </w:r>
      <w:r w:rsidRPr="00DE10A5">
        <w:rPr>
          <w:lang w:val="es-ES"/>
        </w:rPr>
        <w:t>dominio y observaciones tipadas procedentes de sistemas físicos puedan converger sobre una misma maquinaria estructural sin ser reducidos a una única ontología léxica.</w:t>
      </w:r>
    </w:p>
    <w:p w14:paraId="24B61729" w14:textId="77777777" w:rsidR="00440F9D" w:rsidRPr="00DE10A5" w:rsidRDefault="00F91594">
      <w:pPr>
        <w:pStyle w:val="Ttulo3"/>
        <w:rPr>
          <w:lang w:val="es-ES"/>
        </w:rPr>
      </w:pPr>
      <w:bookmarkStart w:id="1" w:name="qué-significa-mdpar"/>
      <w:r w:rsidRPr="00DE10A5">
        <w:rPr>
          <w:lang w:val="es-ES"/>
        </w:rPr>
        <w:t>Qué significa MDPAR</w:t>
      </w:r>
    </w:p>
    <w:p w14:paraId="78A3395D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El nombre </w:t>
      </w:r>
      <w:r w:rsidRPr="00DE10A5">
        <w:rPr>
          <w:b/>
          <w:bCs/>
          <w:lang w:val="es-ES"/>
        </w:rPr>
        <w:t>Modelo de Dirección de Pensamiento Ampliado y Refinado</w:t>
      </w:r>
      <w:r w:rsidRPr="00DE10A5">
        <w:rPr>
          <w:lang w:val="es-ES"/>
        </w:rPr>
        <w:t xml:space="preserve"> des</w:t>
      </w:r>
      <w:r w:rsidRPr="00DE10A5">
        <w:rPr>
          <w:lang w:val="es-ES"/>
        </w:rPr>
        <w:t xml:space="preserve">cribe el recorrido conceptual del proyecto. “Dirección” no alude a imponer qué debe pensar un agente, sino a hacer explícita la </w:t>
      </w:r>
      <w:r w:rsidRPr="00DE10A5">
        <w:rPr>
          <w:b/>
          <w:bCs/>
          <w:lang w:val="es-ES"/>
        </w:rPr>
        <w:t>orientación estructural</w:t>
      </w:r>
      <w:r w:rsidRPr="00DE10A5">
        <w:rPr>
          <w:lang w:val="es-ES"/>
        </w:rPr>
        <w:t xml:space="preserve"> de una trayectoria: qué se identifica, qué mecanismo se clarifica, qué fundamento se busca, qué anclajes</w:t>
      </w:r>
      <w:r w:rsidRPr="00DE10A5">
        <w:rPr>
          <w:lang w:val="es-ES"/>
        </w:rPr>
        <w:t xml:space="preserve"> contextualizan y cómo se conserva o cambia esa organización a lo largo del tiempo. “Ampliado” indica que la representación no se limita a una secuencia lineal de estados: incorpora ocurrencias, relaciones tipadas, grounding orbital, recurrencia, transform</w:t>
      </w:r>
      <w:r w:rsidRPr="00DE10A5">
        <w:rPr>
          <w:lang w:val="es-ES"/>
        </w:rPr>
        <w:t xml:space="preserve">ación, continuidad longitudinal y provenance. “Refinado” expresa la separación progresiva entre conceptos que en un sistema neuronal o en una descripción informal suelen quedar mezclados: </w:t>
      </w:r>
      <w:r w:rsidRPr="00DE10A5">
        <w:rPr>
          <w:b/>
          <w:bCs/>
          <w:lang w:val="es-ES"/>
        </w:rPr>
        <w:t>semántica, estructura, continuidad, validez y autoridad</w:t>
      </w:r>
      <w:r w:rsidRPr="00DE10A5">
        <w:rPr>
          <w:lang w:val="es-ES"/>
        </w:rPr>
        <w:t>.</w:t>
      </w:r>
    </w:p>
    <w:p w14:paraId="28DC8AD7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Por eso MDP</w:t>
      </w:r>
      <w:r w:rsidRPr="00DE10A5">
        <w:rPr>
          <w:lang w:val="es-ES"/>
        </w:rPr>
        <w:t xml:space="preserve">AR no es el nombre de un modelo generativo. Es el nombre de un </w:t>
      </w:r>
      <w:r w:rsidRPr="00DE10A5">
        <w:rPr>
          <w:b/>
          <w:bCs/>
          <w:lang w:val="es-ES"/>
        </w:rPr>
        <w:t>formalismo estructural</w:t>
      </w:r>
      <w:r w:rsidRPr="00DE10A5">
        <w:rPr>
          <w:lang w:val="es-ES"/>
        </w:rPr>
        <w:t xml:space="preserve"> y de la arquitectura que lo ejecuta.</w:t>
      </w:r>
    </w:p>
    <w:p w14:paraId="2FC71CDE" w14:textId="77777777" w:rsidR="00440F9D" w:rsidRDefault="00F91594">
      <w:pPr>
        <w:pStyle w:val="Textoindependiente"/>
      </w:pPr>
      <w:r>
        <w:rPr>
          <w:b/>
          <w:bCs/>
        </w:rPr>
        <w:t>Posición aproximada MSC2020:</w:t>
      </w:r>
      <w:r>
        <w:t xml:space="preserve"> 68T30 — Knowledge representation · 68R10 — Graph theory in computer science.</w:t>
      </w:r>
    </w:p>
    <w:p w14:paraId="04AB446C" w14:textId="77777777" w:rsidR="00440F9D" w:rsidRDefault="00F91594">
      <w:pPr>
        <w:spacing w:after="0"/>
      </w:pPr>
      <w:r>
        <w:pict w14:anchorId="0C90BCB2">
          <v:rect id="_x0000_i1025" style="width:0;height:1.5pt" o:hralign="center" o:hrstd="t" o:hr="t"/>
        </w:pict>
      </w:r>
    </w:p>
    <w:p w14:paraId="396C998F" w14:textId="77777777" w:rsidR="00440F9D" w:rsidRPr="00DE10A5" w:rsidRDefault="00F91594">
      <w:pPr>
        <w:pStyle w:val="Ttulo2"/>
        <w:pageBreakBefore/>
        <w:rPr>
          <w:lang w:val="es-ES"/>
        </w:rPr>
      </w:pPr>
      <w:bookmarkStart w:id="2" w:name="el-problema"/>
      <w:bookmarkEnd w:id="1"/>
      <w:r w:rsidRPr="00DE10A5">
        <w:rPr>
          <w:lang w:val="es-ES"/>
        </w:rPr>
        <w:lastRenderedPageBreak/>
        <w:t>1. El problema</w:t>
      </w:r>
    </w:p>
    <w:p w14:paraId="164BD0E1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Los sistem</w:t>
      </w:r>
      <w:r w:rsidRPr="00DE10A5">
        <w:rPr>
          <w:lang w:val="es-ES"/>
        </w:rPr>
        <w:t>as neuronales contemporáneos pueden interpretar entradas abiertas con gran flexibilidad, pero su razonamiento interno no constituye por sí mismo una representación simbólica estable y auditable. Los formalismos simbólicos, por el contrario, ofrecen estruct</w:t>
      </w:r>
      <w:r w:rsidRPr="00DE10A5">
        <w:rPr>
          <w:lang w:val="es-ES"/>
        </w:rPr>
        <w:t>ura explícita, pero normalmente necesitan que el mundo relevante haya sido descrito previamente mediante reglas, símbolos u ontologías adecuadas al dominio.</w:t>
      </w:r>
    </w:p>
    <w:p w14:paraId="7598F79D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MDPAR parte de una pregunta distinta:</w:t>
      </w:r>
    </w:p>
    <w:p w14:paraId="086044DD" w14:textId="77777777" w:rsidR="00440F9D" w:rsidRPr="00DE10A5" w:rsidRDefault="00F91594">
      <w:pPr>
        <w:pStyle w:val="Textodebloque"/>
        <w:pBdr>
          <w:left w:val="single" w:sz="18" w:space="8" w:color="2E75B6"/>
        </w:pBdr>
        <w:rPr>
          <w:lang w:val="es-ES"/>
        </w:rPr>
      </w:pPr>
      <w:r w:rsidRPr="00DE10A5">
        <w:rPr>
          <w:b/>
          <w:bCs/>
          <w:lang w:val="es-ES"/>
        </w:rPr>
        <w:t>¿Puede representarse la estructura de una trayectoria de razo</w:t>
      </w:r>
      <w:r w:rsidRPr="00DE10A5">
        <w:rPr>
          <w:b/>
          <w:bCs/>
          <w:lang w:val="es-ES"/>
        </w:rPr>
        <w:t>namiento con independencia suficiente de aquello sobre lo que se está razonando?</w:t>
      </w:r>
    </w:p>
    <w:p w14:paraId="703E8B74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La arquitectura adopta como principio que </w:t>
      </w:r>
      <w:r w:rsidRPr="00DE10A5">
        <w:rPr>
          <w:b/>
          <w:bCs/>
          <w:lang w:val="es-ES"/>
        </w:rPr>
        <w:t>semántica de dominio</w:t>
      </w:r>
      <w:r w:rsidRPr="00DE10A5">
        <w:rPr>
          <w:lang w:val="es-ES"/>
        </w:rPr>
        <w:t xml:space="preserve"> y </w:t>
      </w:r>
      <w:r w:rsidRPr="00DE10A5">
        <w:rPr>
          <w:b/>
          <w:bCs/>
          <w:lang w:val="es-ES"/>
        </w:rPr>
        <w:t>estructura inferencial</w:t>
      </w:r>
      <w:r w:rsidRPr="00DE10A5">
        <w:rPr>
          <w:lang w:val="es-ES"/>
        </w:rPr>
        <w:t xml:space="preserve"> son dimensiones relacionadas, pero no idénticas. Un dominio puede decidir qué constituy</w:t>
      </w:r>
      <w:r w:rsidRPr="00DE10A5">
        <w:rPr>
          <w:lang w:val="es-ES"/>
        </w:rPr>
        <w:t>e evidencia válida, qué vocabulario reconoce o qué acción autoriza. MDPAR conserva aparte una representación estructural común sobre la que puede calcular propiedades exactas.</w:t>
      </w:r>
    </w:p>
    <w:p w14:paraId="2A78D1AF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Esto no convierte a MDPAR en una ontología universal ni en un sustituto de la pe</w:t>
      </w:r>
      <w:r w:rsidRPr="00DE10A5">
        <w:rPr>
          <w:lang w:val="es-ES"/>
        </w:rPr>
        <w:t>rcepción semántica. Define una frontera: el sistema que observa debe justificar una estructura; MDPAR debe preservar y razonar sobre ella sin inventar significado que no recibió.</w:t>
      </w:r>
    </w:p>
    <w:p w14:paraId="7810F9D1" w14:textId="77777777" w:rsidR="00440F9D" w:rsidRDefault="00F91594">
      <w:pPr>
        <w:spacing w:after="0"/>
      </w:pPr>
      <w:r>
        <w:pict w14:anchorId="27A3AF97">
          <v:rect id="_x0000_i1026" style="width:0;height:1.5pt" o:hralign="center" o:hrstd="t" o:hr="t"/>
        </w:pict>
      </w:r>
    </w:p>
    <w:p w14:paraId="3E4CBF90" w14:textId="77777777" w:rsidR="00440F9D" w:rsidRPr="00DE10A5" w:rsidRDefault="00F91594">
      <w:pPr>
        <w:pStyle w:val="Ttulo2"/>
        <w:rPr>
          <w:lang w:val="es-ES"/>
        </w:rPr>
      </w:pPr>
      <w:bookmarkStart w:id="3" w:name="hipótesis-mdpar"/>
      <w:bookmarkEnd w:id="2"/>
      <w:r w:rsidRPr="00DE10A5">
        <w:rPr>
          <w:lang w:val="es-ES"/>
        </w:rPr>
        <w:t>2. Hipótesis MDPAR</w:t>
      </w:r>
    </w:p>
    <w:p w14:paraId="215DBBE0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hipótesis científica que motiva el programa de invest</w:t>
      </w:r>
      <w:r w:rsidRPr="00DE10A5">
        <w:rPr>
          <w:lang w:val="es-ES"/>
        </w:rPr>
        <w:t>igación puede formularse de manera deliberadamente más fuerte que las propiedades ya demostradas por el software:</w:t>
      </w:r>
    </w:p>
    <w:p w14:paraId="23FD3B92" w14:textId="77777777" w:rsidR="00440F9D" w:rsidRPr="00DE10A5" w:rsidRDefault="00F91594">
      <w:pPr>
        <w:pStyle w:val="Textodebloque"/>
        <w:pBdr>
          <w:left w:val="single" w:sz="18" w:space="8" w:color="2E75B6"/>
        </w:pBdr>
        <w:rPr>
          <w:lang w:val="es-ES"/>
        </w:rPr>
      </w:pPr>
      <w:r w:rsidRPr="00DE10A5">
        <w:rPr>
          <w:b/>
          <w:bCs/>
          <w:lang w:val="es-ES"/>
        </w:rPr>
        <w:t>Hipótesis de universalidad estructural.</w:t>
      </w:r>
      <w:r w:rsidRPr="00DE10A5">
        <w:rPr>
          <w:lang w:val="es-ES"/>
        </w:rPr>
        <w:t xml:space="preserve"> Existe una estructura inferencial suficientemente general para admitir representaciones estructuralmen</w:t>
      </w:r>
      <w:r w:rsidRPr="00DE10A5">
        <w:rPr>
          <w:lang w:val="es-ES"/>
        </w:rPr>
        <w:t>te comparables a través de dominios, perfiles y modalidades heterogéneos, sin requerir que dichos dominios compartan una ontología semántica global.</w:t>
      </w:r>
    </w:p>
    <w:p w14:paraId="44E3168C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En forma esquemática:</w:t>
      </w:r>
    </w:p>
    <w:p w14:paraId="56E4CFC6" w14:textId="77777777" w:rsidR="00440F9D" w:rsidRPr="00DE10A5" w:rsidRDefault="00F91594">
      <w:pPr>
        <w:pStyle w:val="Textoindependiente"/>
        <w:rPr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s-E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MDPAR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m:t>:</m:t>
          </m:r>
          <m:r>
            <w:rPr>
              <w:rFonts w:ascii="Cambria Math" w:hAnsi="Cambria Math"/>
              <w:lang w:val="es-ES"/>
            </w:rPr>
            <m:t>  </m:t>
          </m:r>
          <m:r>
            <m:rPr>
              <m:nor/>
            </m:rPr>
            <w:rPr>
              <w:lang w:val="es-ES"/>
            </w:rPr>
            <m:t>heterogeneidad semántica</m:t>
          </m:r>
          <m:r>
            <w:rPr>
              <w:rFonts w:ascii="Cambria Math" w:hAnsi="Cambria Math"/>
              <w:lang w:val="es-ES"/>
            </w:rPr>
            <m:t> 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⇏</m:t>
              </m:r>
            </m:e>
          </m:box>
          <m:r>
            <w:rPr>
              <w:rFonts w:ascii="Cambria Math" w:hAnsi="Cambria Math"/>
              <w:lang w:val="es-ES"/>
            </w:rPr>
            <m:t> </m:t>
          </m:r>
          <m:r>
            <m:rPr>
              <m:nor/>
            </m:rPr>
            <w:rPr>
              <w:lang w:val="es-ES"/>
            </w:rPr>
            <m:t>incomparabilidad estructural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.</m:t>
          </m:r>
        </m:oMath>
      </m:oMathPara>
    </w:p>
    <w:p w14:paraId="2303D3BF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Esta hipótesis </w:t>
      </w:r>
      <w:r w:rsidRPr="00DE10A5">
        <w:rPr>
          <w:b/>
          <w:bCs/>
          <w:lang w:val="es-ES"/>
        </w:rPr>
        <w:t>no se considera demostrada por la existencia de MDPAR</w:t>
      </w:r>
      <w:r w:rsidRPr="00DE10A5">
        <w:rPr>
          <w:lang w:val="es-ES"/>
        </w:rPr>
        <w:t>. La versión 2.0.0 demuestra que el formalismo puede implementarse coherentemente, conservar provenance, operar sobre entradas CLOSED y OPEN y exponer propied</w:t>
      </w:r>
      <w:r w:rsidRPr="00DE10A5">
        <w:rPr>
          <w:lang w:val="es-ES"/>
        </w:rPr>
        <w:t>ades estructurales auditables. Establecer la generalidad empírica de la hipótesis requiere experimentos interdominio, intermodalidad y, en su caso, comparación con razonamiento humano y artificial.</w:t>
      </w:r>
    </w:p>
    <w:p w14:paraId="64DF00AE" w14:textId="77777777" w:rsidR="00440F9D" w:rsidRDefault="00F91594">
      <w:pPr>
        <w:spacing w:after="0"/>
      </w:pPr>
      <w:r>
        <w:pict w14:anchorId="4D93ECCD">
          <v:rect id="_x0000_i1027" style="width:0;height:1.5pt" o:hralign="center" o:hrstd="t" o:hr="t"/>
        </w:pict>
      </w:r>
    </w:p>
    <w:p w14:paraId="5A29F930" w14:textId="77777777" w:rsidR="00440F9D" w:rsidRPr="00DE10A5" w:rsidRDefault="00F91594">
      <w:pPr>
        <w:pStyle w:val="Ttulo2"/>
        <w:rPr>
          <w:lang w:val="es-ES"/>
        </w:rPr>
      </w:pPr>
      <w:bookmarkStart w:id="4" w:name="el-objeto-formal"/>
      <w:bookmarkEnd w:id="3"/>
      <w:r w:rsidRPr="00DE10A5">
        <w:rPr>
          <w:lang w:val="es-ES"/>
        </w:rPr>
        <w:t>3. El objeto formal</w:t>
      </w:r>
    </w:p>
    <w:p w14:paraId="17498872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Una trayectoria positiva observada se representa intrínsecamente como</w:t>
      </w:r>
    </w:p>
    <w:p w14:paraId="7B04475D" w14:textId="77777777" w:rsidR="00440F9D" w:rsidRDefault="00F91594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,&lt;,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E32C5B3" w14:textId="77777777" w:rsidR="00440F9D" w:rsidRDefault="00F91594">
      <w:pPr>
        <w:pStyle w:val="FirstParagraph"/>
      </w:pPr>
      <w:r>
        <w:t>donde:</w:t>
      </w:r>
    </w:p>
    <w:p w14:paraId="2CD75B3D" w14:textId="77777777" w:rsidR="00440F9D" w:rsidRPr="00DE10A5" w:rsidRDefault="00F91594">
      <w:pPr>
        <w:pStyle w:val="Compact"/>
        <w:numPr>
          <w:ilvl w:val="0"/>
          <w:numId w:val="2"/>
        </w:numPr>
        <w:rPr>
          <w:lang w:val="es-ES"/>
        </w:rPr>
      </w:pPr>
      <m:oMath>
        <m:r>
          <w:rPr>
            <w:rFonts w:ascii="Cambria Math" w:hAnsi="Cambria Math"/>
          </w:rPr>
          <m:t>V</m:t>
        </m:r>
      </m:oMath>
      <w:r w:rsidRPr="00DE10A5">
        <w:rPr>
          <w:lang w:val="es-ES"/>
        </w:rPr>
        <w:t xml:space="preserve"> es un conjunto finito no vacío de </w:t>
      </w:r>
      <w:r w:rsidRPr="00DE10A5">
        <w:rPr>
          <w:b/>
          <w:bCs/>
          <w:lang w:val="es-ES"/>
        </w:rPr>
        <w:t>ocurrencias</w:t>
      </w:r>
      <w:r w:rsidRPr="00DE10A5">
        <w:rPr>
          <w:lang w:val="es-ES"/>
        </w:rPr>
        <w:t>.</w:t>
      </w:r>
    </w:p>
    <w:p w14:paraId="5CD40CB3" w14:textId="77777777" w:rsidR="00440F9D" w:rsidRPr="00DE10A5" w:rsidRDefault="00F91594">
      <w:pPr>
        <w:pStyle w:val="Compact"/>
        <w:numPr>
          <w:ilvl w:val="0"/>
          <w:numId w:val="2"/>
        </w:numPr>
        <w:rPr>
          <w:lang w:val="es-ES"/>
        </w:rPr>
      </w:pPr>
      <m:oMath>
        <m:r>
          <m:rPr>
            <m:sty m:val="p"/>
          </m:rPr>
          <w:rPr>
            <w:rFonts w:ascii="Cambria Math" w:hAnsi="Cambria Math"/>
            <w:lang w:val="es-ES"/>
          </w:rPr>
          <m:t>&lt;</m:t>
        </m:r>
      </m:oMath>
      <w:r w:rsidRPr="00DE10A5">
        <w:rPr>
          <w:lang w:val="es-ES"/>
        </w:rPr>
        <w:t xml:space="preserve"> es el orden total de esas ocurrencias.</w:t>
      </w:r>
    </w:p>
    <w:p w14:paraId="4DF80B30" w14:textId="77777777" w:rsidR="00440F9D" w:rsidRPr="00DE10A5" w:rsidRDefault="00F91594">
      <w:pPr>
        <w:pStyle w:val="Compact"/>
        <w:numPr>
          <w:ilvl w:val="0"/>
          <w:numId w:val="2"/>
        </w:numPr>
        <w:rPr>
          <w:lang w:val="es-ES"/>
        </w:rPr>
      </w:pPr>
      <m:oMath>
        <m:r>
          <w:rPr>
            <w:rFonts w:ascii="Cambria Math" w:hAnsi="Cambria Math"/>
          </w:rPr>
          <w:lastRenderedPageBreak/>
          <m:t>σ</m:t>
        </m:r>
        <m:r>
          <m:rPr>
            <m:sty m:val="p"/>
          </m:rPr>
          <w:rPr>
            <w:rFonts w:ascii="Cambria Math" w:hAnsi="Cambria Math"/>
            <w:lang w:val="es-ES"/>
          </w:rPr>
          <m:t>: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ES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+</m:t>
            </m:r>
          </m:sup>
        </m:sSup>
      </m:oMath>
      <w:r w:rsidRPr="00DE10A5">
        <w:rPr>
          <w:lang w:val="es-ES"/>
        </w:rPr>
        <w:t xml:space="preserve"> asigna a cada ocurrencia un estado positivo del Sistema de Coor</w:t>
      </w:r>
      <w:r w:rsidRPr="00DE10A5">
        <w:rPr>
          <w:lang w:val="es-ES"/>
        </w:rPr>
        <w:t>denadas Cognitivas.</w:t>
      </w:r>
    </w:p>
    <w:p w14:paraId="3FD21A50" w14:textId="77777777" w:rsidR="00440F9D" w:rsidRPr="00DE10A5" w:rsidRDefault="00F91594">
      <w:pPr>
        <w:pStyle w:val="Compact"/>
        <w:numPr>
          <w:ilvl w:val="0"/>
          <w:numId w:val="2"/>
        </w:numPr>
        <w:rPr>
          <w:lang w:val="es-ES"/>
        </w:r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ES"/>
          </w:rPr>
          <m:t>⊆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r>
          <w:rPr>
            <w:rFonts w:ascii="Cambria Math" w:hAnsi="Cambria Math"/>
          </w:rPr>
          <m:t>Λ</m:t>
        </m:r>
      </m:oMath>
      <w:r w:rsidRPr="00DE10A5">
        <w:rPr>
          <w:lang w:val="es-ES"/>
        </w:rPr>
        <w:t xml:space="preserve"> es un conjunto finito de relaciones inferenciales tipadas y dirigidas hacia delante.</w:t>
      </w:r>
    </w:p>
    <w:p w14:paraId="7A483BC9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La distinción entre </w:t>
      </w:r>
      <w:r w:rsidRPr="00DE10A5">
        <w:rPr>
          <w:b/>
          <w:bCs/>
          <w:lang w:val="es-ES"/>
        </w:rPr>
        <w:t>ocurrencia</w:t>
      </w:r>
      <w:r w:rsidRPr="00DE10A5">
        <w:rPr>
          <w:lang w:val="es-ES"/>
        </w:rPr>
        <w:t xml:space="preserve"> y </w:t>
      </w:r>
      <w:r w:rsidRPr="00DE10A5">
        <w:rPr>
          <w:b/>
          <w:bCs/>
          <w:lang w:val="es-ES"/>
        </w:rPr>
        <w:t>estado</w:t>
      </w:r>
      <w:r w:rsidRPr="00DE10A5">
        <w:rPr>
          <w:lang w:val="es-ES"/>
        </w:rPr>
        <w:t xml:space="preserve"> es esencial. Dos vértices diferentes pueden proyectarse sobre el mismo estado:</w:t>
      </w:r>
    </w:p>
    <w:p w14:paraId="402A8E39" w14:textId="77777777" w:rsidR="00440F9D" w:rsidRPr="00DE10A5" w:rsidRDefault="00F91594">
      <w:pPr>
        <w:pStyle w:val="Textoindependiente"/>
        <w:rPr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es-ES"/>
            </w:rPr>
            <m:t>  </m:t>
          </m:r>
          <m:r>
            <m:rPr>
              <m:nor/>
            </m:rPr>
            <w:rPr>
              <w:lang w:val="es-ES"/>
            </w:rPr>
            <m:t>y</m:t>
          </m:r>
          <m:r>
            <w:rPr>
              <w:rFonts w:ascii="Cambria Math" w:hAnsi="Cambria Math"/>
              <w:lang w:val="es-ES"/>
            </w:rPr>
            <m:t>  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m:t>.</m:t>
          </m:r>
        </m:oMath>
      </m:oMathPara>
    </w:p>
    <w:p w14:paraId="3B9EF274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Por ello, el grafo de ocurrencias puede permanecer acíclico mientras su proyección estructural regresa posteriormente a una posición equivalente. En MDPAR, la recurrencia proyectada no implica retroceso temporal.</w:t>
      </w:r>
    </w:p>
    <w:p w14:paraId="5BC82C7F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El orden total induce una </w:t>
      </w:r>
      <w:r w:rsidRPr="00DE10A5">
        <w:rPr>
          <w:b/>
          <w:bCs/>
          <w:lang w:val="es-ES"/>
        </w:rPr>
        <w:t>espina d</w:t>
      </w:r>
      <w:r w:rsidRPr="00DE10A5">
        <w:rPr>
          <w:b/>
          <w:bCs/>
          <w:lang w:val="es-ES"/>
        </w:rPr>
        <w:t>e recorrido</w:t>
      </w:r>
      <w:r w:rsidRPr="00DE10A5">
        <w:rPr>
          <w:lang w:val="es-ES"/>
        </w:rPr>
        <w:t xml:space="preserve"> entre ocurrencias consecutivas. El conjunto </w:t>
      </w:r>
      <m:oMath>
        <m:r>
          <w:rPr>
            <w:rFonts w:ascii="Cambria Math" w:hAnsi="Cambria Math"/>
          </w:rPr>
          <m:t>E</m:t>
        </m:r>
      </m:oMath>
      <w:r w:rsidRPr="00DE10A5">
        <w:rPr>
          <w:lang w:val="es-ES"/>
        </w:rPr>
        <w:t xml:space="preserve">, en cambio, constituye el </w:t>
      </w:r>
      <w:r w:rsidRPr="00DE10A5">
        <w:rPr>
          <w:b/>
          <w:bCs/>
          <w:lang w:val="es-ES"/>
        </w:rPr>
        <w:t>grafo relacional explícito</w:t>
      </w:r>
      <w:r w:rsidRPr="00DE10A5">
        <w:rPr>
          <w:lang w:val="es-ES"/>
        </w:rPr>
        <w:t xml:space="preserve"> y puede expresar dependencias no adyacentes, ramificación y reconvergencia. Secuencia y evidencia relacional son objetos complementarios; MDPAR </w:t>
      </w:r>
      <w:r w:rsidRPr="00DE10A5">
        <w:rPr>
          <w:lang w:val="es-ES"/>
        </w:rPr>
        <w:t>no los colapsa en una sola noción de arista.</w:t>
      </w:r>
    </w:p>
    <w:p w14:paraId="295FF49B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rStyle w:val="VerbatimChar"/>
          <w:lang w:val="es-ES"/>
        </w:rPr>
        <w:t>UNKNOWN</w:t>
      </w:r>
      <w:r w:rsidRPr="00DE10A5">
        <w:rPr>
          <w:lang w:val="es-ES"/>
        </w:rPr>
        <w:t xml:space="preserve"> tampoco es un estado positivo ordinario. Representa una ocurrencia cuya asignación SCC no ha podido resolverse. El dominio pre/post-estructural </w:t>
      </w:r>
      <m:oMath>
        <m:r>
          <w:rPr>
            <w:rFonts w:ascii="Cambria Math" w:hAnsi="Cambria Math"/>
          </w:rPr>
          <m:t>Ω</m:t>
        </m:r>
      </m:oMath>
      <w:r w:rsidRPr="00DE10A5">
        <w:rPr>
          <w:lang w:val="es-ES"/>
        </w:rPr>
        <w:t>, por su parte, queda fuera del alfabeto de estados: no s</w:t>
      </w:r>
      <w:r w:rsidRPr="00DE10A5">
        <w:rPr>
          <w:lang w:val="es-ES"/>
        </w:rPr>
        <w:t>e fabrica como vértice, anillo o transición ejecutable.</w:t>
      </w:r>
    </w:p>
    <w:p w14:paraId="6137AA6F" w14:textId="77777777" w:rsidR="00440F9D" w:rsidRDefault="00F91594">
      <w:pPr>
        <w:spacing w:after="0"/>
      </w:pPr>
      <w:r>
        <w:pict w14:anchorId="3EF0501C">
          <v:rect id="_x0000_i1028" style="width:0;height:1.5pt" o:hralign="center" o:hrstd="t" o:hr="t"/>
        </w:pict>
      </w:r>
    </w:p>
    <w:p w14:paraId="2F925325" w14:textId="77777777" w:rsidR="00440F9D" w:rsidRPr="00DE10A5" w:rsidRDefault="00F91594">
      <w:pPr>
        <w:pStyle w:val="Ttulo2"/>
        <w:rPr>
          <w:lang w:val="es-ES"/>
        </w:rPr>
      </w:pPr>
      <w:bookmarkStart w:id="5" w:name="sistema-de-coordenadas-cognitivas"/>
      <w:bookmarkEnd w:id="4"/>
      <w:r w:rsidRPr="00DE10A5">
        <w:rPr>
          <w:lang w:val="es-ES"/>
        </w:rPr>
        <w:t>4. Sistema de Coordenadas Cognitivas</w:t>
      </w:r>
    </w:p>
    <w:p w14:paraId="1B8C7EB9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El </w:t>
      </w:r>
      <w:r w:rsidRPr="00DE10A5">
        <w:rPr>
          <w:b/>
          <w:bCs/>
          <w:lang w:val="es-ES"/>
        </w:rPr>
        <w:t>Sistema de Coordenadas Cognitivas (SCC)</w:t>
      </w:r>
      <w:r w:rsidRPr="00DE10A5">
        <w:rPr>
          <w:lang w:val="es-ES"/>
        </w:rPr>
        <w:t xml:space="preserve"> </w:t>
      </w:r>
      <w:r w:rsidRPr="00DE10A5">
        <w:rPr>
          <w:lang w:val="es-ES"/>
        </w:rPr>
        <w:t>proporciona el espacio discreto sobre el que se proyectan las ocurrencias.</w:t>
      </w:r>
    </w:p>
    <w:p w14:paraId="77E62F3C" w14:textId="5A1DD410" w:rsidR="00440F9D" w:rsidRPr="00DE10A5" w:rsidRDefault="00F91594">
      <w:pPr>
        <w:pStyle w:val="SourceCode"/>
        <w:rPr>
          <w:lang w:val="es-ES"/>
        </w:rPr>
      </w:pPr>
      <w:r w:rsidRPr="00DE10A5">
        <w:rPr>
          <w:rStyle w:val="VerbatimChar"/>
          <w:sz w:val="17"/>
          <w:lang w:val="es-ES"/>
        </w:rPr>
        <w:t xml:space="preserve">                                                WHY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                               profundidad explicativa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                                       ▲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</w:t>
      </w:r>
      <w:r w:rsidRPr="00DE10A5">
        <w:rPr>
          <w:rStyle w:val="VerbatimChar"/>
          <w:sz w:val="17"/>
          <w:lang w:val="es-ES"/>
        </w:rPr>
        <w:t xml:space="preserve">           ─────────────────────────── │ ────────────────────────────────────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           │                           ▼                                   │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           │  resolución de identidad |│| identificación de entidad        │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</w:t>
      </w:r>
      <w:r w:rsidRPr="00DE10A5">
        <w:rPr>
          <w:rStyle w:val="VerbatimChar"/>
          <w:sz w:val="17"/>
          <w:lang w:val="es-ES"/>
        </w:rPr>
        <w:t>◀─  WHO / WHICH ◀</w:t>
      </w:r>
      <w:r w:rsidRPr="00DE10A5">
        <w:rPr>
          <w:rStyle w:val="VerbatimChar"/>
          <w:sz w:val="17"/>
          <w:lang w:val="es-ES"/>
        </w:rPr>
        <w:t>──</w:t>
      </w:r>
      <w:r w:rsidRPr="00DE10A5">
        <w:rPr>
          <w:rStyle w:val="VerbatimChar"/>
          <w:sz w:val="17"/>
          <w:lang w:val="es-ES"/>
        </w:rPr>
        <w:t xml:space="preserve">────────────────────────▶ HOW ◀─── (si no está identificado) </w:t>
      </w:r>
      <w:r w:rsidRPr="00DE10A5">
        <w:rPr>
          <w:rStyle w:val="VerbatimChar"/>
          <w:sz w:val="17"/>
          <w:lang w:val="es-ES"/>
        </w:rPr>
        <w:t>─▶ WHAT ─▶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           │                 clarificación del mecanismo                   │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           │                                                  </w:t>
      </w:r>
      <w:r w:rsidRPr="00DE10A5">
        <w:rPr>
          <w:rStyle w:val="VerbatimChar"/>
          <w:sz w:val="17"/>
          <w:lang w:val="es-ES"/>
        </w:rPr>
        <w:t xml:space="preserve">             │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           ───────────────── WHEN / WHERE / HOW_MUCH ──────────────────────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                                          anclaje contextual</w:t>
      </w:r>
    </w:p>
    <w:p w14:paraId="54AEFB32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Su subespacio radial contiene tres estratos:</w:t>
      </w:r>
    </w:p>
    <w:p w14:paraId="57E7844E" w14:textId="77777777" w:rsidR="00440F9D" w:rsidRDefault="00F91594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={WHY},</m:t>
          </m:r>
        </m:oMath>
      </m:oMathPara>
    </w:p>
    <w:p w14:paraId="67CB87B0" w14:textId="77777777" w:rsidR="00440F9D" w:rsidRDefault="00F91594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={HOW},</m:t>
          </m:r>
        </m:oMath>
      </m:oMathPara>
    </w:p>
    <w:p w14:paraId="06216599" w14:textId="77777777" w:rsidR="00440F9D" w:rsidRDefault="00F91594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={WHAT,WHO,WHICH}.</m:t>
          </m:r>
        </m:oMath>
      </m:oMathPara>
    </w:p>
    <w:p w14:paraId="4A435F52" w14:textId="77777777" w:rsidR="00440F9D" w:rsidRPr="00DE10A5" w:rsidRDefault="00F91594">
      <w:pPr>
        <w:pStyle w:val="FirstParagraph"/>
        <w:rPr>
          <w:lang w:val="es-ES"/>
        </w:rPr>
      </w:pPr>
      <w:r>
        <w:rPr>
          <w:rStyle w:val="VerbatimChar"/>
        </w:rPr>
        <w:t>WHEN</w:t>
      </w:r>
      <w:r>
        <w:t xml:space="preserve">, </w:t>
      </w:r>
      <w:r>
        <w:rPr>
          <w:rStyle w:val="VerbatimChar"/>
        </w:rPr>
        <w:t>WHERE</w:t>
      </w:r>
      <w:r>
        <w:t xml:space="preserve"> y </w:t>
      </w:r>
      <w:r>
        <w:rPr>
          <w:rStyle w:val="VerbatimChar"/>
        </w:rPr>
        <w:t>HOW_MUCH</w:t>
      </w:r>
      <w:r>
        <w:t xml:space="preserve"> no forman un supuesto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</w:t>
      </w:r>
      <w:r w:rsidRPr="00DE10A5">
        <w:rPr>
          <w:lang w:val="es-ES"/>
        </w:rPr>
        <w:t xml:space="preserve">Son estados de </w:t>
      </w:r>
      <w:r w:rsidRPr="00DE10A5">
        <w:rPr>
          <w:b/>
          <w:bCs/>
          <w:lang w:val="es-ES"/>
        </w:rPr>
        <w:t>grounding orbital/interestrato</w:t>
      </w:r>
      <w:r w:rsidRPr="00DE10A5">
        <w:rPr>
          <w:lang w:val="es-ES"/>
        </w:rPr>
        <w:t xml:space="preserve"> cuya localización depende de los anclajes radiales presentes en la trayectoria. Pueden quedar localizados 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</m:oMath>
      <w:r w:rsidRPr="00DE10A5">
        <w:rPr>
          <w:lang w:val="es-ES"/>
        </w:rPr>
        <w:t xml:space="preserve">, 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</m:oMath>
      <w:r w:rsidRPr="00DE10A5">
        <w:rPr>
          <w:lang w:val="es-ES"/>
        </w:rPr>
        <w:t xml:space="preserve"> o conservar varias bandas com</w:t>
      </w:r>
      <w:r w:rsidRPr="00DE10A5">
        <w:rPr>
          <w:lang w:val="es-ES"/>
        </w:rPr>
        <w:t>patibles cuando la ventana observada no permite determinar una única posición.</w:t>
      </w:r>
    </w:p>
    <w:p w14:paraId="15ACA43C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La orientación dominante de la trayectoria radial puede ser:</w:t>
      </w:r>
    </w:p>
    <w:p w14:paraId="1B25444D" w14:textId="77777777" w:rsidR="00440F9D" w:rsidRDefault="00F91594">
      <w:pPr>
        <w:pStyle w:val="Textoindependient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CONVERGENT: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FBA01C7" w14:textId="77777777" w:rsidR="00440F9D" w:rsidRDefault="00F91594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DIVERGENT: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E33E42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lastRenderedPageBreak/>
        <w:t>Estas direcciones describen orden estructural. No son sinónimos de ca</w:t>
      </w:r>
      <w:r w:rsidRPr="00DE10A5">
        <w:rPr>
          <w:lang w:val="es-ES"/>
        </w:rPr>
        <w:t>lidad, corrección, intención psicológica ni modo de ejecución del parser.</w:t>
      </w:r>
    </w:p>
    <w:p w14:paraId="31D83355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Las relaciones canónicas se clasifican independientemente como:</w:t>
      </w:r>
    </w:p>
    <w:p w14:paraId="4E36170C" w14:textId="77777777" w:rsidR="00440F9D" w:rsidRPr="00DE10A5" w:rsidRDefault="00F91594">
      <w:pPr>
        <w:pStyle w:val="Compact"/>
        <w:numPr>
          <w:ilvl w:val="0"/>
          <w:numId w:val="3"/>
        </w:numPr>
        <w:rPr>
          <w:lang w:val="es-ES"/>
        </w:rPr>
      </w:pPr>
      <w:r w:rsidRPr="00DE10A5">
        <w:rPr>
          <w:rStyle w:val="VerbatimChar"/>
          <w:lang w:val="es-ES"/>
        </w:rPr>
        <w:t>GENERATIVE_LINK</w:t>
      </w:r>
      <w:r w:rsidRPr="00DE10A5">
        <w:rPr>
          <w:lang w:val="es-ES"/>
        </w:rPr>
        <w:t>: movimiento radial generativo hacia fundamento.</w:t>
      </w:r>
    </w:p>
    <w:p w14:paraId="0C1F1907" w14:textId="77777777" w:rsidR="00440F9D" w:rsidRPr="00DE10A5" w:rsidRDefault="00F91594">
      <w:pPr>
        <w:pStyle w:val="Compact"/>
        <w:numPr>
          <w:ilvl w:val="0"/>
          <w:numId w:val="3"/>
        </w:numPr>
        <w:rPr>
          <w:lang w:val="es-ES"/>
        </w:rPr>
      </w:pPr>
      <w:r w:rsidRPr="00DE10A5">
        <w:rPr>
          <w:rStyle w:val="VerbatimChar"/>
          <w:lang w:val="es-ES"/>
        </w:rPr>
        <w:t>INTERPRETIVE_PROJECTION</w:t>
      </w:r>
      <w:r w:rsidRPr="00DE10A5">
        <w:rPr>
          <w:lang w:val="es-ES"/>
        </w:rPr>
        <w:t>: proyección interpretativa en sentido inverso.</w:t>
      </w:r>
    </w:p>
    <w:p w14:paraId="200FEA13" w14:textId="77777777" w:rsidR="00440F9D" w:rsidRPr="00DE10A5" w:rsidRDefault="00F91594">
      <w:pPr>
        <w:pStyle w:val="Compact"/>
        <w:numPr>
          <w:ilvl w:val="0"/>
          <w:numId w:val="3"/>
        </w:numPr>
        <w:rPr>
          <w:lang w:val="es-ES"/>
        </w:rPr>
      </w:pPr>
      <w:r w:rsidRPr="00DE10A5">
        <w:rPr>
          <w:rStyle w:val="VerbatimChar"/>
          <w:lang w:val="es-ES"/>
        </w:rPr>
        <w:t>CHAIN_CONNECTOR</w:t>
      </w:r>
      <w:r w:rsidRPr="00DE10A5">
        <w:rPr>
          <w:lang w:val="es-ES"/>
        </w:rPr>
        <w:t>: relación que preserva continuidad sin pertenecer a las dos familias anteriores.</w:t>
      </w:r>
    </w:p>
    <w:p w14:paraId="1D93AE26" w14:textId="77777777" w:rsidR="00440F9D" w:rsidRDefault="00F91594">
      <w:pPr>
        <w:spacing w:after="0"/>
      </w:pPr>
      <w:r>
        <w:pict w14:anchorId="243E21A2">
          <v:rect id="_x0000_i1029" style="width:0;height:1.5pt" o:hralign="center" o:hrstd="t" o:hr="t"/>
        </w:pict>
      </w:r>
    </w:p>
    <w:p w14:paraId="458CBA13" w14:textId="77777777" w:rsidR="00440F9D" w:rsidRPr="00DE10A5" w:rsidRDefault="00F91594">
      <w:pPr>
        <w:pStyle w:val="Ttulo2"/>
        <w:rPr>
          <w:lang w:val="es-ES"/>
        </w:rPr>
      </w:pPr>
      <w:bookmarkStart w:id="6" w:name="Xc68c2e26fae712712501eebfa63a7871a3769e0"/>
      <w:bookmarkEnd w:id="5"/>
      <w:r w:rsidRPr="00DE10A5">
        <w:rPr>
          <w:lang w:val="es-ES"/>
        </w:rPr>
        <w:t>5. Una geometría discreta de posición estructural</w:t>
      </w:r>
    </w:p>
    <w:p w14:paraId="42CB55AD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Sobre el subespacio radial, MDPAR define una profundidad</w:t>
      </w:r>
    </w:p>
    <w:p w14:paraId="0DA2A179" w14:textId="77777777" w:rsidR="00440F9D" w:rsidRDefault="00F91594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33194758" w14:textId="77777777" w:rsidR="00440F9D" w:rsidRDefault="00F91594">
      <w:pPr>
        <w:pStyle w:val="FirstParagraph"/>
      </w:pPr>
      <w:r>
        <w:t>y una pseudodistancia</w:t>
      </w:r>
    </w:p>
    <w:p w14:paraId="6BD2D122" w14:textId="77777777" w:rsidR="00440F9D" w:rsidRDefault="00F91594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AE0136" w14:textId="77777777" w:rsidR="00440F9D" w:rsidRDefault="00F91594">
      <w:pPr>
        <w:pStyle w:val="FirstParagraph"/>
      </w:pPr>
      <w:r w:rsidRPr="00DE10A5">
        <w:rPr>
          <w:lang w:val="es-ES"/>
        </w:rPr>
        <w:t xml:space="preserve">Es una </w:t>
      </w:r>
      <w:r w:rsidRPr="00DE10A5">
        <w:rPr>
          <w:b/>
          <w:bCs/>
          <w:lang w:val="es-ES"/>
        </w:rPr>
        <w:t>pseudométrica</w:t>
      </w:r>
      <w:r w:rsidRPr="00DE10A5">
        <w:rPr>
          <w:lang w:val="es-ES"/>
        </w:rPr>
        <w:t xml:space="preserve">, no una métrica, porque estados distintos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</m:oMath>
      <w:r w:rsidRPr="00DE10A5">
        <w:rPr>
          <w:lang w:val="es-ES"/>
        </w:rPr>
        <w:t xml:space="preserve"> pueden tener distancia cero. </w:t>
      </w:r>
      <w:r>
        <w:t>La equivalencia</w:t>
      </w:r>
    </w:p>
    <w:p w14:paraId="5B7131D5" w14:textId="77777777" w:rsidR="00440F9D" w:rsidRDefault="00F91594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091A195" w14:textId="77777777" w:rsidR="00440F9D" w:rsidRDefault="00F91594">
      <w:pPr>
        <w:pStyle w:val="FirstParagraph"/>
      </w:pPr>
      <w:r>
        <w:t>induce el espacio cociente</w:t>
      </w:r>
    </w:p>
    <w:p w14:paraId="0DF08582" w14:textId="77777777" w:rsidR="00440F9D" w:rsidRDefault="00F91594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5F3E7E6D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sobre el que la distancia radial sí es una métrica genuina.</w:t>
      </w:r>
    </w:p>
    <w:p w14:paraId="7B851042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La matemática de pseudométricas y cocientes es estándar. Lo específico de MDPAR es la interpretación SCC de sus clases y la decisión de </w:t>
      </w:r>
      <w:r w:rsidRPr="00DE10A5">
        <w:rPr>
          <w:b/>
          <w:bCs/>
          <w:lang w:val="es-ES"/>
        </w:rPr>
        <w:t>no forza</w:t>
      </w:r>
      <w:r w:rsidRPr="00DE10A5">
        <w:rPr>
          <w:b/>
          <w:bCs/>
          <w:lang w:val="es-ES"/>
        </w:rPr>
        <w:t>r el grounding orbital dentro de una profundidad radial ficticia</w:t>
      </w:r>
      <w:r w:rsidRPr="00DE10A5">
        <w:rPr>
          <w:lang w:val="es-ES"/>
        </w:rPr>
        <w:t>.</w:t>
      </w:r>
    </w:p>
    <w:p w14:paraId="3ACDAD10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La geometría de MDPAR tampoco es una geometría de embeddings neuronales. Trabajos recientes estudian trayectorias de razonamiento como curvas en espacios de representación aprendidos y anali</w:t>
      </w:r>
      <w:r w:rsidRPr="00DE10A5">
        <w:rPr>
          <w:lang w:val="es-ES"/>
        </w:rPr>
        <w:t xml:space="preserve">zan posición, velocidad o curvatura. MDPAR opera en otro nivel: su geometría es </w:t>
      </w:r>
      <w:r w:rsidRPr="00DE10A5">
        <w:rPr>
          <w:b/>
          <w:bCs/>
          <w:lang w:val="es-ES"/>
        </w:rPr>
        <w:t>simbólica, discreta y explícita</w:t>
      </w:r>
      <w:r w:rsidRPr="00DE10A5">
        <w:rPr>
          <w:lang w:val="es-ES"/>
        </w:rPr>
        <w:t>, definida sobre posiciones estructurales canónicas y no sobre coordenadas latentes de un modelo.</w:t>
      </w:r>
    </w:p>
    <w:p w14:paraId="7F7506AA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Una realización esférica solo aparece bajo hipó</w:t>
      </w:r>
      <w:r w:rsidRPr="00DE10A5">
        <w:rPr>
          <w:lang w:val="es-ES"/>
        </w:rPr>
        <w:t xml:space="preserve">tesis adicionales —embedding euclídeo tridimensional, centro de estabilización, organización radial e isotropía rotacional—. En esas condiciones, un locus de radio constante puede realizarse 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 w:rsidRPr="00DE10A5">
        <w:rPr>
          <w:lang w:val="es-ES"/>
        </w:rPr>
        <w:t xml:space="preserve"> y una región radial cerrada 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lang w:val="es-ES"/>
              </w:rPr>
              <m:t>3</m:t>
            </m:r>
          </m:sup>
        </m:sSup>
      </m:oMath>
      <w:r w:rsidRPr="00DE10A5">
        <w:rPr>
          <w:lang w:val="es-ES"/>
        </w:rPr>
        <w:t>. MDPAR no afirma qu</w:t>
      </w:r>
      <w:r w:rsidRPr="00DE10A5">
        <w:rPr>
          <w:lang w:val="es-ES"/>
        </w:rPr>
        <w:t>e toda cognición biológica o artificial posea físicamente esa geometría.</w:t>
      </w:r>
    </w:p>
    <w:p w14:paraId="478DAF61" w14:textId="77777777" w:rsidR="00440F9D" w:rsidRDefault="00F91594">
      <w:pPr>
        <w:spacing w:after="0"/>
      </w:pPr>
      <w:r>
        <w:pict w14:anchorId="7E9D070F">
          <v:rect id="_x0000_i1030" style="width:0;height:1.5pt" o:hralign="center" o:hrstd="t" o:hr="t"/>
        </w:pict>
      </w:r>
    </w:p>
    <w:p w14:paraId="218DED63" w14:textId="77777777" w:rsidR="00440F9D" w:rsidRPr="00DE10A5" w:rsidRDefault="00F91594">
      <w:pPr>
        <w:pStyle w:val="Ttulo2"/>
        <w:rPr>
          <w:lang w:val="es-ES"/>
        </w:rPr>
      </w:pPr>
      <w:bookmarkStart w:id="7" w:name="recurrencia-cierre-y-deformación"/>
      <w:bookmarkEnd w:id="6"/>
      <w:r w:rsidRPr="00DE10A5">
        <w:rPr>
          <w:lang w:val="es-ES"/>
        </w:rPr>
        <w:t>6. Recurrencia, cierre y deformación</w:t>
      </w:r>
    </w:p>
    <w:p w14:paraId="5CD8BDF0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Una trayectoria ordenada puede volver, mediante una ocurrencia posterior distinta, a un estado o estrato estructural equivalente. MDPAR trata es</w:t>
      </w:r>
      <w:r w:rsidRPr="00DE10A5">
        <w:rPr>
          <w:lang w:val="es-ES"/>
        </w:rPr>
        <w:t xml:space="preserve">e fenómeno como </w:t>
      </w:r>
      <w:r w:rsidRPr="00DE10A5">
        <w:rPr>
          <w:b/>
          <w:bCs/>
          <w:lang w:val="es-ES"/>
        </w:rPr>
        <w:t>cierre de una proyección</w:t>
      </w:r>
      <w:r w:rsidRPr="00DE10A5">
        <w:rPr>
          <w:lang w:val="es-ES"/>
        </w:rPr>
        <w:t>, no como una arista temporal hacia atrás.</w:t>
      </w:r>
    </w:p>
    <w:p w14:paraId="01FB8B44" w14:textId="77777777" w:rsidR="00440F9D" w:rsidRDefault="00F91594">
      <w:pPr>
        <w:pStyle w:val="Textoindependiente"/>
      </w:pPr>
      <w:r>
        <w:t>Esto permite distinguir:</w:t>
      </w:r>
    </w:p>
    <w:p w14:paraId="2A1A5279" w14:textId="77777777" w:rsidR="00440F9D" w:rsidRPr="00DE10A5" w:rsidRDefault="00F91594">
      <w:pPr>
        <w:pStyle w:val="Compact"/>
        <w:numPr>
          <w:ilvl w:val="0"/>
          <w:numId w:val="4"/>
        </w:numPr>
        <w:rPr>
          <w:lang w:val="es-ES"/>
        </w:rPr>
      </w:pPr>
      <w:r w:rsidRPr="00DE10A5">
        <w:rPr>
          <w:lang w:val="es-ES"/>
        </w:rPr>
        <w:t>Cierre local y cierre global.</w:t>
      </w:r>
    </w:p>
    <w:p w14:paraId="4EDAAA39" w14:textId="77777777" w:rsidR="00440F9D" w:rsidRPr="00DE10A5" w:rsidRDefault="00F91594">
      <w:pPr>
        <w:pStyle w:val="Compact"/>
        <w:numPr>
          <w:ilvl w:val="0"/>
          <w:numId w:val="4"/>
        </w:numPr>
        <w:rPr>
          <w:lang w:val="es-ES"/>
        </w:rPr>
      </w:pPr>
      <w:r w:rsidRPr="00DE10A5">
        <w:rPr>
          <w:lang w:val="es-ES"/>
        </w:rPr>
        <w:lastRenderedPageBreak/>
        <w:t>Intervalos cerrados anidados, solapados o disjuntos.</w:t>
      </w:r>
    </w:p>
    <w:p w14:paraId="35C13B61" w14:textId="77777777" w:rsidR="00440F9D" w:rsidRPr="00DE10A5" w:rsidRDefault="00F91594">
      <w:pPr>
        <w:pStyle w:val="Compact"/>
        <w:numPr>
          <w:ilvl w:val="0"/>
          <w:numId w:val="4"/>
        </w:numPr>
        <w:rPr>
          <w:lang w:val="es-ES"/>
        </w:rPr>
      </w:pPr>
      <w:r w:rsidRPr="00DE10A5">
        <w:rPr>
          <w:lang w:val="es-ES"/>
        </w:rPr>
        <w:t>Progresión global con regiones localmente recurrentes.</w:t>
      </w:r>
    </w:p>
    <w:p w14:paraId="510FB694" w14:textId="77777777" w:rsidR="00440F9D" w:rsidRPr="00DE10A5" w:rsidRDefault="00F91594">
      <w:pPr>
        <w:pStyle w:val="Compact"/>
        <w:numPr>
          <w:ilvl w:val="0"/>
          <w:numId w:val="4"/>
        </w:numPr>
        <w:rPr>
          <w:lang w:val="es-ES"/>
        </w:rPr>
      </w:pPr>
      <w:r w:rsidRPr="00DE10A5">
        <w:rPr>
          <w:lang w:val="es-ES"/>
        </w:rPr>
        <w:t>Identidad de estado frente a equivalencia radial.</w:t>
      </w:r>
    </w:p>
    <w:p w14:paraId="62DC2A66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Propiedades como longitud radial, grounding orbital, grado, ramificación, reconvergencia o cierre son descriptivas. No reciben por sí mismas una etique</w:t>
      </w:r>
      <w:r w:rsidRPr="00DE10A5">
        <w:rPr>
          <w:lang w:val="es-ES"/>
        </w:rPr>
        <w:t>ta de «mejor» o «peor» razonamiento.</w:t>
      </w:r>
    </w:p>
    <w:p w14:paraId="335374B4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Del mismo modo, </w:t>
      </w:r>
      <w:r w:rsidRPr="00DE10A5">
        <w:rPr>
          <w:rStyle w:val="VerbatimChar"/>
          <w:lang w:val="es-ES"/>
        </w:rPr>
        <w:t>OPEN</w:t>
      </w:r>
      <w:r w:rsidRPr="00DE10A5">
        <w:rPr>
          <w:lang w:val="es-ES"/>
        </w:rPr>
        <w:t xml:space="preserve"> y </w:t>
      </w:r>
      <w:r w:rsidRPr="00DE10A5">
        <w:rPr>
          <w:rStyle w:val="VerbatimChar"/>
          <w:lang w:val="es-ES"/>
        </w:rPr>
        <w:t>CLOSED</w:t>
      </w:r>
      <w:r w:rsidRPr="00DE10A5">
        <w:rPr>
          <w:lang w:val="es-ES"/>
        </w:rPr>
        <w:t xml:space="preserve"> no describen cierre geométrico. Describen el grado de acotación del espacio admisible </w:t>
      </w:r>
      <w:r w:rsidRPr="00DE10A5">
        <w:rPr>
          <w:lang w:val="es-ES"/>
        </w:rPr>
        <w:t>de observación. Una superficie OPEN puede contener subtrayectorias cerradas y una superficie CLOSED puede producir una trayectoria globalmente abierta.</w:t>
      </w:r>
    </w:p>
    <w:p w14:paraId="23B0FB94" w14:textId="77777777" w:rsidR="00440F9D" w:rsidRDefault="00F91594">
      <w:pPr>
        <w:spacing w:after="0"/>
      </w:pPr>
      <w:r>
        <w:pict w14:anchorId="6924C807">
          <v:rect id="_x0000_i1031" style="width:0;height:1.5pt" o:hralign="center" o:hrstd="t" o:hr="t"/>
        </w:pict>
      </w:r>
    </w:p>
    <w:p w14:paraId="57B01C9A" w14:textId="77777777" w:rsidR="00440F9D" w:rsidRPr="00DE10A5" w:rsidRDefault="00F91594">
      <w:pPr>
        <w:pStyle w:val="Ttulo2"/>
        <w:rPr>
          <w:lang w:val="es-ES"/>
        </w:rPr>
      </w:pPr>
      <w:bookmarkStart w:id="8" w:name="X49c2e8691fcfb7f6eee71763c2f1d47f9756796"/>
      <w:bookmarkEnd w:id="7"/>
      <w:r w:rsidRPr="00DE10A5">
        <w:rPr>
          <w:lang w:val="es-ES"/>
        </w:rPr>
        <w:t>7. Transformaciones y equivalencia estructural</w:t>
      </w:r>
    </w:p>
    <w:p w14:paraId="1A4636DC" w14:textId="77777777" w:rsidR="00440F9D" w:rsidRDefault="00F91594">
      <w:pPr>
        <w:pStyle w:val="FirstParagraph"/>
      </w:pPr>
      <w:r w:rsidRPr="00DE10A5">
        <w:rPr>
          <w:lang w:val="es-ES"/>
        </w:rPr>
        <w:t xml:space="preserve">MDPAR distingue transformación de observación. </w:t>
      </w:r>
      <w:r>
        <w:t>Una perm</w:t>
      </w:r>
      <w:r>
        <w:t>utación</w:t>
      </w:r>
    </w:p>
    <w:p w14:paraId="12B35384" w14:textId="77777777" w:rsidR="00440F9D" w:rsidRDefault="00F91594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'</m:t>
          </m:r>
        </m:oMath>
      </m:oMathPara>
    </w:p>
    <w:p w14:paraId="0497AE46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reordena ocurrencias preservando su provenance y transforma las relaciones existentes de acuerdo con contratos explícitos; no inventa nuevas relaciones simplemente porque dos ocurrencias hayan pasado a ser vecinas.</w:t>
      </w:r>
    </w:p>
    <w:p w14:paraId="4A055333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La </w:t>
      </w:r>
      <w:r w:rsidRPr="00DE10A5">
        <w:rPr>
          <w:b/>
          <w:bCs/>
          <w:lang w:val="es-ES"/>
        </w:rPr>
        <w:t>equivalencia estruct</w:t>
      </w:r>
      <w:r w:rsidRPr="00DE10A5">
        <w:rPr>
          <w:b/>
          <w:bCs/>
          <w:lang w:val="es-ES"/>
        </w:rPr>
        <w:t>ural exacta</w:t>
      </w:r>
      <w:r w:rsidRPr="00DE10A5">
        <w:rPr>
          <w:lang w:val="es-ES"/>
        </w:rPr>
        <w:t xml:space="preserve"> exige una correspondencia biyectiva de ocurrencias y preservación de los invariantes requeridos sobre estados y relaciones tipadas. Coincidir en multiplicidades, longitudes o grados puede proporcionar invariantes útiles, pero no basta por sí so</w:t>
      </w:r>
      <w:r w:rsidRPr="00DE10A5">
        <w:rPr>
          <w:lang w:val="es-ES"/>
        </w:rPr>
        <w:t>lo para establecer isomorfismo.</w:t>
      </w:r>
    </w:p>
    <w:p w14:paraId="4955A5F7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Esta parte aproxima MDPAR a problemas clásicos de isomorfismo de grafos etiquetados y de sistemas de transición, pero sobre una clase restringida de estructuras con semántica SCC propia.</w:t>
      </w:r>
    </w:p>
    <w:p w14:paraId="75CCD7C8" w14:textId="77777777" w:rsidR="00440F9D" w:rsidRPr="00DE10A5" w:rsidRDefault="00F91594">
      <w:pPr>
        <w:pStyle w:val="Ttulo3"/>
        <w:rPr>
          <w:lang w:val="es-ES"/>
        </w:rPr>
      </w:pPr>
      <w:bookmarkStart w:id="9" w:name="extensión-categórica"/>
      <w:r w:rsidRPr="00DE10A5">
        <w:rPr>
          <w:lang w:val="es-ES"/>
        </w:rPr>
        <w:t>Extensión categórica</w:t>
      </w:r>
    </w:p>
    <w:p w14:paraId="4E7F18CE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teoría de cat</w:t>
      </w:r>
      <w:r w:rsidRPr="00DE10A5">
        <w:rPr>
          <w:lang w:val="es-ES"/>
        </w:rPr>
        <w:t xml:space="preserve">egorías ofrece un siguiente paso natural, pero todavía </w:t>
      </w:r>
      <w:r w:rsidRPr="00DE10A5">
        <w:rPr>
          <w:b/>
          <w:bCs/>
          <w:lang w:val="es-ES"/>
        </w:rPr>
        <w:t>no forma parte de los resultados establecidos de MDPAR v2.0.0</w:t>
      </w:r>
      <w:r w:rsidRPr="00DE10A5">
        <w:rPr>
          <w:lang w:val="es-ES"/>
        </w:rPr>
        <w:t xml:space="preserve">. Sistemas de transición y event structures admiten categorías cuando se define una noción adecuada de morfismo que preserve su estructura. </w:t>
      </w:r>
      <w:r w:rsidRPr="00DE10A5">
        <w:rPr>
          <w:lang w:val="es-ES"/>
        </w:rPr>
        <w:t>La cuestión abierta para MDPAR es determinar si existe una noción igualmente natural de morfismo</w:t>
      </w:r>
    </w:p>
    <w:p w14:paraId="7CE76821" w14:textId="77777777" w:rsidR="00440F9D" w:rsidRDefault="00F91594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492BD43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que preserve exactamente las propiedades relevantes —orden, etiquetado SCC, relaciones, localization y/o equivalencias— y que sea cerrada bajo ident</w:t>
      </w:r>
      <w:r w:rsidRPr="00DE10A5">
        <w:rPr>
          <w:lang w:val="es-ES"/>
        </w:rPr>
        <w:t>idad y composición.</w:t>
      </w:r>
    </w:p>
    <w:p w14:paraId="1C73962C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Si esa definición resulta natural y matemáticamente productiva, las trayectorias MDPAR podrían estudiarse como objetos de una categoría </w:t>
      </w:r>
      <m:oMath>
        <m:r>
          <m:rPr>
            <m:sty m:val="b"/>
          </m:rPr>
          <w:rPr>
            <w:rFonts w:ascii="Cambria Math" w:hAnsi="Cambria Math"/>
          </w:rPr>
          <m:t>MDPAR</m:t>
        </m:r>
      </m:oMath>
      <w:r w:rsidRPr="00DE10A5">
        <w:rPr>
          <w:lang w:val="es-ES"/>
        </w:rPr>
        <w:t>. El proyecto no presupone esa conclusión: la trata como un problema de formalización.</w:t>
      </w:r>
    </w:p>
    <w:p w14:paraId="1954DFDE" w14:textId="77777777" w:rsidR="00440F9D" w:rsidRDefault="00F91594">
      <w:pPr>
        <w:spacing w:after="0"/>
      </w:pPr>
      <w:r>
        <w:pict w14:anchorId="431A9EDE">
          <v:rect id="_x0000_i1032" style="width:0;height:1.5pt" o:hralign="center" o:hrstd="t" o:hr="t"/>
        </w:pict>
      </w:r>
    </w:p>
    <w:p w14:paraId="681CFEDE" w14:textId="77777777" w:rsidR="00440F9D" w:rsidRPr="00DE10A5" w:rsidRDefault="00F91594">
      <w:pPr>
        <w:pStyle w:val="Ttulo2"/>
        <w:rPr>
          <w:lang w:val="es-ES"/>
        </w:rPr>
      </w:pPr>
      <w:bookmarkStart w:id="10" w:name="posición-respecto-a-formalismos-próximos"/>
      <w:bookmarkEnd w:id="8"/>
      <w:bookmarkEnd w:id="9"/>
      <w:r w:rsidRPr="00DE10A5">
        <w:rPr>
          <w:lang w:val="es-ES"/>
        </w:rPr>
        <w:t>8</w:t>
      </w:r>
      <w:r w:rsidRPr="00DE10A5">
        <w:rPr>
          <w:lang w:val="es-ES"/>
        </w:rPr>
        <w:t>. Posición respecto a formalismos próximos</w:t>
      </w:r>
    </w:p>
    <w:p w14:paraId="3B6A85D5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MDPAR comparte herramientas y problemas con varias tradiciones, pero su objeto no queda agotado por ninguna de ellas. La comparación útil no consiste en preguntar si un vecino “se parece” terminológicamente, sino </w:t>
      </w:r>
      <w:r w:rsidRPr="00DE10A5">
        <w:rPr>
          <w:b/>
          <w:bCs/>
          <w:lang w:val="es-ES"/>
        </w:rPr>
        <w:t>qué propiedad posee, qué deja fuera y dónde reside la autoridad sobre esa propiedad</w:t>
      </w:r>
      <w:r w:rsidRPr="00DE10A5">
        <w:rPr>
          <w:lang w:val="es-ES"/>
        </w:rPr>
        <w:t>.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765"/>
        <w:gridCol w:w="2775"/>
        <w:gridCol w:w="1890"/>
        <w:gridCol w:w="3474"/>
      </w:tblGrid>
      <w:tr w:rsidR="00440F9D" w14:paraId="6618523D" w14:textId="77777777" w:rsidTr="00440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1F4E79"/>
            <w:vAlign w:val="center"/>
          </w:tcPr>
          <w:p w14:paraId="009D0789" w14:textId="77777777" w:rsidR="00440F9D" w:rsidRDefault="00F91594">
            <w:pPr>
              <w:pStyle w:val="Compact"/>
            </w:pPr>
            <w:r>
              <w:rPr>
                <w:b/>
                <w:color w:val="FFFFFF"/>
                <w:sz w:val="18"/>
              </w:rPr>
              <w:lastRenderedPageBreak/>
              <w:t>Tradición / formalismo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2336CD5E" w14:textId="77777777" w:rsidR="00440F9D" w:rsidRDefault="00F91594">
            <w:pPr>
              <w:pStyle w:val="Compact"/>
            </w:pPr>
            <w:r>
              <w:rPr>
                <w:b/>
                <w:color w:val="FFFFFF"/>
                <w:sz w:val="18"/>
              </w:rPr>
              <w:t>Objeto principal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08714447" w14:textId="77777777" w:rsidR="00440F9D" w:rsidRDefault="00F91594">
            <w:pPr>
              <w:pStyle w:val="Compact"/>
            </w:pPr>
            <w:r>
              <w:rPr>
                <w:b/>
                <w:color w:val="FFFFFF"/>
                <w:sz w:val="18"/>
              </w:rPr>
              <w:t>Proximidad real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7C550E73" w14:textId="77777777" w:rsidR="00440F9D" w:rsidRDefault="00F91594">
            <w:pPr>
              <w:pStyle w:val="Compact"/>
            </w:pPr>
            <w:r>
              <w:rPr>
                <w:b/>
                <w:color w:val="FFFFFF"/>
                <w:sz w:val="18"/>
              </w:rPr>
              <w:t>Diferencia relevante de MDPAR</w:t>
            </w:r>
          </w:p>
        </w:tc>
      </w:tr>
      <w:tr w:rsidR="00440F9D" w:rsidRPr="00DE10A5" w14:paraId="39055B9A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E17EB84" w14:textId="77777777" w:rsidR="00440F9D" w:rsidRDefault="00F91594">
            <w:pPr>
              <w:pStyle w:val="Compact"/>
            </w:pPr>
            <w:r>
              <w:rPr>
                <w:sz w:val="17"/>
              </w:rPr>
              <w:t>Structure-Mapping Theory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B2FC60" w14:textId="77777777" w:rsidR="00440F9D" w:rsidRDefault="00F91594">
            <w:pPr>
              <w:pStyle w:val="Compact"/>
            </w:pPr>
            <w:r>
              <w:rPr>
                <w:sz w:val="17"/>
              </w:rPr>
              <w:t>correspondencia relacional entre dominios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88A50D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estructura parcialmente independiente del contenido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30A3B6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estudia analogía base–target; MDPAR intenta convertir estructura inferencial en objeto persistente y operacional</w:t>
            </w:r>
          </w:p>
        </w:tc>
      </w:tr>
      <w:tr w:rsidR="00440F9D" w:rsidRPr="00DE10A5" w14:paraId="6B7955C2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1D97FEA9" w14:textId="77777777" w:rsidR="00440F9D" w:rsidRDefault="00F91594">
            <w:pPr>
              <w:pStyle w:val="Compact"/>
            </w:pPr>
            <w:r>
              <w:rPr>
                <w:sz w:val="17"/>
              </w:rPr>
              <w:t>Generic Tasks / Problem-Solving Methods / KADS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6B115975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métodos de inferencia reutilizables y separación dominio–inferencia–control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13A1C2F6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antecedente fuerte de razonamiento independiente del dominio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3FC108BF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la reutilización se define para familias de tareas y knowledge roles; MDPAR pregunta por comparabilidad estructural tra</w:t>
            </w:r>
            <w:r w:rsidRPr="00DE10A5">
              <w:rPr>
                <w:sz w:val="17"/>
                <w:lang w:val="es-ES"/>
              </w:rPr>
              <w:t>nsversal sin ontología semántica global</w:t>
            </w:r>
          </w:p>
        </w:tc>
      </w:tr>
      <w:tr w:rsidR="00440F9D" w:rsidRPr="00DE10A5" w14:paraId="0DBBE338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8DBF388" w14:textId="77777777" w:rsidR="00440F9D" w:rsidRDefault="00F91594">
            <w:pPr>
              <w:pStyle w:val="Compact"/>
            </w:pPr>
            <w:r>
              <w:rPr>
                <w:sz w:val="17"/>
              </w:rPr>
              <w:t>Blackboard architectures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1A6C38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cooperación de fuentes heterogéneas mediante estado y control compartidos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B66295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antecedente fuerte de coordinación externa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F0B77B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el blackboard coordina conocimiento; MDPAR representa además una trayectoria inferencial con equivalencia, geometría y continuidad propias</w:t>
            </w:r>
          </w:p>
        </w:tc>
      </w:tr>
      <w:tr w:rsidR="00440F9D" w:rsidRPr="00DE10A5" w14:paraId="03D5CD5C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7C08A6A5" w14:textId="77777777" w:rsidR="00440F9D" w:rsidRDefault="00F91594">
            <w:pPr>
              <w:pStyle w:val="Compact"/>
            </w:pPr>
            <w:r>
              <w:rPr>
                <w:sz w:val="17"/>
              </w:rPr>
              <w:t>SOAR / cognitive architectures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72EDF6D5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arquitectura integrada de cognición general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2E2342FD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memoria, reglas, control y acción como ar</w:t>
            </w:r>
            <w:r w:rsidRPr="00DE10A5">
              <w:rPr>
                <w:sz w:val="17"/>
                <w:lang w:val="es-ES"/>
              </w:rPr>
              <w:t>quitectura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19CDB642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MDPAR no modela una mente completa; aísla una capa estructural que puede cooperar con proveedores semánticos distintos</w:t>
            </w:r>
          </w:p>
        </w:tc>
      </w:tr>
      <w:tr w:rsidR="00440F9D" w:rsidRPr="00DE10A5" w14:paraId="5BBB80B3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C33EB8F" w14:textId="77777777" w:rsidR="00440F9D" w:rsidRDefault="00F91594">
            <w:pPr>
              <w:pStyle w:val="Compact"/>
            </w:pPr>
            <w:r>
              <w:rPr>
                <w:sz w:val="17"/>
              </w:rPr>
              <w:t>Grafos de conocimiento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E09C13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entidades y relaciones de conocimiento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D0578C" w14:textId="77777777" w:rsidR="00440F9D" w:rsidRDefault="00F91594">
            <w:pPr>
              <w:pStyle w:val="Compact"/>
            </w:pPr>
            <w:r>
              <w:rPr>
                <w:sz w:val="17"/>
              </w:rPr>
              <w:t>estructura explícita y auditable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BB7D1C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MDPAR no requiere una ontologí</w:t>
            </w:r>
            <w:r w:rsidRPr="00DE10A5">
              <w:rPr>
                <w:sz w:val="17"/>
                <w:lang w:val="es-ES"/>
              </w:rPr>
              <w:t>a global de entidades; representa posición y relación inferencial observadas</w:t>
            </w:r>
          </w:p>
        </w:tc>
      </w:tr>
      <w:tr w:rsidR="00440F9D" w:rsidRPr="00DE10A5" w14:paraId="5D30422F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43453196" w14:textId="77777777" w:rsidR="00440F9D" w:rsidRDefault="00F91594">
            <w:pPr>
              <w:pStyle w:val="Compact"/>
            </w:pPr>
            <w:r>
              <w:rPr>
                <w:sz w:val="17"/>
              </w:rPr>
              <w:t>AMR / UCCA / Universal Dependencies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508C2A2C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estructura semántica o lingüística común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2C3ABC4B" w14:textId="77777777" w:rsidR="00440F9D" w:rsidRDefault="00F91594">
            <w:pPr>
              <w:pStyle w:val="Compact"/>
            </w:pPr>
            <w:r>
              <w:rPr>
                <w:sz w:val="17"/>
              </w:rPr>
              <w:t>abstracción cross-lingual y cross-domain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645648B5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MDPAR no intenta una semántica proposicional o gramática universal; permite semánticas locales que convergen sólo donde hay estructura justificable</w:t>
            </w:r>
          </w:p>
        </w:tc>
      </w:tr>
      <w:tr w:rsidR="00440F9D" w:rsidRPr="00DE10A5" w14:paraId="6EAD3EE5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F67FDA3" w14:textId="77777777" w:rsidR="00440F9D" w:rsidRDefault="00F91594">
            <w:pPr>
              <w:pStyle w:val="Compact"/>
            </w:pPr>
            <w:r>
              <w:rPr>
                <w:sz w:val="17"/>
              </w:rPr>
              <w:t>RST / SDRT / eRST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7A13A7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relaciones y organización del discurso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50EBC6" w14:textId="77777777" w:rsidR="00440F9D" w:rsidRDefault="00F91594">
            <w:pPr>
              <w:pStyle w:val="Compact"/>
            </w:pPr>
            <w:r>
              <w:rPr>
                <w:sz w:val="17"/>
              </w:rPr>
              <w:t>estructura discursiva explícita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71D962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los estados SCC no</w:t>
            </w:r>
            <w:r w:rsidRPr="00DE10A5">
              <w:rPr>
                <w:sz w:val="17"/>
                <w:lang w:val="es-ES"/>
              </w:rPr>
              <w:t xml:space="preserve"> son una taxonomía retórica ni exigen que la entrada sea discurso argumentativo</w:t>
            </w:r>
          </w:p>
        </w:tc>
      </w:tr>
      <w:tr w:rsidR="00440F9D" w:rsidRPr="00DE10A5" w14:paraId="7A25A835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0752BD2C" w14:textId="77777777" w:rsidR="00440F9D" w:rsidRDefault="00F91594">
            <w:pPr>
              <w:pStyle w:val="Compact"/>
            </w:pPr>
            <w:r>
              <w:rPr>
                <w:sz w:val="17"/>
              </w:rPr>
              <w:t>Conceptual Spaces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0C2FFCB5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geometría de conceptos y similitud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27FE5651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uso de geometría para representar organización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63421B7E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la pseudodistancia radial expresa profundidad estructural, no similitud con</w:t>
            </w:r>
            <w:r w:rsidRPr="00DE10A5">
              <w:rPr>
                <w:sz w:val="17"/>
                <w:lang w:val="es-ES"/>
              </w:rPr>
              <w:t>ceptual</w:t>
            </w:r>
          </w:p>
        </w:tc>
      </w:tr>
      <w:tr w:rsidR="00440F9D" w:rsidRPr="00DE10A5" w14:paraId="50B42099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1B2E7A0" w14:textId="77777777" w:rsidR="00440F9D" w:rsidRDefault="00F91594">
            <w:pPr>
              <w:pStyle w:val="Compact"/>
            </w:pPr>
            <w:r>
              <w:rPr>
                <w:sz w:val="17"/>
              </w:rPr>
              <w:t>Event structures / occurrence nets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6CAE08" w14:textId="77777777" w:rsidR="00440F9D" w:rsidRDefault="00F91594">
            <w:pPr>
              <w:pStyle w:val="Compact"/>
            </w:pPr>
            <w:r>
              <w:rPr>
                <w:sz w:val="17"/>
              </w:rPr>
              <w:t>ocurrencias, causalidad y concurrencia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5D38A1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distinción entre ocurrencia y estado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525C84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MDPAR añade orden total observado, proyección SCC, grounding orbital, closure y provenance</w:t>
            </w:r>
          </w:p>
        </w:tc>
      </w:tr>
      <w:tr w:rsidR="00440F9D" w:rsidRPr="00DE10A5" w14:paraId="42AD2D32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2953761C" w14:textId="77777777" w:rsidR="00440F9D" w:rsidRDefault="00F91594">
            <w:pPr>
              <w:pStyle w:val="Compact"/>
            </w:pPr>
            <w:r>
              <w:rPr>
                <w:sz w:val="17"/>
              </w:rPr>
              <w:t>Labelled transition systems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01E6D290" w14:textId="77777777" w:rsidR="00440F9D" w:rsidRDefault="00F91594">
            <w:pPr>
              <w:pStyle w:val="Compact"/>
            </w:pPr>
            <w:r>
              <w:rPr>
                <w:sz w:val="17"/>
              </w:rPr>
              <w:t>estados y transiciones etiquetadas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0F288F3E" w14:textId="77777777" w:rsidR="00440F9D" w:rsidRDefault="00F91594">
            <w:pPr>
              <w:pStyle w:val="Compact"/>
            </w:pPr>
            <w:r>
              <w:rPr>
                <w:sz w:val="17"/>
              </w:rPr>
              <w:t>transición y equivalencia formal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220C0875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MDPAR distingue ocurrencias de estados y trabaja sobre una clase res</w:t>
            </w:r>
            <w:r w:rsidRPr="00DE10A5">
              <w:rPr>
                <w:sz w:val="17"/>
                <w:lang w:val="es-ES"/>
              </w:rPr>
              <w:t>tringida con semántica SCC propia</w:t>
            </w:r>
          </w:p>
        </w:tc>
      </w:tr>
      <w:tr w:rsidR="00440F9D" w:rsidRPr="00DE10A5" w14:paraId="36CEBDDE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8ABB5F4" w14:textId="77777777" w:rsidR="00440F9D" w:rsidRDefault="00F91594">
            <w:pPr>
              <w:pStyle w:val="Compact"/>
            </w:pPr>
            <w:r>
              <w:rPr>
                <w:sz w:val="17"/>
              </w:rPr>
              <w:t>Argumentation frameworks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6FFC80" w14:textId="77777777" w:rsidR="00440F9D" w:rsidRDefault="00F91594">
            <w:pPr>
              <w:pStyle w:val="Compact"/>
            </w:pPr>
            <w:r>
              <w:rPr>
                <w:sz w:val="17"/>
              </w:rPr>
              <w:t>ataque, defensa y aceptabilidad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369071" w14:textId="77777777" w:rsidR="00440F9D" w:rsidRDefault="00F91594">
            <w:pPr>
              <w:pStyle w:val="Compact"/>
            </w:pPr>
            <w:r>
              <w:rPr>
                <w:sz w:val="17"/>
              </w:rPr>
              <w:t>relaciones formales entre proposiciones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502600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MDPAR no presupone argumentación ni interpreta las aristas como ataques</w:t>
            </w:r>
          </w:p>
        </w:tc>
      </w:tr>
      <w:tr w:rsidR="00440F9D" w:rsidRPr="00DE10A5" w14:paraId="3522F473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3456CED5" w14:textId="77777777" w:rsidR="00440F9D" w:rsidRDefault="00F91594">
            <w:pPr>
              <w:pStyle w:val="Compact"/>
            </w:pPr>
            <w:r>
              <w:rPr>
                <w:sz w:val="17"/>
              </w:rPr>
              <w:t>Tree/Graph of Thoughts y reasoning skeletons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01498B6A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organización externa de pasos generados por un LLM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7D76004D" w14:textId="77777777" w:rsidR="00440F9D" w:rsidRDefault="00F91594">
            <w:pPr>
              <w:pStyle w:val="Compact"/>
            </w:pPr>
            <w:r>
              <w:rPr>
                <w:sz w:val="17"/>
              </w:rPr>
              <w:t>estructura explícita de deliberación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32F67CEA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 xml:space="preserve">suelen usar la estructura para </w:t>
            </w:r>
            <w:r w:rsidRPr="00DE10A5">
              <w:rPr>
                <w:b/>
                <w:bCs/>
                <w:sz w:val="17"/>
                <w:lang w:val="es-ES"/>
              </w:rPr>
              <w:t>generar</w:t>
            </w:r>
            <w:r w:rsidRPr="00DE10A5">
              <w:rPr>
                <w:sz w:val="17"/>
                <w:lang w:val="es-ES"/>
              </w:rPr>
              <w:t>; MDPAR la trata como objeto cuya identidad, transformación y autoridad pueden verifi</w:t>
            </w:r>
            <w:r w:rsidRPr="00DE10A5">
              <w:rPr>
                <w:sz w:val="17"/>
                <w:lang w:val="es-ES"/>
              </w:rPr>
              <w:t>carse</w:t>
            </w:r>
          </w:p>
        </w:tc>
      </w:tr>
      <w:tr w:rsidR="00440F9D" w:rsidRPr="00DE10A5" w14:paraId="0FB77AE5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908B8A5" w14:textId="77777777" w:rsidR="00440F9D" w:rsidRDefault="00F91594">
            <w:pPr>
              <w:pStyle w:val="Compact"/>
            </w:pPr>
            <w:r>
              <w:rPr>
                <w:sz w:val="17"/>
              </w:rPr>
              <w:t>Externalization / agent harnesses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A055BF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memoria, skills, protocolos y workflows fuera del modelo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068F59" w14:textId="77777777" w:rsidR="00440F9D" w:rsidRDefault="00F91594">
            <w:pPr>
              <w:pStyle w:val="Compact"/>
            </w:pPr>
            <w:r>
              <w:rPr>
                <w:sz w:val="17"/>
              </w:rPr>
              <w:t>persistencia y control externos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B6390C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“externalizar cognición” es demasiado amplio: MDPAR externaliza propiedades concretas de estructura, continuidad y autoridad</w:t>
            </w:r>
          </w:p>
        </w:tc>
      </w:tr>
      <w:tr w:rsidR="00440F9D" w:rsidRPr="00DE10A5" w14:paraId="21B764A5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0CF26E7F" w14:textId="77777777" w:rsidR="00440F9D" w:rsidRDefault="00F91594">
            <w:pPr>
              <w:pStyle w:val="Compact"/>
            </w:pPr>
            <w:r>
              <w:rPr>
                <w:sz w:val="17"/>
              </w:rPr>
              <w:t>Model routing / cascades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4B85C6AB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elegir modelo o tier según coste/calidad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6623615D" w14:textId="77777777" w:rsidR="00440F9D" w:rsidRDefault="00F91594">
            <w:pPr>
              <w:pStyle w:val="Compact"/>
            </w:pPr>
            <w:r>
              <w:rPr>
                <w:sz w:val="17"/>
              </w:rPr>
              <w:t>adquisición selectiva de capacidad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765B256B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MDPAR pregunta antes si la responsabilidad necesita inferencia neuronal y conserva la autoridad de routing fuera del LLM</w:t>
            </w:r>
          </w:p>
        </w:tc>
      </w:tr>
      <w:tr w:rsidR="00440F9D" w:rsidRPr="00DE10A5" w14:paraId="422A04B9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39CE1A4" w14:textId="77777777" w:rsidR="00440F9D" w:rsidRDefault="00F91594">
            <w:pPr>
              <w:pStyle w:val="Compact"/>
            </w:pPr>
            <w:r>
              <w:rPr>
                <w:sz w:val="17"/>
              </w:rPr>
              <w:t>Runtime Assurance / execution authority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88FFF0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separar controlador avanzado de permiso de actuación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CF45E0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capacidad no equivale a autorización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B851E2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 xml:space="preserve">MDPAR añade una representación inferencial persistente y distingue validez cognitiva, temporalidad y autoridad </w:t>
            </w:r>
            <w:r w:rsidRPr="00DE10A5">
              <w:rPr>
                <w:sz w:val="17"/>
                <w:lang w:val="es-ES"/>
              </w:rPr>
              <w:lastRenderedPageBreak/>
              <w:t>operacional</w:t>
            </w:r>
          </w:p>
        </w:tc>
      </w:tr>
      <w:tr w:rsidR="00440F9D" w:rsidRPr="00DE10A5" w14:paraId="42908217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6103FAD5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lastRenderedPageBreak/>
              <w:t>Ge</w:t>
            </w:r>
            <w:r w:rsidRPr="00DE10A5">
              <w:rPr>
                <w:sz w:val="17"/>
                <w:lang w:val="es-ES"/>
              </w:rPr>
              <w:t>ometría latente del razonamiento en LLM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70BA9E1C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trayectorias en espacios de activación/representación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4250851E" w14:textId="77777777" w:rsidR="00440F9D" w:rsidRDefault="00F91594">
            <w:pPr>
              <w:pStyle w:val="Compact"/>
            </w:pPr>
            <w:r>
              <w:rPr>
                <w:sz w:val="17"/>
              </w:rPr>
              <w:t>estudio geométrico del razonamiento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260FADEF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MDPAR define coordenadas discretas externas al modelo y auditables independientemente de sus hidden states</w:t>
            </w:r>
          </w:p>
        </w:tc>
      </w:tr>
    </w:tbl>
    <w:p w14:paraId="3CDB8525" w14:textId="77777777" w:rsidR="00440F9D" w:rsidRPr="00DE10A5" w:rsidRDefault="00F91594">
      <w:pPr>
        <w:pStyle w:val="Ttulo3"/>
        <w:rPr>
          <w:lang w:val="es-ES"/>
        </w:rPr>
      </w:pPr>
      <w:bookmarkStart w:id="11" w:name="la-frontera-conceptual"/>
      <w:r w:rsidRPr="00DE10A5">
        <w:rPr>
          <w:lang w:val="es-ES"/>
        </w:rPr>
        <w:t>La frontera concep</w:t>
      </w:r>
      <w:r w:rsidRPr="00DE10A5">
        <w:rPr>
          <w:lang w:val="es-ES"/>
        </w:rPr>
        <w:t>tual</w:t>
      </w:r>
    </w:p>
    <w:p w14:paraId="4C8FBFA5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La comparación histórica impide varios claims fáciles pero incorrectos. MDPAR </w:t>
      </w:r>
      <w:r w:rsidRPr="00DE10A5">
        <w:rPr>
          <w:b/>
          <w:bCs/>
          <w:lang w:val="es-ES"/>
        </w:rPr>
        <w:t>no</w:t>
      </w:r>
      <w:r w:rsidRPr="00DE10A5">
        <w:rPr>
          <w:lang w:val="es-ES"/>
        </w:rPr>
        <w:t xml:space="preserve"> es el primer sistema que separa conocimiento de dominio e inferencia, ni el primero que reutiliza métodos de razonamiento, externaliza memoria, organiza razonamiento medi</w:t>
      </w:r>
      <w:r w:rsidRPr="00DE10A5">
        <w:rPr>
          <w:lang w:val="es-ES"/>
        </w:rPr>
        <w:t>ante grafos, enruta entre modelos o separa capacidad de execution authority. Esas ideas tienen antecedentes sólidos.</w:t>
      </w:r>
    </w:p>
    <w:p w14:paraId="41B809AA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El espacio que permanece abierto es más específico: si una </w:t>
      </w:r>
      <w:r w:rsidRPr="00DE10A5">
        <w:rPr>
          <w:b/>
          <w:bCs/>
          <w:lang w:val="es-ES"/>
        </w:rPr>
        <w:t>estructura inferencial común, persistente y calculable</w:t>
      </w:r>
      <w:r w:rsidRPr="00DE10A5">
        <w:rPr>
          <w:lang w:val="es-ES"/>
        </w:rPr>
        <w:t xml:space="preserve"> puede ser compartida por </w:t>
      </w:r>
      <w:r w:rsidRPr="00DE10A5">
        <w:rPr>
          <w:lang w:val="es-ES"/>
        </w:rPr>
        <w:t xml:space="preserve">realizaciones semánticas heterogéneas </w:t>
      </w:r>
      <w:r w:rsidRPr="00DE10A5">
        <w:rPr>
          <w:b/>
          <w:bCs/>
          <w:lang w:val="es-ES"/>
        </w:rPr>
        <w:t>sin exigir una ontología semántica global</w:t>
      </w:r>
      <w:r w:rsidRPr="00DE10A5">
        <w:rPr>
          <w:lang w:val="es-ES"/>
        </w:rPr>
        <w:t>, mientras el sistema que posee esa estructura conserva continuidad y participa en la autoridad sobre sus consecuencias.</w:t>
      </w:r>
    </w:p>
    <w:p w14:paraId="4C5787BD" w14:textId="77777777" w:rsidR="00440F9D" w:rsidRDefault="00F91594">
      <w:pPr>
        <w:spacing w:after="0"/>
      </w:pPr>
      <w:r>
        <w:pict w14:anchorId="6F4D7AD2">
          <v:rect id="_x0000_i1033" style="width:0;height:1.5pt" o:hralign="center" o:hrstd="t" o:hr="t"/>
        </w:pict>
      </w:r>
    </w:p>
    <w:p w14:paraId="54FF345A" w14:textId="77777777" w:rsidR="00440F9D" w:rsidRPr="00DE10A5" w:rsidRDefault="00F91594">
      <w:pPr>
        <w:pStyle w:val="Ttulo2"/>
        <w:rPr>
          <w:lang w:val="es-ES"/>
        </w:rPr>
      </w:pPr>
      <w:bookmarkStart w:id="12" w:name="Xff75ce043015e24496d2faab3cad61e1eb398d2"/>
      <w:bookmarkEnd w:id="10"/>
      <w:bookmarkEnd w:id="11"/>
      <w:r w:rsidRPr="00DE10A5">
        <w:rPr>
          <w:lang w:val="es-ES"/>
        </w:rPr>
        <w:t>9. De la matemática a la IA cognitiva cooperativa</w:t>
      </w:r>
    </w:p>
    <w:p w14:paraId="5D88409A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MDPAR no necesita que un único componente haga percepción abierta, formalización, razonamiento estructural y acción.</w:t>
      </w:r>
    </w:p>
    <w:p w14:paraId="4F2340F7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La arquitectura separa responsabilidades:</w:t>
      </w:r>
    </w:p>
    <w:p w14:paraId="16802896" w14:textId="77777777" w:rsidR="00440F9D" w:rsidRPr="00DE10A5" w:rsidRDefault="00F91594">
      <w:pPr>
        <w:pStyle w:val="Textoindependiente"/>
        <w:rPr>
          <w:lang w:val="es-ES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es-ES"/>
            </w:rPr>
            <m:t>percepción/interpretación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→</m:t>
          </m:r>
          <m:r>
            <m:rPr>
              <m:nor/>
            </m:rPr>
            <w:rPr>
              <w:lang w:val="es-ES"/>
            </w:rPr>
            <m:t>observación estructur</m:t>
          </m:r>
          <m:r>
            <m:rPr>
              <m:nor/>
            </m:rPr>
            <w:rPr>
              <w:lang w:val="es-ES"/>
            </w:rPr>
            <m:t>al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→</m:t>
          </m:r>
          <m:r>
            <m:rPr>
              <m:nor/>
            </m:rPr>
            <w:rPr>
              <w:lang w:val="es-ES"/>
            </w:rPr>
            <m:t>razonamiento MDPAR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→</m:t>
          </m:r>
          <m:r>
            <m:rPr>
              <m:nor/>
            </m:rPr>
            <w:rPr>
              <w:lang w:val="es-ES"/>
            </w:rPr>
            <m:t>resultado auditable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.</m:t>
          </m:r>
        </m:oMath>
      </m:oMathPara>
    </w:p>
    <w:p w14:paraId="4DA1C8B3" w14:textId="77777777" w:rsidR="00440F9D" w:rsidRPr="00DE10A5" w:rsidRDefault="00F91594">
      <w:pPr>
        <w:pStyle w:val="Ttulo3"/>
        <w:rPr>
          <w:lang w:val="es-ES"/>
        </w:rPr>
      </w:pPr>
      <w:bookmarkStart w:id="13" w:name="closed-inteligencia-local-acotada"/>
      <w:r w:rsidRPr="00DE10A5">
        <w:rPr>
          <w:lang w:val="es-ES"/>
        </w:rPr>
        <w:t>CLOSED — inteligencia local acotada</w:t>
      </w:r>
    </w:p>
    <w:p w14:paraId="529D5C6F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Un perfil CLOSED posee conocimiento suficiente para observar un espacio delimitado. Puede reconocer evidencia específica del dominio y proponer ownership. Routing arbitra entre </w:t>
      </w:r>
      <w:r w:rsidRPr="00DE10A5">
        <w:rPr>
          <w:lang w:val="es-ES"/>
        </w:rPr>
        <w:t>candidatos y solo el perfil autorizado publica consecuencias de dominio.</w:t>
      </w:r>
    </w:p>
    <w:p w14:paraId="79EFED41" w14:textId="77777777" w:rsidR="00440F9D" w:rsidRDefault="00F91594">
      <w:pPr>
        <w:pStyle w:val="Textoindependiente"/>
      </w:pPr>
      <w:r>
        <w:t>La coordenada universal es:</w:t>
      </w:r>
    </w:p>
    <w:p w14:paraId="046DDC24" w14:textId="77777777" w:rsidR="00440F9D" w:rsidRDefault="00F91594">
      <w:pPr>
        <w:pStyle w:val="Textoindependiente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domainId,profileId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5A2F892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no </w:t>
      </w:r>
      <w:r w:rsidRPr="00DE10A5">
        <w:rPr>
          <w:rStyle w:val="VerbatimChar"/>
          <w:lang w:val="es-ES"/>
        </w:rPr>
        <w:t>(domain, language)</w:t>
      </w:r>
      <w:r w:rsidRPr="00DE10A5">
        <w:rPr>
          <w:lang w:val="es-ES"/>
        </w:rPr>
        <w:t>. Un perfil puede ser lingüístico, corporal, técnico o de otra naturaleza.</w:t>
      </w:r>
    </w:p>
    <w:p w14:paraId="5826A1F3" w14:textId="77777777" w:rsidR="00440F9D" w:rsidRPr="00DE10A5" w:rsidRDefault="00F91594">
      <w:pPr>
        <w:pStyle w:val="Ttulo3"/>
        <w:rPr>
          <w:lang w:val="es-ES"/>
        </w:rPr>
      </w:pPr>
      <w:bookmarkStart w:id="14" w:name="open-identificación-estructural-abierta"/>
      <w:bookmarkEnd w:id="13"/>
      <w:r w:rsidRPr="00DE10A5">
        <w:rPr>
          <w:lang w:val="es-ES"/>
        </w:rPr>
        <w:t>OPEN — identificación estructural abier</w:t>
      </w:r>
      <w:r w:rsidRPr="00DE10A5">
        <w:rPr>
          <w:lang w:val="es-ES"/>
        </w:rPr>
        <w:t>ta</w:t>
      </w:r>
    </w:p>
    <w:p w14:paraId="5D1FC7DC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OPEN delega la percepción semántica abierta en un sistema externo —por ejemplo, un LLM, VLM u otro modelo capaz— que recibe el conocimiento normativo de MDPAR y entrega una observación SCC explícita. MDPAR valida y procesa esa observación; no finge pose</w:t>
      </w:r>
      <w:r w:rsidRPr="00DE10A5">
        <w:rPr>
          <w:lang w:val="es-ES"/>
        </w:rPr>
        <w:t>er un diccionario universal del mundo.</w:t>
      </w:r>
    </w:p>
    <w:p w14:paraId="274321EF" w14:textId="77777777" w:rsidR="00440F9D" w:rsidRPr="00DE10A5" w:rsidRDefault="00F91594">
      <w:pPr>
        <w:pStyle w:val="Textoindependiente"/>
        <w:rPr>
          <w:lang w:val="es-ES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es-ES"/>
            </w:rPr>
            <m:t>modelo externo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→</m:t>
          </m:r>
          <m:r>
            <m:rPr>
              <m:nor/>
            </m:rPr>
            <w:rPr>
              <w:lang w:val="es-ES"/>
            </w:rPr>
            <m:t>OpenStructuralInput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→</m:t>
          </m:r>
          <m:r>
            <m:rPr>
              <m:nor/>
            </m:rPr>
            <w:rPr>
              <w:lang w:val="es-ES"/>
            </w:rPr>
            <m:t>parser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→</m:t>
          </m:r>
          <m:r>
            <m:rPr>
              <m:nor/>
            </m:rPr>
            <w:rPr>
              <w:lang w:val="es-ES"/>
            </w:rPr>
            <m:t>core/engine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→</m:t>
          </m:r>
          <m:r>
            <m:rPr>
              <m:nor/>
            </m:rPr>
            <w:rPr>
              <w:lang w:val="es-ES"/>
            </w:rPr>
            <m:t>REPORT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.</m:t>
          </m:r>
        </m:oMath>
      </m:oMathPara>
    </w:p>
    <w:p w14:paraId="55798D96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El lenguaje es provenance opcional en OPEN, no una coordenada ontológica. Una observación completamente irresuelta permanece </w:t>
      </w:r>
      <w:r w:rsidRPr="00DE10A5">
        <w:rPr>
          <w:rStyle w:val="VerbatimChar"/>
          <w:lang w:val="es-ES"/>
        </w:rPr>
        <w:t>UNKNOWN</w:t>
      </w:r>
      <w:r w:rsidRPr="00DE10A5">
        <w:rPr>
          <w:lang w:val="es-ES"/>
        </w:rPr>
        <w:t xml:space="preserve">; MDPAR no fabrica una </w:t>
      </w:r>
      <w:r w:rsidRPr="00DE10A5">
        <w:rPr>
          <w:lang w:val="es-ES"/>
        </w:rPr>
        <w:t>trayectoria positiva para poder puntuarla.</w:t>
      </w:r>
    </w:p>
    <w:p w14:paraId="3339A370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lastRenderedPageBreak/>
        <w:t>Esta frontera permite una cooperación neuro-simbólica en la que el modelo neuronal conserva su capacidad de interpretación y MDPAR aporta una representación estructural explícita, determinista y auditable.</w:t>
      </w:r>
    </w:p>
    <w:p w14:paraId="453FC166" w14:textId="77777777" w:rsidR="00440F9D" w:rsidRDefault="00F91594">
      <w:pPr>
        <w:spacing w:after="0"/>
      </w:pPr>
      <w:r>
        <w:pict w14:anchorId="0A6DB1C5">
          <v:rect id="_x0000_i1034" style="width:0;height:1.5pt" o:hralign="center" o:hrstd="t" o:hr="t"/>
        </w:pict>
      </w:r>
    </w:p>
    <w:p w14:paraId="39EB4B5C" w14:textId="77777777" w:rsidR="00440F9D" w:rsidRDefault="00F91594">
      <w:pPr>
        <w:pStyle w:val="Ttulo2"/>
      </w:pPr>
      <w:bookmarkStart w:id="15" w:name="arquitectura-ejecutable"/>
      <w:bookmarkEnd w:id="12"/>
      <w:bookmarkEnd w:id="14"/>
      <w:r>
        <w:t>10. Arquitectura ejecutable</w:t>
      </w:r>
    </w:p>
    <w:p w14:paraId="12B6D214" w14:textId="77777777" w:rsidR="00440F9D" w:rsidRDefault="00F91594">
      <w:pPr>
        <w:pStyle w:val="SourceCode"/>
      </w:pPr>
      <w:r>
        <w:rPr>
          <w:rStyle w:val="VerbatimChar"/>
          <w:sz w:val="17"/>
        </w:rPr>
        <w:t>INPUT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│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├── CLOSED ──&gt; PLUGINS ──&gt; ROUTING ──┐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│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└── OPEN ──&gt; external identification ┤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PARSER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</w:t>
      </w:r>
      <w:r>
        <w:rPr>
          <w:rStyle w:val="VerbatimChar"/>
          <w:sz w:val="17"/>
        </w:rPr>
        <w:t xml:space="preserve">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CORE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ENGINE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</w:t>
      </w:r>
      <w:r>
        <w:rPr>
          <w:rStyle w:val="VerbatimChar"/>
          <w:sz w:val="17"/>
        </w:rPr>
        <w:t xml:space="preserve">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TRACK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  │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              ▼</w:t>
      </w:r>
      <w:r>
        <w:rPr>
          <w:rFonts w:ascii="Consolas" w:hAnsi="Consolas"/>
          <w:sz w:val="17"/>
        </w:rPr>
        <w:br/>
      </w:r>
      <w:r>
        <w:rPr>
          <w:rStyle w:val="VerbatimChar"/>
          <w:sz w:val="17"/>
        </w:rPr>
        <w:t xml:space="preserve">                         EMBODIMENT / PUBLICATION</w:t>
      </w:r>
    </w:p>
    <w:p w14:paraId="0AA611F3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especificación</w:t>
      </w:r>
      <w:r w:rsidRPr="00DE10A5">
        <w:rPr>
          <w:lang w:val="es-ES"/>
        </w:rPr>
        <w:t xml:space="preserve"> técnica detallada no se duplica en este README. Vive junto al código mediante </w:t>
      </w:r>
      <w:r w:rsidRPr="00DE10A5">
        <w:rPr>
          <w:rStyle w:val="VerbatimChar"/>
          <w:lang w:val="es-ES"/>
        </w:rPr>
        <w:t>package-info.java</w:t>
      </w:r>
      <w:r w:rsidRPr="00DE10A5">
        <w:rPr>
          <w:lang w:val="es-ES"/>
        </w:rPr>
        <w:t>, Javadocs, verificaciones ejecutables y los documentos normativos de OPEN.</w:t>
      </w:r>
    </w:p>
    <w:p w14:paraId="200B5219" w14:textId="77777777" w:rsidR="00440F9D" w:rsidRDefault="00F91594">
      <w:pPr>
        <w:pStyle w:val="Textoindependiente"/>
      </w:pPr>
      <w:r>
        <w:t>Las fronteras principales son:</w:t>
      </w:r>
    </w:p>
    <w:p w14:paraId="6D59531C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mdpar_input</w:t>
      </w:r>
      <w:r w:rsidRPr="00DE10A5">
        <w:rPr>
          <w:lang w:val="es-ES"/>
        </w:rPr>
        <w:t xml:space="preserve">: representación de ingress, no ownership </w:t>
      </w:r>
      <w:r w:rsidRPr="00DE10A5">
        <w:rPr>
          <w:lang w:val="es-ES"/>
        </w:rPr>
        <w:t>ni SCC.</w:t>
      </w:r>
    </w:p>
    <w:p w14:paraId="16D644B2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mdpar_plugins</w:t>
      </w:r>
      <w:r w:rsidRPr="00DE10A5">
        <w:rPr>
          <w:lang w:val="es-ES"/>
        </w:rPr>
        <w:t>: observación acotada y ensamblaje específico de perfiles CLOSED.</w:t>
      </w:r>
    </w:p>
    <w:p w14:paraId="35162D51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mdpar_routing</w:t>
      </w:r>
      <w:r w:rsidRPr="00DE10A5">
        <w:rPr>
          <w:lang w:val="es-ES"/>
        </w:rPr>
        <w:t>: competición, arbitraje y autorización de ownership.</w:t>
      </w:r>
    </w:p>
    <w:p w14:paraId="2ED54F4C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mdpar_parser</w:t>
      </w:r>
      <w:r w:rsidRPr="00DE10A5">
        <w:rPr>
          <w:lang w:val="es-ES"/>
        </w:rPr>
        <w:t>: autoridad sobre ocurrencias, relaciones y provenance estructural.</w:t>
      </w:r>
    </w:p>
    <w:p w14:paraId="484FEC67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mdpar_core</w:t>
      </w:r>
      <w:r w:rsidRPr="00DE10A5">
        <w:rPr>
          <w:lang w:val="es-ES"/>
        </w:rPr>
        <w:t>: SCC, geome</w:t>
      </w:r>
      <w:r w:rsidRPr="00DE10A5">
        <w:rPr>
          <w:lang w:val="es-ES"/>
        </w:rPr>
        <w:t>tría, trayectoria y equivalencia.</w:t>
      </w:r>
    </w:p>
    <w:p w14:paraId="3D2D046F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mdpar_engine</w:t>
      </w:r>
      <w:r w:rsidRPr="00DE10A5">
        <w:rPr>
          <w:lang w:val="es-ES"/>
        </w:rPr>
        <w:t>: evaluación estructural, comparación, resolución y memoria.</w:t>
      </w:r>
    </w:p>
    <w:p w14:paraId="030FE813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open</w:t>
      </w:r>
      <w:r w:rsidRPr="00DE10A5">
        <w:rPr>
          <w:lang w:val="es-ES"/>
        </w:rPr>
        <w:t>: contrato de identificación estructural abierta.</w:t>
      </w:r>
    </w:p>
    <w:p w14:paraId="1446DAE6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embodimentAnchor</w:t>
      </w:r>
      <w:r w:rsidRPr="00DE10A5">
        <w:rPr>
          <w:lang w:val="es-ES"/>
        </w:rPr>
        <w:t>: frontera entre conclusión estructural y ejecutabilidad física.</w:t>
      </w:r>
    </w:p>
    <w:p w14:paraId="7D4873A8" w14:textId="77777777" w:rsidR="00440F9D" w:rsidRPr="00DE10A5" w:rsidRDefault="00F91594">
      <w:pPr>
        <w:pStyle w:val="Compact"/>
        <w:numPr>
          <w:ilvl w:val="0"/>
          <w:numId w:val="5"/>
        </w:numPr>
        <w:rPr>
          <w:lang w:val="es-ES"/>
        </w:rPr>
      </w:pPr>
      <w:r w:rsidRPr="00DE10A5">
        <w:rPr>
          <w:rStyle w:val="VerbatimChar"/>
          <w:lang w:val="es-ES"/>
        </w:rPr>
        <w:t>mdpar_runtime</w:t>
      </w:r>
      <w:r w:rsidRPr="00DE10A5">
        <w:rPr>
          <w:lang w:val="es-ES"/>
        </w:rPr>
        <w:t>: ejecución estructural neutral y continuidad longitudinal.</w:t>
      </w:r>
    </w:p>
    <w:p w14:paraId="5F89FD86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rStyle w:val="VerbatimChar"/>
          <w:lang w:val="es-ES"/>
        </w:rPr>
        <w:t>StructuralMark</w:t>
      </w:r>
      <w:r w:rsidRPr="00DE10A5">
        <w:rPr>
          <w:lang w:val="es-ES"/>
        </w:rPr>
        <w:t xml:space="preserve"> resume cuatro propiedades independientes —uncertainty, compatibility, robustness y legibility— mediante</w:t>
      </w:r>
      <w:r w:rsidRPr="00DE10A5">
        <w:rPr>
          <w:lang w:val="es-ES"/>
        </w:rPr>
        <w:t xml:space="preserve"> estados explícitos. </w:t>
      </w:r>
      <w:r w:rsidRPr="00DE10A5">
        <w:rPr>
          <w:b/>
          <w:bCs/>
          <w:lang w:val="es-ES"/>
        </w:rPr>
        <w:t>No es una nota de calidad ni define un preorder universal.</w:t>
      </w:r>
      <w:r w:rsidRPr="00DE10A5">
        <w:rPr>
          <w:lang w:val="es-ES"/>
        </w:rPr>
        <w:t xml:space="preserve"> </w:t>
      </w:r>
      <w:r w:rsidRPr="00DE10A5">
        <w:rPr>
          <w:rStyle w:val="VerbatimChar"/>
          <w:lang w:val="es-ES"/>
        </w:rPr>
        <w:t>NOT_ESTIMABLE</w:t>
      </w:r>
      <w:r w:rsidRPr="00DE10A5">
        <w:rPr>
          <w:lang w:val="es-ES"/>
        </w:rPr>
        <w:t xml:space="preserve"> es un estado de primer nivel y no se sustituye por un valor numérico ficticio.</w:t>
      </w:r>
    </w:p>
    <w:p w14:paraId="4BCFE382" w14:textId="77777777" w:rsidR="00440F9D" w:rsidRDefault="00F91594">
      <w:pPr>
        <w:spacing w:after="0"/>
      </w:pPr>
      <w:r>
        <w:pict w14:anchorId="2D498033">
          <v:rect id="_x0000_i1035" style="width:0;height:1.5pt" o:hralign="center" o:hrstd="t" o:hr="t"/>
        </w:pict>
      </w:r>
    </w:p>
    <w:p w14:paraId="0157C64D" w14:textId="77777777" w:rsidR="00440F9D" w:rsidRPr="00DE10A5" w:rsidRDefault="00F91594">
      <w:pPr>
        <w:pStyle w:val="Ttulo2"/>
        <w:rPr>
          <w:lang w:val="es-ES"/>
        </w:rPr>
      </w:pPr>
      <w:bookmarkStart w:id="16" w:name="X59b9700b52830421489b8b2a5786edd22dce9ef"/>
      <w:bookmarkEnd w:id="15"/>
      <w:r w:rsidRPr="00DE10A5">
        <w:rPr>
          <w:lang w:val="es-ES"/>
        </w:rPr>
        <w:t>11. Qué está establecido y qué sigue siendo investigación</w:t>
      </w:r>
    </w:p>
    <w:p w14:paraId="1F5F23CF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MDPAR separa deliberadamente cuatro niveles de afirmación. La existencia del software no demuestra la hipótesis científica, y un benchmark favorable no convierte una regularidad local en universalidad.</w:t>
      </w:r>
    </w:p>
    <w:p w14:paraId="1FED79A5" w14:textId="77777777" w:rsidR="00440F9D" w:rsidRDefault="00F91594">
      <w:pPr>
        <w:pStyle w:val="Ttulo3"/>
      </w:pPr>
      <w:bookmarkStart w:id="17" w:name="implementado-y-verificable"/>
      <w:r>
        <w:lastRenderedPageBreak/>
        <w:t>Implementado y verificable</w:t>
      </w:r>
    </w:p>
    <w:p w14:paraId="74606BD1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Representación de ocurrenci</w:t>
      </w:r>
      <w:r w:rsidRPr="00DE10A5">
        <w:rPr>
          <w:lang w:val="es-ES"/>
        </w:rPr>
        <w:t>as y relaciones con provenance.</w:t>
      </w:r>
    </w:p>
    <w:p w14:paraId="32153450" w14:textId="77777777" w:rsidR="00440F9D" w:rsidRDefault="00F91594">
      <w:pPr>
        <w:pStyle w:val="Compact"/>
        <w:numPr>
          <w:ilvl w:val="0"/>
          <w:numId w:val="6"/>
        </w:numPr>
      </w:pPr>
      <w:r>
        <w:t>SCC radial y grounding orbital.</w:t>
      </w:r>
    </w:p>
    <w:p w14:paraId="7284BB33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rStyle w:val="VerbatimChar"/>
          <w:lang w:val="es-ES"/>
        </w:rPr>
        <w:t>UNKNOWN</w:t>
      </w:r>
      <w:r w:rsidRPr="00DE10A5">
        <w:rPr>
          <w:lang w:val="es-ES"/>
        </w:rPr>
        <w:t xml:space="preserve"> separado de trayectoria positiva.</w:t>
      </w:r>
    </w:p>
    <w:p w14:paraId="690E8112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Pseudométrica radial y cociente por profundidad.</w:t>
      </w:r>
    </w:p>
    <w:p w14:paraId="6C7A7EF4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Propiedades de trayectoria, cierre y grafo relacional.</w:t>
      </w:r>
    </w:p>
    <w:p w14:paraId="32655AAA" w14:textId="77777777" w:rsidR="00440F9D" w:rsidRDefault="00F91594">
      <w:pPr>
        <w:pStyle w:val="Compact"/>
        <w:numPr>
          <w:ilvl w:val="0"/>
          <w:numId w:val="6"/>
        </w:numPr>
      </w:pPr>
      <w:r>
        <w:t>Equivalencia estructural exacta.</w:t>
      </w:r>
    </w:p>
    <w:p w14:paraId="755407B1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Permutación c</w:t>
      </w:r>
      <w:r w:rsidRPr="00DE10A5">
        <w:rPr>
          <w:lang w:val="es-ES"/>
        </w:rPr>
        <w:t>on preservación de provenance.</w:t>
      </w:r>
    </w:p>
    <w:p w14:paraId="33B80CA2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Entradas CLOSED y OPEN bajo una misma maquinaria estructural.</w:t>
      </w:r>
    </w:p>
    <w:p w14:paraId="36C97C18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Routing sin convertir métricas locales de plugins en un score universal.</w:t>
      </w:r>
    </w:p>
    <w:p w14:paraId="6AAA6501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Representación explícita de propiedades no estimables.</w:t>
      </w:r>
    </w:p>
    <w:p w14:paraId="25F1D1B9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Continuidad longitudinal y frontera</w:t>
      </w:r>
      <w:r w:rsidRPr="00DE10A5">
        <w:rPr>
          <w:lang w:val="es-ES"/>
        </w:rPr>
        <w:t xml:space="preserve"> de embodiment.</w:t>
      </w:r>
    </w:p>
    <w:p w14:paraId="4907716F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Conocimiento normativo OPEN empaquetado como recurso de runtime.</w:t>
      </w:r>
    </w:p>
    <w:p w14:paraId="3D979740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 xml:space="preserve">Separación operacional entre </w:t>
      </w:r>
      <w:r w:rsidRPr="00DE10A5">
        <w:rPr>
          <w:b/>
          <w:bCs/>
          <w:lang w:val="es-ES"/>
        </w:rPr>
        <w:t>elegibilidad</w:t>
      </w:r>
      <w:r w:rsidRPr="00DE10A5">
        <w:rPr>
          <w:lang w:val="es-ES"/>
        </w:rPr>
        <w:t xml:space="preserve">, </w:t>
      </w:r>
      <w:r w:rsidRPr="00DE10A5">
        <w:rPr>
          <w:b/>
          <w:bCs/>
          <w:lang w:val="es-ES"/>
        </w:rPr>
        <w:t>validez</w:t>
      </w:r>
      <w:r w:rsidRPr="00DE10A5">
        <w:rPr>
          <w:lang w:val="es-ES"/>
        </w:rPr>
        <w:t xml:space="preserve"> y </w:t>
      </w:r>
      <w:r w:rsidRPr="00DE10A5">
        <w:rPr>
          <w:b/>
          <w:bCs/>
          <w:lang w:val="es-ES"/>
        </w:rPr>
        <w:t>autoridad</w:t>
      </w:r>
      <w:r w:rsidRPr="00DE10A5">
        <w:rPr>
          <w:lang w:val="es-ES"/>
        </w:rPr>
        <w:t>.</w:t>
      </w:r>
    </w:p>
    <w:p w14:paraId="7B92499D" w14:textId="77777777" w:rsidR="00440F9D" w:rsidRPr="00DE10A5" w:rsidRDefault="00F91594">
      <w:pPr>
        <w:pStyle w:val="Compact"/>
        <w:numPr>
          <w:ilvl w:val="0"/>
          <w:numId w:val="6"/>
        </w:numPr>
        <w:rPr>
          <w:lang w:val="es-ES"/>
        </w:rPr>
      </w:pPr>
      <w:r w:rsidRPr="00DE10A5">
        <w:rPr>
          <w:lang w:val="es-ES"/>
        </w:rPr>
        <w:t>Degradación y recovery sin transferir hidden state ni autorizar reescrituras retroactivas.</w:t>
      </w:r>
    </w:p>
    <w:p w14:paraId="361F044C" w14:textId="77777777" w:rsidR="00440F9D" w:rsidRPr="00DE10A5" w:rsidRDefault="00F91594">
      <w:pPr>
        <w:pStyle w:val="Ttulo3"/>
        <w:rPr>
          <w:lang w:val="es-ES"/>
        </w:rPr>
      </w:pPr>
      <w:bookmarkStart w:id="18" w:name="Xd4f6cd6e050673f63add564fc1635a4b16585bd"/>
      <w:bookmarkEnd w:id="17"/>
      <w:r w:rsidRPr="00DE10A5">
        <w:rPr>
          <w:lang w:val="es-ES"/>
        </w:rPr>
        <w:t>Consecuencias matemá</w:t>
      </w:r>
      <w:r w:rsidRPr="00DE10A5">
        <w:rPr>
          <w:lang w:val="es-ES"/>
        </w:rPr>
        <w:t>ticas de las definiciones</w:t>
      </w:r>
    </w:p>
    <w:p w14:paraId="5EF49F9D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condición de pseudométrica, la metrización del cociente radial, la distinción entre aciclicidad de ocurrencias y recurrencia de la proyección, y las consecuencias de una equivalencia estructural biyectiva se apoyan en construcc</w:t>
      </w:r>
      <w:r w:rsidRPr="00DE10A5">
        <w:rPr>
          <w:lang w:val="es-ES"/>
        </w:rPr>
        <w:t xml:space="preserve">iones matemáticas estándar aplicadas al objeto MDPAR. Lo específico no es haber inventado esas matemáticas, sino </w:t>
      </w:r>
      <w:r w:rsidRPr="00DE10A5">
        <w:rPr>
          <w:b/>
          <w:bCs/>
          <w:lang w:val="es-ES"/>
        </w:rPr>
        <w:t>qué objeto se ha decidido formalizar con ellas</w:t>
      </w:r>
      <w:r w:rsidRPr="00DE10A5">
        <w:rPr>
          <w:lang w:val="es-ES"/>
        </w:rPr>
        <w:t>.</w:t>
      </w:r>
    </w:p>
    <w:p w14:paraId="699C393A" w14:textId="77777777" w:rsidR="00440F9D" w:rsidRPr="00DE10A5" w:rsidRDefault="00F91594">
      <w:pPr>
        <w:pStyle w:val="Ttulo3"/>
        <w:rPr>
          <w:lang w:val="es-ES"/>
        </w:rPr>
      </w:pPr>
      <w:bookmarkStart w:id="19" w:name="evidencia-experimental-c0c12"/>
      <w:bookmarkEnd w:id="18"/>
      <w:r w:rsidRPr="00DE10A5">
        <w:rPr>
          <w:lang w:val="es-ES"/>
        </w:rPr>
        <w:t>Evidencia experimental C0–C12</w:t>
      </w:r>
    </w:p>
    <w:p w14:paraId="294C5531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La letra </w:t>
      </w:r>
      <w:r w:rsidRPr="00DE10A5">
        <w:rPr>
          <w:b/>
          <w:bCs/>
          <w:lang w:val="es-ES"/>
        </w:rPr>
        <w:t>C</w:t>
      </w:r>
      <w:r w:rsidRPr="00DE10A5">
        <w:rPr>
          <w:lang w:val="es-ES"/>
        </w:rPr>
        <w:t xml:space="preserve"> significa </w:t>
      </w:r>
      <w:r w:rsidRPr="00DE10A5">
        <w:rPr>
          <w:b/>
          <w:bCs/>
          <w:lang w:val="es-ES"/>
        </w:rPr>
        <w:t>Capacidad</w:t>
      </w:r>
      <w:r w:rsidRPr="00DE10A5">
        <w:rPr>
          <w:lang w:val="es-ES"/>
        </w:rPr>
        <w:t>. C0–C12 no son niveles de intelige</w:t>
      </w:r>
      <w:r w:rsidRPr="00DE10A5">
        <w:rPr>
          <w:lang w:val="es-ES"/>
        </w:rPr>
        <w:t>ncia ni generaciones del software: son trece capacidades diferentes que la campaña experimental intenta demostrar o delimitar.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2089"/>
        <w:gridCol w:w="3683"/>
        <w:gridCol w:w="4132"/>
      </w:tblGrid>
      <w:tr w:rsidR="00440F9D" w14:paraId="295D0796" w14:textId="77777777" w:rsidTr="00440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1F4E79"/>
            <w:vAlign w:val="center"/>
          </w:tcPr>
          <w:p w14:paraId="706CFA96" w14:textId="77777777" w:rsidR="00440F9D" w:rsidRDefault="00F91594">
            <w:pPr>
              <w:pStyle w:val="Compact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1FD638C4" w14:textId="77777777" w:rsidR="00440F9D" w:rsidRDefault="00F91594">
            <w:pPr>
              <w:pStyle w:val="Compact"/>
            </w:pPr>
            <w:r>
              <w:rPr>
                <w:b/>
                <w:color w:val="FFFFFF"/>
                <w:sz w:val="18"/>
              </w:rPr>
              <w:t>Pregunta central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784C7CCF" w14:textId="77777777" w:rsidR="00440F9D" w:rsidRDefault="00F91594">
            <w:pPr>
              <w:pStyle w:val="Compact"/>
            </w:pPr>
            <w:r>
              <w:rPr>
                <w:b/>
                <w:color w:val="FFFFFF"/>
                <w:sz w:val="18"/>
              </w:rPr>
              <w:t>Evidencia compacta actual</w:t>
            </w:r>
          </w:p>
        </w:tc>
      </w:tr>
      <w:tr w:rsidR="00440F9D" w14:paraId="7B677F30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0F8DF07" w14:textId="77777777" w:rsidR="00440F9D" w:rsidRDefault="00F91594">
            <w:pPr>
              <w:pStyle w:val="Compact"/>
            </w:pPr>
            <w:r>
              <w:rPr>
                <w:sz w:val="17"/>
              </w:rPr>
              <w:t>C0 · Contractual Reproducibility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911212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 atribuirse un resultado al artefacto exacto que lo produjo?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6F0033" w14:textId="77777777" w:rsidR="00440F9D" w:rsidRDefault="00F91594">
            <w:pPr>
              <w:pStyle w:val="Compact"/>
            </w:pPr>
            <w:r>
              <w:rPr>
                <w:sz w:val="17"/>
              </w:rPr>
              <w:t>6/6 checks contractuales; 0 llamadas neuronales</w:t>
            </w:r>
          </w:p>
        </w:tc>
      </w:tr>
      <w:tr w:rsidR="00440F9D" w14:paraId="0599F665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4C874C66" w14:textId="77777777" w:rsidR="00440F9D" w:rsidRDefault="00F91594">
            <w:pPr>
              <w:pStyle w:val="Compact"/>
            </w:pPr>
            <w:r>
              <w:rPr>
                <w:sz w:val="17"/>
              </w:rPr>
              <w:t>C1 · Structural Identification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7D8AB78C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 un observador semántico proyectar lenguaje abierto sobre SCC sin convertirse en autoridad estructural?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4DB07589" w14:textId="77777777" w:rsidR="00440F9D" w:rsidRDefault="00F91594">
            <w:pPr>
              <w:pStyle w:val="Compact"/>
            </w:pPr>
            <w:r>
              <w:rPr>
                <w:sz w:val="17"/>
              </w:rPr>
              <w:t>Sol NONE 33/36; Sol HIGH 34/36; Qwen3 4B 26/36</w:t>
            </w:r>
          </w:p>
        </w:tc>
      </w:tr>
      <w:tr w:rsidR="00440F9D" w:rsidRPr="00DE10A5" w14:paraId="34840D58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E8E2A33" w14:textId="77777777" w:rsidR="00440F9D" w:rsidRDefault="00F91594">
            <w:pPr>
              <w:pStyle w:val="Compact"/>
            </w:pPr>
            <w:r>
              <w:rPr>
                <w:sz w:val="17"/>
              </w:rPr>
              <w:t>C2 · Structural Metrology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F5D87F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¿es estable y discriminante la identificación estructural?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7F3E41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Sol NONE/HIGH discriminan 5/5 contrastes; HIGH mejora robustez, no una capacidad categórica nueva</w:t>
            </w:r>
          </w:p>
        </w:tc>
      </w:tr>
      <w:tr w:rsidR="00440F9D" w14:paraId="5F752611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4900B89E" w14:textId="77777777" w:rsidR="00440F9D" w:rsidRDefault="00F91594">
            <w:pPr>
              <w:pStyle w:val="Compact"/>
            </w:pPr>
            <w:r>
              <w:rPr>
                <w:sz w:val="17"/>
              </w:rPr>
              <w:t>C3 · Structural Calculus &amp; Directional Continuity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3BB76276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¿pueden determinadas propiedades pasar del modelo a matemáticas ejecutables?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05491346" w14:textId="77777777" w:rsidR="00440F9D" w:rsidRDefault="00F91594">
            <w:pPr>
              <w:pStyle w:val="Compact"/>
            </w:pPr>
            <w:r>
              <w:rPr>
                <w:sz w:val="17"/>
              </w:rPr>
              <w:t>5/5 + 16/16 exactos; 0 llamada</w:t>
            </w:r>
            <w:r>
              <w:rPr>
                <w:sz w:val="17"/>
              </w:rPr>
              <w:t>s neuronales</w:t>
            </w:r>
          </w:p>
        </w:tc>
      </w:tr>
      <w:tr w:rsidR="00440F9D" w:rsidRPr="00DE10A5" w14:paraId="414A2BD8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C423883" w14:textId="77777777" w:rsidR="00440F9D" w:rsidRDefault="00F91594">
            <w:pPr>
              <w:pStyle w:val="Compact"/>
            </w:pPr>
            <w:r>
              <w:rPr>
                <w:sz w:val="17"/>
              </w:rPr>
              <w:t>C4 · Structural Transformation &amp; Equivalence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7EC75F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¿qué sobrevive a permutación, reidentificación y traducción?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B32975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permutation exact target = 0; HIGH usa 2,92× tokens en el agregado sin comprar identidad exacta</w:t>
            </w:r>
          </w:p>
        </w:tc>
      </w:tr>
      <w:tr w:rsidR="00440F9D" w:rsidRPr="00DE10A5" w14:paraId="2718351F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5580DC1A" w14:textId="77777777" w:rsidR="00440F9D" w:rsidRDefault="00F91594">
            <w:pPr>
              <w:pStyle w:val="Compact"/>
            </w:pPr>
            <w:r>
              <w:rPr>
                <w:sz w:val="17"/>
              </w:rPr>
              <w:t>C5 · Contextual Cooperation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4B88BB18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 estr</w:t>
            </w:r>
            <w:r w:rsidRPr="00DE10A5">
              <w:rPr>
                <w:sz w:val="17"/>
                <w:lang w:val="es-ES"/>
              </w:rPr>
              <w:t>uctura externa verificar y reparar contribuciones neuronales bajo cambio contextual?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577E65E7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21 checkpoints exactos absolutos en ambos tiers; 13/14 dirección evaluable en ambos</w:t>
            </w:r>
          </w:p>
        </w:tc>
      </w:tr>
      <w:tr w:rsidR="00440F9D" w:rsidRPr="00DE10A5" w14:paraId="325E72F7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6BAB6CF" w14:textId="77777777" w:rsidR="00440F9D" w:rsidRDefault="00F91594">
            <w:pPr>
              <w:pStyle w:val="Compact"/>
            </w:pPr>
            <w:r>
              <w:rPr>
                <w:sz w:val="17"/>
              </w:rPr>
              <w:t>C6 · Longitudinal Cognition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040728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 sostener continuidad y revisión sin confundir predicción con evidencia disponible?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9348D8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77/77 segmentos; 112/130 preguntas con revisión; 49 anticipaciones permanecen HYPOTHESIS/REVISED, 0 RESOLVED</w:t>
            </w:r>
          </w:p>
        </w:tc>
      </w:tr>
      <w:tr w:rsidR="00440F9D" w:rsidRPr="00DE10A5" w14:paraId="43F7F2D1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6C6D482B" w14:textId="77777777" w:rsidR="00440F9D" w:rsidRDefault="00F91594">
            <w:pPr>
              <w:pStyle w:val="Compact"/>
            </w:pPr>
            <w:r>
              <w:rPr>
                <w:sz w:val="17"/>
              </w:rPr>
              <w:lastRenderedPageBreak/>
              <w:t>C7 · Heterogeneous CLOSED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37767CAD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¿pueden coexistir competencias</w:t>
            </w:r>
            <w:r w:rsidRPr="00DE10A5">
              <w:rPr>
                <w:sz w:val="17"/>
                <w:lang w:val="es-ES"/>
              </w:rPr>
              <w:t xml:space="preserve"> locales acotadas con ownership y rechazo deterministas?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5799D7C8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180/180 contratos heterogéneos; una laguna lexical permanece explícita</w:t>
            </w:r>
          </w:p>
        </w:tc>
      </w:tr>
      <w:tr w:rsidR="00440F9D" w14:paraId="0C470796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A2B09A1" w14:textId="77777777" w:rsidR="00440F9D" w:rsidRDefault="00F91594">
            <w:pPr>
              <w:pStyle w:val="Compact"/>
            </w:pPr>
            <w:r>
              <w:rPr>
                <w:sz w:val="17"/>
              </w:rPr>
              <w:t>C8 · CLOSED/OPEN Composition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1D26D4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¿quién decide cuándo hace falta semántica abierta?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675579" w14:textId="77777777" w:rsidR="00440F9D" w:rsidRDefault="00F91594">
            <w:pPr>
              <w:pStyle w:val="Compact"/>
            </w:pPr>
            <w:r>
              <w:rPr>
                <w:sz w:val="17"/>
              </w:rPr>
              <w:t xml:space="preserve">10/10 ownership/status; 3/3 OPEN válidos; </w:t>
            </w:r>
            <w:r>
              <w:rPr>
                <w:rStyle w:val="VerbatimChar"/>
                <w:sz w:val="17"/>
              </w:rPr>
              <w:t>MDPAR</w:t>
            </w:r>
            <w:r>
              <w:rPr>
                <w:rStyle w:val="VerbatimChar"/>
                <w:sz w:val="17"/>
              </w:rPr>
              <w:t>_ONLY</w:t>
            </w:r>
            <w:r>
              <w:rPr>
                <w:sz w:val="17"/>
              </w:rPr>
              <w:t xml:space="preserve"> routing authority</w:t>
            </w:r>
          </w:p>
        </w:tc>
      </w:tr>
      <w:tr w:rsidR="00440F9D" w14:paraId="0A812BF3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1BFAB453" w14:textId="77777777" w:rsidR="00440F9D" w:rsidRDefault="00F91594">
            <w:pPr>
              <w:pStyle w:val="Compact"/>
            </w:pPr>
            <w:r>
              <w:rPr>
                <w:sz w:val="17"/>
              </w:rPr>
              <w:t>C9 · Adaptive &amp; Concurrent Cognition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7BE49BC8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 adquirirse reasoning profundo sólo cuando aporta valor y ocultar latencia sin confundirla con compute evitado?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0C393A60" w14:textId="77777777" w:rsidR="00440F9D" w:rsidRDefault="00F91594">
            <w:pPr>
              <w:pStyle w:val="Compact"/>
            </w:pPr>
            <w:r>
              <w:rPr>
                <w:sz w:val="17"/>
              </w:rPr>
              <w:t xml:space="preserve">20/26 HIGH case-runs evitados; reasoning −64,41%; wall −50,77%; suficiencia </w:t>
            </w:r>
            <w:r>
              <w:rPr>
                <w:sz w:val="17"/>
              </w:rPr>
              <w:t>17/26→25/26; 292,21 s de latency hiding</w:t>
            </w:r>
          </w:p>
        </w:tc>
      </w:tr>
      <w:tr w:rsidR="00440F9D" w:rsidRPr="00DE10A5" w14:paraId="116AD7E4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87FD02A" w14:textId="77777777" w:rsidR="00440F9D" w:rsidRDefault="00F91594">
            <w:pPr>
              <w:pStyle w:val="Compact"/>
            </w:pPr>
            <w:r>
              <w:rPr>
                <w:sz w:val="17"/>
              </w:rPr>
              <w:t>C10 · Temporal Authority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618849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¿una cognición válida conserva autoridad si llega tarde?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B65F18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contrato 11/11; 0 neural; una completion tardía puede conservar información y perder permiso de acción</w:t>
            </w:r>
          </w:p>
        </w:tc>
      </w:tr>
      <w:tr w:rsidR="00440F9D" w14:paraId="02062B53" w14:textId="77777777" w:rsidTr="00440F9D">
        <w:trPr>
          <w:jc w:val="center"/>
        </w:trPr>
        <w:tc>
          <w:tcPr>
            <w:tcW w:w="0" w:type="auto"/>
            <w:shd w:val="clear" w:color="auto" w:fill="F3F6FA"/>
            <w:vAlign w:val="center"/>
          </w:tcPr>
          <w:p w14:paraId="4AE8F3D5" w14:textId="77777777" w:rsidR="00440F9D" w:rsidRDefault="00F91594">
            <w:pPr>
              <w:pStyle w:val="Compact"/>
            </w:pPr>
            <w:r>
              <w:rPr>
                <w:sz w:val="17"/>
              </w:rPr>
              <w:t>C11 · Degradation &amp; Recovery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65DF2072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 cambiar la infraestructura sin perder continuidad ni conceder stale authority?</w:t>
            </w:r>
          </w:p>
        </w:tc>
        <w:tc>
          <w:tcPr>
            <w:tcW w:w="0" w:type="auto"/>
            <w:shd w:val="clear" w:color="auto" w:fill="F3F6FA"/>
            <w:vAlign w:val="center"/>
          </w:tcPr>
          <w:p w14:paraId="3BECAF19" w14:textId="77777777" w:rsidR="00440F9D" w:rsidRDefault="00F91594">
            <w:pPr>
              <w:pStyle w:val="Compact"/>
            </w:pPr>
            <w:r>
              <w:rPr>
                <w:sz w:val="17"/>
              </w:rPr>
              <w:t xml:space="preserve">contrato 4/4; Qwen local OPEN válido </w:t>
            </w:r>
            <w:r>
              <w:rPr>
                <w:sz w:val="17"/>
              </w:rPr>
              <w:t>durante outage; 0 stale authorizations / rewrites</w:t>
            </w:r>
          </w:p>
        </w:tc>
      </w:tr>
      <w:tr w:rsidR="00440F9D" w14:paraId="24F5DBB7" w14:textId="77777777" w:rsidTr="00440F9D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1B8CF71" w14:textId="77777777" w:rsidR="00440F9D" w:rsidRDefault="00F91594">
            <w:pPr>
              <w:pStyle w:val="Compact"/>
            </w:pPr>
            <w:r>
              <w:rPr>
                <w:sz w:val="17"/>
              </w:rPr>
              <w:t>C12 · Sustained Cooperation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FAF60C" w14:textId="77777777" w:rsidR="00440F9D" w:rsidRPr="00DE10A5" w:rsidRDefault="00F91594">
            <w:pPr>
              <w:pStyle w:val="Compact"/>
              <w:rPr>
                <w:lang w:val="es-ES"/>
              </w:rPr>
            </w:pPr>
            <w:r w:rsidRPr="00DE10A5">
              <w:rPr>
                <w:sz w:val="17"/>
                <w:lang w:val="es-ES"/>
              </w:rPr>
              <w:t>¿pueden coexistir todas las fronteras durante un episodio sostenido?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BE0C97" w14:textId="77777777" w:rsidR="00440F9D" w:rsidRDefault="00F91594">
            <w:pPr>
              <w:pStyle w:val="Compact"/>
            </w:pPr>
            <w:r>
              <w:rPr>
                <w:sz w:val="17"/>
              </w:rPr>
              <w:t>300 s world-time; capstone PASS; CLOSED/OPEN/MIXED, local/frontier, outage/recovery; 0 stale/rewrite</w:t>
            </w:r>
          </w:p>
        </w:tc>
      </w:tr>
    </w:tbl>
    <w:p w14:paraId="06FAD3AD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La cam</w:t>
      </w:r>
      <w:r w:rsidRPr="00DE10A5">
        <w:rPr>
          <w:lang w:val="es-ES"/>
        </w:rPr>
        <w:t>paña no demuestra que “todo salga bien”. C4 conserva una frontera de invariancia no resuelta; C7 una laguna lexical; C6 conserva hallucinations y failures; C11–C12 contienen cognición válida pero tardía y una reemisión neural estructuralmente inválida. Pre</w:t>
      </w:r>
      <w:r w:rsidRPr="00DE10A5">
        <w:rPr>
          <w:lang w:val="es-ES"/>
        </w:rPr>
        <w:t xml:space="preserve">cisamente por eso la evidencia resulta informativa: el formalismo puede conservar provenance, </w:t>
      </w:r>
      <w:r w:rsidRPr="00DE10A5">
        <w:rPr>
          <w:rStyle w:val="VerbatimChar"/>
          <w:lang w:val="es-ES"/>
        </w:rPr>
        <w:t>UNKNOWN</w:t>
      </w:r>
      <w:r w:rsidRPr="00DE10A5">
        <w:rPr>
          <w:lang w:val="es-ES"/>
        </w:rPr>
        <w:t>, ownership, continuidad y límites de autoridad aunque el observador neuronal no sea perfecto.</w:t>
      </w:r>
    </w:p>
    <w:p w14:paraId="5F973F4E" w14:textId="77777777" w:rsidR="00440F9D" w:rsidRDefault="00F91594">
      <w:pPr>
        <w:pStyle w:val="Ttulo3"/>
      </w:pPr>
      <w:bookmarkStart w:id="20" w:name="hipótesis-empíricas"/>
      <w:bookmarkEnd w:id="19"/>
      <w:r>
        <w:t>Hipótesis empíricas</w:t>
      </w:r>
    </w:p>
    <w:p w14:paraId="48647AA9" w14:textId="77777777" w:rsidR="00440F9D" w:rsidRPr="00DE10A5" w:rsidRDefault="00F91594">
      <w:pPr>
        <w:pStyle w:val="Compact"/>
        <w:numPr>
          <w:ilvl w:val="0"/>
          <w:numId w:val="7"/>
        </w:numPr>
        <w:rPr>
          <w:lang w:val="es-ES"/>
        </w:rPr>
      </w:pPr>
      <w:r w:rsidRPr="00DE10A5">
        <w:rPr>
          <w:lang w:val="es-ES"/>
        </w:rPr>
        <w:t>Universalidad estructural entre dominios, perfiles y modalidades.</w:t>
      </w:r>
    </w:p>
    <w:p w14:paraId="51C291BD" w14:textId="77777777" w:rsidR="00440F9D" w:rsidRPr="00DE10A5" w:rsidRDefault="00F91594">
      <w:pPr>
        <w:pStyle w:val="Compact"/>
        <w:numPr>
          <w:ilvl w:val="0"/>
          <w:numId w:val="7"/>
        </w:numPr>
        <w:rPr>
          <w:lang w:val="es-ES"/>
        </w:rPr>
      </w:pPr>
      <w:r w:rsidRPr="00DE10A5">
        <w:rPr>
          <w:lang w:val="es-ES"/>
        </w:rPr>
        <w:t>Estabilidad interlingüística de OPEN y caracterización de qué invariantes sobreviven a traducción.</w:t>
      </w:r>
    </w:p>
    <w:p w14:paraId="305DF287" w14:textId="77777777" w:rsidR="00440F9D" w:rsidRPr="00DE10A5" w:rsidRDefault="00F91594">
      <w:pPr>
        <w:pStyle w:val="Compact"/>
        <w:numPr>
          <w:ilvl w:val="0"/>
          <w:numId w:val="7"/>
        </w:numPr>
        <w:rPr>
          <w:lang w:val="es-ES"/>
        </w:rPr>
      </w:pPr>
      <w:r w:rsidRPr="00DE10A5">
        <w:rPr>
          <w:lang w:val="es-ES"/>
        </w:rPr>
        <w:t>Transferencia entre razonamiento humano y artificial.</w:t>
      </w:r>
    </w:p>
    <w:p w14:paraId="1F2DE9FB" w14:textId="77777777" w:rsidR="00440F9D" w:rsidRPr="00DE10A5" w:rsidRDefault="00F91594">
      <w:pPr>
        <w:pStyle w:val="Compact"/>
        <w:numPr>
          <w:ilvl w:val="0"/>
          <w:numId w:val="7"/>
        </w:numPr>
        <w:rPr>
          <w:lang w:val="es-ES"/>
        </w:rPr>
      </w:pPr>
      <w:r w:rsidRPr="00DE10A5">
        <w:rPr>
          <w:lang w:val="es-ES"/>
        </w:rPr>
        <w:t>Generalización a observadores VLM, se</w:t>
      </w:r>
      <w:r w:rsidRPr="00DE10A5">
        <w:rPr>
          <w:lang w:val="es-ES"/>
        </w:rPr>
        <w:t>nsórica y otras modalidades no textuales.</w:t>
      </w:r>
    </w:p>
    <w:p w14:paraId="3F75F9DB" w14:textId="77777777" w:rsidR="00440F9D" w:rsidRPr="00DE10A5" w:rsidRDefault="00F91594">
      <w:pPr>
        <w:pStyle w:val="Compact"/>
        <w:numPr>
          <w:ilvl w:val="0"/>
          <w:numId w:val="7"/>
        </w:numPr>
        <w:rPr>
          <w:lang w:val="es-ES"/>
        </w:rPr>
      </w:pPr>
      <w:r w:rsidRPr="00DE10A5">
        <w:rPr>
          <w:lang w:val="es-ES"/>
        </w:rPr>
        <w:t>Utilidad predictiva o diagnóstica de familias geométricas más allá de los corpora actuales.</w:t>
      </w:r>
    </w:p>
    <w:p w14:paraId="2BFF1ED3" w14:textId="77777777" w:rsidR="00440F9D" w:rsidRPr="00DE10A5" w:rsidRDefault="00F91594">
      <w:pPr>
        <w:pStyle w:val="Compact"/>
        <w:numPr>
          <w:ilvl w:val="0"/>
          <w:numId w:val="7"/>
        </w:numPr>
        <w:rPr>
          <w:lang w:val="es-ES"/>
        </w:rPr>
      </w:pPr>
      <w:r w:rsidRPr="00DE10A5">
        <w:rPr>
          <w:lang w:val="es-ES"/>
        </w:rPr>
        <w:t>Amortización real de mantenimiento y formalización a escala multi-producto.</w:t>
      </w:r>
    </w:p>
    <w:p w14:paraId="754E5D70" w14:textId="77777777" w:rsidR="00440F9D" w:rsidRDefault="00F91594">
      <w:pPr>
        <w:pStyle w:val="Ttulo3"/>
      </w:pPr>
      <w:bookmarkStart w:id="21" w:name="problemas-abiertos-de-formalización"/>
      <w:bookmarkEnd w:id="20"/>
      <w:r>
        <w:t>Problemas abiertos de formalización</w:t>
      </w:r>
    </w:p>
    <w:p w14:paraId="5A639B41" w14:textId="77777777" w:rsidR="00440F9D" w:rsidRPr="00DE10A5" w:rsidRDefault="00F91594">
      <w:pPr>
        <w:pStyle w:val="Compact"/>
        <w:numPr>
          <w:ilvl w:val="0"/>
          <w:numId w:val="8"/>
        </w:numPr>
        <w:rPr>
          <w:lang w:val="es-ES"/>
        </w:rPr>
      </w:pPr>
      <w:r w:rsidRPr="00DE10A5">
        <w:rPr>
          <w:lang w:val="es-ES"/>
        </w:rPr>
        <w:t>Caracteriz</w:t>
      </w:r>
      <w:r w:rsidRPr="00DE10A5">
        <w:rPr>
          <w:lang w:val="es-ES"/>
        </w:rPr>
        <w:t>ar la clase matemática de estructuras MDPAR.</w:t>
      </w:r>
    </w:p>
    <w:p w14:paraId="3A47F956" w14:textId="77777777" w:rsidR="00440F9D" w:rsidRPr="00DE10A5" w:rsidRDefault="00F91594">
      <w:pPr>
        <w:pStyle w:val="Compact"/>
        <w:numPr>
          <w:ilvl w:val="0"/>
          <w:numId w:val="8"/>
        </w:numPr>
        <w:rPr>
          <w:lang w:val="es-ES"/>
        </w:rPr>
      </w:pPr>
      <w:r w:rsidRPr="00DE10A5">
        <w:rPr>
          <w:lang w:val="es-ES"/>
        </w:rPr>
        <w:t xml:space="preserve">Definir morfismos naturales y estudiar la posible categoría </w:t>
      </w:r>
      <m:oMath>
        <m:r>
          <m:rPr>
            <m:sty m:val="b"/>
          </m:rPr>
          <w:rPr>
            <w:rFonts w:ascii="Cambria Math" w:hAnsi="Cambria Math"/>
          </w:rPr>
          <m:t>MDPAR</m:t>
        </m:r>
      </m:oMath>
      <w:r w:rsidRPr="00DE10A5">
        <w:rPr>
          <w:lang w:val="es-ES"/>
        </w:rPr>
        <w:t>.</w:t>
      </w:r>
    </w:p>
    <w:p w14:paraId="76352138" w14:textId="77777777" w:rsidR="00440F9D" w:rsidRPr="00DE10A5" w:rsidRDefault="00F91594">
      <w:pPr>
        <w:pStyle w:val="Compact"/>
        <w:numPr>
          <w:ilvl w:val="0"/>
          <w:numId w:val="8"/>
        </w:numPr>
        <w:rPr>
          <w:lang w:val="es-ES"/>
        </w:rPr>
      </w:pPr>
      <w:r w:rsidRPr="00DE10A5">
        <w:rPr>
          <w:lang w:val="es-ES"/>
        </w:rPr>
        <w:t>Determinar invariantes completos o familias de invariantes discriminantes.</w:t>
      </w:r>
    </w:p>
    <w:p w14:paraId="6F485E66" w14:textId="77777777" w:rsidR="00440F9D" w:rsidRPr="00DE10A5" w:rsidRDefault="00F91594">
      <w:pPr>
        <w:pStyle w:val="Compact"/>
        <w:numPr>
          <w:ilvl w:val="0"/>
          <w:numId w:val="8"/>
        </w:numPr>
        <w:rPr>
          <w:lang w:val="es-ES"/>
        </w:rPr>
      </w:pPr>
      <w:r w:rsidRPr="00DE10A5">
        <w:rPr>
          <w:lang w:val="es-ES"/>
        </w:rPr>
        <w:t>Caracterizar clases de deformación y transformaciones admisibles</w:t>
      </w:r>
      <w:r w:rsidRPr="00DE10A5">
        <w:rPr>
          <w:lang w:val="es-ES"/>
        </w:rPr>
        <w:t>.</w:t>
      </w:r>
    </w:p>
    <w:p w14:paraId="465A4F0A" w14:textId="77777777" w:rsidR="00440F9D" w:rsidRPr="00DE10A5" w:rsidRDefault="00F91594">
      <w:pPr>
        <w:pStyle w:val="Compact"/>
        <w:numPr>
          <w:ilvl w:val="0"/>
          <w:numId w:val="8"/>
        </w:numPr>
        <w:rPr>
          <w:lang w:val="es-ES"/>
        </w:rPr>
      </w:pPr>
      <w:r w:rsidRPr="00DE10A5">
        <w:rPr>
          <w:lang w:val="es-ES"/>
        </w:rPr>
        <w:t>Establecer bajo qué condiciones dos dominios semánticamente heterogéneos inducen estructuras comparables.</w:t>
      </w:r>
    </w:p>
    <w:p w14:paraId="11970056" w14:textId="77777777" w:rsidR="00440F9D" w:rsidRPr="00DE10A5" w:rsidRDefault="00F91594">
      <w:pPr>
        <w:pStyle w:val="Compact"/>
        <w:numPr>
          <w:ilvl w:val="0"/>
          <w:numId w:val="8"/>
        </w:numPr>
        <w:rPr>
          <w:lang w:val="es-ES"/>
        </w:rPr>
      </w:pPr>
      <w:r w:rsidRPr="00DE10A5">
        <w:rPr>
          <w:lang w:val="es-ES"/>
        </w:rPr>
        <w:t xml:space="preserve">Delimitar formalmente el alcance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E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ES"/>
              </w:rPr>
              <m:t>MDPAR</m:t>
            </m:r>
          </m:sub>
        </m:sSub>
      </m:oMath>
      <w:r w:rsidRPr="00DE10A5">
        <w:rPr>
          <w:lang w:val="es-ES"/>
        </w:rPr>
        <w:t>.</w:t>
      </w:r>
    </w:p>
    <w:p w14:paraId="68F4A494" w14:textId="77777777" w:rsidR="00440F9D" w:rsidRPr="00DE10A5" w:rsidRDefault="00F91594">
      <w:pPr>
        <w:pStyle w:val="Compact"/>
        <w:numPr>
          <w:ilvl w:val="0"/>
          <w:numId w:val="8"/>
        </w:numPr>
        <w:rPr>
          <w:lang w:val="es-ES"/>
        </w:rPr>
      </w:pPr>
      <w:r w:rsidRPr="00DE10A5">
        <w:rPr>
          <w:lang w:val="es-ES"/>
        </w:rPr>
        <w:t>Precisar qué propiedades deben pertenecer necesariamente al dominio y cuáles pueden externalizarse de fo</w:t>
      </w:r>
      <w:r w:rsidRPr="00DE10A5">
        <w:rPr>
          <w:lang w:val="es-ES"/>
        </w:rPr>
        <w:t>rma estable.</w:t>
      </w:r>
    </w:p>
    <w:p w14:paraId="0C5AAA98" w14:textId="77777777" w:rsidR="00440F9D" w:rsidRDefault="00F91594">
      <w:pPr>
        <w:spacing w:after="0"/>
      </w:pPr>
      <w:r>
        <w:pict w14:anchorId="77C7EFC1">
          <v:rect id="_x0000_i1036" style="width:0;height:1.5pt" o:hralign="center" o:hrstd="t" o:hr="t"/>
        </w:pict>
      </w:r>
    </w:p>
    <w:p w14:paraId="0D4F411E" w14:textId="77777777" w:rsidR="00440F9D" w:rsidRPr="00DE10A5" w:rsidRDefault="00F91594">
      <w:pPr>
        <w:pStyle w:val="Ttulo2"/>
        <w:rPr>
          <w:lang w:val="es-ES"/>
        </w:rPr>
      </w:pPr>
      <w:bookmarkStart w:id="22" w:name="programa-de-investigación"/>
      <w:bookmarkEnd w:id="16"/>
      <w:bookmarkEnd w:id="21"/>
      <w:r w:rsidRPr="00DE10A5">
        <w:rPr>
          <w:lang w:val="es-ES"/>
        </w:rPr>
        <w:lastRenderedPageBreak/>
        <w:t>12. Programa de investigación</w:t>
      </w:r>
    </w:p>
    <w:p w14:paraId="3481E2B5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MDPAR 2.0.0 ya no se encuentra en el punto de preguntar únicamente si el formalismo puede implementarse. C0–C12 han convertido esa pregunta en otra más exigente: </w:t>
      </w:r>
      <w:r w:rsidRPr="00DE10A5">
        <w:rPr>
          <w:b/>
          <w:bCs/>
          <w:lang w:val="es-ES"/>
        </w:rPr>
        <w:t>qué clase de regularidad ha capturado el sistema, hasta dónde generaliza y qué observaciones l</w:t>
      </w:r>
      <w:r w:rsidRPr="00DE10A5">
        <w:rPr>
          <w:b/>
          <w:bCs/>
          <w:lang w:val="es-ES"/>
        </w:rPr>
        <w:t>a falsarían</w:t>
      </w:r>
      <w:r w:rsidRPr="00DE10A5">
        <w:rPr>
          <w:lang w:val="es-ES"/>
        </w:rPr>
        <w:t>.</w:t>
      </w:r>
    </w:p>
    <w:p w14:paraId="75E3062E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El programa se organiza en seis líneas relacionadas:</w:t>
      </w:r>
    </w:p>
    <w:p w14:paraId="2170F70B" w14:textId="77777777" w:rsidR="00440F9D" w:rsidRPr="00DE10A5" w:rsidRDefault="00F91594">
      <w:pPr>
        <w:pStyle w:val="Compact"/>
        <w:numPr>
          <w:ilvl w:val="0"/>
          <w:numId w:val="9"/>
        </w:numPr>
        <w:rPr>
          <w:lang w:val="es-ES"/>
        </w:rPr>
      </w:pPr>
      <w:r w:rsidRPr="00DE10A5">
        <w:rPr>
          <w:b/>
          <w:bCs/>
          <w:lang w:val="es-ES"/>
        </w:rPr>
        <w:t>Formalización matemática.</w:t>
      </w:r>
      <w:r w:rsidRPr="00DE10A5">
        <w:rPr>
          <w:lang w:val="es-ES"/>
        </w:rPr>
        <w:t xml:space="preserve"> Pasar de una implementación con contratos explícitos a una teoría de estructuras, transformaciones, equivalencias e invariantes MDPAR; estudiar si existe una noción</w:t>
      </w:r>
      <w:r w:rsidRPr="00DE10A5">
        <w:rPr>
          <w:lang w:val="es-ES"/>
        </w:rPr>
        <w:t xml:space="preserve"> natural de morfismo y si resulta productivo construir una categoría </w:t>
      </w:r>
      <m:oMath>
        <m:r>
          <m:rPr>
            <m:sty m:val="b"/>
          </m:rPr>
          <w:rPr>
            <w:rFonts w:ascii="Cambria Math" w:hAnsi="Cambria Math"/>
          </w:rPr>
          <m:t>MDPAR</m:t>
        </m:r>
      </m:oMath>
      <w:r w:rsidRPr="00DE10A5">
        <w:rPr>
          <w:lang w:val="es-ES"/>
        </w:rPr>
        <w:t>.</w:t>
      </w:r>
    </w:p>
    <w:p w14:paraId="05C21CDE" w14:textId="77777777" w:rsidR="00440F9D" w:rsidRPr="00DE10A5" w:rsidRDefault="00F91594">
      <w:pPr>
        <w:pStyle w:val="Compact"/>
        <w:numPr>
          <w:ilvl w:val="0"/>
          <w:numId w:val="9"/>
        </w:numPr>
        <w:rPr>
          <w:lang w:val="es-ES"/>
        </w:rPr>
      </w:pPr>
      <w:r w:rsidRPr="00DE10A5">
        <w:rPr>
          <w:b/>
          <w:bCs/>
          <w:lang w:val="es-ES"/>
        </w:rPr>
        <w:t>Universalidad interdominio.</w:t>
      </w:r>
      <w:r w:rsidRPr="00DE10A5">
        <w:rPr>
          <w:lang w:val="es-ES"/>
        </w:rPr>
        <w:t xml:space="preserve"> Diseñar tareas cuyas semánticas y ontologías locales difieran de forma deliberada y medir qué propiedades estructurales siguen siendo comparables s</w:t>
      </w:r>
      <w:r w:rsidRPr="00DE10A5">
        <w:rPr>
          <w:lang w:val="es-ES"/>
        </w:rPr>
        <w:t>in introducir conocimiento específico en el core.</w:t>
      </w:r>
    </w:p>
    <w:p w14:paraId="02DA2926" w14:textId="77777777" w:rsidR="00440F9D" w:rsidRPr="00DE10A5" w:rsidRDefault="00F91594">
      <w:pPr>
        <w:pStyle w:val="Compact"/>
        <w:numPr>
          <w:ilvl w:val="0"/>
          <w:numId w:val="9"/>
        </w:numPr>
        <w:rPr>
          <w:lang w:val="es-ES"/>
        </w:rPr>
      </w:pPr>
      <w:r w:rsidRPr="00DE10A5">
        <w:rPr>
          <w:b/>
          <w:bCs/>
          <w:lang w:val="es-ES"/>
        </w:rPr>
        <w:t>Universalidad intermodal.</w:t>
      </w:r>
      <w:r w:rsidRPr="00DE10A5">
        <w:rPr>
          <w:lang w:val="es-ES"/>
        </w:rPr>
        <w:t xml:space="preserve"> Repetir el principio OPEN/CLOSED con texto, visión, observaciones tipadas, sensores y sistemas embodied, manteniendo la frontera entre percepción semántica y autoridad estructural.</w:t>
      </w:r>
    </w:p>
    <w:p w14:paraId="066948A3" w14:textId="77777777" w:rsidR="00440F9D" w:rsidRPr="00DE10A5" w:rsidRDefault="00F91594">
      <w:pPr>
        <w:pStyle w:val="Compact"/>
        <w:numPr>
          <w:ilvl w:val="0"/>
          <w:numId w:val="9"/>
        </w:numPr>
        <w:rPr>
          <w:lang w:val="es-ES"/>
        </w:rPr>
      </w:pPr>
      <w:r w:rsidRPr="00DE10A5">
        <w:rPr>
          <w:b/>
          <w:bCs/>
          <w:lang w:val="es-ES"/>
        </w:rPr>
        <w:t>Invariancia y transformación.</w:t>
      </w:r>
      <w:r w:rsidRPr="00DE10A5">
        <w:rPr>
          <w:lang w:val="es-ES"/>
        </w:rPr>
        <w:t xml:space="preserve"> Convertir C4 en una línea propia: traducción entre lenguas, permutaciones, reidentificación, paraphrase, cambio de notación y transformaciones multimodales deben distinguir semejanza de equivalencia exacta y medir la pérdida </w:t>
      </w:r>
      <w:r w:rsidRPr="00DE10A5">
        <w:rPr>
          <w:lang w:val="es-ES"/>
        </w:rPr>
        <w:t>de estructura en vez de presuponerla.</w:t>
      </w:r>
    </w:p>
    <w:p w14:paraId="101440AE" w14:textId="77777777" w:rsidR="00440F9D" w:rsidRPr="00DE10A5" w:rsidRDefault="00F91594">
      <w:pPr>
        <w:pStyle w:val="Compact"/>
        <w:numPr>
          <w:ilvl w:val="0"/>
          <w:numId w:val="9"/>
        </w:numPr>
        <w:rPr>
          <w:lang w:val="es-ES"/>
        </w:rPr>
      </w:pPr>
      <w:r w:rsidRPr="00DE10A5">
        <w:rPr>
          <w:b/>
          <w:bCs/>
          <w:lang w:val="es-ES"/>
        </w:rPr>
        <w:t>Cooperación y generalidad de observadores.</w:t>
      </w:r>
      <w:r w:rsidRPr="00DE10A5">
        <w:rPr>
          <w:lang w:val="es-ES"/>
        </w:rPr>
        <w:t xml:space="preserve"> Evaluar si modelos diferentes —locales, frontier, VLM y eventualmente observadores humanos— pueden producir observaciones compatibles con la misma maquinaria sin compartir hid</w:t>
      </w:r>
      <w:r w:rsidRPr="00DE10A5">
        <w:rPr>
          <w:lang w:val="es-ES"/>
        </w:rPr>
        <w:t>den state.</w:t>
      </w:r>
    </w:p>
    <w:p w14:paraId="740204CD" w14:textId="77777777" w:rsidR="00440F9D" w:rsidRPr="00DE10A5" w:rsidRDefault="00F91594">
      <w:pPr>
        <w:pStyle w:val="Compact"/>
        <w:numPr>
          <w:ilvl w:val="0"/>
          <w:numId w:val="9"/>
        </w:numPr>
        <w:rPr>
          <w:lang w:val="es-ES"/>
        </w:rPr>
      </w:pPr>
      <w:r w:rsidRPr="00DE10A5">
        <w:rPr>
          <w:b/>
          <w:bCs/>
          <w:lang w:val="es-ES"/>
        </w:rPr>
        <w:t>Autoridad y embodiment.</w:t>
      </w:r>
      <w:r w:rsidRPr="00DE10A5">
        <w:rPr>
          <w:lang w:val="es-ES"/>
        </w:rPr>
        <w:t xml:space="preserve"> Extender C10–C12 a sistemas físicos: una conclusión válida, una política de routing y una acción ejecutable deben permanecer separables bajo deadlines, outage, fallback y recovery.</w:t>
      </w:r>
    </w:p>
    <w:p w14:paraId="0C7F26DF" w14:textId="77777777" w:rsidR="00440F9D" w:rsidRPr="00DE10A5" w:rsidRDefault="00F91594">
      <w:pPr>
        <w:pStyle w:val="Ttulo3"/>
        <w:rPr>
          <w:lang w:val="es-ES"/>
        </w:rPr>
      </w:pPr>
      <w:bookmarkStart w:id="23" w:name="condiciones-de-falsación-útiles"/>
      <w:r w:rsidRPr="00DE10A5">
        <w:rPr>
          <w:lang w:val="es-ES"/>
        </w:rPr>
        <w:t>Condiciones de falsación útiles</w:t>
      </w:r>
    </w:p>
    <w:p w14:paraId="0502F495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hipót</w:t>
      </w:r>
      <w:r w:rsidRPr="00DE10A5">
        <w:rPr>
          <w:lang w:val="es-ES"/>
        </w:rPr>
        <w:t>esis pierde fuerza si el crecimiento interdominio obliga a introducir en el core ontologías particulares; si los adapters terminan recodificando la mayor parte de la semántica de cada problema; si los invariantes dependen sistemáticamente del idioma, prove</w:t>
      </w:r>
      <w:r w:rsidRPr="00DE10A5">
        <w:rPr>
          <w:lang w:val="es-ES"/>
        </w:rPr>
        <w:t>edor o modalidad; si la continuidad sólo puede conservarse manteniendo hidden state del observador; o si las transformaciones que deberían preservar estructura producen clases incompatibles de manera sistemática.</w:t>
      </w:r>
    </w:p>
    <w:p w14:paraId="5D6DBB1D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El objetivo científico no es demostrar que toda cognición “es MDPAR”. Es determinar con precisión </w:t>
      </w:r>
      <w:r w:rsidRPr="00DE10A5">
        <w:rPr>
          <w:b/>
          <w:bCs/>
          <w:lang w:val="es-ES"/>
        </w:rPr>
        <w:t>qué clase de regularidad estructural captura el formalismo, hasta dónde se conserva y dónde deja de hacerlo</w:t>
      </w:r>
      <w:r w:rsidRPr="00DE10A5">
        <w:rPr>
          <w:lang w:val="es-ES"/>
        </w:rPr>
        <w:t>.</w:t>
      </w:r>
    </w:p>
    <w:p w14:paraId="55B03035" w14:textId="77777777" w:rsidR="00440F9D" w:rsidRDefault="00F91594">
      <w:pPr>
        <w:spacing w:after="0"/>
      </w:pPr>
      <w:r>
        <w:pict w14:anchorId="4C45A70A">
          <v:rect id="_x0000_i1037" style="width:0;height:1.5pt" o:hralign="center" o:hrstd="t" o:hr="t"/>
        </w:pict>
      </w:r>
    </w:p>
    <w:p w14:paraId="633657F0" w14:textId="77777777" w:rsidR="00440F9D" w:rsidRDefault="00F91594">
      <w:pPr>
        <w:pStyle w:val="Ttulo2"/>
      </w:pPr>
      <w:bookmarkStart w:id="24" w:name="reproducibilidad"/>
      <w:bookmarkEnd w:id="22"/>
      <w:bookmarkEnd w:id="23"/>
      <w:r>
        <w:t>13. Reproducibilidad</w:t>
      </w:r>
    </w:p>
    <w:p w14:paraId="36D8879A" w14:textId="77777777" w:rsidR="00440F9D" w:rsidRDefault="00F91594">
      <w:pPr>
        <w:pStyle w:val="FirstParagraph"/>
      </w:pPr>
      <w:r>
        <w:t>Requisitos principales:</w:t>
      </w:r>
    </w:p>
    <w:p w14:paraId="2BD6EAA0" w14:textId="77777777" w:rsidR="00440F9D" w:rsidRDefault="00F91594">
      <w:pPr>
        <w:pStyle w:val="Compact"/>
        <w:numPr>
          <w:ilvl w:val="0"/>
          <w:numId w:val="10"/>
        </w:numPr>
      </w:pPr>
      <w:r>
        <w:t>Ja</w:t>
      </w:r>
      <w:r>
        <w:t>va 21;</w:t>
      </w:r>
    </w:p>
    <w:p w14:paraId="6EF3C122" w14:textId="77777777" w:rsidR="00440F9D" w:rsidRDefault="00F91594">
      <w:pPr>
        <w:pStyle w:val="Compact"/>
        <w:numPr>
          <w:ilvl w:val="0"/>
          <w:numId w:val="10"/>
        </w:numPr>
      </w:pPr>
      <w:r>
        <w:t>Maven 3.x.</w:t>
      </w:r>
    </w:p>
    <w:p w14:paraId="18451A5C" w14:textId="77777777" w:rsidR="00440F9D" w:rsidRDefault="00F91594">
      <w:pPr>
        <w:pStyle w:val="FirstParagraph"/>
      </w:pPr>
      <w:r>
        <w:t>Build y QA arquitectónica:</w:t>
      </w:r>
    </w:p>
    <w:p w14:paraId="2E10E934" w14:textId="77777777" w:rsidR="00440F9D" w:rsidRDefault="00F91594">
      <w:pPr>
        <w:pStyle w:val="SourceCode"/>
      </w:pPr>
      <w:r>
        <w:rPr>
          <w:rStyle w:val="ExtensionTok"/>
          <w:sz w:val="17"/>
        </w:rPr>
        <w:t>mvn</w:t>
      </w:r>
      <w:r>
        <w:rPr>
          <w:rStyle w:val="NormalTok"/>
          <w:sz w:val="17"/>
        </w:rPr>
        <w:t xml:space="preserve"> verify</w:t>
      </w:r>
    </w:p>
    <w:p w14:paraId="59CF490E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lastRenderedPageBreak/>
        <w:t xml:space="preserve">El lifecycle canónico compila el proyecto, construye el JAR y ejecuta la suite distribuida de verificaciones </w:t>
      </w:r>
      <w:r w:rsidRPr="00DE10A5">
        <w:rPr>
          <w:rStyle w:val="VerbatimChar"/>
          <w:lang w:val="es-ES"/>
        </w:rPr>
        <w:t>*Verification</w:t>
      </w:r>
      <w:r w:rsidRPr="00DE10A5">
        <w:rPr>
          <w:lang w:val="es-ES"/>
        </w:rPr>
        <w:t>. La verificación comprueba también que los documentos normativos de OPEN se e</w:t>
      </w:r>
      <w:r w:rsidRPr="00DE10A5">
        <w:rPr>
          <w:lang w:val="es-ES"/>
        </w:rPr>
        <w:t>ncuentran dentro del artefacto de runtime.</w:t>
      </w:r>
    </w:p>
    <w:p w14:paraId="00327DC6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Los Markdown situados bajo </w:t>
      </w:r>
      <w:r w:rsidRPr="00DE10A5">
        <w:rPr>
          <w:rStyle w:val="VerbatimChar"/>
          <w:lang w:val="es-ES"/>
        </w:rPr>
        <w:t>src/open/**</w:t>
      </w:r>
      <w:r w:rsidRPr="00DE10A5">
        <w:rPr>
          <w:lang w:val="es-ES"/>
        </w:rPr>
        <w:t xml:space="preserve"> no son documentación ornamental del repositorio: forman parte del contrato de conocimiento que puede consumir un identificador externo OPEN.</w:t>
      </w:r>
    </w:p>
    <w:p w14:paraId="2C0FC6AF" w14:textId="77777777" w:rsidR="00440F9D" w:rsidRDefault="00F91594">
      <w:pPr>
        <w:spacing w:after="0"/>
      </w:pPr>
      <w:r>
        <w:pict w14:anchorId="27260213">
          <v:rect id="_x0000_i1038" style="width:0;height:1.5pt" o:hralign="center" o:hrstd="t" o:hr="t"/>
        </w:pict>
      </w:r>
    </w:p>
    <w:p w14:paraId="7445F26D" w14:textId="77777777" w:rsidR="00440F9D" w:rsidRPr="00DE10A5" w:rsidRDefault="00F91594">
      <w:pPr>
        <w:pStyle w:val="Ttulo2"/>
        <w:rPr>
          <w:lang w:val="es-ES"/>
        </w:rPr>
      </w:pPr>
      <w:bookmarkStart w:id="25" w:name="mapa-del-repositorio"/>
      <w:bookmarkEnd w:id="24"/>
      <w:r w:rsidRPr="00DE10A5">
        <w:rPr>
          <w:lang w:val="es-ES"/>
        </w:rPr>
        <w:t>14. Mapa del repositorio</w:t>
      </w:r>
    </w:p>
    <w:p w14:paraId="3A72396F" w14:textId="77777777" w:rsidR="00440F9D" w:rsidRPr="00DE10A5" w:rsidRDefault="00F91594">
      <w:pPr>
        <w:pStyle w:val="SourceCode"/>
        <w:rPr>
          <w:lang w:val="es-ES"/>
        </w:rPr>
      </w:pPr>
      <w:r w:rsidRPr="00DE10A5">
        <w:rPr>
          <w:rStyle w:val="VerbatimChar"/>
          <w:sz w:val="17"/>
          <w:lang w:val="es-ES"/>
        </w:rPr>
        <w:t>src/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├</w:t>
      </w:r>
      <w:r w:rsidRPr="00DE10A5">
        <w:rPr>
          <w:rStyle w:val="VerbatimChar"/>
          <w:sz w:val="17"/>
          <w:lang w:val="es-ES"/>
        </w:rPr>
        <w:t>── mdpar_core/       # SCC, geometría, trayectoria y equivalencia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├── mdpar_parser/     # ensamblaje estructural y permutation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├── mdpar_engine/     # evaluación, resolución y memoria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├── mdpar_input/      # representaciones de ingress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 xml:space="preserve">├── mdpar_plugins/  </w:t>
      </w:r>
      <w:r w:rsidRPr="00DE10A5">
        <w:rPr>
          <w:rStyle w:val="VerbatimChar"/>
          <w:sz w:val="17"/>
          <w:lang w:val="es-ES"/>
        </w:rPr>
        <w:t xml:space="preserve">  # inteligencias CLOSED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├── mdpar_routing/    # ownership y autorización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├── mdpar_runtime/    # ejecución estructural neutral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├── open/             # contrato y conocimiento normativo OPEN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├── embodimentAnchor/ # frontera de ejecutabilidad</w:t>
      </w:r>
      <w:r w:rsidRPr="00DE10A5">
        <w:rPr>
          <w:rFonts w:ascii="Consolas" w:hAnsi="Consolas"/>
          <w:sz w:val="17"/>
          <w:lang w:val="es-ES"/>
        </w:rPr>
        <w:br/>
      </w:r>
      <w:r w:rsidRPr="00DE10A5">
        <w:rPr>
          <w:rStyle w:val="VerbatimChar"/>
          <w:sz w:val="17"/>
          <w:lang w:val="es-ES"/>
        </w:rPr>
        <w:t>└── mdpar_qa/         # suite de verificación arquitectónica</w:t>
      </w:r>
    </w:p>
    <w:p w14:paraId="4B121849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Para conocer un contrato técnico, la fuente normativa primaria es el </w:t>
      </w:r>
      <w:r w:rsidRPr="00DE10A5">
        <w:rPr>
          <w:rStyle w:val="VerbatimChar"/>
          <w:lang w:val="es-ES"/>
        </w:rPr>
        <w:t>package-info.java</w:t>
      </w:r>
      <w:r w:rsidRPr="00DE10A5">
        <w:rPr>
          <w:lang w:val="es-ES"/>
        </w:rPr>
        <w:t xml:space="preserve"> del paquete correspondiente y los Javadocs de sus tipos p</w:t>
      </w:r>
      <w:r w:rsidRPr="00DE10A5">
        <w:rPr>
          <w:lang w:val="es-ES"/>
        </w:rPr>
        <w:t>úblicos. El README presenta el formalismo y su posición científica; no replica esa especificación.</w:t>
      </w:r>
    </w:p>
    <w:p w14:paraId="103A94DE" w14:textId="77777777" w:rsidR="00440F9D" w:rsidRDefault="00F91594">
      <w:pPr>
        <w:spacing w:after="0"/>
      </w:pPr>
      <w:r>
        <w:pict w14:anchorId="782A6BC4">
          <v:rect id="_x0000_i1039" style="width:0;height:1.5pt" o:hralign="center" o:hrstd="t" o:hr="t"/>
        </w:pict>
      </w:r>
    </w:p>
    <w:p w14:paraId="326DD527" w14:textId="77777777" w:rsidR="00440F9D" w:rsidRPr="00DE10A5" w:rsidRDefault="00F91594">
      <w:pPr>
        <w:pStyle w:val="Ttulo2"/>
        <w:rPr>
          <w:lang w:val="es-ES"/>
        </w:rPr>
      </w:pPr>
      <w:bookmarkStart w:id="26" w:name="X04e6501f7272a80808641dbd9730d11289df7df"/>
      <w:bookmarkEnd w:id="25"/>
      <w:r w:rsidRPr="00DE10A5">
        <w:rPr>
          <w:lang w:val="es-ES"/>
        </w:rPr>
        <w:t>15. Vecindad matemática, científica y prioridad</w:t>
      </w:r>
    </w:p>
    <w:p w14:paraId="3A96FE1A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MDPAR utiliza matemáticas conocidas y debe evaluarse respecto a ellas, no por aislamiento terminológico. Al</w:t>
      </w:r>
      <w:r w:rsidRPr="00DE10A5">
        <w:rPr>
          <w:lang w:val="es-ES"/>
        </w:rPr>
        <w:t xml:space="preserve"> mismo tiempo, su claim científico no puede evaluarse sólo por compartir palabras como “estructura”, “reasoning”, “universal” o “authority”: la prioridad depende de la </w:t>
      </w:r>
      <w:r w:rsidRPr="00DE10A5">
        <w:rPr>
          <w:b/>
          <w:bCs/>
          <w:lang w:val="es-ES"/>
        </w:rPr>
        <w:t>conjunción exacta de propiedades</w:t>
      </w:r>
      <w:r w:rsidRPr="00DE10A5">
        <w:rPr>
          <w:lang w:val="es-ES"/>
        </w:rPr>
        <w:t xml:space="preserve"> que se afirma.</w:t>
      </w:r>
    </w:p>
    <w:p w14:paraId="4D9F097B" w14:textId="77777777" w:rsidR="00440F9D" w:rsidRDefault="00F91594">
      <w:pPr>
        <w:pStyle w:val="Ttulo3"/>
      </w:pPr>
      <w:bookmarkStart w:id="27" w:name="vecindad-matemática"/>
      <w:r>
        <w:t>15.1. Vecindad matemática</w:t>
      </w:r>
    </w:p>
    <w:p w14:paraId="693B8BF2" w14:textId="77777777" w:rsidR="00440F9D" w:rsidRPr="00DE10A5" w:rsidRDefault="00F91594">
      <w:pPr>
        <w:pStyle w:val="Compact"/>
        <w:numPr>
          <w:ilvl w:val="0"/>
          <w:numId w:val="11"/>
        </w:numPr>
        <w:rPr>
          <w:lang w:val="es-ES"/>
        </w:rPr>
      </w:pPr>
      <w:r>
        <w:rPr>
          <w:b/>
          <w:bCs/>
        </w:rPr>
        <w:t xml:space="preserve">Glynn Winskel </w:t>
      </w:r>
      <w:r>
        <w:rPr>
          <w:b/>
          <w:bCs/>
        </w:rPr>
        <w:t>— event structures y categorías de labelled transition systems.</w:t>
      </w:r>
      <w:r>
        <w:t xml:space="preserve"> </w:t>
      </w:r>
      <w:r w:rsidRPr="00DE10A5">
        <w:rPr>
          <w:lang w:val="es-ES"/>
        </w:rPr>
        <w:t>La literatura de concurrencia proporciona precedentes sólidos para distinguir ocurrencias, estados, transiciones y morfismos estructurales.</w:t>
      </w:r>
    </w:p>
    <w:p w14:paraId="2C74C212" w14:textId="77777777" w:rsidR="00440F9D" w:rsidRPr="00DE10A5" w:rsidRDefault="00F91594">
      <w:pPr>
        <w:pStyle w:val="Compact"/>
        <w:numPr>
          <w:ilvl w:val="0"/>
          <w:numId w:val="11"/>
        </w:numPr>
        <w:rPr>
          <w:lang w:val="es-ES"/>
        </w:rPr>
      </w:pPr>
      <w:r>
        <w:rPr>
          <w:b/>
          <w:bCs/>
        </w:rPr>
        <w:t>Pseudometric spaces y metric quotients.</w:t>
      </w:r>
      <w:r>
        <w:t xml:space="preserve"> </w:t>
      </w:r>
      <w:r w:rsidRPr="00DE10A5">
        <w:rPr>
          <w:lang w:val="es-ES"/>
        </w:rPr>
        <w:t xml:space="preserve">Fundamentan </w:t>
      </w:r>
      <w:r w:rsidRPr="00DE10A5">
        <w:rPr>
          <w:lang w:val="es-ES"/>
        </w:rPr>
        <w:t>la lectura correcta de la distancia radial y de la equivalencia por profundidad.</w:t>
      </w:r>
    </w:p>
    <w:p w14:paraId="1645E962" w14:textId="77777777" w:rsidR="00440F9D" w:rsidRPr="00DE10A5" w:rsidRDefault="00F91594">
      <w:pPr>
        <w:pStyle w:val="Compact"/>
        <w:numPr>
          <w:ilvl w:val="0"/>
          <w:numId w:val="11"/>
        </w:numPr>
        <w:rPr>
          <w:lang w:val="es-ES"/>
        </w:rPr>
      </w:pPr>
      <w:r w:rsidRPr="00DE10A5">
        <w:rPr>
          <w:b/>
          <w:bCs/>
          <w:lang w:val="es-ES"/>
        </w:rPr>
        <w:t>Graph isomorphism e invariantes.</w:t>
      </w:r>
      <w:r w:rsidRPr="00DE10A5">
        <w:rPr>
          <w:lang w:val="es-ES"/>
        </w:rPr>
        <w:t xml:space="preserve"> Proporcionan el marco adecuado para distinguir coincidencia de propiedades parciales de equivalencia estructural exacta.</w:t>
      </w:r>
    </w:p>
    <w:p w14:paraId="13171AF6" w14:textId="77777777" w:rsidR="00440F9D" w:rsidRPr="00DE10A5" w:rsidRDefault="00F91594">
      <w:pPr>
        <w:pStyle w:val="Compact"/>
        <w:numPr>
          <w:ilvl w:val="0"/>
          <w:numId w:val="11"/>
        </w:numPr>
        <w:rPr>
          <w:lang w:val="es-ES"/>
        </w:rPr>
      </w:pPr>
      <w:r w:rsidRPr="00DE10A5">
        <w:rPr>
          <w:b/>
          <w:bCs/>
          <w:lang w:val="es-ES"/>
        </w:rPr>
        <w:t>Peter Gärdenfors — Co</w:t>
      </w:r>
      <w:r w:rsidRPr="00DE10A5">
        <w:rPr>
          <w:b/>
          <w:bCs/>
          <w:lang w:val="es-ES"/>
        </w:rPr>
        <w:t>nceptual Spaces.</w:t>
      </w:r>
      <w:r w:rsidRPr="00DE10A5">
        <w:rPr>
          <w:lang w:val="es-ES"/>
        </w:rPr>
        <w:t xml:space="preserve"> Es un vecino geométrico importante, aunque orientado a similitud conceptual y regiones, no a profundidad y trayectoria SCC.</w:t>
      </w:r>
    </w:p>
    <w:p w14:paraId="78721858" w14:textId="77777777" w:rsidR="00440F9D" w:rsidRPr="00DE10A5" w:rsidRDefault="00F91594">
      <w:pPr>
        <w:pStyle w:val="Compact"/>
        <w:numPr>
          <w:ilvl w:val="0"/>
          <w:numId w:val="11"/>
        </w:numPr>
        <w:rPr>
          <w:lang w:val="es-ES"/>
        </w:rPr>
      </w:pPr>
      <w:r w:rsidRPr="00DE10A5">
        <w:rPr>
          <w:b/>
          <w:bCs/>
          <w:lang w:val="es-ES"/>
        </w:rPr>
        <w:t>RST, SDRT y eRST.</w:t>
      </w:r>
      <w:r w:rsidRPr="00DE10A5">
        <w:rPr>
          <w:lang w:val="es-ES"/>
        </w:rPr>
        <w:t xml:space="preserve"> Formalizan estructura discursiva y relaciones retóricas; MDPAR opera sobre una coordinación estru</w:t>
      </w:r>
      <w:r w:rsidRPr="00DE10A5">
        <w:rPr>
          <w:lang w:val="es-ES"/>
        </w:rPr>
        <w:t>ctural diferente y potencialmente componible.</w:t>
      </w:r>
    </w:p>
    <w:p w14:paraId="4C1CE506" w14:textId="77777777" w:rsidR="00440F9D" w:rsidRPr="00DE10A5" w:rsidRDefault="00F91594">
      <w:pPr>
        <w:pStyle w:val="Compact"/>
        <w:numPr>
          <w:ilvl w:val="0"/>
          <w:numId w:val="11"/>
        </w:numPr>
        <w:rPr>
          <w:lang w:val="es-ES"/>
        </w:rPr>
      </w:pPr>
      <w:r w:rsidRPr="00DE10A5">
        <w:rPr>
          <w:b/>
          <w:bCs/>
          <w:lang w:val="es-ES"/>
        </w:rPr>
        <w:t>Geometría contemporánea del razonamiento en LLM.</w:t>
      </w:r>
      <w:r w:rsidRPr="00DE10A5">
        <w:rPr>
          <w:lang w:val="es-ES"/>
        </w:rPr>
        <w:t xml:space="preserve"> Trabajos recientes estudian invariantes y trayectorias en espacios latentes. Su proximidad temática refuerza la relevancia de estudiar estructura independiente d</w:t>
      </w:r>
      <w:r w:rsidRPr="00DE10A5">
        <w:rPr>
          <w:lang w:val="es-ES"/>
        </w:rPr>
        <w:t>el carrier, pero MDPAR trabaja sobre una geometría simbólica externa al espacio de activación.</w:t>
      </w:r>
    </w:p>
    <w:p w14:paraId="0B8AF72B" w14:textId="77777777" w:rsidR="00440F9D" w:rsidRPr="00DE10A5" w:rsidRDefault="00F91594">
      <w:pPr>
        <w:pStyle w:val="Ttulo3"/>
        <w:rPr>
          <w:lang w:val="es-ES"/>
        </w:rPr>
      </w:pPr>
      <w:bookmarkStart w:id="28" w:name="genealogía-científica-del-problema"/>
      <w:bookmarkEnd w:id="27"/>
      <w:r w:rsidRPr="00DE10A5">
        <w:rPr>
          <w:lang w:val="es-ES"/>
        </w:rPr>
        <w:lastRenderedPageBreak/>
        <w:t>15.2. Genealogía científica del problema</w:t>
      </w:r>
    </w:p>
    <w:p w14:paraId="6D38D3E2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investigación de prioridad muestra una genealogía más rica que la comparación original del README.</w:t>
      </w:r>
    </w:p>
    <w:p w14:paraId="382565D6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b/>
          <w:bCs/>
          <w:lang w:val="es-ES"/>
        </w:rPr>
        <w:t>Structure-Mapping Theory</w:t>
      </w:r>
      <w:r w:rsidRPr="00DE10A5">
        <w:rPr>
          <w:lang w:val="es-ES"/>
        </w:rPr>
        <w:t xml:space="preserve"> anticipa la idea de que relaciones estructurales pueden preservarse entre dominios cuyo contenido difiere. </w:t>
      </w:r>
      <w:r w:rsidRPr="00DE10A5">
        <w:rPr>
          <w:b/>
          <w:bCs/>
          <w:lang w:val="es-ES"/>
        </w:rPr>
        <w:t>Generic Tasks, KADS/CommonKADS y Problem-Solving Methods</w:t>
      </w:r>
      <w:r w:rsidRPr="00DE10A5">
        <w:rPr>
          <w:lang w:val="es-ES"/>
        </w:rPr>
        <w:t xml:space="preserve"> establecen antecedentes directos para la separación entre conocimie</w:t>
      </w:r>
      <w:r w:rsidRPr="00DE10A5">
        <w:rPr>
          <w:lang w:val="es-ES"/>
        </w:rPr>
        <w:t xml:space="preserve">nto de dominio, inferencia y control, así como para métodos de razonamiento reutilizables. </w:t>
      </w:r>
      <w:r w:rsidRPr="00DE10A5">
        <w:rPr>
          <w:b/>
          <w:bCs/>
          <w:lang w:val="es-ES"/>
        </w:rPr>
        <w:t>Blackboard architectures</w:t>
      </w:r>
      <w:r w:rsidRPr="00DE10A5">
        <w:rPr>
          <w:lang w:val="es-ES"/>
        </w:rPr>
        <w:t xml:space="preserve"> anticipan cooperación entre fuentes heterogéneas mediante un estado y control comunes. </w:t>
      </w:r>
      <w:r w:rsidRPr="00DE10A5">
        <w:rPr>
          <w:b/>
          <w:bCs/>
          <w:lang w:val="es-ES"/>
        </w:rPr>
        <w:t>Shahar</w:t>
      </w:r>
      <w:r w:rsidRPr="00DE10A5">
        <w:rPr>
          <w:lang w:val="es-ES"/>
        </w:rPr>
        <w:t xml:space="preserve"> demostró que una inference structure independi</w:t>
      </w:r>
      <w:r w:rsidRPr="00DE10A5">
        <w:rPr>
          <w:lang w:val="es-ES"/>
        </w:rPr>
        <w:t>ente del dominio podía reutilizarse experimentalmente en dominios clínicos y de ingeniería.</w:t>
      </w:r>
    </w:p>
    <w:p w14:paraId="0DC08967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 xml:space="preserve">En la literatura contemporánea, </w:t>
      </w:r>
      <w:r w:rsidRPr="00DE10A5">
        <w:rPr>
          <w:b/>
          <w:bCs/>
          <w:lang w:val="es-ES"/>
        </w:rPr>
        <w:t>Tree/Graph of Thoughts y reasoning skeletons</w:t>
      </w:r>
      <w:r w:rsidRPr="00DE10A5">
        <w:rPr>
          <w:lang w:val="es-ES"/>
        </w:rPr>
        <w:t xml:space="preserve"> externalizan topologías de deliberación; </w:t>
      </w:r>
      <w:r w:rsidRPr="00DE10A5">
        <w:rPr>
          <w:b/>
          <w:bCs/>
          <w:lang w:val="es-ES"/>
        </w:rPr>
        <w:t>agent harnesses</w:t>
      </w:r>
      <w:r w:rsidRPr="00DE10A5">
        <w:rPr>
          <w:lang w:val="es-ES"/>
        </w:rPr>
        <w:t xml:space="preserve"> externalizan memoria, skills y</w:t>
      </w:r>
      <w:r w:rsidRPr="00DE10A5">
        <w:rPr>
          <w:lang w:val="es-ES"/>
        </w:rPr>
        <w:t xml:space="preserve"> protocolos; </w:t>
      </w:r>
      <w:r w:rsidRPr="00DE10A5">
        <w:rPr>
          <w:b/>
          <w:bCs/>
          <w:lang w:val="es-ES"/>
        </w:rPr>
        <w:t>routing/cascades</w:t>
      </w:r>
      <w:r w:rsidRPr="00DE10A5">
        <w:rPr>
          <w:lang w:val="es-ES"/>
        </w:rPr>
        <w:t xml:space="preserve"> separan adquisición de capacidad de un modelo único; y </w:t>
      </w:r>
      <w:r w:rsidRPr="00DE10A5">
        <w:rPr>
          <w:b/>
          <w:bCs/>
          <w:lang w:val="es-ES"/>
        </w:rPr>
        <w:t>Runtime Assurance / execution-authority architectures</w:t>
      </w:r>
      <w:r w:rsidRPr="00DE10A5">
        <w:rPr>
          <w:lang w:val="es-ES"/>
        </w:rPr>
        <w:t xml:space="preserve"> separan capacidad de permiso para actuar. Trabajos recientes sobre </w:t>
      </w:r>
      <w:r w:rsidRPr="00DE10A5">
        <w:rPr>
          <w:b/>
          <w:bCs/>
          <w:lang w:val="es-ES"/>
        </w:rPr>
        <w:t>reusable cognitive invariants</w:t>
      </w:r>
      <w:r w:rsidRPr="00DE10A5">
        <w:rPr>
          <w:lang w:val="es-ES"/>
        </w:rPr>
        <w:t xml:space="preserve"> y </w:t>
      </w:r>
      <w:r w:rsidRPr="00DE10A5">
        <w:rPr>
          <w:b/>
          <w:bCs/>
          <w:lang w:val="es-ES"/>
        </w:rPr>
        <w:t>universal reasonin</w:t>
      </w:r>
      <w:r w:rsidRPr="00DE10A5">
        <w:rPr>
          <w:b/>
          <w:bCs/>
          <w:lang w:val="es-ES"/>
        </w:rPr>
        <w:t>g substrates</w:t>
      </w:r>
      <w:r w:rsidRPr="00DE10A5">
        <w:rPr>
          <w:lang w:val="es-ES"/>
        </w:rPr>
        <w:t xml:space="preserve"> ocupan además parte de la terminología amplia que podría confundirse con MDPAR.</w:t>
      </w:r>
    </w:p>
    <w:p w14:paraId="2E63F2E9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Por tanto, MDPAR no debe reclamar prioridad sobre ninguno de esos ladrillos tomado aisladamente.</w:t>
      </w:r>
    </w:p>
    <w:p w14:paraId="4B6A9ADA" w14:textId="77777777" w:rsidR="00440F9D" w:rsidRPr="00DE10A5" w:rsidRDefault="00F91594">
      <w:pPr>
        <w:pStyle w:val="Ttulo3"/>
        <w:rPr>
          <w:lang w:val="es-ES"/>
        </w:rPr>
      </w:pPr>
      <w:bookmarkStart w:id="29" w:name="matriz-de-prioridad"/>
      <w:bookmarkEnd w:id="28"/>
      <w:r w:rsidRPr="00DE10A5">
        <w:rPr>
          <w:lang w:val="es-ES"/>
        </w:rPr>
        <w:t>15.3. Matriz de prioridad</w:t>
      </w:r>
    </w:p>
    <w:p w14:paraId="53C37E9A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búsqueda de prioridad utilizó como cr</w:t>
      </w:r>
      <w:r w:rsidRPr="00DE10A5">
        <w:rPr>
          <w:lang w:val="es-ES"/>
        </w:rPr>
        <w:t>iterios la presencia conjunta de las siguientes propiedades:</w:t>
      </w:r>
    </w:p>
    <w:p w14:paraId="0DDCB8E2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estructura inferencial explícita como objeto reutilizable;</w:t>
      </w:r>
    </w:p>
    <w:p w14:paraId="67AD6EE5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heterogeneidad semántica sin ontología semántica global común;</w:t>
      </w:r>
    </w:p>
    <w:p w14:paraId="03843B42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representación independiente del modelo que observa o interpreta;</w:t>
      </w:r>
    </w:p>
    <w:p w14:paraId="02E21451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persist</w:t>
      </w:r>
      <w:r w:rsidRPr="00DE10A5">
        <w:rPr>
          <w:lang w:val="es-ES"/>
        </w:rPr>
        <w:t>encia y continuidad fuera de hidden state;</w:t>
      </w:r>
    </w:p>
    <w:p w14:paraId="363229E3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operaciones formales sobre estructura —cálculo, equivalencia, transformación o invariantes—;</w:t>
      </w:r>
    </w:p>
    <w:p w14:paraId="3D7DC7BA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separación entre observación semántica y authority/ownership estructural;</w:t>
      </w:r>
    </w:p>
    <w:p w14:paraId="1D640862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separación entre validez cognitiva y autoridad de ejecución;</w:t>
      </w:r>
    </w:p>
    <w:p w14:paraId="21A25AF7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conservación de esa autoridad a través de modelo, compute, tiempo y degradación/recovery;</w:t>
      </w:r>
    </w:p>
    <w:p w14:paraId="6C887485" w14:textId="77777777" w:rsidR="00440F9D" w:rsidRPr="00DE10A5" w:rsidRDefault="00F91594">
      <w:pPr>
        <w:pStyle w:val="Compact"/>
        <w:numPr>
          <w:ilvl w:val="0"/>
          <w:numId w:val="12"/>
        </w:numPr>
        <w:rPr>
          <w:lang w:val="es-ES"/>
        </w:rPr>
      </w:pPr>
      <w:r w:rsidRPr="00DE10A5">
        <w:rPr>
          <w:lang w:val="es-ES"/>
        </w:rPr>
        <w:t>evaluación integrada de varias de esas propiedades sobre una misma arquitectura.</w:t>
      </w:r>
    </w:p>
    <w:p w14:paraId="49EAF466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Los antecedentes localiz</w:t>
      </w:r>
      <w:r w:rsidRPr="00DE10A5">
        <w:rPr>
          <w:lang w:val="es-ES"/>
        </w:rPr>
        <w:t>ados cubren subconjuntos relevantes. Ninguno de los trabajos revisados cubre de forma identificada la conjunción completa.</w:t>
      </w:r>
    </w:p>
    <w:p w14:paraId="55AEBE0D" w14:textId="77777777" w:rsidR="00440F9D" w:rsidRPr="00DE10A5" w:rsidRDefault="00F91594">
      <w:pPr>
        <w:pStyle w:val="Ttulo3"/>
        <w:rPr>
          <w:lang w:val="es-ES"/>
        </w:rPr>
      </w:pPr>
      <w:bookmarkStart w:id="30" w:name="claim-de-prioridad-candidato"/>
      <w:bookmarkEnd w:id="29"/>
      <w:r w:rsidRPr="00DE10A5">
        <w:rPr>
          <w:lang w:val="es-ES"/>
        </w:rPr>
        <w:t>15.4. Claim de prioridad candidato</w:t>
      </w:r>
    </w:p>
    <w:p w14:paraId="2BBDE020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formulación prudente no es “MDPAR inventa la estructura del razonamiento” ni “es el primer univ</w:t>
      </w:r>
      <w:r w:rsidRPr="00DE10A5">
        <w:rPr>
          <w:lang w:val="es-ES"/>
        </w:rPr>
        <w:t>ersal reasoning substrate”. Es la siguiente:</w:t>
      </w:r>
    </w:p>
    <w:p w14:paraId="2E4BF894" w14:textId="77777777" w:rsidR="00440F9D" w:rsidRPr="00DE10A5" w:rsidRDefault="00F91594">
      <w:pPr>
        <w:pStyle w:val="Textodebloque"/>
        <w:pBdr>
          <w:left w:val="single" w:sz="18" w:space="8" w:color="2E75B6"/>
        </w:pBdr>
        <w:rPr>
          <w:lang w:val="es-ES"/>
        </w:rPr>
      </w:pPr>
      <w:r w:rsidRPr="00DE10A5">
        <w:rPr>
          <w:b/>
          <w:bCs/>
          <w:lang w:val="es-ES"/>
        </w:rPr>
        <w:t xml:space="preserve">MDPAR propone y operacionaliza una infraestructura inferencial persistente cuyo objeto estructural puede ser compartido por realizaciones semánticas heterogéneas sin exigir una ontología semántica global común, </w:t>
      </w:r>
      <w:r w:rsidRPr="00DE10A5">
        <w:rPr>
          <w:b/>
          <w:bCs/>
          <w:lang w:val="es-ES"/>
        </w:rPr>
        <w:t>manteniendo fuera de los modelos que aportan semántica el ownership sobre estructura, continuidad, propiedades calculables y autoridad operacional.</w:t>
      </w:r>
    </w:p>
    <w:p w14:paraId="338C0E26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Y, en su dimensión experimental:</w:t>
      </w:r>
    </w:p>
    <w:p w14:paraId="1F078D1E" w14:textId="77777777" w:rsidR="00440F9D" w:rsidRPr="00DE10A5" w:rsidRDefault="00F91594">
      <w:pPr>
        <w:pStyle w:val="Textodebloque"/>
        <w:pBdr>
          <w:left w:val="single" w:sz="18" w:space="8" w:color="2E75B6"/>
        </w:pBdr>
        <w:rPr>
          <w:lang w:val="es-ES"/>
        </w:rPr>
      </w:pPr>
      <w:r w:rsidRPr="00DE10A5">
        <w:rPr>
          <w:b/>
          <w:bCs/>
          <w:lang w:val="es-ES"/>
        </w:rPr>
        <w:t>MDPAR somete esa separación a identificación, metrología, cálculo, transfor</w:t>
      </w:r>
      <w:r w:rsidRPr="00DE10A5">
        <w:rPr>
          <w:b/>
          <w:bCs/>
          <w:lang w:val="es-ES"/>
        </w:rPr>
        <w:t>mación, invariancia, reparación contextual, longitudinalidad, routing, adquisición adaptativa de cognición, autoridad temporal, degradación y recovery.</w:t>
      </w:r>
    </w:p>
    <w:p w14:paraId="7FBD6C0C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lastRenderedPageBreak/>
        <w:t>La conclusión metodológicamente defendible a septiembre de 2026 es:</w:t>
      </w:r>
    </w:p>
    <w:p w14:paraId="20E6F263" w14:textId="77777777" w:rsidR="00440F9D" w:rsidRPr="00DE10A5" w:rsidRDefault="00F91594">
      <w:pPr>
        <w:pStyle w:val="Textodebloque"/>
        <w:pBdr>
          <w:left w:val="single" w:sz="18" w:space="8" w:color="2E75B6"/>
        </w:pBdr>
        <w:rPr>
          <w:lang w:val="es-ES"/>
        </w:rPr>
      </w:pPr>
      <w:r w:rsidRPr="00DE10A5">
        <w:rPr>
          <w:b/>
          <w:bCs/>
          <w:lang w:val="es-ES"/>
        </w:rPr>
        <w:t>En la búsqueda bibliográfica de prio</w:t>
      </w:r>
      <w:r w:rsidRPr="00DE10A5">
        <w:rPr>
          <w:b/>
          <w:bCs/>
          <w:lang w:val="es-ES"/>
        </w:rPr>
        <w:t>ridad realizada no se ha identificado prior art que satisfaga la conjunción completa del claim arquitectónico y de la hipótesis MDPAR.</w:t>
      </w:r>
    </w:p>
    <w:p w14:paraId="56ED7457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Esto </w:t>
      </w:r>
      <w:r w:rsidRPr="00DE10A5">
        <w:rPr>
          <w:b/>
          <w:bCs/>
          <w:lang w:val="es-ES"/>
        </w:rPr>
        <w:t>no equivale</w:t>
      </w:r>
      <w:r w:rsidRPr="00DE10A5">
        <w:rPr>
          <w:lang w:val="es-ES"/>
        </w:rPr>
        <w:t xml:space="preserve"> a una prueba absoluta de prioridad mundial. Una afirmación de ese rango exigiría cerrar una revisión sis</w:t>
      </w:r>
      <w:r w:rsidRPr="00DE10A5">
        <w:rPr>
          <w:lang w:val="es-ES"/>
        </w:rPr>
        <w:t xml:space="preserve">temática reproducible en bases bibliográficas propietarias —por ejemplo Scopus y Web of Science— además de ACM, IEEE, Scholar y snowballing backward/forward. La investigación realizada sí es suficiente para descartar varios claims demasiado amplios y para </w:t>
      </w:r>
      <w:r w:rsidRPr="00DE10A5">
        <w:rPr>
          <w:lang w:val="es-ES"/>
        </w:rPr>
        <w:t>fijar con mucha mayor precisión qué proposición debe intentar falsarse en esa revisión.</w:t>
      </w:r>
    </w:p>
    <w:p w14:paraId="6E95062B" w14:textId="77777777" w:rsidR="00440F9D" w:rsidRPr="00DE10A5" w:rsidRDefault="00F91594">
      <w:pPr>
        <w:pStyle w:val="Ttulo3"/>
        <w:rPr>
          <w:lang w:val="es-ES"/>
        </w:rPr>
      </w:pPr>
      <w:bookmarkStart w:id="31" w:name="relación-con-inteligencia-general"/>
      <w:bookmarkEnd w:id="30"/>
      <w:r w:rsidRPr="00DE10A5">
        <w:rPr>
          <w:lang w:val="es-ES"/>
        </w:rPr>
        <w:t>15.5. Relación con inteligencia general</w:t>
      </w:r>
    </w:p>
    <w:p w14:paraId="661A9448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 xml:space="preserve">MDPAR no es una AGI ni pretende reemplazar una cognitive architecture completa. La consecuencia relevante es condicional: si la </w:t>
      </w:r>
      <w:r w:rsidRPr="00DE10A5">
        <w:rPr>
          <w:lang w:val="es-ES"/>
        </w:rPr>
        <w:t xml:space="preserve">universalidad estructural se confirma, una parte de la generalidad cognitiva </w:t>
      </w:r>
      <w:r w:rsidRPr="00DE10A5">
        <w:rPr>
          <w:b/>
          <w:bCs/>
          <w:lang w:val="es-ES"/>
        </w:rPr>
        <w:t>no tendría que residir íntegramente en un único modelo</w:t>
      </w:r>
      <w:r w:rsidRPr="00DE10A5">
        <w:rPr>
          <w:lang w:val="es-ES"/>
        </w:rPr>
        <w:t>. Podría residir en infraestructura inferencial reutilizable que coopera con distintos proveedores de semántica.</w:t>
      </w:r>
    </w:p>
    <w:p w14:paraId="24B78751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Ese resultad</w:t>
      </w:r>
      <w:r w:rsidRPr="00DE10A5">
        <w:rPr>
          <w:lang w:val="es-ES"/>
        </w:rPr>
        <w:t>o no demostraría inteligencia general por sí mismo, pero cambiaría dónde puede localizarse una parte de la organización necesaria para construir sistemas más generales.</w:t>
      </w:r>
    </w:p>
    <w:p w14:paraId="2FCEFD40" w14:textId="77777777" w:rsidR="00440F9D" w:rsidRDefault="00F91594">
      <w:pPr>
        <w:pStyle w:val="Ttulo3"/>
      </w:pPr>
      <w:bookmarkStart w:id="32" w:name="referencias-seleccionadas"/>
      <w:bookmarkEnd w:id="31"/>
      <w:r>
        <w:t>Referencias seleccionadas</w:t>
      </w:r>
    </w:p>
    <w:p w14:paraId="32D65D63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Gentner, D. (1983). </w:t>
      </w:r>
      <w:r>
        <w:rPr>
          <w:i/>
          <w:iCs/>
        </w:rPr>
        <w:t>Structure-Mapping: A Theoretical Framework for Analogy</w:t>
      </w:r>
      <w:r>
        <w:t>. Cognitive Science, 7(2), 155–170. https://doi.org/10.1207/s15516709cog0702_3</w:t>
      </w:r>
    </w:p>
    <w:p w14:paraId="64C97056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Chandrasekaran, B. (1986). </w:t>
      </w:r>
      <w:r>
        <w:rPr>
          <w:i/>
          <w:iCs/>
        </w:rPr>
        <w:t>Generic Tasks in Knowledge-Based Reasoning: High-Level Building Blocks for Expert System Design</w:t>
      </w:r>
      <w:r>
        <w:t>.</w:t>
      </w:r>
      <w:r>
        <w:t xml:space="preserve"> IEEE Expert, 1(3), 23–30.</w:t>
      </w:r>
    </w:p>
    <w:p w14:paraId="1EE77720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Wielinga, B. J., Schreiber, A. T., &amp; Breuker, J. A. (1992). </w:t>
      </w:r>
      <w:r>
        <w:rPr>
          <w:i/>
          <w:iCs/>
        </w:rPr>
        <w:t>KADS: A Modelling Approach to Knowledge Engineering</w:t>
      </w:r>
      <w:r>
        <w:t>. Knowledge Acquisition, 4(1), 5–53.</w:t>
      </w:r>
    </w:p>
    <w:p w14:paraId="30D1BEF9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Schreiber, G. et al. (2000). </w:t>
      </w:r>
      <w:r>
        <w:rPr>
          <w:i/>
          <w:iCs/>
        </w:rPr>
        <w:t>Knowledge Engineering and Management: The CommonKADS</w:t>
      </w:r>
      <w:r>
        <w:rPr>
          <w:i/>
          <w:iCs/>
        </w:rPr>
        <w:t xml:space="preserve"> Methodology</w:t>
      </w:r>
      <w:r>
        <w:t>. MIT Press.</w:t>
      </w:r>
    </w:p>
    <w:p w14:paraId="799820B5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Fensel, D. (2000). </w:t>
      </w:r>
      <w:r>
        <w:rPr>
          <w:i/>
          <w:iCs/>
        </w:rPr>
        <w:t>Problem-Solving Methods: Understanding, Description, Development, and Reuse</w:t>
      </w:r>
      <w:r>
        <w:t>. Springer.</w:t>
      </w:r>
    </w:p>
    <w:p w14:paraId="5C2BC02E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Hayes-Roth, B. (1985). </w:t>
      </w:r>
      <w:r>
        <w:rPr>
          <w:i/>
          <w:iCs/>
        </w:rPr>
        <w:t>A Blackboard Architecture for Control</w:t>
      </w:r>
      <w:r>
        <w:t>. Artificial Intelligence, 26(3), 251–321.</w:t>
      </w:r>
    </w:p>
    <w:p w14:paraId="15788B71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Shahar, Y. (1997). </w:t>
      </w:r>
      <w:r>
        <w:rPr>
          <w:i/>
          <w:iCs/>
        </w:rPr>
        <w:t>A F</w:t>
      </w:r>
      <w:r>
        <w:rPr>
          <w:i/>
          <w:iCs/>
        </w:rPr>
        <w:t>ramework for Knowledge-Based Temporal Abstraction</w:t>
      </w:r>
      <w:r>
        <w:t>. Artificial Intelligence, 90(1–2), 79–133. https://doi.org/10.1016/S0004-3702(96)00025-2</w:t>
      </w:r>
    </w:p>
    <w:p w14:paraId="4C8A22A6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Laird, J. E., Lebiere, C., &amp; Rosenbloom, P. S. (2017). </w:t>
      </w:r>
      <w:r>
        <w:rPr>
          <w:i/>
          <w:iCs/>
        </w:rPr>
        <w:t>A Standard Model of the Mind: Toward a Common Computational Fr</w:t>
      </w:r>
      <w:r>
        <w:rPr>
          <w:i/>
          <w:iCs/>
        </w:rPr>
        <w:t>amework across Artificial Intelligence, Cognitive Science, Neuroscience, and Robotics</w:t>
      </w:r>
      <w:r>
        <w:t>. AI Magazine, 38(4), 13–26. https://doi.org/10.1609/aimag.v38i4.2744</w:t>
      </w:r>
    </w:p>
    <w:p w14:paraId="6A6027C6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Banarescu, L. et al. (2013). </w:t>
      </w:r>
      <w:r>
        <w:rPr>
          <w:i/>
          <w:iCs/>
        </w:rPr>
        <w:t>Abstract Meaning Representation for Sembanking</w:t>
      </w:r>
      <w:r>
        <w:t>. Proceedings of the 7th L</w:t>
      </w:r>
      <w:r>
        <w:t>inguistic Annotation Workshop and Interoperability with Discourse.</w:t>
      </w:r>
    </w:p>
    <w:p w14:paraId="05E2BF3C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Abend, O., &amp; Rappoport, A. (2013). </w:t>
      </w:r>
      <w:r>
        <w:rPr>
          <w:i/>
          <w:iCs/>
        </w:rPr>
        <w:t>Universal Conceptual Cognitive Annotation (UCCA)</w:t>
      </w:r>
      <w:r>
        <w:t>. ACL.</w:t>
      </w:r>
    </w:p>
    <w:p w14:paraId="66CF0E47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Nivre, J. et al. (2016). </w:t>
      </w:r>
      <w:r>
        <w:rPr>
          <w:i/>
          <w:iCs/>
        </w:rPr>
        <w:t>Universal Dependencies v1: A Multilingual Treebank Collection</w:t>
      </w:r>
      <w:r>
        <w:t>. LREC.</w:t>
      </w:r>
    </w:p>
    <w:p w14:paraId="30639D73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Yao, </w:t>
      </w:r>
      <w:r>
        <w:t xml:space="preserve">S. et al. (2023). </w:t>
      </w:r>
      <w:r>
        <w:rPr>
          <w:i/>
          <w:iCs/>
        </w:rPr>
        <w:t>Tree of Thoughts: Deliberate Problem Solving with Large Language Models</w:t>
      </w:r>
      <w:r>
        <w:t>. NeurIPS.</w:t>
      </w:r>
    </w:p>
    <w:p w14:paraId="789C0E94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Besta, M. et al. (2024). </w:t>
      </w:r>
      <w:r>
        <w:rPr>
          <w:i/>
          <w:iCs/>
        </w:rPr>
        <w:t>Graph of Thoughts: Solving Elaborate Problems with Large Language Models</w:t>
      </w:r>
      <w:r>
        <w:t>. AAAI.</w:t>
      </w:r>
    </w:p>
    <w:p w14:paraId="15E840C0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Yao, S. et al. (2023). </w:t>
      </w:r>
      <w:r>
        <w:rPr>
          <w:i/>
          <w:iCs/>
        </w:rPr>
        <w:t>ReAct: Synergizing Reasoning</w:t>
      </w:r>
      <w:r>
        <w:rPr>
          <w:i/>
          <w:iCs/>
        </w:rPr>
        <w:t xml:space="preserve"> and Acting in Language Models</w:t>
      </w:r>
      <w:r>
        <w:t>. ICLR.</w:t>
      </w:r>
    </w:p>
    <w:p w14:paraId="0A08B855" w14:textId="77777777" w:rsidR="00440F9D" w:rsidRDefault="00F91594">
      <w:pPr>
        <w:pStyle w:val="Compact"/>
        <w:numPr>
          <w:ilvl w:val="0"/>
          <w:numId w:val="13"/>
        </w:numPr>
      </w:pPr>
      <w:r>
        <w:lastRenderedPageBreak/>
        <w:t xml:space="preserve">Chen, L. et al. (2024). </w:t>
      </w:r>
      <w:r>
        <w:rPr>
          <w:i/>
          <w:iCs/>
        </w:rPr>
        <w:t>FrugalGPT: How to Use Large Language Models While Reducing Cost and Improving Performance</w:t>
      </w:r>
      <w:r>
        <w:t>. Transactions on Machine Learning Research.</w:t>
      </w:r>
    </w:p>
    <w:p w14:paraId="0B94394C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Winskel, G. (1987). </w:t>
      </w:r>
      <w:r>
        <w:rPr>
          <w:i/>
          <w:iCs/>
        </w:rPr>
        <w:t>Event Structures</w:t>
      </w:r>
      <w:r>
        <w:t xml:space="preserve">. In </w:t>
      </w:r>
      <w:r>
        <w:rPr>
          <w:i/>
          <w:iCs/>
        </w:rPr>
        <w:t>Advances in Petri Nets</w:t>
      </w:r>
      <w:r>
        <w:t>. Springer.</w:t>
      </w:r>
    </w:p>
    <w:p w14:paraId="5066D6B9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Winskel, G. (1990). </w:t>
      </w:r>
      <w:r>
        <w:rPr>
          <w:i/>
          <w:iCs/>
        </w:rPr>
        <w:t>A Compositional Proof System on a Category of Labelled Transition Systems</w:t>
      </w:r>
      <w:r>
        <w:t>. Information and Computation, 87(1–2), 2–57.</w:t>
      </w:r>
    </w:p>
    <w:p w14:paraId="1448674E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Gärdenfors, P. (2000). </w:t>
      </w:r>
      <w:r>
        <w:rPr>
          <w:i/>
          <w:iCs/>
        </w:rPr>
        <w:t>Conceptual Spaces: The Geometry of Thought</w:t>
      </w:r>
      <w:r>
        <w:t>. MIT Press.</w:t>
      </w:r>
    </w:p>
    <w:p w14:paraId="38AFC49F" w14:textId="77777777" w:rsidR="00440F9D" w:rsidRDefault="00F91594">
      <w:pPr>
        <w:pStyle w:val="Compact"/>
        <w:numPr>
          <w:ilvl w:val="0"/>
          <w:numId w:val="13"/>
        </w:numPr>
      </w:pPr>
      <w:r>
        <w:t>Zhou,</w:t>
      </w:r>
      <w:r>
        <w:t xml:space="preserve"> Y. et al. (2026). </w:t>
      </w:r>
      <w:r>
        <w:rPr>
          <w:i/>
          <w:iCs/>
        </w:rPr>
        <w:t>The Geometry of Reasoning: Flowing Logics in Representation Space</w:t>
      </w:r>
      <w:r>
        <w:t>. ICLR 2026.</w:t>
      </w:r>
    </w:p>
    <w:p w14:paraId="4A16E4D3" w14:textId="77777777" w:rsidR="00440F9D" w:rsidRDefault="00F91594">
      <w:pPr>
        <w:pStyle w:val="Compact"/>
        <w:numPr>
          <w:ilvl w:val="0"/>
          <w:numId w:val="13"/>
        </w:numPr>
      </w:pPr>
      <w:r>
        <w:t xml:space="preserve">Lippl, S. et al. (2026). </w:t>
      </w:r>
      <w:r>
        <w:rPr>
          <w:i/>
          <w:iCs/>
        </w:rPr>
        <w:t>Algorithmic Primitives and Compositional Geometry of Reasoning in Language Models</w:t>
      </w:r>
      <w:r>
        <w:t>. ICML 2026.</w:t>
      </w:r>
    </w:p>
    <w:p w14:paraId="6B553D0E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La bibliografía anterior establece la ge</w:t>
      </w:r>
      <w:r w:rsidRPr="00DE10A5">
        <w:rPr>
          <w:lang w:val="es-ES"/>
        </w:rPr>
        <w:t xml:space="preserve">nealogía científica principal. Artefactos técnicos contemporáneos no peer-reviewed que utilizan expresiones como </w:t>
      </w:r>
      <w:r w:rsidRPr="00DE10A5">
        <w:rPr>
          <w:i/>
          <w:iCs/>
          <w:lang w:val="es-ES"/>
        </w:rPr>
        <w:t>persistent reasoning</w:t>
      </w:r>
      <w:r w:rsidRPr="00DE10A5">
        <w:rPr>
          <w:lang w:val="es-ES"/>
        </w:rPr>
        <w:t xml:space="preserve"> o </w:t>
      </w:r>
      <w:r w:rsidRPr="00DE10A5">
        <w:rPr>
          <w:i/>
          <w:iCs/>
          <w:lang w:val="es-ES"/>
        </w:rPr>
        <w:t>universal reasoning substrate</w:t>
      </w:r>
      <w:r w:rsidRPr="00DE10A5">
        <w:rPr>
          <w:lang w:val="es-ES"/>
        </w:rPr>
        <w:t xml:space="preserve"> son relevantes para la auditoría de terminología y prioridad, pero no se confunden aquí co</w:t>
      </w:r>
      <w:r w:rsidRPr="00DE10A5">
        <w:rPr>
          <w:lang w:val="es-ES"/>
        </w:rPr>
        <w:t>n literatura científica revisada por pares.</w:t>
      </w:r>
    </w:p>
    <w:p w14:paraId="40142A16" w14:textId="77777777" w:rsidR="00440F9D" w:rsidRDefault="00F91594">
      <w:pPr>
        <w:spacing w:after="0"/>
      </w:pPr>
      <w:r>
        <w:pict w14:anchorId="0E752861">
          <v:rect id="_x0000_i1040" style="width:0;height:1.5pt" o:hralign="center" o:hrstd="t" o:hr="t"/>
        </w:pict>
      </w:r>
    </w:p>
    <w:p w14:paraId="609F6C53" w14:textId="77777777" w:rsidR="00440F9D" w:rsidRPr="00DE10A5" w:rsidRDefault="00F91594">
      <w:pPr>
        <w:pStyle w:val="Ttulo2"/>
        <w:rPr>
          <w:lang w:val="es-ES"/>
        </w:rPr>
      </w:pPr>
      <w:bookmarkStart w:id="33" w:name="estado-del-proyecto-citación-y-derechos"/>
      <w:bookmarkEnd w:id="26"/>
      <w:bookmarkEnd w:id="32"/>
      <w:r w:rsidRPr="00DE10A5">
        <w:rPr>
          <w:lang w:val="es-ES"/>
        </w:rPr>
        <w:t>16. Estado del proyecto, citación y derechos</w:t>
      </w:r>
    </w:p>
    <w:p w14:paraId="5F0BA04A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b/>
          <w:bCs/>
          <w:lang w:val="es-ES"/>
        </w:rPr>
        <w:t>MDPAR 2.0.0</w:t>
      </w:r>
      <w:r w:rsidRPr="00DE10A5">
        <w:rPr>
          <w:lang w:val="es-ES"/>
        </w:rPr>
        <w:t xml:space="preserve"> es una implementación funcional del formalismo descrito en este documento. Su núcleo Java constituye el artefacto ejecutable sobre el que se ha realizado</w:t>
      </w:r>
      <w:r w:rsidRPr="00DE10A5">
        <w:rPr>
          <w:lang w:val="es-ES"/>
        </w:rPr>
        <w:t xml:space="preserve"> la campaña C0–C12. La estabilidad de una arquitectura software no equivale, sin embargo, a la validación de todas sus hipótesis científicas.</w:t>
      </w:r>
    </w:p>
    <w:p w14:paraId="5C11258D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El proyecto adopta una regla de publicación sencilla:</w:t>
      </w:r>
    </w:p>
    <w:p w14:paraId="18DA76EE" w14:textId="77777777" w:rsidR="00440F9D" w:rsidRPr="00DE10A5" w:rsidRDefault="00F91594">
      <w:pPr>
        <w:pStyle w:val="Textodebloque"/>
        <w:pBdr>
          <w:left w:val="single" w:sz="18" w:space="8" w:color="2E75B6"/>
        </w:pBdr>
        <w:rPr>
          <w:lang w:val="es-ES"/>
        </w:rPr>
      </w:pPr>
      <w:r w:rsidRPr="00DE10A5">
        <w:rPr>
          <w:b/>
          <w:bCs/>
          <w:lang w:val="es-ES"/>
        </w:rPr>
        <w:t>Las propiedades del software se verifican; las consecuencias</w:t>
      </w:r>
      <w:r w:rsidRPr="00DE10A5">
        <w:rPr>
          <w:b/>
          <w:bCs/>
          <w:lang w:val="es-ES"/>
        </w:rPr>
        <w:t xml:space="preserve"> matemáticas se demuestran; las regularidades empíricas se experimentan; las hipótesis se presentan como hipótesis.</w:t>
      </w:r>
    </w:p>
    <w:p w14:paraId="101140BC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Ese principio delimita tanto lo que MDPAR puede afirmar hoy como el programa de investigación necesario para determinar hasta dónde puede llegar.</w:t>
      </w:r>
    </w:p>
    <w:p w14:paraId="00ED2F96" w14:textId="77777777" w:rsidR="00440F9D" w:rsidRPr="00DE10A5" w:rsidRDefault="00F91594">
      <w:pPr>
        <w:pStyle w:val="Ttulo3"/>
        <w:rPr>
          <w:lang w:val="es-ES"/>
        </w:rPr>
      </w:pPr>
      <w:bookmarkStart w:id="34" w:name="citación-recomendada"/>
      <w:r w:rsidRPr="00DE10A5">
        <w:rPr>
          <w:lang w:val="es-ES"/>
        </w:rPr>
        <w:t>Citación recomendada</w:t>
      </w:r>
    </w:p>
    <w:p w14:paraId="26474551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b/>
          <w:bCs/>
          <w:lang w:val="es-ES"/>
        </w:rPr>
        <w:t xml:space="preserve">Pérez Galán, Andrés (2026). </w:t>
      </w:r>
      <w:r w:rsidRPr="00DE10A5">
        <w:rPr>
          <w:b/>
          <w:bCs/>
          <w:i/>
          <w:iCs/>
          <w:lang w:val="es-ES"/>
        </w:rPr>
        <w:t>MDPAR — Formalismo estructural de trayectorias de razonamient</w:t>
      </w:r>
      <w:r w:rsidRPr="00DE10A5">
        <w:rPr>
          <w:b/>
          <w:bCs/>
          <w:i/>
          <w:iCs/>
          <w:lang w:val="es-ES"/>
        </w:rPr>
        <w:t>o. Modelo de Dirección de Pensamiento Ampliado y Refinado.</w:t>
      </w:r>
      <w:r w:rsidRPr="00DE10A5">
        <w:rPr>
          <w:b/>
          <w:bCs/>
          <w:lang w:val="es-ES"/>
        </w:rPr>
        <w:t xml:space="preserve"> Madrid, España.</w:t>
      </w:r>
    </w:p>
    <w:p w14:paraId="173AF445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Cuando una publicación posterior disponga de DOI, venue o identificador bibliográfico estable, esa referencia deberá preferirse para citar el resultado científico concreto correspon</w:t>
      </w:r>
      <w:r w:rsidRPr="00DE10A5">
        <w:rPr>
          <w:lang w:val="es-ES"/>
        </w:rPr>
        <w:t>diente.</w:t>
      </w:r>
    </w:p>
    <w:p w14:paraId="4BB9B0C1" w14:textId="77777777" w:rsidR="00440F9D" w:rsidRPr="00DE10A5" w:rsidRDefault="00F91594">
      <w:pPr>
        <w:pStyle w:val="Ttulo3"/>
        <w:rPr>
          <w:lang w:val="es-ES"/>
        </w:rPr>
      </w:pPr>
      <w:bookmarkStart w:id="35" w:name="autoría-y-propiedad-intelectual"/>
      <w:bookmarkEnd w:id="34"/>
      <w:r w:rsidRPr="00DE10A5">
        <w:rPr>
          <w:lang w:val="es-ES"/>
        </w:rPr>
        <w:t>Autoría y propiedad intelectual</w:t>
      </w:r>
    </w:p>
    <w:p w14:paraId="2DBEA85B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b/>
          <w:bCs/>
          <w:lang w:val="es-ES"/>
        </w:rPr>
        <w:t>Autor:</w:t>
      </w:r>
      <w:r w:rsidRPr="00DE10A5">
        <w:rPr>
          <w:lang w:val="es-ES"/>
        </w:rPr>
        <w:t xml:space="preserve"> Andrés Pérez Galán.</w:t>
      </w:r>
      <w:r w:rsidRPr="00DE10A5">
        <w:rPr>
          <w:lang w:val="es-ES"/>
        </w:rPr>
        <w:br/>
      </w:r>
      <w:r w:rsidRPr="00DE10A5">
        <w:rPr>
          <w:b/>
          <w:bCs/>
          <w:lang w:val="es-ES"/>
        </w:rPr>
        <w:t>Año:</w:t>
      </w:r>
      <w:r w:rsidRPr="00DE10A5">
        <w:rPr>
          <w:lang w:val="es-ES"/>
        </w:rPr>
        <w:t xml:space="preserve"> 2026.</w:t>
      </w:r>
      <w:r w:rsidRPr="00DE10A5">
        <w:rPr>
          <w:lang w:val="es-ES"/>
        </w:rPr>
        <w:br/>
      </w:r>
      <w:r w:rsidRPr="00DE10A5">
        <w:rPr>
          <w:b/>
          <w:bCs/>
          <w:lang w:val="es-ES"/>
        </w:rPr>
        <w:t>Situación declarada:</w:t>
      </w:r>
      <w:r w:rsidRPr="00DE10A5">
        <w:rPr>
          <w:lang w:val="es-ES"/>
        </w:rPr>
        <w:t xml:space="preserve"> MDPAR fue presentado a registro de propiedad intelectual en Madrid en 2026.</w:t>
      </w:r>
      <w:r w:rsidRPr="00DE10A5">
        <w:rPr>
          <w:lang w:val="es-ES"/>
        </w:rPr>
        <w:br/>
      </w:r>
      <w:r w:rsidRPr="00DE10A5">
        <w:rPr>
          <w:b/>
          <w:bCs/>
          <w:lang w:val="es-ES"/>
        </w:rPr>
        <w:t>Derechos:</w:t>
      </w:r>
      <w:r w:rsidRPr="00DE10A5">
        <w:rPr>
          <w:lang w:val="es-ES"/>
        </w:rPr>
        <w:t xml:space="preserve"> © 2026 Andrés Pérez Galán. Todos los derechos reservados.</w:t>
      </w:r>
    </w:p>
    <w:p w14:paraId="064D6AC0" w14:textId="77777777" w:rsidR="00440F9D" w:rsidRPr="00DE10A5" w:rsidRDefault="00F91594">
      <w:pPr>
        <w:pStyle w:val="Textoindependiente"/>
        <w:rPr>
          <w:lang w:val="es-ES"/>
        </w:rPr>
      </w:pPr>
      <w:r w:rsidRPr="00DE10A5">
        <w:rPr>
          <w:lang w:val="es-ES"/>
        </w:rPr>
        <w:t>La mención de</w:t>
      </w:r>
      <w:r w:rsidRPr="00DE10A5">
        <w:rPr>
          <w:lang w:val="es-ES"/>
        </w:rPr>
        <w:t xml:space="preserve"> presentación a registro describe el estado declarado del trámite y no sustituye la resolución o certificación que, en su caso, emita el registro competente.</w:t>
      </w:r>
    </w:p>
    <w:p w14:paraId="63050A5C" w14:textId="77777777" w:rsidR="00440F9D" w:rsidRPr="00DE10A5" w:rsidRDefault="00F91594">
      <w:pPr>
        <w:pStyle w:val="Ttulo3"/>
        <w:rPr>
          <w:lang w:val="es-ES"/>
        </w:rPr>
      </w:pPr>
      <w:bookmarkStart w:id="36" w:name="uso-del-documento"/>
      <w:bookmarkEnd w:id="35"/>
      <w:r w:rsidRPr="00DE10A5">
        <w:rPr>
          <w:lang w:val="es-ES"/>
        </w:rPr>
        <w:t>Uso del documento</w:t>
      </w:r>
    </w:p>
    <w:p w14:paraId="536B579E" w14:textId="77777777" w:rsidR="00440F9D" w:rsidRPr="00DE10A5" w:rsidRDefault="00F91594">
      <w:pPr>
        <w:pStyle w:val="FirstParagraph"/>
        <w:rPr>
          <w:lang w:val="es-ES"/>
        </w:rPr>
      </w:pPr>
      <w:r w:rsidRPr="00DE10A5">
        <w:rPr>
          <w:lang w:val="es-ES"/>
        </w:rPr>
        <w:t>Este documento expone el significado, formalismo, arquitectura y programa cientí</w:t>
      </w:r>
      <w:r w:rsidRPr="00DE10A5">
        <w:rPr>
          <w:lang w:val="es-ES"/>
        </w:rPr>
        <w:t xml:space="preserve">fico de MDPAR. La disponibilidad de una copia para lectura, evaluación académica o discusión técnica no implica por sí misma </w:t>
      </w:r>
      <w:r w:rsidRPr="00DE10A5">
        <w:rPr>
          <w:lang w:val="es-ES"/>
        </w:rPr>
        <w:lastRenderedPageBreak/>
        <w:t>concesión de licencia sobre el código, la documentación, el formalismo o sus materiales asociados. Cualquier licencia pública futur</w:t>
      </w:r>
      <w:r w:rsidRPr="00DE10A5">
        <w:rPr>
          <w:lang w:val="es-ES"/>
        </w:rPr>
        <w:t>a deberá constar de forma expresa y separada.</w:t>
      </w:r>
    </w:p>
    <w:p w14:paraId="580D2D53" w14:textId="77777777" w:rsidR="00440F9D" w:rsidRDefault="00F91594">
      <w:pPr>
        <w:spacing w:after="0"/>
      </w:pPr>
      <w:r>
        <w:pict w14:anchorId="3F9AD38D">
          <v:rect id="_x0000_i1041" style="width:0;height:1.5pt" o:hralign="center" o:hrstd="t" o:hr="t"/>
        </w:pict>
      </w:r>
      <w:bookmarkEnd w:id="0"/>
      <w:bookmarkEnd w:id="33"/>
      <w:bookmarkEnd w:id="36"/>
    </w:p>
    <w:sectPr w:rsidR="00440F9D">
      <w:headerReference w:type="default" r:id="rId7"/>
      <w:footerReference w:type="default" r:id="rId8"/>
      <w:pgSz w:w="12240" w:h="15840"/>
      <w:pgMar w:top="1134" w:right="1276" w:bottom="1020" w:left="1276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7CA93" w14:textId="77777777" w:rsidR="00F91594" w:rsidRDefault="00F91594">
      <w:pPr>
        <w:spacing w:after="0" w:line="240" w:lineRule="auto"/>
      </w:pPr>
      <w:r>
        <w:separator/>
      </w:r>
    </w:p>
  </w:endnote>
  <w:endnote w:type="continuationSeparator" w:id="0">
    <w:p w14:paraId="0EB4A3E2" w14:textId="77777777" w:rsidR="00F91594" w:rsidRDefault="00F9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3CB9F" w14:textId="77777777" w:rsidR="00440F9D" w:rsidRDefault="00F91594">
    <w:pPr>
      <w:jc w:val="center"/>
    </w:pPr>
    <w:r>
      <w:rPr>
        <w:color w:val="5F5F5F"/>
        <w:sz w:val="16"/>
      </w:rPr>
      <w:t xml:space="preserve">Andrés Pérez Galán · MDPAR ·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8F2C2" w14:textId="77777777" w:rsidR="00F91594" w:rsidRDefault="00F91594">
      <w:r>
        <w:separator/>
      </w:r>
    </w:p>
  </w:footnote>
  <w:footnote w:type="continuationSeparator" w:id="0">
    <w:p w14:paraId="36238B9D" w14:textId="77777777" w:rsidR="00F91594" w:rsidRDefault="00F91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A302A" w14:textId="77777777" w:rsidR="00440F9D" w:rsidRPr="00DE10A5" w:rsidRDefault="00F91594">
    <w:pPr>
      <w:jc w:val="right"/>
      <w:rPr>
        <w:lang w:val="es-ES"/>
      </w:rPr>
    </w:pPr>
    <w:r w:rsidRPr="00DE10A5">
      <w:rPr>
        <w:color w:val="5F5F5F"/>
        <w:sz w:val="17"/>
        <w:lang w:val="es-ES"/>
      </w:rPr>
      <w:t>MDPAR · Formalismo estructural de trayectorias de razonamiento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598FE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5663B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FC4F1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F9D"/>
    <w:rsid w:val="00440F9D"/>
    <w:rsid w:val="00DE10A5"/>
    <w:rsid w:val="00F9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C13F0"/>
  <w15:docId w15:val="{FA048727-6C12-4B68-A4AA-C578E233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/>
      <w:b/>
      <w:bCs/>
      <w:color w:val="1F4E79"/>
      <w:sz w:val="46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4B5"/>
      <w:sz w:val="25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40"/>
      <w:ind w:left="340" w:right="170"/>
    </w:pPr>
    <w:rPr>
      <w:i/>
      <w:color w:val="373737"/>
    </w:r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6237</Words>
  <Characters>34305</Characters>
  <Application>Microsoft Office Word</Application>
  <DocSecurity>0</DocSecurity>
  <Lines>285</Lines>
  <Paragraphs>80</Paragraphs>
  <ScaleCrop>false</ScaleCrop>
  <Company/>
  <LinksUpToDate>false</LinksUpToDate>
  <CharactersWithSpaces>40462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MDPAR — Formalismo estructural de trayectorias de razonamiento</dc:title>
  <dc:subject>Modelo de Dirección de Pensamiento Ampliado y Refinado: formalismo, arquitectura, evidencia y programa científico</dc:subject>
  <dc:creator>Andrés Pérez Galán</dc:creator>
  <cp:keywords>MDPAR, reasoning structure, knowledge representation, neuro-symbolic AI, structural universality</cp:keywords>
  <cp:lastModifiedBy>Andres</cp:lastModifiedBy>
  <cp:revision>2</cp:revision>
  <dcterms:created xsi:type="dcterms:W3CDTF">2026-09-07T02:51:00Z</dcterms:created>
  <dcterms:modified xsi:type="dcterms:W3CDTF">2026-09-07T02:58:00Z</dcterms:modified>
</cp:coreProperties>
</file>