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Aptos Display" w:hAnsi="Aptos Display"/>
          <w:b/>
          <w:color w:val="19324D"/>
          <w:sz w:val="68"/>
        </w:rPr>
        <w:t>MDPAR 2.0.0</w:t>
      </w:r>
    </w:p>
    <w:p>
      <w:pPr>
        <w:jc w:val="center"/>
      </w:pPr>
      <w:r>
        <w:rPr>
          <w:b/>
          <w:color w:val="315B72"/>
          <w:sz w:val="44"/>
        </w:rPr>
        <w:t>Manual operativo de Swagger</w:t>
      </w:r>
    </w:p>
    <w:p>
      <w:pPr>
        <w:jc w:val="center"/>
      </w:pPr>
      <w:r>
        <w:rPr>
          <w:color w:val="4F6B80"/>
          <w:sz w:val="34"/>
        </w:rPr>
        <w:t>y contrato de evaluación pericial</w:t>
      </w:r>
    </w:p>
    <w:p>
      <w:pPr>
        <w:spacing w:before="360"/>
        <w:jc w:val="center"/>
      </w:pPr>
      <w:r>
        <w:rPr>
          <w:i/>
          <w:sz w:val="24"/>
        </w:rPr>
        <w:t>Servicio único de evaluación estructural exhaustiva</w:t>
      </w:r>
    </w:p>
    <w:p>
      <w:pPr>
        <w:spacing w:before="760"/>
        <w:jc w:val="center"/>
      </w:pPr>
      <w:r>
        <w:rPr>
          <w:color w:val="5F5F5F"/>
          <w:sz w:val="20"/>
        </w:rPr>
        <w:t>Versión documental 2.0.0 · 7 de septiembre de 2026</w:t>
      </w:r>
    </w:p>
    <w:tbl>
      <w:tblPr>
        <w:tblW w:type="auto" w:w="0"/>
        <w:jc w:val="center"/>
        <w:tblLayout w:type="fixed"/>
        <w:tblLook w:firstColumn="1" w:firstRow="1" w:lastColumn="0" w:lastRow="0" w:noHBand="0" w:noVBand="1" w:val="04A0"/>
      </w:tblPr>
      <w:tblGrid>
        <w:gridCol w:w="8220"/>
      </w:tblGrid>
      <w:tr>
        <w:trPr>
          <w:cantSplit/>
        </w:trPr>
        <w:tc>
          <w:tcPr>
            <w:tcW w:type="dxa" w:w="9859"/>
            <w:shd w:fill="EEF3F6"/>
            <w:tcMar>
              <w:top w:w="220" w:type="dxa"/>
              <w:start w:w="220" w:type="dxa"/>
              <w:bottom w:w="220" w:type="dxa"/>
              <w:end w:w="220" w:type="dxa"/>
            </w:tcMar>
          </w:tcPr>
          <w:p>
            <w:pPr>
              <w:jc w:val="center"/>
            </w:pPr>
            <w:r>
              <w:rPr>
                <w:b/>
                <w:color w:val="19324D"/>
                <w:sz w:val="22"/>
              </w:rPr>
              <w:t>Un producto · un análisis · una autoridad estructural</w:t>
            </w:r>
          </w:p>
        </w:tc>
      </w:tr>
    </w:tbl>
    <w:p>
      <w:r>
        <w:br w:type="page"/>
      </w:r>
    </w:p>
    <w:p>
      <w:pPr>
        <w:pStyle w:val="Heading1"/>
      </w:pPr>
      <w:r>
        <w:t>Síntesis ejecutiva</w:t>
      </w:r>
    </w:p>
    <w:p>
      <w:pPr>
        <w:jc w:val="both"/>
      </w:pPr>
      <w:r>
        <w:t>Swagger no es un catálogo de capacidades ni de objetivos. Expone un único servicio: recibir evidencia y producir una evaluación estructural exhaustiva, trazable y sometida a la autoridad de MDPAR.</w:t>
      </w:r>
    </w:p>
    <w:p>
      <w:pPr>
        <w:jc w:val="both"/>
      </w:pPr>
      <w:r>
        <w:t>El dominio no se selecciona mediante un campo introducido por el operador. Emerge de la evidencia y de la interpretación semántica autorizada por el runtime. La semántica cambia las variables observables y la realización del informe; no sustituye el formalismo estructural común.</w:t>
      </w:r>
    </w:p>
    <w:p>
      <w:pPr>
        <w:jc w:val="both"/>
      </w:pPr>
      <w:r>
        <w:t>La calidad pericial se expresa mediante propiedades técnicas verificables: custodia de evidencia, hashes, procedencia, separación de autoridad, incertidumbre explícita, continuidad longitudinal, reproducibilidad y derivación de los informes humanos desde un único resultado canónico.</w:t>
      </w:r>
    </w:p>
    <w:tbl>
      <w:tblPr>
        <w:tblStyle w:val="TableGrid"/>
        <w:tblW w:type="auto" w:w="0"/>
        <w:jc w:val="center"/>
        <w:tblLook w:firstColumn="1" w:firstRow="1" w:lastColumn="0" w:lastRow="0" w:noHBand="0" w:noVBand="1" w:val="04A0"/>
      </w:tblPr>
      <w:tblGrid>
        <w:gridCol w:w="4929"/>
        <w:gridCol w:w="4929"/>
      </w:tblGrid>
      <w:tr>
        <w:trPr>
          <w:cantSplit/>
        </w:trPr>
        <w:tc>
          <w:tcPr>
            <w:tcW w:type="dxa" w:w="4929"/>
            <w:shd w:fill="19324D"/>
          </w:tcPr>
          <w:p>
            <w:r>
              <w:rPr>
                <w:b/>
                <w:color w:val="FFFFFF"/>
                <w:sz w:val="18"/>
              </w:rPr>
              <w:t>Elemento</w:t>
            </w:r>
          </w:p>
        </w:tc>
        <w:tc>
          <w:tcPr>
            <w:tcW w:type="dxa" w:w="4929"/>
            <w:shd w:fill="19324D"/>
          </w:tcPr>
          <w:p>
            <w:r>
              <w:rPr>
                <w:b/>
                <w:color w:val="FFFFFF"/>
                <w:sz w:val="18"/>
              </w:rPr>
              <w:t>Contrato 2.0.0</w:t>
            </w:r>
          </w:p>
        </w:tc>
      </w:tr>
      <w:tr>
        <w:trPr>
          <w:cantSplit/>
        </w:trPr>
        <w:tc>
          <w:tcPr>
            <w:tcW w:type="dxa" w:w="4929"/>
            <w:tcMar>
              <w:top w:w="80" w:type="dxa"/>
              <w:start w:w="90" w:type="dxa"/>
              <w:bottom w:w="80" w:type="dxa"/>
              <w:end w:w="90" w:type="dxa"/>
            </w:tcMar>
          </w:tcPr>
          <w:p>
            <w:r>
              <w:rPr>
                <w:sz w:val="18"/>
              </w:rPr>
              <w:t>Propósito</w:t>
            </w:r>
          </w:p>
        </w:tc>
        <w:tc>
          <w:tcPr>
            <w:tcW w:type="dxa" w:w="4929"/>
            <w:tcMar>
              <w:top w:w="80" w:type="dxa"/>
              <w:start w:w="90" w:type="dxa"/>
              <w:bottom w:w="80" w:type="dxa"/>
              <w:end w:w="90" w:type="dxa"/>
            </w:tcMar>
          </w:tcPr>
          <w:p>
            <w:r>
              <w:rPr>
                <w:sz w:val="18"/>
              </w:rPr>
              <w:t>EXHAUSTIVE_STRUCTURAL_EVIDENCE_ASSESSMENT</w:t>
            </w:r>
          </w:p>
        </w:tc>
      </w:tr>
      <w:tr>
        <w:trPr>
          <w:cantSplit/>
        </w:trPr>
        <w:tc>
          <w:tcPr>
            <w:tcW w:type="dxa" w:w="4929"/>
            <w:tcMar>
              <w:top w:w="80" w:type="dxa"/>
              <w:start w:w="90" w:type="dxa"/>
              <w:bottom w:w="80" w:type="dxa"/>
              <w:end w:w="90" w:type="dxa"/>
            </w:tcMar>
          </w:tcPr>
          <w:p>
            <w:r>
              <w:rPr>
                <w:sz w:val="18"/>
              </w:rPr>
              <w:t>Ruta principal</w:t>
            </w:r>
          </w:p>
        </w:tc>
        <w:tc>
          <w:tcPr>
            <w:tcW w:type="dxa" w:w="4929"/>
            <w:tcMar>
              <w:top w:w="80" w:type="dxa"/>
              <w:start w:w="90" w:type="dxa"/>
              <w:bottom w:w="80" w:type="dxa"/>
              <w:end w:w="90" w:type="dxa"/>
            </w:tcMar>
          </w:tcPr>
          <w:p>
            <w:r>
              <w:rPr>
                <w:sz w:val="18"/>
              </w:rPr>
              <w:t>POST /assessment</w:t>
            </w:r>
          </w:p>
        </w:tc>
      </w:tr>
      <w:tr>
        <w:trPr>
          <w:cantSplit/>
        </w:trPr>
        <w:tc>
          <w:tcPr>
            <w:tcW w:type="dxa" w:w="4929"/>
            <w:tcMar>
              <w:top w:w="80" w:type="dxa"/>
              <w:start w:w="90" w:type="dxa"/>
              <w:bottom w:w="80" w:type="dxa"/>
              <w:end w:w="90" w:type="dxa"/>
            </w:tcMar>
          </w:tcPr>
          <w:p>
            <w:r>
              <w:rPr>
                <w:sz w:val="18"/>
              </w:rPr>
              <w:t>Entrada mínima</w:t>
            </w:r>
          </w:p>
        </w:tc>
        <w:tc>
          <w:tcPr>
            <w:tcW w:type="dxa" w:w="4929"/>
            <w:tcMar>
              <w:top w:w="80" w:type="dxa"/>
              <w:start w:w="90" w:type="dxa"/>
              <w:bottom w:w="80" w:type="dxa"/>
              <w:end w:w="90" w:type="dxa"/>
            </w:tcMar>
          </w:tcPr>
          <w:p>
            <w:r>
              <w:rPr>
                <w:sz w:val="18"/>
              </w:rPr>
              <w:t>1 archivo + idioma fuente + idioma del informe de operador</w:t>
            </w:r>
          </w:p>
        </w:tc>
      </w:tr>
      <w:tr>
        <w:trPr>
          <w:cantSplit/>
        </w:trPr>
        <w:tc>
          <w:tcPr>
            <w:tcW w:type="dxa" w:w="4929"/>
            <w:tcMar>
              <w:top w:w="80" w:type="dxa"/>
              <w:start w:w="90" w:type="dxa"/>
              <w:bottom w:w="80" w:type="dxa"/>
              <w:end w:w="90" w:type="dxa"/>
            </w:tcMar>
          </w:tcPr>
          <w:p>
            <w:r>
              <w:rPr>
                <w:sz w:val="18"/>
              </w:rPr>
              <w:t>Dominio</w:t>
            </w:r>
          </w:p>
        </w:tc>
        <w:tc>
          <w:tcPr>
            <w:tcW w:type="dxa" w:w="4929"/>
            <w:tcMar>
              <w:top w:w="80" w:type="dxa"/>
              <w:start w:w="90" w:type="dxa"/>
              <w:bottom w:w="80" w:type="dxa"/>
              <w:end w:w="90" w:type="dxa"/>
            </w:tcMar>
          </w:tcPr>
          <w:p>
            <w:r>
              <w:rPr>
                <w:sz w:val="18"/>
              </w:rPr>
              <w:t>Inferido; no existe selector público</w:t>
            </w:r>
          </w:p>
        </w:tc>
      </w:tr>
      <w:tr>
        <w:trPr>
          <w:cantSplit/>
        </w:trPr>
        <w:tc>
          <w:tcPr>
            <w:tcW w:type="dxa" w:w="4929"/>
            <w:tcMar>
              <w:top w:w="80" w:type="dxa"/>
              <w:start w:w="90" w:type="dxa"/>
              <w:bottom w:w="80" w:type="dxa"/>
              <w:end w:w="90" w:type="dxa"/>
            </w:tcMar>
          </w:tcPr>
          <w:p>
            <w:r>
              <w:rPr>
                <w:sz w:val="18"/>
              </w:rPr>
              <w:t>Objetivo libre</w:t>
            </w:r>
          </w:p>
        </w:tc>
        <w:tc>
          <w:tcPr>
            <w:tcW w:type="dxa" w:w="4929"/>
            <w:tcMar>
              <w:top w:w="80" w:type="dxa"/>
              <w:start w:w="90" w:type="dxa"/>
              <w:bottom w:w="80" w:type="dxa"/>
              <w:end w:w="90" w:type="dxa"/>
            </w:tcMar>
          </w:tcPr>
          <w:p>
            <w:r>
              <w:rPr>
                <w:sz w:val="18"/>
              </w:rPr>
              <w:t>No existe</w:t>
            </w:r>
          </w:p>
        </w:tc>
      </w:tr>
      <w:tr>
        <w:trPr>
          <w:cantSplit/>
        </w:trPr>
        <w:tc>
          <w:tcPr>
            <w:tcW w:type="dxa" w:w="4929"/>
            <w:tcMar>
              <w:top w:w="80" w:type="dxa"/>
              <w:start w:w="90" w:type="dxa"/>
              <w:bottom w:w="80" w:type="dxa"/>
              <w:end w:w="90" w:type="dxa"/>
            </w:tcMar>
          </w:tcPr>
          <w:p>
            <w:r>
              <w:rPr>
                <w:sz w:val="18"/>
              </w:rPr>
              <w:t>Versión MDPAR</w:t>
            </w:r>
          </w:p>
        </w:tc>
        <w:tc>
          <w:tcPr>
            <w:tcW w:type="dxa" w:w="4929"/>
            <w:tcMar>
              <w:top w:w="80" w:type="dxa"/>
              <w:start w:w="90" w:type="dxa"/>
              <w:bottom w:w="80" w:type="dxa"/>
              <w:end w:w="90" w:type="dxa"/>
            </w:tcMar>
          </w:tcPr>
          <w:p>
            <w:r>
              <w:rPr>
                <w:sz w:val="18"/>
              </w:rPr>
              <w:t>Observada desde el runtime; no declarada por el operador</w:t>
            </w:r>
          </w:p>
        </w:tc>
      </w:tr>
      <w:tr>
        <w:trPr>
          <w:cantSplit/>
        </w:trPr>
        <w:tc>
          <w:tcPr>
            <w:tcW w:type="dxa" w:w="4929"/>
            <w:tcMar>
              <w:top w:w="80" w:type="dxa"/>
              <w:start w:w="90" w:type="dxa"/>
              <w:bottom w:w="80" w:type="dxa"/>
              <w:end w:w="90" w:type="dxa"/>
            </w:tcMar>
          </w:tcPr>
          <w:p>
            <w:r>
              <w:rPr>
                <w:sz w:val="18"/>
              </w:rPr>
              <w:t>Fuente de verdad</w:t>
            </w:r>
          </w:p>
        </w:tc>
        <w:tc>
          <w:tcPr>
            <w:tcW w:type="dxa" w:w="4929"/>
            <w:tcMar>
              <w:top w:w="80" w:type="dxa"/>
              <w:start w:w="90" w:type="dxa"/>
              <w:bottom w:w="80" w:type="dxa"/>
              <w:end w:w="90" w:type="dxa"/>
            </w:tcMar>
          </w:tcPr>
          <w:p>
            <w:r>
              <w:rPr>
                <w:sz w:val="18"/>
              </w:rPr>
              <w:t>JSON canónico</w:t>
            </w:r>
          </w:p>
        </w:tc>
      </w:tr>
      <w:tr>
        <w:trPr>
          <w:cantSplit/>
        </w:trPr>
        <w:tc>
          <w:tcPr>
            <w:tcW w:type="dxa" w:w="4929"/>
            <w:tcMar>
              <w:top w:w="80" w:type="dxa"/>
              <w:start w:w="90" w:type="dxa"/>
              <w:bottom w:w="80" w:type="dxa"/>
              <w:end w:w="90" w:type="dxa"/>
            </w:tcMar>
          </w:tcPr>
          <w:p>
            <w:r>
              <w:rPr>
                <w:sz w:val="18"/>
              </w:rPr>
              <w:t>Publicación</w:t>
            </w:r>
          </w:p>
        </w:tc>
        <w:tc>
          <w:tcPr>
            <w:tcW w:type="dxa" w:w="4929"/>
            <w:tcMar>
              <w:top w:w="80" w:type="dxa"/>
              <w:start w:w="90" w:type="dxa"/>
              <w:bottom w:w="80" w:type="dxa"/>
              <w:end w:w="90" w:type="dxa"/>
            </w:tcMar>
          </w:tcPr>
          <w:p>
            <w:r>
              <w:rPr>
                <w:sz w:val="18"/>
              </w:rPr>
              <w:t>DOCX derivado; una o dos realizaciones lingüísticas</w:t>
            </w:r>
          </w:p>
        </w:tc>
      </w:tr>
    </w:tbl>
    <w:p>
      <w:r>
        <w:br w:type="page"/>
      </w:r>
    </w:p>
    <w:p>
      <w:pPr>
        <w:pStyle w:val="Heading1"/>
      </w:pPr>
      <w:r>
        <w:t>1. Propósito</w:t>
      </w:r>
    </w:p>
    <w:p>
      <w:pPr>
        <w:jc w:val="both"/>
      </w:pPr>
      <w:r>
        <w:t xml:space="preserve">Este manual define la superficie pública de MDPAR destinada a la prestación de un servicio de análisis con </w:t>
      </w:r>
      <w:r>
        <w:rPr>
          <w:b/>
        </w:rPr>
        <w:t>calidad pericial</w:t>
      </w:r>
      <w:r>
        <w:t>. La expresión no significa que el software pueda atribuirse por sí mismo admisibilidad judicial, nombramiento de perito o fuerza probatoria. Significa algo más técnico y comprobable: el sistema está diseñado para que una ejecución pueda ser reconstruida, auditada, contradicha y discutida sobre su evidencia, método, premisas, límites, procedencia y resultado.</w:t>
      </w:r>
    </w:p>
    <w:p>
      <w:pPr>
        <w:jc w:val="both"/>
      </w:pPr>
      <w:r>
        <w:t>El servicio tiene un único propósito canónico:</w:t>
      </w:r>
    </w:p>
    <w:p>
      <w:pPr>
        <w:jc w:val="both"/>
      </w:pPr>
      <w:r>
        <w:rPr>
          <w:rFonts w:ascii="Consolas" w:hAnsi="Consolas"/>
          <w:color w:val="464646"/>
          <w:sz w:val="18"/>
        </w:rPr>
        <w:t>EXHAUSTIVE_STRUCTURAL_EVIDENCE_ASSESSMENT</w:t>
      </w:r>
    </w:p>
    <w:p>
      <w:pPr>
        <w:jc w:val="both"/>
      </w:pPr>
      <w:r>
        <w:t>Ese propósito no cambia entre dominios. MDPAR ejecuta el mismo formalismo estructural sobre realizaciones semánticas heterogéneas y aplica las capacidades internas que correspondan a la evidencia, al estado longitudinal y al régimen de ejecución.</w:t>
      </w:r>
    </w:p>
    <w:p>
      <w:pPr>
        <w:jc w:val="both"/>
      </w:pPr>
      <w:r>
        <w:t>La forma compacta del contrato es:</w:t>
      </w:r>
    </w:p>
    <w:p>
      <w:pPr>
        <w:jc w:val="both"/>
      </w:pPr>
      <w:r>
        <w:rPr>
          <w:b/>
        </w:rPr>
        <w:t>evidencia + MDPAR + semántica autorizada → evaluación estructural canónica → realización pericial</w:t>
      </w:r>
    </w:p>
    <w:p>
      <w:pPr>
        <w:jc w:val="both"/>
      </w:pPr>
      <w:r>
        <w:t xml:space="preserve">No existe un campo </w:t>
      </w:r>
      <w:r>
        <w:rPr>
          <w:rFonts w:ascii="Consolas" w:hAnsi="Consolas"/>
          <w:color w:val="464646"/>
          <w:sz w:val="18"/>
        </w:rPr>
        <w:t>objective</w:t>
      </w:r>
      <w:r>
        <w:t>, no existe un catálogo de 170 tareas y no existe un selector público de dominio. El operador aporta evidencia y parámetros de publicación; MDPAR conserva la autoridad sobre routing, estructura, continuidad y límites operacionales.</w:t>
      </w:r>
    </w:p>
    <w:p>
      <w:pPr>
        <w:pStyle w:val="Heading1"/>
      </w:pPr>
      <w:r>
        <w:t>2. Qué significa «calidad pericial» en MDPAR</w:t>
      </w:r>
    </w:p>
    <w:p>
      <w:pPr>
        <w:jc w:val="both"/>
      </w:pPr>
      <w:r>
        <w:t>La calidad pericial se concreta en propiedades verificables del software y del expediente producido:</w:t>
      </w:r>
    </w:p>
    <w:p>
      <w:pPr>
        <w:pStyle w:val="ListBullet"/>
        <w:spacing w:after="40"/>
      </w:pPr>
      <w:r>
        <w:rPr>
          <w:b/>
        </w:rPr>
        <w:t>integridad de evidencia:</w:t>
      </w:r>
      <w:r>
        <w:t xml:space="preserve"> identificación de cada archivo, SHA-256 del original y SHA-256 del texto extraído;</w:t>
      </w:r>
    </w:p>
    <w:p>
      <w:pPr>
        <w:pStyle w:val="ListBullet"/>
        <w:spacing w:after="40"/>
      </w:pPr>
      <w:r>
        <w:rPr>
          <w:b/>
        </w:rPr>
        <w:t>cadena de procedencia:</w:t>
      </w:r>
      <w:r>
        <w:t xml:space="preserve"> registro de la identidad del runtime, versión observada, JAR y hash del artefacto;</w:t>
      </w:r>
    </w:p>
    <w:p>
      <w:pPr>
        <w:pStyle w:val="ListBullet"/>
        <w:spacing w:after="40"/>
      </w:pPr>
      <w:r>
        <w:rPr>
          <w:b/>
        </w:rPr>
        <w:t>separación de autoridad:</w:t>
      </w:r>
      <w:r>
        <w:t xml:space="preserve"> la percepción semántica puede proponer observaciones, pero no sustituye la autoridad estructural de MDPAR;</w:t>
      </w:r>
    </w:p>
    <w:p>
      <w:pPr>
        <w:pStyle w:val="ListBullet"/>
        <w:spacing w:after="40"/>
      </w:pPr>
      <w:r>
        <w:rPr>
          <w:b/>
        </w:rPr>
        <w:t>trazabilidad:</w:t>
      </w:r>
      <w:r>
        <w:t xml:space="preserve"> el resultado canónico conserva relaciones entre evidencia, estructura, marks, routing, incertidumbre y publicación;</w:t>
      </w:r>
    </w:p>
    <w:p>
      <w:pPr>
        <w:pStyle w:val="ListBullet"/>
        <w:spacing w:after="40"/>
      </w:pPr>
      <w:r>
        <w:rPr>
          <w:b/>
        </w:rPr>
        <w:t>incertidumbre explícita:</w:t>
      </w:r>
      <w:r>
        <w:t xml:space="preserve"> UNKNOWN, fallos de identificación y límites negativos no se convierten en certeza editorial;</w:t>
      </w:r>
    </w:p>
    <w:p>
      <w:pPr>
        <w:pStyle w:val="ListBullet"/>
        <w:spacing w:after="40"/>
      </w:pPr>
      <w:r>
        <w:rPr>
          <w:b/>
        </w:rPr>
        <w:t>reproducibilidad:</w:t>
      </w:r>
      <w:r>
        <w:t xml:space="preserve"> se distinguen componentes deterministas, frontera neuronal, estado longitudinal y artefactos que deben archivarse;</w:t>
      </w:r>
    </w:p>
    <w:p>
      <w:pPr>
        <w:pStyle w:val="ListBullet"/>
        <w:spacing w:after="40"/>
      </w:pPr>
      <w:r>
        <w:rPr>
          <w:b/>
        </w:rPr>
        <w:t>contradicción técnica:</w:t>
      </w:r>
      <w:r>
        <w:t xml:space="preserve"> el expediente permite discutir método, premisas, inferencias y conclusiones sin depender de confianza ciega en el sistema;</w:t>
      </w:r>
    </w:p>
    <w:p>
      <w:pPr>
        <w:pStyle w:val="ListBullet"/>
        <w:spacing w:after="40"/>
      </w:pPr>
      <w:r>
        <w:rPr>
          <w:b/>
        </w:rPr>
        <w:t>realización derivada:</w:t>
      </w:r>
      <w:r>
        <w:t xml:space="preserve"> los informes humanos se generan desde el mismo resultado canónico y no constituyen un segundo análisis autónomo.</w:t>
      </w:r>
    </w:p>
    <w:p>
      <w:pPr>
        <w:jc w:val="both"/>
      </w:pPr>
      <w:r>
        <w:t>Estas propiedades son coherentes con prácticas de preservación y validación de evidencia digital descritas por NIST y con un principio jurídico elemental de la prueba pericial en España: el dictamen puede ser sometido a explicaciones, preguntas y objeciones sobre método, premisas y conclusiones, y su valoración corresponde al tribunal conforme a las reglas de la sana crítica.</w:t>
      </w:r>
    </w:p>
    <w:p>
      <w:pPr>
        <w:jc w:val="both"/>
      </w:pPr>
      <w:r>
        <w:t>MDPAR, por tanto, no intenta sustituir a la autoridad externa que decide el valor jurídico o institucional del dictamen. Intenta producir un objeto técnico suficientemente explícito para que esa autoridad pueda examinarlo y contradecirlo.</w:t>
      </w:r>
    </w:p>
    <w:p>
      <w:pPr>
        <w:pStyle w:val="Heading1"/>
      </w:pPr>
      <w:r>
        <w:t>3. Un solo análisis, potencialmente infinitas realizaciones de dominio</w:t>
      </w:r>
    </w:p>
    <w:p>
      <w:pPr>
        <w:jc w:val="both"/>
      </w:pPr>
      <w:r>
        <w:t>MDPAR no necesita que Swagger pregunte al operador si el documento es jurídico, científico, financiero, clínico, historiográfico o de arquitectura de software. Esa clasificación sería una fuente artificial de autoridad semántica y reduciría la propiedad domain-agnostic a un selector de menú.</w:t>
      </w:r>
    </w:p>
    <w:p>
      <w:pPr>
        <w:jc w:val="both"/>
      </w:pPr>
      <w:r>
        <w:t xml:space="preserve">La semántica relevante se obtiene de la evidencia mediante la frontera semántica autorizada y, cuando existe, mediante coordenadas CLOSED instaladas. El dominio cambia </w:t>
      </w:r>
      <w:r>
        <w:rPr>
          <w:b/>
        </w:rPr>
        <w:t>qué variables adquieren significado</w:t>
      </w:r>
      <w:r>
        <w:t>, no el procedimiento estructural común.</w:t>
      </w:r>
    </w:p>
    <w:p>
      <w:pPr>
        <w:jc w:val="both"/>
      </w:pPr>
      <w:r>
        <w:t>Por ejemplo:</w:t>
      </w:r>
    </w:p>
    <w:tbl>
      <w:tblPr>
        <w:tblStyle w:val="TableGrid"/>
        <w:tblW w:type="auto" w:w="0"/>
        <w:jc w:val="center"/>
        <w:tblLook w:firstColumn="1" w:firstRow="1" w:lastColumn="0" w:lastRow="0" w:noHBand="0" w:noVBand="1" w:val="04A0"/>
      </w:tblPr>
      <w:tblGrid>
        <w:gridCol w:w="3286"/>
        <w:gridCol w:w="3286"/>
        <w:gridCol w:w="3286"/>
      </w:tblGrid>
      <w:tr>
        <w:trPr>
          <w:cantSplit/>
        </w:trPr>
        <w:tc>
          <w:tcPr>
            <w:tcW w:type="dxa" w:w="3286"/>
            <w:shd w:fill="19324D"/>
          </w:tcPr>
          <w:p>
            <w:r>
              <w:rPr>
                <w:b/>
                <w:color w:val="FFFFFF"/>
                <w:sz w:val="16"/>
              </w:rPr>
              <w:t>Superficie de evidencia</w:t>
            </w:r>
          </w:p>
        </w:tc>
        <w:tc>
          <w:tcPr>
            <w:tcW w:type="dxa" w:w="3286"/>
            <w:shd w:fill="19324D"/>
          </w:tcPr>
          <w:p>
            <w:r>
              <w:rPr>
                <w:b/>
                <w:color w:val="FFFFFF"/>
                <w:sz w:val="16"/>
              </w:rPr>
              <w:t>Variables que pueden emerger</w:t>
            </w:r>
          </w:p>
        </w:tc>
        <w:tc>
          <w:tcPr>
            <w:tcW w:type="dxa" w:w="3286"/>
            <w:shd w:fill="19324D"/>
          </w:tcPr>
          <w:p>
            <w:r>
              <w:rPr>
                <w:b/>
                <w:color w:val="FFFFFF"/>
                <w:sz w:val="16"/>
              </w:rPr>
              <w:t>Forma típica del resultado</w:t>
            </w:r>
          </w:p>
        </w:tc>
      </w:tr>
      <w:tr>
        <w:trPr>
          <w:cantSplit/>
        </w:trPr>
        <w:tc>
          <w:tcPr>
            <w:tcW w:type="dxa" w:w="3286"/>
            <w:tcMar>
              <w:top w:w="80" w:type="dxa"/>
              <w:start w:w="90" w:type="dxa"/>
              <w:bottom w:w="80" w:type="dxa"/>
              <w:end w:w="90" w:type="dxa"/>
            </w:tcMar>
            <w:vAlign w:val="center"/>
          </w:tcPr>
          <w:p>
            <w:r>
              <w:rPr>
                <w:sz w:val="16"/>
              </w:rPr>
            </w:r>
            <w:r>
              <w:rPr>
                <w:sz w:val="16"/>
              </w:rPr>
              <w:t>Jurídico-probatoria</w:t>
            </w:r>
          </w:p>
        </w:tc>
        <w:tc>
          <w:tcPr>
            <w:tcW w:type="dxa" w:w="3286"/>
            <w:tcMar>
              <w:top w:w="80" w:type="dxa"/>
              <w:start w:w="90" w:type="dxa"/>
              <w:bottom w:w="80" w:type="dxa"/>
              <w:end w:w="90" w:type="dxa"/>
            </w:tcMar>
            <w:vAlign w:val="center"/>
          </w:tcPr>
          <w:p>
            <w:r>
              <w:rPr>
                <w:sz w:val="16"/>
              </w:rPr>
            </w:r>
            <w:r>
              <w:rPr>
                <w:sz w:val="16"/>
              </w:rPr>
              <w:t>sujetos, alegaciones, hechos, fuentes, temporalidad, contradicción, soporte, atribución</w:t>
            </w:r>
          </w:p>
        </w:tc>
        <w:tc>
          <w:tcPr>
            <w:tcW w:type="dxa" w:w="3286"/>
            <w:tcMar>
              <w:top w:w="80" w:type="dxa"/>
              <w:start w:w="90" w:type="dxa"/>
              <w:bottom w:w="80" w:type="dxa"/>
              <w:end w:w="90" w:type="dxa"/>
            </w:tcMar>
            <w:vAlign w:val="center"/>
          </w:tcPr>
          <w:p>
            <w:r>
              <w:rPr>
                <w:sz w:val="16"/>
              </w:rPr>
            </w:r>
            <w:r>
              <w:rPr>
                <w:sz w:val="16"/>
              </w:rPr>
              <w:t>mapa probatorio estructural y límites de soporte</w:t>
            </w:r>
          </w:p>
        </w:tc>
      </w:tr>
      <w:tr>
        <w:trPr>
          <w:cantSplit/>
        </w:trPr>
        <w:tc>
          <w:tcPr>
            <w:tcW w:type="dxa" w:w="3286"/>
            <w:shd w:fill="F4F7F8"/>
            <w:tcMar>
              <w:top w:w="80" w:type="dxa"/>
              <w:start w:w="90" w:type="dxa"/>
              <w:bottom w:w="80" w:type="dxa"/>
              <w:end w:w="90" w:type="dxa"/>
            </w:tcMar>
            <w:vAlign w:val="center"/>
          </w:tcPr>
          <w:p>
            <w:r>
              <w:rPr>
                <w:sz w:val="16"/>
              </w:rPr>
            </w:r>
            <w:r>
              <w:rPr>
                <w:sz w:val="16"/>
              </w:rPr>
              <w:t>Científica</w:t>
            </w:r>
          </w:p>
        </w:tc>
        <w:tc>
          <w:tcPr>
            <w:tcW w:type="dxa" w:w="3286"/>
            <w:shd w:fill="F4F7F8"/>
            <w:tcMar>
              <w:top w:w="80" w:type="dxa"/>
              <w:start w:w="90" w:type="dxa"/>
              <w:bottom w:w="80" w:type="dxa"/>
              <w:end w:w="90" w:type="dxa"/>
            </w:tcMar>
            <w:vAlign w:val="center"/>
          </w:tcPr>
          <w:p>
            <w:r>
              <w:rPr>
                <w:sz w:val="16"/>
              </w:rPr>
            </w:r>
            <w:r>
              <w:rPr>
                <w:sz w:val="16"/>
              </w:rPr>
              <w:t>hipótesis, variables, diseño, resultados, claims, supuestos, limitaciones, reproducibilidad</w:t>
            </w:r>
          </w:p>
        </w:tc>
        <w:tc>
          <w:tcPr>
            <w:tcW w:type="dxa" w:w="3286"/>
            <w:shd w:fill="F4F7F8"/>
            <w:tcMar>
              <w:top w:w="80" w:type="dxa"/>
              <w:start w:w="90" w:type="dxa"/>
              <w:bottom w:w="80" w:type="dxa"/>
              <w:end w:w="90" w:type="dxa"/>
            </w:tcMar>
            <w:vAlign w:val="center"/>
          </w:tcPr>
          <w:p>
            <w:r>
              <w:rPr>
                <w:sz w:val="16"/>
              </w:rPr>
            </w:r>
            <w:r>
              <w:rPr>
                <w:sz w:val="16"/>
              </w:rPr>
              <w:t>continuidad hipótesis→método→resultado→conclusión</w:t>
            </w:r>
          </w:p>
        </w:tc>
      </w:tr>
      <w:tr>
        <w:trPr>
          <w:cantSplit/>
        </w:trPr>
        <w:tc>
          <w:tcPr>
            <w:tcW w:type="dxa" w:w="3286"/>
            <w:tcMar>
              <w:top w:w="80" w:type="dxa"/>
              <w:start w:w="90" w:type="dxa"/>
              <w:bottom w:w="80" w:type="dxa"/>
              <w:end w:w="90" w:type="dxa"/>
            </w:tcMar>
            <w:vAlign w:val="center"/>
          </w:tcPr>
          <w:p>
            <w:r>
              <w:rPr>
                <w:sz w:val="16"/>
              </w:rPr>
            </w:r>
            <w:r>
              <w:rPr>
                <w:sz w:val="16"/>
              </w:rPr>
              <w:t>Arquitectura de software</w:t>
            </w:r>
          </w:p>
        </w:tc>
        <w:tc>
          <w:tcPr>
            <w:tcW w:type="dxa" w:w="3286"/>
            <w:tcMar>
              <w:top w:w="80" w:type="dxa"/>
              <w:start w:w="90" w:type="dxa"/>
              <w:bottom w:w="80" w:type="dxa"/>
              <w:end w:w="90" w:type="dxa"/>
            </w:tcMar>
            <w:vAlign w:val="center"/>
          </w:tcPr>
          <w:p>
            <w:r>
              <w:rPr>
                <w:sz w:val="16"/>
              </w:rPr>
            </w:r>
            <w:r>
              <w:rPr>
                <w:sz w:val="16"/>
              </w:rPr>
              <w:t>componentes, responsabilidades, interfaces, dependencias, requisitos, invariantes</w:t>
            </w:r>
          </w:p>
        </w:tc>
        <w:tc>
          <w:tcPr>
            <w:tcW w:type="dxa" w:w="3286"/>
            <w:tcMar>
              <w:top w:w="80" w:type="dxa"/>
              <w:start w:w="90" w:type="dxa"/>
              <w:bottom w:w="80" w:type="dxa"/>
              <w:end w:w="90" w:type="dxa"/>
            </w:tcMar>
            <w:vAlign w:val="center"/>
          </w:tcPr>
          <w:p>
            <w:r>
              <w:rPr>
                <w:sz w:val="16"/>
              </w:rPr>
            </w:r>
            <w:r>
              <w:rPr>
                <w:sz w:val="16"/>
              </w:rPr>
              <w:t>mapa requisito→mecanismo→responsabilidad y conflictos</w:t>
            </w:r>
          </w:p>
        </w:tc>
      </w:tr>
      <w:tr>
        <w:trPr>
          <w:cantSplit/>
        </w:trPr>
        <w:tc>
          <w:tcPr>
            <w:tcW w:type="dxa" w:w="3286"/>
            <w:shd w:fill="F4F7F8"/>
            <w:tcMar>
              <w:top w:w="80" w:type="dxa"/>
              <w:start w:w="90" w:type="dxa"/>
              <w:bottom w:w="80" w:type="dxa"/>
              <w:end w:w="90" w:type="dxa"/>
            </w:tcMar>
            <w:vAlign w:val="center"/>
          </w:tcPr>
          <w:p>
            <w:r>
              <w:rPr>
                <w:sz w:val="16"/>
              </w:rPr>
            </w:r>
            <w:r>
              <w:rPr>
                <w:sz w:val="16"/>
              </w:rPr>
              <w:t>Incidente técnico / safety</w:t>
            </w:r>
          </w:p>
        </w:tc>
        <w:tc>
          <w:tcPr>
            <w:tcW w:type="dxa" w:w="3286"/>
            <w:shd w:fill="F4F7F8"/>
            <w:tcMar>
              <w:top w:w="80" w:type="dxa"/>
              <w:start w:w="90" w:type="dxa"/>
              <w:bottom w:w="80" w:type="dxa"/>
              <w:end w:w="90" w:type="dxa"/>
            </w:tcMar>
            <w:vAlign w:val="center"/>
          </w:tcPr>
          <w:p>
            <w:r>
              <w:rPr>
                <w:sz w:val="16"/>
              </w:rPr>
            </w:r>
            <w:r>
              <w:rPr>
                <w:sz w:val="16"/>
              </w:rPr>
              <w:t>eventos, síntomas, hipótesis, acciones, autoridad, causalidad, follow-up</w:t>
            </w:r>
          </w:p>
        </w:tc>
        <w:tc>
          <w:tcPr>
            <w:tcW w:type="dxa" w:w="3286"/>
            <w:shd w:fill="F4F7F8"/>
            <w:tcMar>
              <w:top w:w="80" w:type="dxa"/>
              <w:start w:w="90" w:type="dxa"/>
              <w:bottom w:w="80" w:type="dxa"/>
              <w:end w:w="90" w:type="dxa"/>
            </w:tcMar>
            <w:vAlign w:val="center"/>
          </w:tcPr>
          <w:p>
            <w:r>
              <w:rPr>
                <w:sz w:val="16"/>
              </w:rPr>
            </w:r>
            <w:r>
              <w:rPr>
                <w:sz w:val="16"/>
              </w:rPr>
              <w:t>cronología causal y trazabilidad de decisiones</w:t>
            </w:r>
          </w:p>
        </w:tc>
      </w:tr>
      <w:tr>
        <w:trPr>
          <w:cantSplit/>
        </w:trPr>
        <w:tc>
          <w:tcPr>
            <w:tcW w:type="dxa" w:w="3286"/>
            <w:tcMar>
              <w:top w:w="80" w:type="dxa"/>
              <w:start w:w="90" w:type="dxa"/>
              <w:bottom w:w="80" w:type="dxa"/>
              <w:end w:w="90" w:type="dxa"/>
            </w:tcMar>
            <w:vAlign w:val="center"/>
          </w:tcPr>
          <w:p>
            <w:r>
              <w:rPr>
                <w:sz w:val="16"/>
              </w:rPr>
            </w:r>
            <w:r>
              <w:rPr>
                <w:sz w:val="16"/>
              </w:rPr>
              <w:t>Económico-financiera</w:t>
            </w:r>
          </w:p>
        </w:tc>
        <w:tc>
          <w:tcPr>
            <w:tcW w:type="dxa" w:w="3286"/>
            <w:tcMar>
              <w:top w:w="80" w:type="dxa"/>
              <w:start w:w="90" w:type="dxa"/>
              <w:bottom w:w="80" w:type="dxa"/>
              <w:end w:w="90" w:type="dxa"/>
            </w:tcMar>
            <w:vAlign w:val="center"/>
          </w:tcPr>
          <w:p>
            <w:r>
              <w:rPr>
                <w:sz w:val="16"/>
              </w:rPr>
            </w:r>
            <w:r>
              <w:rPr>
                <w:sz w:val="16"/>
              </w:rPr>
              <w:t>datos, fórmulas, periodos, supuestos, escenarios, cifras derivadas</w:t>
            </w:r>
          </w:p>
        </w:tc>
        <w:tc>
          <w:tcPr>
            <w:tcW w:type="dxa" w:w="3286"/>
            <w:tcMar>
              <w:top w:w="80" w:type="dxa"/>
              <w:start w:w="90" w:type="dxa"/>
              <w:bottom w:w="80" w:type="dxa"/>
              <w:end w:w="90" w:type="dxa"/>
            </w:tcMar>
            <w:vAlign w:val="center"/>
          </w:tcPr>
          <w:p>
            <w:r>
              <w:rPr>
                <w:sz w:val="16"/>
              </w:rPr>
            </w:r>
            <w:r>
              <w:rPr>
                <w:sz w:val="16"/>
              </w:rPr>
              <w:t>cadena dato→cálculo→inferencia→conclusión</w:t>
            </w:r>
          </w:p>
        </w:tc>
      </w:tr>
      <w:tr>
        <w:trPr>
          <w:cantSplit/>
        </w:trPr>
        <w:tc>
          <w:tcPr>
            <w:tcW w:type="dxa" w:w="3286"/>
            <w:shd w:fill="F4F7F8"/>
            <w:tcMar>
              <w:top w:w="80" w:type="dxa"/>
              <w:start w:w="90" w:type="dxa"/>
              <w:bottom w:w="80" w:type="dxa"/>
              <w:end w:w="90" w:type="dxa"/>
            </w:tcMar>
            <w:vAlign w:val="center"/>
          </w:tcPr>
          <w:p>
            <w:r>
              <w:rPr>
                <w:sz w:val="16"/>
              </w:rPr>
            </w:r>
            <w:r>
              <w:rPr>
                <w:sz w:val="16"/>
              </w:rPr>
              <w:t>Compliance / investigación interna</w:t>
            </w:r>
          </w:p>
        </w:tc>
        <w:tc>
          <w:tcPr>
            <w:tcW w:type="dxa" w:w="3286"/>
            <w:shd w:fill="F4F7F8"/>
            <w:tcMar>
              <w:top w:w="80" w:type="dxa"/>
              <w:start w:w="90" w:type="dxa"/>
              <w:bottom w:w="80" w:type="dxa"/>
              <w:end w:w="90" w:type="dxa"/>
            </w:tcMar>
            <w:vAlign w:val="center"/>
          </w:tcPr>
          <w:p>
            <w:r>
              <w:rPr>
                <w:sz w:val="16"/>
              </w:rPr>
            </w:r>
            <w:r>
              <w:rPr>
                <w:sz w:val="16"/>
              </w:rPr>
              <w:t>personas, episodios, fuentes, corroboraciones, decisiones, procedimiento</w:t>
            </w:r>
          </w:p>
        </w:tc>
        <w:tc>
          <w:tcPr>
            <w:tcW w:type="dxa" w:w="3286"/>
            <w:shd w:fill="F4F7F8"/>
            <w:tcMar>
              <w:top w:w="80" w:type="dxa"/>
              <w:start w:w="90" w:type="dxa"/>
              <w:bottom w:w="80" w:type="dxa"/>
              <w:end w:w="90" w:type="dxa"/>
            </w:tcMar>
            <w:vAlign w:val="center"/>
          </w:tcPr>
          <w:p>
            <w:r>
              <w:rPr>
                <w:sz w:val="16"/>
              </w:rPr>
            </w:r>
            <w:r>
              <w:rPr>
                <w:sz w:val="16"/>
              </w:rPr>
              <w:t>matriz alegación→evidencia→decisión con procedencia</w:t>
            </w:r>
          </w:p>
        </w:tc>
      </w:tr>
      <w:tr>
        <w:trPr>
          <w:cantSplit/>
        </w:trPr>
        <w:tc>
          <w:tcPr>
            <w:tcW w:type="dxa" w:w="3286"/>
            <w:tcMar>
              <w:top w:w="80" w:type="dxa"/>
              <w:start w:w="90" w:type="dxa"/>
              <w:bottom w:w="80" w:type="dxa"/>
              <w:end w:w="90" w:type="dxa"/>
            </w:tcMar>
            <w:vAlign w:val="center"/>
          </w:tcPr>
          <w:p>
            <w:r>
              <w:rPr>
                <w:sz w:val="16"/>
              </w:rPr>
            </w:r>
            <w:r>
              <w:rPr>
                <w:sz w:val="16"/>
              </w:rPr>
              <w:t>Forense digital</w:t>
            </w:r>
          </w:p>
        </w:tc>
        <w:tc>
          <w:tcPr>
            <w:tcW w:type="dxa" w:w="3286"/>
            <w:tcMar>
              <w:top w:w="80" w:type="dxa"/>
              <w:start w:w="90" w:type="dxa"/>
              <w:bottom w:w="80" w:type="dxa"/>
              <w:end w:w="90" w:type="dxa"/>
            </w:tcMar>
            <w:vAlign w:val="center"/>
          </w:tcPr>
          <w:p>
            <w:r>
              <w:rPr>
                <w:sz w:val="16"/>
              </w:rPr>
            </w:r>
            <w:r>
              <w:rPr>
                <w:sz w:val="16"/>
              </w:rPr>
              <w:t>objetos, hashes, adquisición, transformación, herramientas, resultados</w:t>
            </w:r>
          </w:p>
        </w:tc>
        <w:tc>
          <w:tcPr>
            <w:tcW w:type="dxa" w:w="3286"/>
            <w:tcMar>
              <w:top w:w="80" w:type="dxa"/>
              <w:start w:w="90" w:type="dxa"/>
              <w:bottom w:w="80" w:type="dxa"/>
              <w:end w:w="90" w:type="dxa"/>
            </w:tcMar>
            <w:vAlign w:val="center"/>
          </w:tcPr>
          <w:p>
            <w:r>
              <w:rPr>
                <w:sz w:val="16"/>
              </w:rPr>
            </w:r>
            <w:r>
              <w:rPr>
                <w:sz w:val="16"/>
              </w:rPr>
              <w:t>cadena de custodia y soporte artefacto→conclusión</w:t>
            </w:r>
          </w:p>
        </w:tc>
      </w:tr>
      <w:tr>
        <w:trPr>
          <w:cantSplit/>
        </w:trPr>
        <w:tc>
          <w:tcPr>
            <w:tcW w:type="dxa" w:w="3286"/>
            <w:shd w:fill="F4F7F8"/>
            <w:tcMar>
              <w:top w:w="80" w:type="dxa"/>
              <w:start w:w="90" w:type="dxa"/>
              <w:bottom w:w="80" w:type="dxa"/>
              <w:end w:w="90" w:type="dxa"/>
            </w:tcMar>
            <w:vAlign w:val="center"/>
          </w:tcPr>
          <w:p>
            <w:r>
              <w:rPr>
                <w:sz w:val="16"/>
              </w:rPr>
            </w:r>
            <w:r>
              <w:rPr>
                <w:sz w:val="16"/>
              </w:rPr>
              <w:t>Médico-legal</w:t>
            </w:r>
          </w:p>
        </w:tc>
        <w:tc>
          <w:tcPr>
            <w:tcW w:type="dxa" w:w="3286"/>
            <w:shd w:fill="F4F7F8"/>
            <w:tcMar>
              <w:top w:w="80" w:type="dxa"/>
              <w:start w:w="90" w:type="dxa"/>
              <w:bottom w:w="80" w:type="dxa"/>
              <w:end w:w="90" w:type="dxa"/>
            </w:tcMar>
            <w:vAlign w:val="center"/>
          </w:tcPr>
          <w:p>
            <w:r>
              <w:rPr>
                <w:sz w:val="16"/>
              </w:rPr>
            </w:r>
            <w:r>
              <w:rPr>
                <w:sz w:val="16"/>
              </w:rPr>
              <w:t>antecedentes, observaciones, pruebas, interpretaciones, incertidumbre</w:t>
            </w:r>
          </w:p>
        </w:tc>
        <w:tc>
          <w:tcPr>
            <w:tcW w:type="dxa" w:w="3286"/>
            <w:shd w:fill="F4F7F8"/>
            <w:tcMar>
              <w:top w:w="80" w:type="dxa"/>
              <w:start w:w="90" w:type="dxa"/>
              <w:bottom w:w="80" w:type="dxa"/>
              <w:end w:w="90" w:type="dxa"/>
            </w:tcMar>
            <w:vAlign w:val="center"/>
          </w:tcPr>
          <w:p>
            <w:r>
              <w:rPr>
                <w:sz w:val="16"/>
              </w:rPr>
            </w:r>
            <w:r>
              <w:rPr>
                <w:sz w:val="16"/>
              </w:rPr>
              <w:t>estructura de soporte del informe sin diagnóstico nuevo</w:t>
            </w:r>
          </w:p>
        </w:tc>
      </w:tr>
      <w:tr>
        <w:trPr>
          <w:cantSplit/>
        </w:trPr>
        <w:tc>
          <w:tcPr>
            <w:tcW w:type="dxa" w:w="3286"/>
            <w:tcMar>
              <w:top w:w="80" w:type="dxa"/>
              <w:start w:w="90" w:type="dxa"/>
              <w:bottom w:w="80" w:type="dxa"/>
              <w:end w:w="90" w:type="dxa"/>
            </w:tcMar>
            <w:vAlign w:val="center"/>
          </w:tcPr>
          <w:p>
            <w:r>
              <w:rPr>
                <w:sz w:val="16"/>
              </w:rPr>
            </w:r>
            <w:r>
              <w:rPr>
                <w:sz w:val="16"/>
              </w:rPr>
              <w:t>Contratos / obligaciones</w:t>
            </w:r>
          </w:p>
        </w:tc>
        <w:tc>
          <w:tcPr>
            <w:tcW w:type="dxa" w:w="3286"/>
            <w:tcMar>
              <w:top w:w="80" w:type="dxa"/>
              <w:start w:w="90" w:type="dxa"/>
              <w:bottom w:w="80" w:type="dxa"/>
              <w:end w:w="90" w:type="dxa"/>
            </w:tcMar>
            <w:vAlign w:val="center"/>
          </w:tcPr>
          <w:p>
            <w:r>
              <w:rPr>
                <w:sz w:val="16"/>
              </w:rPr>
            </w:r>
            <w:r>
              <w:rPr>
                <w:sz w:val="16"/>
              </w:rPr>
              <w:t>partes, cláusulas, obligaciones, condiciones, plazos, excepciones</w:t>
            </w:r>
          </w:p>
        </w:tc>
        <w:tc>
          <w:tcPr>
            <w:tcW w:type="dxa" w:w="3286"/>
            <w:tcMar>
              <w:top w:w="80" w:type="dxa"/>
              <w:start w:w="90" w:type="dxa"/>
              <w:bottom w:w="80" w:type="dxa"/>
              <w:end w:w="90" w:type="dxa"/>
            </w:tcMar>
            <w:vAlign w:val="center"/>
          </w:tcPr>
          <w:p>
            <w:r>
              <w:rPr>
                <w:sz w:val="16"/>
              </w:rPr>
            </w:r>
            <w:r>
              <w:rPr>
                <w:sz w:val="16"/>
              </w:rPr>
              <w:t>red de obligaciones y dependencias internas</w:t>
            </w:r>
          </w:p>
        </w:tc>
      </w:tr>
      <w:tr>
        <w:trPr>
          <w:cantSplit/>
        </w:trPr>
        <w:tc>
          <w:tcPr>
            <w:tcW w:type="dxa" w:w="3286"/>
            <w:shd w:fill="F4F7F8"/>
            <w:tcMar>
              <w:top w:w="80" w:type="dxa"/>
              <w:start w:w="90" w:type="dxa"/>
              <w:bottom w:w="80" w:type="dxa"/>
              <w:end w:w="90" w:type="dxa"/>
            </w:tcMar>
            <w:vAlign w:val="center"/>
          </w:tcPr>
          <w:p>
            <w:r>
              <w:rPr>
                <w:sz w:val="16"/>
              </w:rPr>
            </w:r>
            <w:r>
              <w:rPr>
                <w:sz w:val="16"/>
              </w:rPr>
              <w:t>Historia / humanidades</w:t>
            </w:r>
          </w:p>
        </w:tc>
        <w:tc>
          <w:tcPr>
            <w:tcW w:type="dxa" w:w="3286"/>
            <w:shd w:fill="F4F7F8"/>
            <w:tcMar>
              <w:top w:w="80" w:type="dxa"/>
              <w:start w:w="90" w:type="dxa"/>
              <w:bottom w:w="80" w:type="dxa"/>
              <w:end w:w="90" w:type="dxa"/>
            </w:tcMar>
            <w:vAlign w:val="center"/>
          </w:tcPr>
          <w:p>
            <w:r>
              <w:rPr>
                <w:sz w:val="16"/>
              </w:rPr>
            </w:r>
            <w:r>
              <w:rPr>
                <w:sz w:val="16"/>
              </w:rPr>
              <w:t>fuentes, eventos, tesis, causalidad, interpretación, incertidumbre</w:t>
            </w:r>
          </w:p>
        </w:tc>
        <w:tc>
          <w:tcPr>
            <w:tcW w:type="dxa" w:w="3286"/>
            <w:shd w:fill="F4F7F8"/>
            <w:tcMar>
              <w:top w:w="80" w:type="dxa"/>
              <w:start w:w="90" w:type="dxa"/>
              <w:bottom w:w="80" w:type="dxa"/>
              <w:end w:w="90" w:type="dxa"/>
            </w:tcMar>
            <w:vAlign w:val="center"/>
          </w:tcPr>
          <w:p>
            <w:r>
              <w:rPr>
                <w:sz w:val="16"/>
              </w:rPr>
            </w:r>
            <w:r>
              <w:rPr>
                <w:sz w:val="16"/>
              </w:rPr>
              <w:t>mapa tesis→fuente→inferencia y conflictos de evidencia</w:t>
            </w:r>
          </w:p>
        </w:tc>
      </w:tr>
    </w:tbl>
    <w:p>
      <w:pPr>
        <w:spacing w:after="20"/>
      </w:pPr>
    </w:p>
    <w:p>
      <w:pPr>
        <w:jc w:val="both"/>
      </w:pPr>
      <w:r>
        <w:t>La tabla es ilustrativa, no exhaustiva. No define perfiles que deban introducirse en la API. Si aparece una nueva materia, el requisito es que su semántica pueda observarse de forma autorizada; MDPAR conserva la misma infraestructura estructural.</w:t>
      </w:r>
    </w:p>
    <w:p>
      <w:pPr>
        <w:pStyle w:val="Heading1"/>
      </w:pPr>
      <w:r>
        <w:t>4. Relación con C0–C12</w:t>
      </w:r>
    </w:p>
    <w:p>
      <w:pPr>
        <w:jc w:val="both"/>
      </w:pPr>
      <w:r>
        <w:t>Las capacidades C0–C12 no son opciones de Swagger ni niveles de inteligencia. Constituyen contratos internos y evidencia de benchmarking que explican qué propiedades puede aportar el sistema al único análisis operativo.</w:t>
      </w:r>
    </w:p>
    <w:tbl>
      <w:tblPr>
        <w:tblStyle w:val="TableGrid"/>
        <w:tblW w:type="auto" w:w="0"/>
        <w:jc w:val="center"/>
        <w:tblLook w:firstColumn="1" w:firstRow="1" w:lastColumn="0" w:lastRow="0" w:noHBand="0" w:noVBand="1" w:val="04A0"/>
      </w:tblPr>
      <w:tblGrid>
        <w:gridCol w:w="3286"/>
        <w:gridCol w:w="3286"/>
        <w:gridCol w:w="3286"/>
      </w:tblGrid>
      <w:tr>
        <w:trPr>
          <w:cantSplit/>
        </w:trPr>
        <w:tc>
          <w:tcPr>
            <w:tcW w:type="dxa" w:w="3286"/>
            <w:shd w:fill="19324D"/>
          </w:tcPr>
          <w:p>
            <w:r>
              <w:rPr>
                <w:b/>
                <w:color w:val="FFFFFF"/>
                <w:sz w:val="16"/>
              </w:rPr>
              <w:t>C</w:t>
            </w:r>
          </w:p>
        </w:tc>
        <w:tc>
          <w:tcPr>
            <w:tcW w:type="dxa" w:w="3286"/>
            <w:shd w:fill="19324D"/>
          </w:tcPr>
          <w:p>
            <w:r>
              <w:rPr>
                <w:b/>
                <w:color w:val="FFFFFF"/>
                <w:sz w:val="16"/>
              </w:rPr>
              <w:t>Capacidad canónica</w:t>
            </w:r>
          </w:p>
        </w:tc>
        <w:tc>
          <w:tcPr>
            <w:tcW w:type="dxa" w:w="3286"/>
            <w:shd w:fill="19324D"/>
          </w:tcPr>
          <w:p>
            <w:r>
              <w:rPr>
                <w:b/>
                <w:color w:val="FFFFFF"/>
                <w:sz w:val="16"/>
              </w:rPr>
              <w:t>Función en la calidad pericial</w:t>
            </w:r>
          </w:p>
        </w:tc>
      </w:tr>
      <w:tr>
        <w:trPr>
          <w:cantSplit/>
        </w:trPr>
        <w:tc>
          <w:tcPr>
            <w:tcW w:type="dxa" w:w="3286"/>
            <w:tcMar>
              <w:top w:w="80" w:type="dxa"/>
              <w:start w:w="90" w:type="dxa"/>
              <w:bottom w:w="80" w:type="dxa"/>
              <w:end w:w="90" w:type="dxa"/>
            </w:tcMar>
            <w:vAlign w:val="center"/>
          </w:tcPr>
          <w:p>
            <w:r>
              <w:rPr>
                <w:sz w:val="16"/>
              </w:rPr>
            </w:r>
            <w:r>
              <w:rPr>
                <w:sz w:val="16"/>
              </w:rPr>
              <w:t>C0</w:t>
            </w:r>
          </w:p>
        </w:tc>
        <w:tc>
          <w:tcPr>
            <w:tcW w:type="dxa" w:w="3286"/>
            <w:tcMar>
              <w:top w:w="80" w:type="dxa"/>
              <w:start w:w="90" w:type="dxa"/>
              <w:bottom w:w="80" w:type="dxa"/>
              <w:end w:w="90" w:type="dxa"/>
            </w:tcMar>
            <w:vAlign w:val="center"/>
          </w:tcPr>
          <w:p>
            <w:r>
              <w:rPr>
                <w:sz w:val="16"/>
              </w:rPr>
            </w:r>
            <w:r>
              <w:rPr>
                <w:sz w:val="16"/>
              </w:rPr>
              <w:t>Reproducibilidad contractual</w:t>
            </w:r>
          </w:p>
        </w:tc>
        <w:tc>
          <w:tcPr>
            <w:tcW w:type="dxa" w:w="3286"/>
            <w:tcMar>
              <w:top w:w="80" w:type="dxa"/>
              <w:start w:w="90" w:type="dxa"/>
              <w:bottom w:w="80" w:type="dxa"/>
              <w:end w:w="90" w:type="dxa"/>
            </w:tcMar>
            <w:vAlign w:val="center"/>
          </w:tcPr>
          <w:p>
            <w:r>
              <w:rPr>
                <w:sz w:val="16"/>
              </w:rPr>
            </w:r>
            <w:r>
              <w:rPr>
                <w:sz w:val="16"/>
              </w:rPr>
              <w:t>identifica versión, contrato, recursos normativos y huella del artefacto ejecutado</w:t>
            </w:r>
          </w:p>
        </w:tc>
      </w:tr>
      <w:tr>
        <w:trPr>
          <w:cantSplit/>
        </w:trPr>
        <w:tc>
          <w:tcPr>
            <w:tcW w:type="dxa" w:w="3286"/>
            <w:shd w:fill="F4F7F8"/>
            <w:tcMar>
              <w:top w:w="80" w:type="dxa"/>
              <w:start w:w="90" w:type="dxa"/>
              <w:bottom w:w="80" w:type="dxa"/>
              <w:end w:w="90" w:type="dxa"/>
            </w:tcMar>
            <w:vAlign w:val="center"/>
          </w:tcPr>
          <w:p>
            <w:r>
              <w:rPr>
                <w:sz w:val="16"/>
              </w:rPr>
            </w:r>
            <w:r>
              <w:rPr>
                <w:sz w:val="16"/>
              </w:rPr>
              <w:t>C1</w:t>
            </w:r>
          </w:p>
        </w:tc>
        <w:tc>
          <w:tcPr>
            <w:tcW w:type="dxa" w:w="3286"/>
            <w:shd w:fill="F4F7F8"/>
            <w:tcMar>
              <w:top w:w="80" w:type="dxa"/>
              <w:start w:w="90" w:type="dxa"/>
              <w:bottom w:w="80" w:type="dxa"/>
              <w:end w:w="90" w:type="dxa"/>
            </w:tcMar>
            <w:vAlign w:val="center"/>
          </w:tcPr>
          <w:p>
            <w:r>
              <w:rPr>
                <w:sz w:val="16"/>
              </w:rPr>
            </w:r>
            <w:r>
              <w:rPr>
                <w:sz w:val="16"/>
              </w:rPr>
              <w:t>Identificación estructural</w:t>
            </w:r>
          </w:p>
        </w:tc>
        <w:tc>
          <w:tcPr>
            <w:tcW w:type="dxa" w:w="3286"/>
            <w:shd w:fill="F4F7F8"/>
            <w:tcMar>
              <w:top w:w="80" w:type="dxa"/>
              <w:start w:w="90" w:type="dxa"/>
              <w:bottom w:w="80" w:type="dxa"/>
              <w:end w:w="90" w:type="dxa"/>
            </w:tcMar>
            <w:vAlign w:val="center"/>
          </w:tcPr>
          <w:p>
            <w:r>
              <w:rPr>
                <w:sz w:val="16"/>
              </w:rPr>
            </w:r>
            <w:r>
              <w:rPr>
                <w:sz w:val="16"/>
              </w:rPr>
              <w:t>convierte observaciones semánticas en unidades estructurales trazables</w:t>
            </w:r>
          </w:p>
        </w:tc>
      </w:tr>
      <w:tr>
        <w:trPr>
          <w:cantSplit/>
        </w:trPr>
        <w:tc>
          <w:tcPr>
            <w:tcW w:type="dxa" w:w="3286"/>
            <w:tcMar>
              <w:top w:w="80" w:type="dxa"/>
              <w:start w:w="90" w:type="dxa"/>
              <w:bottom w:w="80" w:type="dxa"/>
              <w:end w:w="90" w:type="dxa"/>
            </w:tcMar>
            <w:vAlign w:val="center"/>
          </w:tcPr>
          <w:p>
            <w:r>
              <w:rPr>
                <w:sz w:val="16"/>
              </w:rPr>
            </w:r>
            <w:r>
              <w:rPr>
                <w:sz w:val="16"/>
              </w:rPr>
              <w:t>C2</w:t>
            </w:r>
          </w:p>
        </w:tc>
        <w:tc>
          <w:tcPr>
            <w:tcW w:type="dxa" w:w="3286"/>
            <w:tcMar>
              <w:top w:w="80" w:type="dxa"/>
              <w:start w:w="90" w:type="dxa"/>
              <w:bottom w:w="80" w:type="dxa"/>
              <w:end w:w="90" w:type="dxa"/>
            </w:tcMar>
            <w:vAlign w:val="center"/>
          </w:tcPr>
          <w:p>
            <w:r>
              <w:rPr>
                <w:sz w:val="16"/>
              </w:rPr>
            </w:r>
            <w:r>
              <w:rPr>
                <w:sz w:val="16"/>
              </w:rPr>
              <w:t>Metrología estructural</w:t>
            </w:r>
          </w:p>
        </w:tc>
        <w:tc>
          <w:tcPr>
            <w:tcW w:type="dxa" w:w="3286"/>
            <w:tcMar>
              <w:top w:w="80" w:type="dxa"/>
              <w:start w:w="90" w:type="dxa"/>
              <w:bottom w:w="80" w:type="dxa"/>
              <w:end w:w="90" w:type="dxa"/>
            </w:tcMar>
            <w:vAlign w:val="center"/>
          </w:tcPr>
          <w:p>
            <w:r>
              <w:rPr>
                <w:sz w:val="16"/>
              </w:rPr>
            </w:r>
            <w:r>
              <w:rPr>
                <w:sz w:val="16"/>
              </w:rPr>
              <w:t>mide propiedades de la representación sin sustituirlas por impresiones lingüísticas</w:t>
            </w:r>
          </w:p>
        </w:tc>
      </w:tr>
      <w:tr>
        <w:trPr>
          <w:cantSplit/>
        </w:trPr>
        <w:tc>
          <w:tcPr>
            <w:tcW w:type="dxa" w:w="3286"/>
            <w:shd w:fill="F4F7F8"/>
            <w:tcMar>
              <w:top w:w="80" w:type="dxa"/>
              <w:start w:w="90" w:type="dxa"/>
              <w:bottom w:w="80" w:type="dxa"/>
              <w:end w:w="90" w:type="dxa"/>
            </w:tcMar>
            <w:vAlign w:val="center"/>
          </w:tcPr>
          <w:p>
            <w:r>
              <w:rPr>
                <w:sz w:val="16"/>
              </w:rPr>
            </w:r>
            <w:r>
              <w:rPr>
                <w:sz w:val="16"/>
              </w:rPr>
              <w:t>C3</w:t>
            </w:r>
          </w:p>
        </w:tc>
        <w:tc>
          <w:tcPr>
            <w:tcW w:type="dxa" w:w="3286"/>
            <w:shd w:fill="F4F7F8"/>
            <w:tcMar>
              <w:top w:w="80" w:type="dxa"/>
              <w:start w:w="90" w:type="dxa"/>
              <w:bottom w:w="80" w:type="dxa"/>
              <w:end w:w="90" w:type="dxa"/>
            </w:tcMar>
            <w:vAlign w:val="center"/>
          </w:tcPr>
          <w:p>
            <w:r>
              <w:rPr>
                <w:sz w:val="16"/>
              </w:rPr>
            </w:r>
            <w:r>
              <w:rPr>
                <w:sz w:val="16"/>
              </w:rPr>
              <w:t>Cálculo estructural y continuidad direccional</w:t>
            </w:r>
          </w:p>
        </w:tc>
        <w:tc>
          <w:tcPr>
            <w:tcW w:type="dxa" w:w="3286"/>
            <w:shd w:fill="F4F7F8"/>
            <w:tcMar>
              <w:top w:w="80" w:type="dxa"/>
              <w:start w:w="90" w:type="dxa"/>
              <w:bottom w:w="80" w:type="dxa"/>
              <w:end w:w="90" w:type="dxa"/>
            </w:tcMar>
            <w:vAlign w:val="center"/>
          </w:tcPr>
          <w:p>
            <w:r>
              <w:rPr>
                <w:sz w:val="16"/>
              </w:rPr>
            </w:r>
            <w:r>
              <w:rPr>
                <w:sz w:val="16"/>
              </w:rPr>
              <w:t>aplica geometría, trayectorias, dirección y cálculo bajo autoridad MDPAR</w:t>
            </w:r>
          </w:p>
        </w:tc>
      </w:tr>
      <w:tr>
        <w:trPr>
          <w:cantSplit/>
        </w:trPr>
        <w:tc>
          <w:tcPr>
            <w:tcW w:type="dxa" w:w="3286"/>
            <w:tcMar>
              <w:top w:w="80" w:type="dxa"/>
              <w:start w:w="90" w:type="dxa"/>
              <w:bottom w:w="80" w:type="dxa"/>
              <w:end w:w="90" w:type="dxa"/>
            </w:tcMar>
            <w:vAlign w:val="center"/>
          </w:tcPr>
          <w:p>
            <w:r>
              <w:rPr>
                <w:sz w:val="16"/>
              </w:rPr>
            </w:r>
            <w:r>
              <w:rPr>
                <w:sz w:val="16"/>
              </w:rPr>
              <w:t>C4</w:t>
            </w:r>
          </w:p>
        </w:tc>
        <w:tc>
          <w:tcPr>
            <w:tcW w:type="dxa" w:w="3286"/>
            <w:tcMar>
              <w:top w:w="80" w:type="dxa"/>
              <w:start w:w="90" w:type="dxa"/>
              <w:bottom w:w="80" w:type="dxa"/>
              <w:end w:w="90" w:type="dxa"/>
            </w:tcMar>
            <w:vAlign w:val="center"/>
          </w:tcPr>
          <w:p>
            <w:r>
              <w:rPr>
                <w:sz w:val="16"/>
              </w:rPr>
            </w:r>
            <w:r>
              <w:rPr>
                <w:sz w:val="16"/>
              </w:rPr>
              <w:t>Transformación y equivalencia estructural</w:t>
            </w:r>
          </w:p>
        </w:tc>
        <w:tc>
          <w:tcPr>
            <w:tcW w:type="dxa" w:w="3286"/>
            <w:tcMar>
              <w:top w:w="80" w:type="dxa"/>
              <w:start w:w="90" w:type="dxa"/>
              <w:bottom w:w="80" w:type="dxa"/>
              <w:end w:w="90" w:type="dxa"/>
            </w:tcMar>
            <w:vAlign w:val="center"/>
          </w:tcPr>
          <w:p>
            <w:r>
              <w:rPr>
                <w:sz w:val="16"/>
              </w:rPr>
            </w:r>
            <w:r>
              <w:rPr>
                <w:sz w:val="16"/>
              </w:rPr>
              <w:t>permite reidentificación, invariancia y contraste exacto entre realizaciones cuando procede</w:t>
            </w:r>
          </w:p>
        </w:tc>
      </w:tr>
      <w:tr>
        <w:trPr>
          <w:cantSplit/>
        </w:trPr>
        <w:tc>
          <w:tcPr>
            <w:tcW w:type="dxa" w:w="3286"/>
            <w:shd w:fill="F4F7F8"/>
            <w:tcMar>
              <w:top w:w="80" w:type="dxa"/>
              <w:start w:w="90" w:type="dxa"/>
              <w:bottom w:w="80" w:type="dxa"/>
              <w:end w:w="90" w:type="dxa"/>
            </w:tcMar>
            <w:vAlign w:val="center"/>
          </w:tcPr>
          <w:p>
            <w:r>
              <w:rPr>
                <w:sz w:val="16"/>
              </w:rPr>
            </w:r>
            <w:r>
              <w:rPr>
                <w:sz w:val="16"/>
              </w:rPr>
              <w:t>C5</w:t>
            </w:r>
          </w:p>
        </w:tc>
        <w:tc>
          <w:tcPr>
            <w:tcW w:type="dxa" w:w="3286"/>
            <w:shd w:fill="F4F7F8"/>
            <w:tcMar>
              <w:top w:w="80" w:type="dxa"/>
              <w:start w:w="90" w:type="dxa"/>
              <w:bottom w:w="80" w:type="dxa"/>
              <w:end w:w="90" w:type="dxa"/>
            </w:tcMar>
            <w:vAlign w:val="center"/>
          </w:tcPr>
          <w:p>
            <w:r>
              <w:rPr>
                <w:sz w:val="16"/>
              </w:rPr>
            </w:r>
            <w:r>
              <w:rPr>
                <w:sz w:val="16"/>
              </w:rPr>
              <w:t>Cooperación contextual</w:t>
            </w:r>
          </w:p>
        </w:tc>
        <w:tc>
          <w:tcPr>
            <w:tcW w:type="dxa" w:w="3286"/>
            <w:shd w:fill="F4F7F8"/>
            <w:tcMar>
              <w:top w:w="80" w:type="dxa"/>
              <w:start w:w="90" w:type="dxa"/>
              <w:bottom w:w="80" w:type="dxa"/>
              <w:end w:w="90" w:type="dxa"/>
            </w:tcMar>
            <w:vAlign w:val="center"/>
          </w:tcPr>
          <w:p>
            <w:r>
              <w:rPr>
                <w:sz w:val="16"/>
              </w:rPr>
            </w:r>
            <w:r>
              <w:rPr>
                <w:sz w:val="16"/>
              </w:rPr>
              <w:t>revisa la interpretación cuando el contexto modifica lo que puede sostenerse estructuralmente</w:t>
            </w:r>
          </w:p>
        </w:tc>
      </w:tr>
      <w:tr>
        <w:trPr>
          <w:cantSplit/>
        </w:trPr>
        <w:tc>
          <w:tcPr>
            <w:tcW w:type="dxa" w:w="3286"/>
            <w:tcMar>
              <w:top w:w="80" w:type="dxa"/>
              <w:start w:w="90" w:type="dxa"/>
              <w:bottom w:w="80" w:type="dxa"/>
              <w:end w:w="90" w:type="dxa"/>
            </w:tcMar>
            <w:vAlign w:val="center"/>
          </w:tcPr>
          <w:p>
            <w:r>
              <w:rPr>
                <w:sz w:val="16"/>
              </w:rPr>
            </w:r>
            <w:r>
              <w:rPr>
                <w:sz w:val="16"/>
              </w:rPr>
              <w:t>C6</w:t>
            </w:r>
          </w:p>
        </w:tc>
        <w:tc>
          <w:tcPr>
            <w:tcW w:type="dxa" w:w="3286"/>
            <w:tcMar>
              <w:top w:w="80" w:type="dxa"/>
              <w:start w:w="90" w:type="dxa"/>
              <w:bottom w:w="80" w:type="dxa"/>
              <w:end w:w="90" w:type="dxa"/>
            </w:tcMar>
            <w:vAlign w:val="center"/>
          </w:tcPr>
          <w:p>
            <w:r>
              <w:rPr>
                <w:sz w:val="16"/>
              </w:rPr>
            </w:r>
            <w:r>
              <w:rPr>
                <w:sz w:val="16"/>
              </w:rPr>
              <w:t>Cognición longitudinal y timing epistémico</w:t>
            </w:r>
          </w:p>
        </w:tc>
        <w:tc>
          <w:tcPr>
            <w:tcW w:type="dxa" w:w="3286"/>
            <w:tcMar>
              <w:top w:w="80" w:type="dxa"/>
              <w:start w:w="90" w:type="dxa"/>
              <w:bottom w:w="80" w:type="dxa"/>
              <w:end w:w="90" w:type="dxa"/>
            </w:tcMar>
            <w:vAlign w:val="center"/>
          </w:tcPr>
          <w:p>
            <w:r>
              <w:rPr>
                <w:sz w:val="16"/>
              </w:rPr>
            </w:r>
            <w:r>
              <w:rPr>
                <w:sz w:val="16"/>
              </w:rPr>
              <w:t>conserva el estado del caso, revisa hipótesis y evita resolver antes de disponer de evidencia suficiente</w:t>
            </w:r>
          </w:p>
        </w:tc>
      </w:tr>
      <w:tr>
        <w:trPr>
          <w:cantSplit/>
        </w:trPr>
        <w:tc>
          <w:tcPr>
            <w:tcW w:type="dxa" w:w="3286"/>
            <w:shd w:fill="F4F7F8"/>
            <w:tcMar>
              <w:top w:w="80" w:type="dxa"/>
              <w:start w:w="90" w:type="dxa"/>
              <w:bottom w:w="80" w:type="dxa"/>
              <w:end w:w="90" w:type="dxa"/>
            </w:tcMar>
            <w:vAlign w:val="center"/>
          </w:tcPr>
          <w:p>
            <w:r>
              <w:rPr>
                <w:sz w:val="16"/>
              </w:rPr>
            </w:r>
            <w:r>
              <w:rPr>
                <w:sz w:val="16"/>
              </w:rPr>
              <w:t>C7</w:t>
            </w:r>
          </w:p>
        </w:tc>
        <w:tc>
          <w:tcPr>
            <w:tcW w:type="dxa" w:w="3286"/>
            <w:shd w:fill="F4F7F8"/>
            <w:tcMar>
              <w:top w:w="80" w:type="dxa"/>
              <w:start w:w="90" w:type="dxa"/>
              <w:bottom w:w="80" w:type="dxa"/>
              <w:end w:w="90" w:type="dxa"/>
            </w:tcMar>
            <w:vAlign w:val="center"/>
          </w:tcPr>
          <w:p>
            <w:r>
              <w:rPr>
                <w:sz w:val="16"/>
              </w:rPr>
            </w:r>
            <w:r>
              <w:rPr>
                <w:sz w:val="16"/>
              </w:rPr>
              <w:t>Inteligencia CLOSED acotada y heterogénea</w:t>
            </w:r>
          </w:p>
        </w:tc>
        <w:tc>
          <w:tcPr>
            <w:tcW w:type="dxa" w:w="3286"/>
            <w:shd w:fill="F4F7F8"/>
            <w:tcMar>
              <w:top w:w="80" w:type="dxa"/>
              <w:start w:w="90" w:type="dxa"/>
              <w:bottom w:w="80" w:type="dxa"/>
              <w:end w:w="90" w:type="dxa"/>
            </w:tcMar>
            <w:vAlign w:val="center"/>
          </w:tcPr>
          <w:p>
            <w:r>
              <w:rPr>
                <w:sz w:val="16"/>
              </w:rPr>
            </w:r>
            <w:r>
              <w:rPr>
                <w:sz w:val="16"/>
              </w:rPr>
              <w:t>aplica conocimiento local autorizado dentro de una envolvente concreta</w:t>
            </w:r>
          </w:p>
        </w:tc>
      </w:tr>
      <w:tr>
        <w:trPr>
          <w:cantSplit/>
        </w:trPr>
        <w:tc>
          <w:tcPr>
            <w:tcW w:type="dxa" w:w="3286"/>
            <w:tcMar>
              <w:top w:w="80" w:type="dxa"/>
              <w:start w:w="90" w:type="dxa"/>
              <w:bottom w:w="80" w:type="dxa"/>
              <w:end w:w="90" w:type="dxa"/>
            </w:tcMar>
            <w:vAlign w:val="center"/>
          </w:tcPr>
          <w:p>
            <w:r>
              <w:rPr>
                <w:sz w:val="16"/>
              </w:rPr>
            </w:r>
            <w:r>
              <w:rPr>
                <w:sz w:val="16"/>
              </w:rPr>
              <w:t>C8</w:t>
            </w:r>
          </w:p>
        </w:tc>
        <w:tc>
          <w:tcPr>
            <w:tcW w:type="dxa" w:w="3286"/>
            <w:tcMar>
              <w:top w:w="80" w:type="dxa"/>
              <w:start w:w="90" w:type="dxa"/>
              <w:bottom w:w="80" w:type="dxa"/>
              <w:end w:w="90" w:type="dxa"/>
            </w:tcMar>
            <w:vAlign w:val="center"/>
          </w:tcPr>
          <w:p>
            <w:r>
              <w:rPr>
                <w:sz w:val="16"/>
              </w:rPr>
            </w:r>
            <w:r>
              <w:rPr>
                <w:sz w:val="16"/>
              </w:rPr>
              <w:t>Composición CLOSED/OPEN</w:t>
            </w:r>
          </w:p>
        </w:tc>
        <w:tc>
          <w:tcPr>
            <w:tcW w:type="dxa" w:w="3286"/>
            <w:tcMar>
              <w:top w:w="80" w:type="dxa"/>
              <w:start w:w="90" w:type="dxa"/>
              <w:bottom w:w="80" w:type="dxa"/>
              <w:end w:w="90" w:type="dxa"/>
            </w:tcMar>
            <w:vAlign w:val="center"/>
          </w:tcPr>
          <w:p>
            <w:r>
              <w:rPr>
                <w:sz w:val="16"/>
              </w:rPr>
            </w:r>
            <w:r>
              <w:rPr>
                <w:sz w:val="16"/>
              </w:rPr>
              <w:t>combina conocimiento local y frontera semántica sin ceder routing ni ownership</w:t>
            </w:r>
          </w:p>
        </w:tc>
      </w:tr>
      <w:tr>
        <w:trPr>
          <w:cantSplit/>
        </w:trPr>
        <w:tc>
          <w:tcPr>
            <w:tcW w:type="dxa" w:w="3286"/>
            <w:shd w:fill="F4F7F8"/>
            <w:tcMar>
              <w:top w:w="80" w:type="dxa"/>
              <w:start w:w="90" w:type="dxa"/>
              <w:bottom w:w="80" w:type="dxa"/>
              <w:end w:w="90" w:type="dxa"/>
            </w:tcMar>
            <w:vAlign w:val="center"/>
          </w:tcPr>
          <w:p>
            <w:r>
              <w:rPr>
                <w:sz w:val="16"/>
              </w:rPr>
            </w:r>
            <w:r>
              <w:rPr>
                <w:sz w:val="16"/>
              </w:rPr>
              <w:t>C9</w:t>
            </w:r>
          </w:p>
        </w:tc>
        <w:tc>
          <w:tcPr>
            <w:tcW w:type="dxa" w:w="3286"/>
            <w:shd w:fill="F4F7F8"/>
            <w:tcMar>
              <w:top w:w="80" w:type="dxa"/>
              <w:start w:w="90" w:type="dxa"/>
              <w:bottom w:w="80" w:type="dxa"/>
              <w:end w:w="90" w:type="dxa"/>
            </w:tcMar>
            <w:vAlign w:val="center"/>
          </w:tcPr>
          <w:p>
            <w:r>
              <w:rPr>
                <w:sz w:val="16"/>
              </w:rPr>
            </w:r>
            <w:r>
              <w:rPr>
                <w:sz w:val="16"/>
              </w:rPr>
              <w:t>Cognición adaptativa y concurrente</w:t>
            </w:r>
          </w:p>
        </w:tc>
        <w:tc>
          <w:tcPr>
            <w:tcW w:type="dxa" w:w="3286"/>
            <w:shd w:fill="F4F7F8"/>
            <w:tcMar>
              <w:top w:w="80" w:type="dxa"/>
              <w:start w:w="90" w:type="dxa"/>
              <w:bottom w:w="80" w:type="dxa"/>
              <w:end w:w="90" w:type="dxa"/>
            </w:tcMar>
            <w:vAlign w:val="center"/>
          </w:tcPr>
          <w:p>
            <w:r>
              <w:rPr>
                <w:sz w:val="16"/>
              </w:rPr>
            </w:r>
            <w:r>
              <w:rPr>
                <w:sz w:val="16"/>
              </w:rPr>
              <w:t>adquiere cognición adicional sólo cuando resulta necesaria y puede ocultar latencia sin confundirla con ahorro de cómputo</w:t>
            </w:r>
          </w:p>
        </w:tc>
      </w:tr>
      <w:tr>
        <w:trPr>
          <w:cantSplit/>
        </w:trPr>
        <w:tc>
          <w:tcPr>
            <w:tcW w:type="dxa" w:w="3286"/>
            <w:tcMar>
              <w:top w:w="80" w:type="dxa"/>
              <w:start w:w="90" w:type="dxa"/>
              <w:bottom w:w="80" w:type="dxa"/>
              <w:end w:w="90" w:type="dxa"/>
            </w:tcMar>
            <w:vAlign w:val="center"/>
          </w:tcPr>
          <w:p>
            <w:r>
              <w:rPr>
                <w:sz w:val="16"/>
              </w:rPr>
            </w:r>
            <w:r>
              <w:rPr>
                <w:sz w:val="16"/>
              </w:rPr>
              <w:t>C10</w:t>
            </w:r>
          </w:p>
        </w:tc>
        <w:tc>
          <w:tcPr>
            <w:tcW w:type="dxa" w:w="3286"/>
            <w:tcMar>
              <w:top w:w="80" w:type="dxa"/>
              <w:start w:w="90" w:type="dxa"/>
              <w:bottom w:w="80" w:type="dxa"/>
              <w:end w:w="90" w:type="dxa"/>
            </w:tcMar>
            <w:vAlign w:val="center"/>
          </w:tcPr>
          <w:p>
            <w:r>
              <w:rPr>
                <w:sz w:val="16"/>
              </w:rPr>
            </w:r>
            <w:r>
              <w:rPr>
                <w:sz w:val="16"/>
              </w:rPr>
              <w:t>Autoridad temporal y embodiment</w:t>
            </w:r>
          </w:p>
        </w:tc>
        <w:tc>
          <w:tcPr>
            <w:tcW w:type="dxa" w:w="3286"/>
            <w:tcMar>
              <w:top w:w="80" w:type="dxa"/>
              <w:start w:w="90" w:type="dxa"/>
              <w:bottom w:w="80" w:type="dxa"/>
              <w:end w:w="90" w:type="dxa"/>
            </w:tcMar>
            <w:vAlign w:val="center"/>
          </w:tcPr>
          <w:p>
            <w:r>
              <w:rPr>
                <w:sz w:val="16"/>
              </w:rPr>
            </w:r>
            <w:r>
              <w:rPr>
                <w:sz w:val="16"/>
              </w:rPr>
              <w:t>separa validez cognitiva de permiso para comprometer acciones o conclusiones operativas fuera de plazo</w:t>
            </w:r>
          </w:p>
        </w:tc>
      </w:tr>
      <w:tr>
        <w:trPr>
          <w:cantSplit/>
        </w:trPr>
        <w:tc>
          <w:tcPr>
            <w:tcW w:type="dxa" w:w="3286"/>
            <w:shd w:fill="F4F7F8"/>
            <w:tcMar>
              <w:top w:w="80" w:type="dxa"/>
              <w:start w:w="90" w:type="dxa"/>
              <w:bottom w:w="80" w:type="dxa"/>
              <w:end w:w="90" w:type="dxa"/>
            </w:tcMar>
            <w:vAlign w:val="center"/>
          </w:tcPr>
          <w:p>
            <w:r>
              <w:rPr>
                <w:sz w:val="16"/>
              </w:rPr>
            </w:r>
            <w:r>
              <w:rPr>
                <w:sz w:val="16"/>
              </w:rPr>
              <w:t>C11</w:t>
            </w:r>
          </w:p>
        </w:tc>
        <w:tc>
          <w:tcPr>
            <w:tcW w:type="dxa" w:w="3286"/>
            <w:shd w:fill="F4F7F8"/>
            <w:tcMar>
              <w:top w:w="80" w:type="dxa"/>
              <w:start w:w="90" w:type="dxa"/>
              <w:bottom w:w="80" w:type="dxa"/>
              <w:end w:w="90" w:type="dxa"/>
            </w:tcMar>
            <w:vAlign w:val="center"/>
          </w:tcPr>
          <w:p>
            <w:r>
              <w:rPr>
                <w:sz w:val="16"/>
              </w:rPr>
            </w:r>
            <w:r>
              <w:rPr>
                <w:sz w:val="16"/>
              </w:rPr>
              <w:t>Degradación, continuidad y recovery</w:t>
            </w:r>
          </w:p>
        </w:tc>
        <w:tc>
          <w:tcPr>
            <w:tcW w:type="dxa" w:w="3286"/>
            <w:shd w:fill="F4F7F8"/>
            <w:tcMar>
              <w:top w:w="80" w:type="dxa"/>
              <w:start w:w="90" w:type="dxa"/>
              <w:bottom w:w="80" w:type="dxa"/>
              <w:end w:w="90" w:type="dxa"/>
            </w:tcMar>
            <w:vAlign w:val="center"/>
          </w:tcPr>
          <w:p>
            <w:r>
              <w:rPr>
                <w:sz w:val="16"/>
              </w:rPr>
            </w:r>
            <w:r>
              <w:rPr>
                <w:sz w:val="16"/>
              </w:rPr>
              <w:t>conserva continuidad y autoridad durante pérdida y recuperación de proveedores</w:t>
            </w:r>
          </w:p>
        </w:tc>
      </w:tr>
      <w:tr>
        <w:trPr>
          <w:cantSplit/>
        </w:trPr>
        <w:tc>
          <w:tcPr>
            <w:tcW w:type="dxa" w:w="3286"/>
            <w:tcMar>
              <w:top w:w="80" w:type="dxa"/>
              <w:start w:w="90" w:type="dxa"/>
              <w:bottom w:w="80" w:type="dxa"/>
              <w:end w:w="90" w:type="dxa"/>
            </w:tcMar>
            <w:vAlign w:val="center"/>
          </w:tcPr>
          <w:p>
            <w:r>
              <w:rPr>
                <w:sz w:val="16"/>
              </w:rPr>
            </w:r>
            <w:r>
              <w:rPr>
                <w:sz w:val="16"/>
              </w:rPr>
              <w:t>C12</w:t>
            </w:r>
          </w:p>
        </w:tc>
        <w:tc>
          <w:tcPr>
            <w:tcW w:type="dxa" w:w="3286"/>
            <w:tcMar>
              <w:top w:w="80" w:type="dxa"/>
              <w:start w:w="90" w:type="dxa"/>
              <w:bottom w:w="80" w:type="dxa"/>
              <w:end w:w="90" w:type="dxa"/>
            </w:tcMar>
            <w:vAlign w:val="center"/>
          </w:tcPr>
          <w:p>
            <w:r>
              <w:rPr>
                <w:sz w:val="16"/>
              </w:rPr>
            </w:r>
            <w:r>
              <w:rPr>
                <w:sz w:val="16"/>
              </w:rPr>
              <w:t>Cooperación sostenida del sistema</w:t>
            </w:r>
          </w:p>
        </w:tc>
        <w:tc>
          <w:tcPr>
            <w:tcW w:type="dxa" w:w="3286"/>
            <w:tcMar>
              <w:top w:w="80" w:type="dxa"/>
              <w:start w:w="90" w:type="dxa"/>
              <w:bottom w:w="80" w:type="dxa"/>
              <w:end w:w="90" w:type="dxa"/>
            </w:tcMar>
            <w:vAlign w:val="center"/>
          </w:tcPr>
          <w:p>
            <w:r>
              <w:rPr>
                <w:sz w:val="16"/>
              </w:rPr>
            </w:r>
            <w:r>
              <w:rPr>
                <w:sz w:val="16"/>
              </w:rPr>
              <w:t>verifica la convivencia de los mecanismos anteriores en un episodio prolongado</w:t>
            </w:r>
          </w:p>
        </w:tc>
      </w:tr>
    </w:tbl>
    <w:p>
      <w:pPr>
        <w:spacing w:after="20"/>
      </w:pPr>
    </w:p>
    <w:p>
      <w:pPr>
        <w:jc w:val="both"/>
      </w:pPr>
      <w:r>
        <w:t xml:space="preserve">No todas las C tienen que producir una señal visible en cada expediente. C4, por ejemplo, puede no ser material si no existe una transformación o realización comparable; C6 adquiere especial relevancia cuando </w:t>
      </w:r>
      <w:r>
        <w:rPr>
          <w:rFonts w:ascii="Consolas" w:hAnsi="Consolas"/>
          <w:color w:val="464646"/>
          <w:sz w:val="18"/>
        </w:rPr>
        <w:t>interaction_id</w:t>
      </w:r>
      <w:r>
        <w:t xml:space="preserve"> continúa un caso; C10–C12 gobiernan circunstancias operacionales que pueden no activarse en una ejecución breve. Su ausencia material no convierte el análisis en otro objetivo: el contrato del servicio sigue siendo único.</w:t>
      </w:r>
    </w:p>
    <w:p>
      <w:pPr>
        <w:pStyle w:val="Heading1"/>
      </w:pPr>
      <w:r>
        <w:t>5. Superficie pública de Swagger</w:t>
      </w:r>
    </w:p>
    <w:p>
      <w:pPr>
        <w:jc w:val="both"/>
      </w:pPr>
      <w:r>
        <w:t>Swagger expone deliberadamente sólo cuatro rutas públicas:</w:t>
      </w:r>
    </w:p>
    <w:tbl>
      <w:tblPr>
        <w:tblStyle w:val="TableGrid"/>
        <w:tblW w:type="auto" w:w="0"/>
        <w:jc w:val="center"/>
        <w:tblLook w:firstColumn="1" w:firstRow="1" w:lastColumn="0" w:lastRow="0" w:noHBand="0" w:noVBand="1" w:val="04A0"/>
      </w:tblPr>
      <w:tblGrid>
        <w:gridCol w:w="3286"/>
        <w:gridCol w:w="3286"/>
        <w:gridCol w:w="3286"/>
      </w:tblGrid>
      <w:tr>
        <w:trPr>
          <w:cantSplit/>
        </w:trPr>
        <w:tc>
          <w:tcPr>
            <w:tcW w:type="dxa" w:w="3286"/>
            <w:shd w:fill="19324D"/>
          </w:tcPr>
          <w:p>
            <w:r>
              <w:rPr>
                <w:b/>
                <w:color w:val="FFFFFF"/>
                <w:sz w:val="16"/>
              </w:rPr>
              <w:t>Método</w:t>
            </w:r>
          </w:p>
        </w:tc>
        <w:tc>
          <w:tcPr>
            <w:tcW w:type="dxa" w:w="3286"/>
            <w:shd w:fill="19324D"/>
          </w:tcPr>
          <w:p>
            <w:r>
              <w:rPr>
                <w:b/>
                <w:color w:val="FFFFFF"/>
                <w:sz w:val="16"/>
              </w:rPr>
              <w:t>Ruta</w:t>
            </w:r>
          </w:p>
        </w:tc>
        <w:tc>
          <w:tcPr>
            <w:tcW w:type="dxa" w:w="3286"/>
            <w:shd w:fill="19324D"/>
          </w:tcPr>
          <w:p>
            <w:r>
              <w:rPr>
                <w:b/>
                <w:color w:val="FFFFFF"/>
                <w:sz w:val="16"/>
              </w:rPr>
              <w:t>Finalidad</w:t>
            </w:r>
          </w:p>
        </w:tc>
      </w:tr>
      <w:tr>
        <w:trPr>
          <w:cantSplit/>
        </w:trPr>
        <w:tc>
          <w:tcPr>
            <w:tcW w:type="dxa" w:w="3286"/>
            <w:tcMar>
              <w:top w:w="80" w:type="dxa"/>
              <w:start w:w="90" w:type="dxa"/>
              <w:bottom w:w="80" w:type="dxa"/>
              <w:end w:w="90" w:type="dxa"/>
            </w:tcMar>
            <w:vAlign w:val="center"/>
          </w:tcPr>
          <w:p>
            <w:r>
              <w:rPr>
                <w:sz w:val="16"/>
              </w:rPr>
            </w:r>
            <w:r>
              <w:rPr>
                <w:sz w:val="16"/>
              </w:rPr>
              <w:t>GET</w:t>
            </w:r>
          </w:p>
        </w:tc>
        <w:tc>
          <w:tcPr>
            <w:tcW w:type="dxa" w:w="3286"/>
            <w:tcMar>
              <w:top w:w="80" w:type="dxa"/>
              <w:start w:w="90" w:type="dxa"/>
              <w:bottom w:w="80" w:type="dxa"/>
              <w:end w:w="90" w:type="dxa"/>
            </w:tcMar>
            <w:vAlign w:val="center"/>
          </w:tcPr>
          <w:p>
            <w:r>
              <w:rPr>
                <w:sz w:val="16"/>
              </w:rPr>
            </w:r>
            <w:r>
              <w:rPr>
                <w:rFonts w:ascii="Consolas" w:hAnsi="Consolas"/>
                <w:color w:val="464646"/>
                <w:sz w:val="16"/>
              </w:rPr>
              <w:t>/health</w:t>
            </w:r>
          </w:p>
        </w:tc>
        <w:tc>
          <w:tcPr>
            <w:tcW w:type="dxa" w:w="3286"/>
            <w:tcMar>
              <w:top w:w="80" w:type="dxa"/>
              <w:start w:w="90" w:type="dxa"/>
              <w:bottom w:w="80" w:type="dxa"/>
              <w:end w:w="90" w:type="dxa"/>
            </w:tcMar>
            <w:vAlign w:val="center"/>
          </w:tcPr>
          <w:p>
            <w:r>
              <w:rPr>
                <w:sz w:val="16"/>
              </w:rPr>
            </w:r>
            <w:r>
              <w:rPr>
                <w:sz w:val="16"/>
              </w:rPr>
              <w:t>comprobar que el servicio HTTP responde</w:t>
            </w:r>
          </w:p>
        </w:tc>
      </w:tr>
      <w:tr>
        <w:trPr>
          <w:cantSplit/>
        </w:trPr>
        <w:tc>
          <w:tcPr>
            <w:tcW w:type="dxa" w:w="3286"/>
            <w:shd w:fill="F4F7F8"/>
            <w:tcMar>
              <w:top w:w="80" w:type="dxa"/>
              <w:start w:w="90" w:type="dxa"/>
              <w:bottom w:w="80" w:type="dxa"/>
              <w:end w:w="90" w:type="dxa"/>
            </w:tcMar>
            <w:vAlign w:val="center"/>
          </w:tcPr>
          <w:p>
            <w:r>
              <w:rPr>
                <w:sz w:val="16"/>
              </w:rPr>
            </w:r>
            <w:r>
              <w:rPr>
                <w:sz w:val="16"/>
              </w:rPr>
              <w:t>GET</w:t>
            </w:r>
          </w:p>
        </w:tc>
        <w:tc>
          <w:tcPr>
            <w:tcW w:type="dxa" w:w="3286"/>
            <w:shd w:fill="F4F7F8"/>
            <w:tcMar>
              <w:top w:w="80" w:type="dxa"/>
              <w:start w:w="90" w:type="dxa"/>
              <w:bottom w:w="80" w:type="dxa"/>
              <w:end w:w="90" w:type="dxa"/>
            </w:tcMar>
            <w:vAlign w:val="center"/>
          </w:tcPr>
          <w:p>
            <w:r>
              <w:rPr>
                <w:sz w:val="16"/>
              </w:rPr>
            </w:r>
            <w:r>
              <w:rPr>
                <w:rFonts w:ascii="Consolas" w:hAnsi="Consolas"/>
                <w:color w:val="464646"/>
                <w:sz w:val="16"/>
              </w:rPr>
              <w:t>/runtime</w:t>
            </w:r>
          </w:p>
        </w:tc>
        <w:tc>
          <w:tcPr>
            <w:tcW w:type="dxa" w:w="3286"/>
            <w:shd w:fill="F4F7F8"/>
            <w:tcMar>
              <w:top w:w="80" w:type="dxa"/>
              <w:start w:w="90" w:type="dxa"/>
              <w:bottom w:w="80" w:type="dxa"/>
              <w:end w:w="90" w:type="dxa"/>
            </w:tcMar>
            <w:vAlign w:val="center"/>
          </w:tcPr>
          <w:p>
            <w:r>
              <w:rPr>
                <w:sz w:val="16"/>
              </w:rPr>
            </w:r>
            <w:r>
              <w:rPr>
                <w:sz w:val="16"/>
              </w:rPr>
              <w:t>observar identidad y readiness del runtime realmente cargado</w:t>
            </w:r>
          </w:p>
        </w:tc>
      </w:tr>
      <w:tr>
        <w:trPr>
          <w:cantSplit/>
        </w:trPr>
        <w:tc>
          <w:tcPr>
            <w:tcW w:type="dxa" w:w="3286"/>
            <w:tcMar>
              <w:top w:w="80" w:type="dxa"/>
              <w:start w:w="90" w:type="dxa"/>
              <w:bottom w:w="80" w:type="dxa"/>
              <w:end w:w="90" w:type="dxa"/>
            </w:tcMar>
            <w:vAlign w:val="center"/>
          </w:tcPr>
          <w:p>
            <w:r>
              <w:rPr>
                <w:sz w:val="16"/>
              </w:rPr>
            </w:r>
            <w:r>
              <w:rPr>
                <w:sz w:val="16"/>
              </w:rPr>
              <w:t>POST</w:t>
            </w:r>
          </w:p>
        </w:tc>
        <w:tc>
          <w:tcPr>
            <w:tcW w:type="dxa" w:w="3286"/>
            <w:tcMar>
              <w:top w:w="80" w:type="dxa"/>
              <w:start w:w="90" w:type="dxa"/>
              <w:bottom w:w="80" w:type="dxa"/>
              <w:end w:w="90" w:type="dxa"/>
            </w:tcMar>
            <w:vAlign w:val="center"/>
          </w:tcPr>
          <w:p>
            <w:r>
              <w:rPr>
                <w:sz w:val="16"/>
              </w:rPr>
            </w:r>
            <w:r>
              <w:rPr>
                <w:rFonts w:ascii="Consolas" w:hAnsi="Consolas"/>
                <w:color w:val="464646"/>
                <w:sz w:val="16"/>
              </w:rPr>
              <w:t>/assessment</w:t>
            </w:r>
          </w:p>
        </w:tc>
        <w:tc>
          <w:tcPr>
            <w:tcW w:type="dxa" w:w="3286"/>
            <w:tcMar>
              <w:top w:w="80" w:type="dxa"/>
              <w:start w:w="90" w:type="dxa"/>
              <w:bottom w:w="80" w:type="dxa"/>
              <w:end w:w="90" w:type="dxa"/>
            </w:tcMar>
            <w:vAlign w:val="center"/>
          </w:tcPr>
          <w:p>
            <w:r>
              <w:rPr>
                <w:sz w:val="16"/>
              </w:rPr>
            </w:r>
            <w:r>
              <w:rPr>
                <w:sz w:val="16"/>
              </w:rPr>
              <w:t>ejecutar la evaluación estructural exhaustiva</w:t>
            </w:r>
          </w:p>
        </w:tc>
      </w:tr>
      <w:tr>
        <w:trPr>
          <w:cantSplit/>
        </w:trPr>
        <w:tc>
          <w:tcPr>
            <w:tcW w:type="dxa" w:w="3286"/>
            <w:shd w:fill="F4F7F8"/>
            <w:tcMar>
              <w:top w:w="80" w:type="dxa"/>
              <w:start w:w="90" w:type="dxa"/>
              <w:bottom w:w="80" w:type="dxa"/>
              <w:end w:w="90" w:type="dxa"/>
            </w:tcMar>
            <w:vAlign w:val="center"/>
          </w:tcPr>
          <w:p>
            <w:r>
              <w:rPr>
                <w:sz w:val="16"/>
              </w:rPr>
            </w:r>
            <w:r>
              <w:rPr>
                <w:sz w:val="16"/>
              </w:rPr>
              <w:t>GET</w:t>
            </w:r>
          </w:p>
        </w:tc>
        <w:tc>
          <w:tcPr>
            <w:tcW w:type="dxa" w:w="3286"/>
            <w:shd w:fill="F4F7F8"/>
            <w:tcMar>
              <w:top w:w="80" w:type="dxa"/>
              <w:start w:w="90" w:type="dxa"/>
              <w:bottom w:w="80" w:type="dxa"/>
              <w:end w:w="90" w:type="dxa"/>
            </w:tcMar>
            <w:vAlign w:val="center"/>
          </w:tcPr>
          <w:p>
            <w:r>
              <w:rPr>
                <w:sz w:val="16"/>
              </w:rPr>
            </w:r>
            <w:r>
              <w:rPr>
                <w:rFonts w:ascii="Consolas" w:hAnsi="Consolas"/>
                <w:color w:val="464646"/>
                <w:sz w:val="16"/>
              </w:rPr>
              <w:t>/reports/{interaction_id}/{filename}</w:t>
            </w:r>
          </w:p>
        </w:tc>
        <w:tc>
          <w:tcPr>
            <w:tcW w:type="dxa" w:w="3286"/>
            <w:shd w:fill="F4F7F8"/>
            <w:tcMar>
              <w:top w:w="80" w:type="dxa"/>
              <w:start w:w="90" w:type="dxa"/>
              <w:bottom w:w="80" w:type="dxa"/>
              <w:end w:w="90" w:type="dxa"/>
            </w:tcMar>
            <w:vAlign w:val="center"/>
          </w:tcPr>
          <w:p>
            <w:r>
              <w:rPr>
                <w:sz w:val="16"/>
              </w:rPr>
            </w:r>
            <w:r>
              <w:rPr>
                <w:sz w:val="16"/>
              </w:rPr>
              <w:t>descargar un informe DOCX generado</w:t>
            </w:r>
          </w:p>
        </w:tc>
      </w:tr>
    </w:tbl>
    <w:p>
      <w:pPr>
        <w:spacing w:after="20"/>
      </w:pPr>
    </w:p>
    <w:p>
      <w:pPr>
        <w:jc w:val="both"/>
      </w:pPr>
      <w:r>
        <w:t xml:space="preserve">Las superficies de ingeniería </w:t>
      </w:r>
      <w:r>
        <w:rPr>
          <w:rFonts w:ascii="Consolas" w:hAnsi="Consolas"/>
          <w:color w:val="464646"/>
          <w:sz w:val="18"/>
        </w:rPr>
        <w:t>/closed</w:t>
      </w:r>
      <w:r>
        <w:t xml:space="preserve">, </w:t>
      </w:r>
      <w:r>
        <w:rPr>
          <w:rFonts w:ascii="Consolas" w:hAnsi="Consolas"/>
          <w:color w:val="464646"/>
          <w:sz w:val="18"/>
        </w:rPr>
        <w:t>/open</w:t>
      </w:r>
      <w:r>
        <w:t xml:space="preserve">, </w:t>
      </w:r>
      <w:r>
        <w:rPr>
          <w:rFonts w:ascii="Consolas" w:hAnsi="Consolas"/>
          <w:color w:val="464646"/>
          <w:sz w:val="18"/>
        </w:rPr>
        <w:t>/reason</w:t>
      </w:r>
      <w:r>
        <w:t>, análisis directos y conocimiento OPEN permanecen fuera del esquema público. Pueden existir para test e integración, pero no son parte del contrato de prestación pericial.</w:t>
      </w:r>
    </w:p>
    <w:p>
      <w:pPr>
        <w:pStyle w:val="Heading1"/>
      </w:pPr>
      <w:r>
        <w:t xml:space="preserve">6. </w:t>
      </w:r>
      <w:r>
        <w:rPr>
          <w:rFonts w:ascii="Consolas" w:hAnsi="Consolas"/>
          <w:color w:val="464646"/>
          <w:sz w:val="18"/>
        </w:rPr>
        <w:t>GET /health</w:t>
      </w:r>
    </w:p>
    <w:p>
      <w:pPr>
        <w:jc w:val="both"/>
      </w:pPr>
      <w:r>
        <w:rPr>
          <w:rFonts w:ascii="Consolas" w:hAnsi="Consolas"/>
          <w:color w:val="464646"/>
          <w:sz w:val="18"/>
        </w:rPr>
        <w:t>/health</w:t>
      </w:r>
      <w:r>
        <w:t xml:space="preserve"> responde al estado mínimo del servicio web. Un </w:t>
      </w:r>
      <w:r>
        <w:rPr>
          <w:rFonts w:ascii="Consolas" w:hAnsi="Consolas"/>
          <w:color w:val="464646"/>
          <w:sz w:val="18"/>
        </w:rPr>
        <w:t>200</w:t>
      </w:r>
      <w:r>
        <w:t xml:space="preserve"> con </w:t>
      </w:r>
      <w:r>
        <w:rPr>
          <w:rFonts w:ascii="Consolas" w:hAnsi="Consolas"/>
          <w:color w:val="464646"/>
          <w:sz w:val="18"/>
        </w:rPr>
        <w:t>{"status":"ok"}</w:t>
      </w:r>
      <w:r>
        <w:t xml:space="preserve"> significa que la API está viva; </w:t>
      </w:r>
      <w:r>
        <w:rPr>
          <w:b/>
        </w:rPr>
        <w:t>no</w:t>
      </w:r>
      <w:r>
        <w:t xml:space="preserve"> certifica que el JAR MDPAR esté listo, que el proveedor frontier esté disponible ni que una coordenada CLOSED concreta pueda operar.</w:t>
      </w:r>
    </w:p>
    <w:p>
      <w:pPr>
        <w:jc w:val="both"/>
      </w:pPr>
      <w:r>
        <w:t xml:space="preserve">Para identidad y readiness debe consultarse </w:t>
      </w:r>
      <w:r>
        <w:rPr>
          <w:rFonts w:ascii="Consolas" w:hAnsi="Consolas"/>
          <w:color w:val="464646"/>
          <w:sz w:val="18"/>
        </w:rPr>
        <w:t>/runtime</w:t>
      </w:r>
      <w:r>
        <w:t>.</w:t>
      </w:r>
    </w:p>
    <w:p>
      <w:pPr>
        <w:pStyle w:val="Heading1"/>
      </w:pPr>
      <w:r>
        <w:t xml:space="preserve">7. </w:t>
      </w:r>
      <w:r>
        <w:rPr>
          <w:rFonts w:ascii="Consolas" w:hAnsi="Consolas"/>
          <w:color w:val="464646"/>
          <w:sz w:val="18"/>
        </w:rPr>
        <w:t>GET /runtime</w:t>
      </w:r>
    </w:p>
    <w:p>
      <w:pPr>
        <w:jc w:val="both"/>
      </w:pPr>
      <w:r>
        <w:rPr>
          <w:rFonts w:ascii="Consolas" w:hAnsi="Consolas"/>
          <w:color w:val="464646"/>
          <w:sz w:val="18"/>
        </w:rPr>
        <w:t>/runtime</w:t>
      </w:r>
      <w:r>
        <w:t xml:space="preserve"> expone la identidad observada del software en ejecución. La versión de MDPAR no la escribe el operador. El adapter lee el artefacto runtime y publica, entre otros elementos disponibles:</w:t>
      </w:r>
    </w:p>
    <w:p>
      <w:pPr>
        <w:pStyle w:val="ListBullet"/>
        <w:spacing w:after="40"/>
      </w:pPr>
      <w:r>
        <w:rPr>
          <w:rFonts w:ascii="Consolas" w:hAnsi="Consolas"/>
          <w:color w:val="464646"/>
          <w:sz w:val="18"/>
        </w:rPr>
        <w:t>mdpar_version</w:t>
      </w:r>
      <w:r>
        <w:t xml:space="preserve"> observada;</w:t>
      </w:r>
    </w:p>
    <w:p>
      <w:pPr>
        <w:pStyle w:val="ListBullet"/>
        <w:spacing w:after="40"/>
      </w:pPr>
      <w:r>
        <w:rPr>
          <w:rFonts w:ascii="Consolas" w:hAnsi="Consolas"/>
          <w:color w:val="464646"/>
          <w:sz w:val="18"/>
        </w:rPr>
        <w:t>jar_filename</w:t>
      </w:r>
      <w:r>
        <w:t>;</w:t>
      </w:r>
    </w:p>
    <w:p>
      <w:pPr>
        <w:pStyle w:val="ListBullet"/>
        <w:spacing w:after="40"/>
      </w:pPr>
      <w:r>
        <w:rPr>
          <w:rFonts w:ascii="Consolas" w:hAnsi="Consolas"/>
          <w:color w:val="464646"/>
          <w:sz w:val="18"/>
        </w:rPr>
        <w:t>jar_sha256</w:t>
      </w:r>
      <w:r>
        <w:t>;</w:t>
      </w:r>
    </w:p>
    <w:p>
      <w:pPr>
        <w:pStyle w:val="ListBullet"/>
        <w:spacing w:after="40"/>
      </w:pPr>
      <w:r>
        <w:rPr>
          <w:rFonts w:ascii="Consolas" w:hAnsi="Consolas"/>
          <w:color w:val="464646"/>
          <w:sz w:val="18"/>
        </w:rPr>
        <w:t>adapter_version</w:t>
      </w:r>
      <w:r>
        <w:t>;</w:t>
      </w:r>
    </w:p>
    <w:p>
      <w:pPr>
        <w:pStyle w:val="ListBullet"/>
        <w:spacing w:after="40"/>
      </w:pPr>
      <w:r>
        <w:t>readiness y capacidades del runtime;</w:t>
      </w:r>
    </w:p>
    <w:p>
      <w:pPr>
        <w:pStyle w:val="ListBullet"/>
        <w:spacing w:after="40"/>
      </w:pPr>
      <w:r>
        <w:t>coordenadas CLOSED instaladas y contrato OPEN cuando correspondan.</w:t>
      </w:r>
    </w:p>
    <w:p>
      <w:pPr>
        <w:jc w:val="both"/>
      </w:pPr>
      <w:r>
        <w:t xml:space="preserve">Este diseño sustituye la antigua práctica de declarar manualmente una versión. Para una cadena de custodia es más fuerte registrar </w:t>
      </w:r>
      <w:r>
        <w:rPr>
          <w:b/>
        </w:rPr>
        <w:t>qué artefacto se ejecutó</w:t>
      </w:r>
      <w:r>
        <w:t xml:space="preserve"> que confiar en una etiqueta escrita por el usuario.</w:t>
      </w:r>
    </w:p>
    <w:p>
      <w:pPr>
        <w:pStyle w:val="Heading1"/>
      </w:pPr>
      <w:r>
        <w:t xml:space="preserve">8. </w:t>
      </w:r>
      <w:r>
        <w:rPr>
          <w:rFonts w:ascii="Consolas" w:hAnsi="Consolas"/>
          <w:color w:val="464646"/>
          <w:sz w:val="18"/>
        </w:rPr>
        <w:t>POST /assessment</w:t>
      </w:r>
      <w:r>
        <w:t>: contrato exacto</w:t>
      </w:r>
    </w:p>
    <w:p>
      <w:pPr>
        <w:pStyle w:val="Heading2"/>
      </w:pPr>
      <w:r>
        <w:t>8.1 Campos requeridos</w:t>
      </w:r>
    </w:p>
    <w:tbl>
      <w:tblPr>
        <w:tblStyle w:val="TableGrid"/>
        <w:tblW w:type="auto" w:w="0"/>
        <w:jc w:val="center"/>
        <w:tblLook w:firstColumn="1" w:firstRow="1" w:lastColumn="0" w:lastRow="0" w:noHBand="0" w:noVBand="1" w:val="04A0"/>
      </w:tblPr>
      <w:tblGrid>
        <w:gridCol w:w="3286"/>
        <w:gridCol w:w="3286"/>
        <w:gridCol w:w="3286"/>
      </w:tblGrid>
      <w:tr>
        <w:trPr>
          <w:cantSplit/>
        </w:trPr>
        <w:tc>
          <w:tcPr>
            <w:tcW w:type="dxa" w:w="3286"/>
            <w:shd w:fill="19324D"/>
          </w:tcPr>
          <w:p>
            <w:r>
              <w:rPr>
                <w:b/>
                <w:color w:val="FFFFFF"/>
                <w:sz w:val="16"/>
              </w:rPr>
              <w:t>Campo</w:t>
            </w:r>
          </w:p>
        </w:tc>
        <w:tc>
          <w:tcPr>
            <w:tcW w:type="dxa" w:w="3286"/>
            <w:shd w:fill="19324D"/>
          </w:tcPr>
          <w:p>
            <w:r>
              <w:rPr>
                <w:b/>
                <w:color w:val="FFFFFF"/>
                <w:sz w:val="16"/>
              </w:rPr>
              <w:t>Tipo</w:t>
            </w:r>
          </w:p>
        </w:tc>
        <w:tc>
          <w:tcPr>
            <w:tcW w:type="dxa" w:w="3286"/>
            <w:shd w:fill="19324D"/>
          </w:tcPr>
          <w:p>
            <w:r>
              <w:rPr>
                <w:b/>
                <w:color w:val="FFFFFF"/>
                <w:sz w:val="16"/>
              </w:rPr>
              <w:t>Significado</w:t>
            </w:r>
          </w:p>
        </w:tc>
      </w:tr>
      <w:tr>
        <w:trPr>
          <w:cantSplit/>
        </w:trPr>
        <w:tc>
          <w:tcPr>
            <w:tcW w:type="dxa" w:w="3286"/>
            <w:tcMar>
              <w:top w:w="80" w:type="dxa"/>
              <w:start w:w="90" w:type="dxa"/>
              <w:bottom w:w="80" w:type="dxa"/>
              <w:end w:w="90" w:type="dxa"/>
            </w:tcMar>
            <w:vAlign w:val="center"/>
          </w:tcPr>
          <w:p>
            <w:r>
              <w:t>file</w:t>
            </w:r>
          </w:p>
        </w:tc>
        <w:tc>
          <w:tcPr>
            <w:tcW w:type="dxa" w:w="3286"/>
            <w:tcMar>
              <w:top w:w="80" w:type="dxa"/>
              <w:start w:w="90" w:type="dxa"/>
              <w:bottom w:w="80" w:type="dxa"/>
              <w:end w:w="90" w:type="dxa"/>
            </w:tcMar>
            <w:vAlign w:val="center"/>
          </w:tcPr>
          <w:p>
            <w:r>
              <w:t>archivo</w:t>
            </w:r>
          </w:p>
        </w:tc>
        <w:tc>
          <w:tcPr>
            <w:tcW w:type="dxa" w:w="3286"/>
            <w:tcMar>
              <w:top w:w="80" w:type="dxa"/>
              <w:start w:w="90" w:type="dxa"/>
              <w:bottom w:w="80" w:type="dxa"/>
              <w:end w:w="90" w:type="dxa"/>
            </w:tcMar>
            <w:vAlign w:val="center"/>
          </w:tcPr>
          <w:p>
            <w:r>
              <w:t>evidencia principal; selector normal de archivo</w:t>
            </w:r>
          </w:p>
        </w:tc>
      </w:tr>
      <w:tr>
        <w:trPr>
          <w:cantSplit/>
        </w:trPr>
        <w:tc>
          <w:tcPr>
            <w:tcW w:type="dxa" w:w="3286"/>
            <w:shd w:fill="F4F7F8"/>
            <w:tcMar>
              <w:top w:w="80" w:type="dxa"/>
              <w:start w:w="90" w:type="dxa"/>
              <w:bottom w:w="80" w:type="dxa"/>
              <w:end w:w="90" w:type="dxa"/>
            </w:tcMar>
            <w:vAlign w:val="center"/>
          </w:tcPr>
          <w:p>
            <w:r>
              <w:rPr>
                <w:sz w:val="16"/>
              </w:rPr>
            </w:r>
            <w:r>
              <w:rPr>
                <w:rFonts w:ascii="Consolas" w:hAnsi="Consolas"/>
                <w:color w:val="464646"/>
                <w:sz w:val="16"/>
              </w:rPr>
              <w:t>source_language</w:t>
            </w:r>
          </w:p>
        </w:tc>
        <w:tc>
          <w:tcPr>
            <w:tcW w:type="dxa" w:w="3286"/>
            <w:shd w:fill="F4F7F8"/>
            <w:tcMar>
              <w:top w:w="80" w:type="dxa"/>
              <w:start w:w="90" w:type="dxa"/>
              <w:bottom w:w="80" w:type="dxa"/>
              <w:end w:w="90" w:type="dxa"/>
            </w:tcMar>
            <w:vAlign w:val="center"/>
          </w:tcPr>
          <w:p>
            <w:r>
              <w:rPr>
                <w:sz w:val="16"/>
              </w:rPr>
            </w:r>
            <w:r>
              <w:rPr>
                <w:sz w:val="16"/>
              </w:rPr>
              <w:t>language tag</w:t>
            </w:r>
          </w:p>
        </w:tc>
        <w:tc>
          <w:tcPr>
            <w:tcW w:type="dxa" w:w="3286"/>
            <w:shd w:fill="F4F7F8"/>
            <w:tcMar>
              <w:top w:w="80" w:type="dxa"/>
              <w:start w:w="90" w:type="dxa"/>
              <w:bottom w:w="80" w:type="dxa"/>
              <w:end w:w="90" w:type="dxa"/>
            </w:tcMar>
            <w:vAlign w:val="center"/>
          </w:tcPr>
          <w:p>
            <w:r>
              <w:rPr>
                <w:sz w:val="16"/>
              </w:rPr>
            </w:r>
            <w:r>
              <w:rPr>
                <w:sz w:val="16"/>
              </w:rPr>
              <w:t xml:space="preserve">idioma por defecto de la evidencia, por ejemplo </w:t>
            </w:r>
            <w:r>
              <w:rPr>
                <w:rFonts w:ascii="Consolas" w:hAnsi="Consolas"/>
                <w:color w:val="464646"/>
                <w:sz w:val="16"/>
              </w:rPr>
              <w:t>es</w:t>
            </w:r>
            <w:r>
              <w:rPr>
                <w:sz w:val="16"/>
              </w:rPr>
              <w:t xml:space="preserve">, </w:t>
            </w:r>
            <w:r>
              <w:rPr>
                <w:rFonts w:ascii="Consolas" w:hAnsi="Consolas"/>
                <w:color w:val="464646"/>
                <w:sz w:val="16"/>
              </w:rPr>
              <w:t>en</w:t>
            </w:r>
            <w:r>
              <w:rPr>
                <w:sz w:val="16"/>
              </w:rPr>
              <w:t xml:space="preserve">, </w:t>
            </w:r>
            <w:r>
              <w:rPr>
                <w:rFonts w:ascii="Consolas" w:hAnsi="Consolas"/>
                <w:color w:val="464646"/>
                <w:sz w:val="16"/>
              </w:rPr>
              <w:t>it</w:t>
            </w:r>
            <w:r>
              <w:rPr>
                <w:sz w:val="16"/>
              </w:rPr>
              <w:t xml:space="preserve">, </w:t>
            </w:r>
            <w:r>
              <w:rPr>
                <w:rFonts w:ascii="Consolas" w:hAnsi="Consolas"/>
                <w:color w:val="464646"/>
                <w:sz w:val="16"/>
              </w:rPr>
              <w:t>pt-BR</w:t>
            </w:r>
          </w:p>
        </w:tc>
      </w:tr>
      <w:tr>
        <w:trPr>
          <w:cantSplit/>
        </w:trPr>
        <w:tc>
          <w:tcPr>
            <w:tcW w:type="dxa" w:w="3286"/>
            <w:tcMar>
              <w:top w:w="80" w:type="dxa"/>
              <w:start w:w="90" w:type="dxa"/>
              <w:bottom w:w="80" w:type="dxa"/>
              <w:end w:w="90" w:type="dxa"/>
            </w:tcMar>
            <w:vAlign w:val="center"/>
          </w:tcPr>
          <w:p>
            <w:r>
              <w:rPr>
                <w:sz w:val="16"/>
              </w:rPr>
            </w:r>
            <w:r>
              <w:rPr>
                <w:rFonts w:ascii="Consolas" w:hAnsi="Consolas"/>
                <w:color w:val="464646"/>
                <w:sz w:val="16"/>
              </w:rPr>
              <w:t>operator_report_language</w:t>
            </w:r>
          </w:p>
        </w:tc>
        <w:tc>
          <w:tcPr>
            <w:tcW w:type="dxa" w:w="3286"/>
            <w:tcMar>
              <w:top w:w="80" w:type="dxa"/>
              <w:start w:w="90" w:type="dxa"/>
              <w:bottom w:w="80" w:type="dxa"/>
              <w:end w:w="90" w:type="dxa"/>
            </w:tcMar>
            <w:vAlign w:val="center"/>
          </w:tcPr>
          <w:p>
            <w:r>
              <w:rPr>
                <w:sz w:val="16"/>
              </w:rPr>
            </w:r>
            <w:r>
              <w:rPr>
                <w:sz w:val="16"/>
              </w:rPr>
              <w:t>language tag</w:t>
            </w:r>
          </w:p>
        </w:tc>
        <w:tc>
          <w:tcPr>
            <w:tcW w:type="dxa" w:w="3286"/>
            <w:tcMar>
              <w:top w:w="80" w:type="dxa"/>
              <w:start w:w="90" w:type="dxa"/>
              <w:bottom w:w="80" w:type="dxa"/>
              <w:end w:w="90" w:type="dxa"/>
            </w:tcMar>
            <w:vAlign w:val="center"/>
          </w:tcPr>
          <w:p>
            <w:r>
              <w:rPr>
                <w:sz w:val="16"/>
              </w:rPr>
            </w:r>
            <w:r>
              <w:rPr>
                <w:sz w:val="16"/>
              </w:rPr>
              <w:t>idioma del informe de operador</w:t>
            </w:r>
          </w:p>
        </w:tc>
      </w:tr>
    </w:tbl>
    <w:p>
      <w:pPr>
        <w:spacing w:after="20"/>
      </w:pPr>
    </w:p>
    <w:p>
      <w:pPr>
        <w:pStyle w:val="Heading2"/>
      </w:pPr>
      <w:r>
        <w:t>8.2 Campos opcionales</w:t>
      </w:r>
    </w:p>
    <w:tbl>
      <w:tblPr>
        <w:tblStyle w:val="TableGrid"/>
        <w:tblW w:type="auto" w:w="0"/>
        <w:jc w:val="center"/>
        <w:tblLook w:firstColumn="1" w:firstRow="1" w:lastColumn="0" w:lastRow="0" w:noHBand="0" w:noVBand="1" w:val="04A0"/>
      </w:tblPr>
      <w:tblGrid>
        <w:gridCol w:w="3286"/>
        <w:gridCol w:w="3286"/>
        <w:gridCol w:w="3286"/>
      </w:tblGrid>
      <w:tr>
        <w:trPr>
          <w:cantSplit/>
        </w:trPr>
        <w:tc>
          <w:tcPr>
            <w:tcW w:type="dxa" w:w="3286"/>
            <w:shd w:fill="19324D"/>
          </w:tcPr>
          <w:p>
            <w:r>
              <w:rPr>
                <w:b/>
                <w:color w:val="FFFFFF"/>
                <w:sz w:val="16"/>
              </w:rPr>
              <w:t>Campo</w:t>
            </w:r>
          </w:p>
        </w:tc>
        <w:tc>
          <w:tcPr>
            <w:tcW w:type="dxa" w:w="3286"/>
            <w:shd w:fill="19324D"/>
          </w:tcPr>
          <w:p>
            <w:r>
              <w:rPr>
                <w:b/>
                <w:color w:val="FFFFFF"/>
                <w:sz w:val="16"/>
              </w:rPr>
              <w:t>Tipo</w:t>
            </w:r>
          </w:p>
        </w:tc>
        <w:tc>
          <w:tcPr>
            <w:tcW w:type="dxa" w:w="3286"/>
            <w:shd w:fill="19324D"/>
          </w:tcPr>
          <w:p>
            <w:r>
              <w:rPr>
                <w:b/>
                <w:color w:val="FFFFFF"/>
                <w:sz w:val="16"/>
              </w:rPr>
              <w:t>Significado</w:t>
            </w:r>
          </w:p>
        </w:tc>
      </w:tr>
      <w:tr>
        <w:trPr>
          <w:cantSplit/>
        </w:trPr>
        <w:tc>
          <w:tcPr>
            <w:tcW w:type="dxa" w:w="3286"/>
            <w:tcMar>
              <w:top w:w="80" w:type="dxa"/>
              <w:start w:w="90" w:type="dxa"/>
              <w:bottom w:w="80" w:type="dxa"/>
              <w:end w:w="90" w:type="dxa"/>
            </w:tcMar>
            <w:vAlign w:val="center"/>
          </w:tcPr>
          <w:p>
            <w:r>
              <w:rPr>
                <w:sz w:val="16"/>
              </w:rPr>
            </w:r>
            <w:r>
              <w:rPr>
                <w:rFonts w:ascii="Consolas" w:hAnsi="Consolas"/>
                <w:color w:val="464646"/>
                <w:sz w:val="16"/>
              </w:rPr>
              <w:t>client_report_language</w:t>
            </w:r>
          </w:p>
        </w:tc>
        <w:tc>
          <w:tcPr>
            <w:tcW w:type="dxa" w:w="3286"/>
            <w:tcMar>
              <w:top w:w="80" w:type="dxa"/>
              <w:start w:w="90" w:type="dxa"/>
              <w:bottom w:w="80" w:type="dxa"/>
              <w:end w:w="90" w:type="dxa"/>
            </w:tcMar>
            <w:vAlign w:val="center"/>
          </w:tcPr>
          <w:p>
            <w:r>
              <w:rPr>
                <w:sz w:val="16"/>
              </w:rPr>
            </w:r>
            <w:r>
              <w:rPr>
                <w:sz w:val="16"/>
              </w:rPr>
              <w:t>language tag</w:t>
            </w:r>
          </w:p>
        </w:tc>
        <w:tc>
          <w:tcPr>
            <w:tcW w:type="dxa" w:w="3286"/>
            <w:tcMar>
              <w:top w:w="80" w:type="dxa"/>
              <w:start w:w="90" w:type="dxa"/>
              <w:bottom w:w="80" w:type="dxa"/>
              <w:end w:w="90" w:type="dxa"/>
            </w:tcMar>
            <w:vAlign w:val="center"/>
          </w:tcPr>
          <w:p>
            <w:r>
              <w:rPr>
                <w:sz w:val="16"/>
              </w:rPr>
            </w:r>
            <w:r>
              <w:rPr>
                <w:sz w:val="16"/>
              </w:rPr>
              <w:t>genera una realización adicional para cliente; si coincide con operador se reutiliza una sola realización</w:t>
            </w:r>
          </w:p>
        </w:tc>
      </w:tr>
      <w:tr>
        <w:trPr>
          <w:cantSplit/>
        </w:trPr>
        <w:tc>
          <w:tcPr>
            <w:tcW w:type="dxa" w:w="3286"/>
            <w:shd w:fill="F4F7F8"/>
            <w:tcMar>
              <w:top w:w="80" w:type="dxa"/>
              <w:start w:w="90" w:type="dxa"/>
              <w:bottom w:w="80" w:type="dxa"/>
              <w:end w:w="90" w:type="dxa"/>
            </w:tcMar>
            <w:vAlign w:val="center"/>
          </w:tcPr>
          <w:p>
            <w:r>
              <w:rPr>
                <w:sz w:val="16"/>
              </w:rPr>
            </w:r>
            <w:r>
              <w:rPr>
                <w:rFonts w:ascii="Consolas" w:hAnsi="Consolas"/>
                <w:color w:val="464646"/>
                <w:sz w:val="16"/>
              </w:rPr>
              <w:t>interaction_id</w:t>
            </w:r>
          </w:p>
        </w:tc>
        <w:tc>
          <w:tcPr>
            <w:tcW w:type="dxa" w:w="3286"/>
            <w:shd w:fill="F4F7F8"/>
            <w:tcMar>
              <w:top w:w="80" w:type="dxa"/>
              <w:start w:w="90" w:type="dxa"/>
              <w:bottom w:w="80" w:type="dxa"/>
              <w:end w:w="90" w:type="dxa"/>
            </w:tcMar>
            <w:vAlign w:val="center"/>
          </w:tcPr>
          <w:p>
            <w:r>
              <w:rPr>
                <w:sz w:val="16"/>
              </w:rPr>
            </w:r>
            <w:r>
              <w:rPr>
                <w:sz w:val="16"/>
              </w:rPr>
              <w:t>string</w:t>
            </w:r>
          </w:p>
        </w:tc>
        <w:tc>
          <w:tcPr>
            <w:tcW w:type="dxa" w:w="3286"/>
            <w:shd w:fill="F4F7F8"/>
            <w:tcMar>
              <w:top w:w="80" w:type="dxa"/>
              <w:start w:w="90" w:type="dxa"/>
              <w:bottom w:w="80" w:type="dxa"/>
              <w:end w:w="90" w:type="dxa"/>
            </w:tcMar>
            <w:vAlign w:val="center"/>
          </w:tcPr>
          <w:p>
            <w:r>
              <w:rPr>
                <w:sz w:val="16"/>
              </w:rPr>
            </w:r>
            <w:r>
              <w:rPr>
                <w:sz w:val="16"/>
              </w:rPr>
              <w:t>continúa deliberadamente un caso longitudinal; si se omite se crea un identificador nuevo</w:t>
            </w:r>
          </w:p>
        </w:tc>
      </w:tr>
      <w:tr>
        <w:trPr>
          <w:cantSplit/>
        </w:trPr>
        <w:tc>
          <w:tcPr>
            <w:tcW w:type="dxa" w:w="3286"/>
            <w:tcMar>
              <w:top w:w="80" w:type="dxa"/>
              <w:start w:w="90" w:type="dxa"/>
              <w:bottom w:w="80" w:type="dxa"/>
              <w:end w:w="90" w:type="dxa"/>
            </w:tcMar>
            <w:vAlign w:val="center"/>
          </w:tcPr>
          <w:p>
            <w:r>
              <w:rPr>
                <w:sz w:val="16"/>
              </w:rPr>
            </w:r>
            <w:r>
              <w:rPr>
                <w:rFonts w:ascii="Consolas" w:hAnsi="Consolas"/>
                <w:color w:val="464646"/>
                <w:sz w:val="16"/>
              </w:rPr>
              <w:t>evidence_metadata</w:t>
            </w:r>
          </w:p>
        </w:tc>
        <w:tc>
          <w:tcPr>
            <w:tcW w:type="dxa" w:w="3286"/>
            <w:tcMar>
              <w:top w:w="80" w:type="dxa"/>
              <w:start w:w="90" w:type="dxa"/>
              <w:bottom w:w="80" w:type="dxa"/>
              <w:end w:w="90" w:type="dxa"/>
            </w:tcMar>
            <w:vAlign w:val="center"/>
          </w:tcPr>
          <w:p>
            <w:r>
              <w:t>archivo JSON</w:t>
            </w:r>
          </w:p>
        </w:tc>
        <w:tc>
          <w:tcPr>
            <w:tcW w:type="dxa" w:w="3286"/>
            <w:tcMar>
              <w:top w:w="80" w:type="dxa"/>
              <w:start w:w="90" w:type="dxa"/>
              <w:bottom w:w="80" w:type="dxa"/>
              <w:end w:w="90" w:type="dxa"/>
            </w:tcMar>
            <w:vAlign w:val="center"/>
          </w:tcPr>
          <w:p>
            <w:r>
              <w:t>fichero UTF-8 opcional de metadatos; su array se alinea con file y los additional_file_* aportados</w:t>
            </w:r>
          </w:p>
        </w:tc>
      </w:tr>
      <w:tr>
        <w:trPr>
          <w:cantSplit/>
        </w:trPr>
        <w:tc>
          <w:tcPr>
            <w:tcW w:type="dxa" w:w="3286"/>
          </w:tcPr>
          <w:p>
            <w:r>
              <w:t>additional_file_1 … additional_file_7</w:t>
            </w:r>
          </w:p>
        </w:tc>
        <w:tc>
          <w:tcPr>
            <w:tcW w:type="dxa" w:w="3286"/>
          </w:tcPr>
          <w:p>
            <w:r>
              <w:t>archivo</w:t>
            </w:r>
          </w:p>
        </w:tc>
        <w:tc>
          <w:tcPr>
            <w:tcW w:type="dxa" w:w="3286"/>
          </w:tcPr>
          <w:p>
            <w:r>
              <w:t>evidencia adicional opcional; cada campo usa selector normal de archivo</w:t>
            </w:r>
          </w:p>
        </w:tc>
      </w:tr>
    </w:tbl>
    <w:p>
      <w:pPr>
        <w:spacing w:after="20"/>
      </w:pPr>
    </w:p>
    <w:p>
      <w:pPr>
        <w:jc w:val="both"/>
      </w:pPr>
      <w:r>
        <w:t xml:space="preserve">No existen en el contrato público </w:t>
      </w:r>
      <w:r>
        <w:rPr>
          <w:rFonts w:ascii="Consolas" w:hAnsi="Consolas"/>
          <w:color w:val="464646"/>
          <w:sz w:val="18"/>
        </w:rPr>
        <w:t>objective</w:t>
      </w:r>
      <w:r>
        <w:t xml:space="preserve">, </w:t>
      </w:r>
      <w:r>
        <w:rPr>
          <w:rFonts w:ascii="Consolas" w:hAnsi="Consolas"/>
          <w:color w:val="464646"/>
          <w:sz w:val="18"/>
        </w:rPr>
        <w:t>mdpar_version</w:t>
      </w:r>
      <w:r>
        <w:t xml:space="preserve"> ni selector de dominio.</w:t>
      </w:r>
    </w:p>
    <w:p>
      <w:pPr>
        <w:pStyle w:val="Heading2"/>
      </w:pPr>
      <w:r>
        <w:t xml:space="preserve">8.3 </w:t>
      </w:r>
      <w:r>
        <w:rPr>
          <w:rFonts w:ascii="Consolas" w:hAnsi="Consolas"/>
          <w:color w:val="464646"/>
          <w:sz w:val="18"/>
        </w:rPr>
        <w:t>evidence_metadata</w:t>
      </w:r>
    </w:p>
    <w:p>
      <w:pPr>
        <w:jc w:val="both"/>
      </w:pPr>
      <w:r>
        <w:t>Cada objeto del array puede contener:</w:t>
      </w:r>
    </w:p>
    <w:p>
      <w:pPr>
        <w:pStyle w:val="ListBullet"/>
        <w:spacing w:after="40"/>
      </w:pPr>
      <w:r>
        <w:rPr>
          <w:rFonts w:ascii="Consolas" w:hAnsi="Consolas"/>
          <w:color w:val="464646"/>
          <w:sz w:val="18"/>
        </w:rPr>
        <w:t>document_id</w:t>
      </w:r>
      <w:r>
        <w:t>: identificador aportado por el operador;</w:t>
      </w:r>
    </w:p>
    <w:p>
      <w:pPr>
        <w:pStyle w:val="ListBullet"/>
        <w:spacing w:after="40"/>
      </w:pPr>
      <w:r>
        <w:rPr>
          <w:rFonts w:ascii="Consolas" w:hAnsi="Consolas"/>
          <w:color w:val="464646"/>
          <w:sz w:val="18"/>
        </w:rPr>
        <w:t>role</w:t>
      </w:r>
      <w:r>
        <w:t>: función documental si se conoce y resulta útil;</w:t>
      </w:r>
    </w:p>
    <w:p>
      <w:pPr>
        <w:pStyle w:val="ListBullet"/>
        <w:spacing w:after="40"/>
      </w:pPr>
      <w:r>
        <w:rPr>
          <w:rFonts w:ascii="Consolas" w:hAnsi="Consolas"/>
          <w:color w:val="464646"/>
          <w:sz w:val="18"/>
        </w:rPr>
        <w:t>source_language</w:t>
      </w:r>
      <w:r>
        <w:t>: idioma específico de esa pieza, que puede sobrescribir el idioma por defecto;</w:t>
      </w:r>
    </w:p>
    <w:p>
      <w:pPr>
        <w:pStyle w:val="ListBullet"/>
        <w:spacing w:after="40"/>
      </w:pPr>
      <w:r>
        <w:rPr>
          <w:rFonts w:ascii="Consolas" w:hAnsi="Consolas"/>
          <w:color w:val="464646"/>
          <w:sz w:val="18"/>
        </w:rPr>
        <w:t>observed_at</w:t>
      </w:r>
      <w:r>
        <w:t>: momento documental o de observación cuando deba conservarse como procedencia.</w:t>
      </w:r>
    </w:p>
    <w:p>
      <w:pPr>
        <w:jc w:val="both"/>
      </w:pPr>
      <w:r>
        <w:t xml:space="preserve">Los metadatos </w:t>
      </w:r>
      <w:r>
        <w:rPr>
          <w:b/>
        </w:rPr>
        <w:t>no conceden autoridad estructural</w:t>
      </w:r>
      <w:r>
        <w:t xml:space="preserve">. Son contexto y provenance. Un </w:t>
      </w:r>
      <w:r>
        <w:rPr>
          <w:rFonts w:ascii="Consolas" w:hAnsi="Consolas"/>
          <w:color w:val="464646"/>
          <w:sz w:val="18"/>
        </w:rPr>
        <w:t>role</w:t>
      </w:r>
      <w:r>
        <w:t xml:space="preserve"> como </w:t>
      </w:r>
      <w:r>
        <w:rPr>
          <w:rFonts w:ascii="Consolas" w:hAnsi="Consolas"/>
          <w:color w:val="464646"/>
          <w:sz w:val="18"/>
        </w:rPr>
        <w:t>SUPPORT</w:t>
      </w:r>
      <w:r>
        <w:t xml:space="preserve"> o </w:t>
      </w:r>
      <w:r>
        <w:rPr>
          <w:rFonts w:ascii="Consolas" w:hAnsi="Consolas"/>
          <w:color w:val="464646"/>
          <w:sz w:val="18"/>
        </w:rPr>
        <w:t>COUNTEREVIDENCE</w:t>
      </w:r>
      <w:r>
        <w:t xml:space="preserve"> no obliga a MDPAR a aceptar que el documento soporte o refute materialmente una afirmación.</w:t>
      </w:r>
    </w:p>
    <w:p>
      <w:pPr>
        <w:pStyle w:val="Heading1"/>
      </w:pPr>
      <w:r>
        <w:t>9. Tipos de archivo y extracción</w:t>
      </w:r>
    </w:p>
    <w:p>
      <w:pPr>
        <w:jc w:val="both"/>
      </w:pPr>
      <w:r>
        <w:t>La superficie manual admite actualmente:</w:t>
      </w:r>
    </w:p>
    <w:p>
      <w:pPr>
        <w:jc w:val="both"/>
      </w:pPr>
      <w:r>
        <w:rPr>
          <w:rFonts w:ascii="Consolas" w:hAnsi="Consolas"/>
          <w:color w:val="464646"/>
          <w:sz w:val="18"/>
        </w:rPr>
        <w:t>.txt</w:t>
      </w:r>
      <w:r>
        <w:t xml:space="preserve">, </w:t>
      </w:r>
      <w:r>
        <w:rPr>
          <w:rFonts w:ascii="Consolas" w:hAnsi="Consolas"/>
          <w:color w:val="464646"/>
          <w:sz w:val="18"/>
        </w:rPr>
        <w:t>.md</w:t>
      </w:r>
      <w:r>
        <w:t xml:space="preserve">, </w:t>
      </w:r>
      <w:r>
        <w:rPr>
          <w:rFonts w:ascii="Consolas" w:hAnsi="Consolas"/>
          <w:color w:val="464646"/>
          <w:sz w:val="18"/>
        </w:rPr>
        <w:t>.json</w:t>
      </w:r>
      <w:r>
        <w:t xml:space="preserve">, </w:t>
      </w:r>
      <w:r>
        <w:rPr>
          <w:rFonts w:ascii="Consolas" w:hAnsi="Consolas"/>
          <w:color w:val="464646"/>
          <w:sz w:val="18"/>
        </w:rPr>
        <w:t>.csv</w:t>
      </w:r>
      <w:r>
        <w:t xml:space="preserve">, </w:t>
      </w:r>
      <w:r>
        <w:rPr>
          <w:rFonts w:ascii="Consolas" w:hAnsi="Consolas"/>
          <w:color w:val="464646"/>
          <w:sz w:val="18"/>
        </w:rPr>
        <w:t>.log</w:t>
      </w:r>
      <w:r>
        <w:t xml:space="preserve">, </w:t>
      </w:r>
      <w:r>
        <w:rPr>
          <w:rFonts w:ascii="Consolas" w:hAnsi="Consolas"/>
          <w:color w:val="464646"/>
          <w:sz w:val="18"/>
        </w:rPr>
        <w:t>.pdf</w:t>
      </w:r>
      <w:r>
        <w:t xml:space="preserve"> y </w:t>
      </w:r>
      <w:r>
        <w:rPr>
          <w:rFonts w:ascii="Consolas" w:hAnsi="Consolas"/>
          <w:color w:val="464646"/>
          <w:sz w:val="18"/>
        </w:rPr>
        <w:t>.docx</w:t>
      </w:r>
      <w:r>
        <w:t>.</w:t>
      </w:r>
    </w:p>
    <w:p>
      <w:pPr>
        <w:jc w:val="both"/>
      </w:pPr>
      <w:r>
        <w:t>La extracción pertenece al adapter, no a OPEN ni CLOSED. Después de extraerse, el texto entra por el mismo ingress canónico.</w:t>
      </w:r>
    </w:p>
    <w:p>
      <w:pPr>
        <w:jc w:val="both"/>
      </w:pPr>
      <w:r>
        <w:t>Los PDF exclusivamente escaneados o basados en imagen que no contengan texto extraíble requieren un adaptador OCR o de percepción externo antes del ingress. El servicio no debe fingir que ha analizado contenido que no pudo observar.</w:t>
      </w:r>
    </w:p>
    <w:p>
      <w:pPr>
        <w:jc w:val="both"/>
      </w:pPr>
      <w:r>
        <w:t xml:space="preserve">El límite de subida por archivo en el servicio manual es de </w:t>
      </w:r>
      <w:r>
        <w:rPr>
          <w:b/>
        </w:rPr>
        <w:t>25 MiB</w:t>
      </w:r>
      <w:r>
        <w:t>.</w:t>
      </w:r>
    </w:p>
    <w:p>
      <w:pPr>
        <w:pStyle w:val="Heading1"/>
      </w:pPr>
      <w:r>
        <w:t>10. Múltiples documentos</w:t>
      </w:r>
    </w:p>
    <w:p>
      <w:pPr>
        <w:jc w:val="both"/>
      </w:pPr>
      <w:r>
        <w:t>file admite la evidencia principal y additional_file_1 … additional_file_7 permiten adjuntar, mediante selectores normales de archivo, piezas adicionales opcionales del mismo expediente. La misma operación cubre:</w:t>
      </w:r>
    </w:p>
    <w:p>
      <w:pPr>
        <w:pStyle w:val="ListBullet"/>
        <w:spacing w:after="40"/>
      </w:pPr>
      <w:r>
        <w:t>documento principal + anexos;</w:t>
      </w:r>
    </w:p>
    <w:p>
      <w:pPr>
        <w:pStyle w:val="ListBullet"/>
        <w:spacing w:after="40"/>
      </w:pPr>
      <w:r>
        <w:t>versiones A/B;</w:t>
      </w:r>
    </w:p>
    <w:p>
      <w:pPr>
        <w:pStyle w:val="ListBullet"/>
        <w:spacing w:after="40"/>
      </w:pPr>
      <w:r>
        <w:t>escrito + respuesta;</w:t>
      </w:r>
    </w:p>
    <w:p>
      <w:pPr>
        <w:pStyle w:val="ListBullet"/>
        <w:spacing w:after="40"/>
      </w:pPr>
      <w:r>
        <w:t>evidencia + contraprueba;</w:t>
      </w:r>
    </w:p>
    <w:p>
      <w:pPr>
        <w:pStyle w:val="ListBullet"/>
        <w:spacing w:after="40"/>
      </w:pPr>
      <w:r>
        <w:t>informe + fuentes;</w:t>
      </w:r>
    </w:p>
    <w:p>
      <w:pPr>
        <w:pStyle w:val="ListBullet"/>
        <w:spacing w:after="40"/>
      </w:pPr>
      <w:r>
        <w:t>expediente longitudinal;</w:t>
      </w:r>
    </w:p>
    <w:p>
      <w:pPr>
        <w:pStyle w:val="ListBullet"/>
        <w:spacing w:after="40"/>
      </w:pPr>
      <w:r>
        <w:t>corpus de documentos pertenecientes al mismo caso.</w:t>
      </w:r>
    </w:p>
    <w:p>
      <w:pPr>
        <w:jc w:val="both"/>
      </w:pPr>
      <w:r>
        <w:t>MDPAR no inserta rótulos sintéticos como “DOCUMENTO 1” dentro del texto analizado, porque esos rótulos pasarían a ser parte de la superficie cognitiva. El adapter concatena las extracciones mediante un separador neutro y registra para cada pieza el rango UTF-16 exacto que ocupa en la superficie compuesta.</w:t>
      </w:r>
    </w:p>
    <w:p>
      <w:pPr>
        <w:jc w:val="both"/>
      </w:pPr>
      <w:r>
        <w:t>Por cada evidencia se conserva:</w:t>
      </w:r>
    </w:p>
    <w:p>
      <w:pPr>
        <w:pStyle w:val="ListBullet"/>
        <w:spacing w:after="40"/>
      </w:pPr>
      <w:r>
        <w:t>hash SHA-256 del archivo original;</w:t>
      </w:r>
    </w:p>
    <w:p>
      <w:pPr>
        <w:pStyle w:val="ListBullet"/>
        <w:spacing w:after="40"/>
      </w:pPr>
      <w:r>
        <w:t>hash SHA-256 del texto extraído;</w:t>
      </w:r>
    </w:p>
    <w:p>
      <w:pPr>
        <w:pStyle w:val="ListBullet"/>
        <w:spacing w:after="40"/>
      </w:pPr>
      <w:r>
        <w:t>método de extracción;</w:t>
      </w:r>
    </w:p>
    <w:p>
      <w:pPr>
        <w:pStyle w:val="ListBullet"/>
        <w:spacing w:after="40"/>
      </w:pPr>
      <w:r>
        <w:rPr>
          <w:rFonts w:ascii="Consolas" w:hAnsi="Consolas"/>
          <w:color w:val="464646"/>
          <w:sz w:val="18"/>
        </w:rPr>
        <w:t>document_id</w:t>
      </w:r>
      <w:r>
        <w:t>;</w:t>
      </w:r>
    </w:p>
    <w:p>
      <w:pPr>
        <w:pStyle w:val="ListBullet"/>
        <w:spacing w:after="40"/>
      </w:pPr>
      <w:r>
        <w:t>filename y media type;</w:t>
      </w:r>
    </w:p>
    <w:p>
      <w:pPr>
        <w:pStyle w:val="ListBullet"/>
        <w:spacing w:after="40"/>
      </w:pPr>
      <w:r>
        <w:t>span UTF-16 dentro del texto compuesto.</w:t>
      </w:r>
    </w:p>
    <w:p>
      <w:pPr>
        <w:jc w:val="both"/>
      </w:pPr>
      <w:r>
        <w:t>La superficie completa recibe además su propio SHA-256.</w:t>
      </w:r>
    </w:p>
    <w:p>
      <w:pPr>
        <w:pStyle w:val="Heading1"/>
      </w:pPr>
      <w:r>
        <w:t>11. Continuidad longitudinal</w:t>
      </w:r>
    </w:p>
    <w:p>
      <w:pPr>
        <w:jc w:val="both"/>
      </w:pPr>
      <w:r>
        <w:rPr>
          <w:rFonts w:ascii="Consolas" w:hAnsi="Consolas"/>
          <w:color w:val="464646"/>
          <w:sz w:val="18"/>
        </w:rPr>
        <w:t>interaction_id</w:t>
      </w:r>
      <w:r>
        <w:t xml:space="preserve"> distingue dos operaciones sin crear dos objetivos distintos:</w:t>
      </w:r>
    </w:p>
    <w:p>
      <w:pPr>
        <w:pStyle w:val="ListBullet"/>
        <w:spacing w:after="40"/>
      </w:pPr>
      <w:r>
        <w:rPr>
          <w:b/>
        </w:rPr>
        <w:t>omitido:</w:t>
      </w:r>
      <w:r>
        <w:t xml:space="preserve"> nuevo expediente;</w:t>
      </w:r>
    </w:p>
    <w:p>
      <w:pPr>
        <w:pStyle w:val="ListBullet"/>
        <w:spacing w:after="40"/>
      </w:pPr>
      <w:r>
        <w:rPr>
          <w:b/>
        </w:rPr>
        <w:t>presente:</w:t>
      </w:r>
      <w:r>
        <w:t xml:space="preserve"> continuación deliberada del mismo caso.</w:t>
      </w:r>
    </w:p>
    <w:p>
      <w:pPr>
        <w:jc w:val="both"/>
      </w:pPr>
      <w:r>
        <w:t>La continuidad permite que nueva evidencia modifique el estado inferencial sin reescribir retrospectivamente lo que estaba justificado antes. Esta propiedad conecta directamente con C6 y, bajo degradación o recovery, con C11–C12.</w:t>
      </w:r>
    </w:p>
    <w:p>
      <w:pPr>
        <w:jc w:val="both"/>
      </w:pPr>
      <w:r>
        <w:t xml:space="preserve">No debe reutilizarse un </w:t>
      </w:r>
      <w:r>
        <w:rPr>
          <w:rFonts w:ascii="Consolas" w:hAnsi="Consolas"/>
          <w:color w:val="464646"/>
          <w:sz w:val="18"/>
        </w:rPr>
        <w:t>interaction_id</w:t>
      </w:r>
      <w:r>
        <w:t xml:space="preserve"> sólo por comodidad. Una auditoría independiente debe recibir una identidad nueva.</w:t>
      </w:r>
    </w:p>
    <w:p>
      <w:pPr>
        <w:pStyle w:val="Heading1"/>
      </w:pPr>
      <w:r>
        <w:t>12. OPEN, CLOSED y autoridad</w:t>
      </w:r>
    </w:p>
    <w:p>
      <w:pPr>
        <w:jc w:val="both"/>
      </w:pPr>
      <w:r>
        <w:t>El operador no selecciona OPEN o CLOSED.</w:t>
      </w:r>
    </w:p>
    <w:p>
      <w:pPr>
        <w:jc w:val="both"/>
      </w:pPr>
      <w:r>
        <w:t xml:space="preserve">Una coordenada CLOSED representa inteligencia local acotada instalada en </w:t>
      </w:r>
      <w:r>
        <w:rPr>
          <w:rFonts w:ascii="Consolas" w:hAnsi="Consolas"/>
          <w:color w:val="464646"/>
          <w:sz w:val="18"/>
        </w:rPr>
        <w:t>domain:language</w:t>
      </w:r>
      <w:r>
        <w:t>. Puede reconocer presión, reglas o marks propios de esa envolvente, pero el hecho de estar instalada no la convierte automáticamente en autoridad universal ni certifica su corpus.</w:t>
      </w:r>
    </w:p>
    <w:p>
      <w:pPr>
        <w:jc w:val="both"/>
      </w:pPr>
      <w:r>
        <w:t>OPEN permite que una frontera semántica externa identifique contenido que el runtime no posee localmente. El modelo puede observar, proponer y realizar semántica; MDPAR conserva el ownership de la estructura, el routing, la continuidad y las operaciones formales.</w:t>
      </w:r>
    </w:p>
    <w:p>
      <w:pPr>
        <w:jc w:val="both"/>
      </w:pPr>
      <w:r>
        <w:t>La distinción fundamental es:</w:t>
      </w:r>
    </w:p>
    <w:p>
      <w:pPr>
        <w:jc w:val="both"/>
      </w:pPr>
      <w:r>
        <w:rPr>
          <w:b/>
        </w:rPr>
        <w:t>capacidad semántica ≠ autoridad estructural ≠ autoridad operacional</w:t>
      </w:r>
    </w:p>
    <w:p>
      <w:pPr>
        <w:jc w:val="both"/>
      </w:pPr>
      <w:r>
        <w:rPr>
          <w:rFonts w:ascii="Consolas" w:hAnsi="Consolas"/>
          <w:color w:val="464646"/>
          <w:sz w:val="18"/>
        </w:rPr>
        <w:t>StructuralMark</w:t>
      </w:r>
      <w:r>
        <w:t xml:space="preserve"> pertenece al formalismo estructural. </w:t>
      </w:r>
      <w:r>
        <w:rPr>
          <w:rFonts w:ascii="Consolas" w:hAnsi="Consolas"/>
          <w:color w:val="464646"/>
          <w:sz w:val="18"/>
        </w:rPr>
        <w:t>DomainMark</w:t>
      </w:r>
      <w:r>
        <w:t>, cuando existe, pertenece a la coordenada CLOSED correspondiente. Ninguno debe ser convertido editorialmente en el otro.</w:t>
      </w:r>
    </w:p>
    <w:p>
      <w:pPr>
        <w:pStyle w:val="Heading1"/>
      </w:pPr>
      <w:r>
        <w:t>13. Resultado canónico y reporting</w:t>
      </w:r>
    </w:p>
    <w:p>
      <w:pPr>
        <w:jc w:val="both"/>
      </w:pPr>
      <w:r>
        <w:t>La ejecución produce un JSON canónico que constituye la fuente machine-readable del expediente. El DOCX no es un simple resumen: debe ser una realización humana autosuficiente del resultado canónico, de forma que un lector técnicamente competente pueda explotar los hallazgos, la cronología, las discontinuidades, la traza estructural, la procedencia, la incertidumbre, las operaciones MDPAR y los límites de autoridad sin tener que leer el JSON bruto. El JSON se conserva como fuente técnica original y superficie de auditoría exhaustiva.</w:t>
      </w:r>
    </w:p>
    <w:p>
      <w:r>
        <w:t>El informe humano incorpora, cuando existan, el análisis sustantivo canónico, explicación de routing OPEN/CLOSED, StructuralMark y sus observables, rutas de estados y transiciones, operaciones de permutación/equivalencia, identidad del runtime, hashes por pieza y del resultado, diferenciación entre componentes deterministas y neuronales, requisitos de reproducción y límites de autoridad. La terminología interna no pertinente para el expediente se mantiene en el JSON y no se introduce gratuitamente en la realización humana.</w:t>
      </w:r>
    </w:p>
    <w:p>
      <w:pPr>
        <w:jc w:val="both"/>
      </w:pPr>
      <w:r>
        <w:t>El reporting neuronal está sometido a una frontera explícita: puede traducir, ordenar y verbalizar, pero no puede:</w:t>
      </w:r>
    </w:p>
    <w:p>
      <w:pPr>
        <w:pStyle w:val="ListBullet"/>
        <w:spacing w:after="40"/>
      </w:pPr>
      <w:r>
        <w:t>cambiar findings canónicos;</w:t>
      </w:r>
    </w:p>
    <w:p>
      <w:pPr>
        <w:pStyle w:val="ListBullet"/>
        <w:spacing w:after="40"/>
      </w:pPr>
      <w:r>
        <w:t>inventar hechos de la fuente;</w:t>
      </w:r>
    </w:p>
    <w:p>
      <w:pPr>
        <w:pStyle w:val="ListBullet"/>
        <w:spacing w:after="40"/>
      </w:pPr>
      <w:r>
        <w:t>recalcular importes económicos;</w:t>
      </w:r>
    </w:p>
    <w:p>
      <w:pPr>
        <w:pStyle w:val="ListBullet"/>
        <w:spacing w:after="40"/>
      </w:pPr>
      <w:r>
        <w:t>declarar certificaciones CLOSED ausentes;</w:t>
      </w:r>
    </w:p>
    <w:p>
      <w:pPr>
        <w:pStyle w:val="ListBullet"/>
        <w:spacing w:after="40"/>
      </w:pPr>
      <w:r>
        <w:t>cambiar marks;</w:t>
      </w:r>
    </w:p>
    <w:p>
      <w:pPr>
        <w:pStyle w:val="ListBullet"/>
        <w:spacing w:after="40"/>
      </w:pPr>
      <w:r>
        <w:t>borrar incertidumbre;</w:t>
      </w:r>
    </w:p>
    <w:p>
      <w:pPr>
        <w:pStyle w:val="ListBullet"/>
        <w:spacing w:after="40"/>
      </w:pPr>
      <w:r>
        <w:t>declarar admisibilidad o fuerza probatoria externa.</w:t>
      </w:r>
    </w:p>
    <w:p>
      <w:pPr>
        <w:jc w:val="both"/>
      </w:pPr>
      <w:r>
        <w:t xml:space="preserve">Si el idioma del operador y el del cliente coinciden, se genera una sola realización </w:t>
      </w:r>
      <w:r>
        <w:rPr>
          <w:rFonts w:ascii="Consolas" w:hAnsi="Consolas"/>
          <w:color w:val="464646"/>
          <w:sz w:val="18"/>
        </w:rPr>
        <w:t>OPERATOR_AND_CLIENT</w:t>
      </w:r>
      <w:r>
        <w:t>. Si difieren, ambos informes derivan del mismo análisis, no de dos reanálisis independientes.</w:t>
      </w:r>
    </w:p>
    <w:p>
      <w:pPr>
        <w:pStyle w:val="Heading2"/>
      </w:pPr>
      <w:r>
        <w:t>13.1. Diferencia entre MDPAR+LLM y un LLM directo</w:t>
      </w:r>
    </w:p>
    <w:p>
      <w:r>
        <w:t>MDPAR no presupone que el modelo semántico utilizado en OPEN sea incapaz de producir, por sí solo, observaciones o prosa parcialmente parecidas. Sin una comparación emparejada sobre la misma evidencia, no debe afirmarse superioridad semántica. La diferencia que sí puede auditarse en una ejecución MDPAR es arquitectónica: routing y authority ownership fuera del modelo; representación canónica de estados y relaciones; continuidad; operaciones estructurales y de equivalencia; hashes e identidad del runtime; separación entre componentes deterministas y neuronales; y conservación explícita de límites de autoridad.</w:t>
      </w:r>
    </w:p>
    <w:p>
      <w:r>
        <w:t>Por tanto, similitud semántica no implica equivalencia de sistemas. Un LLM directo puede expresar una conclusión parecida; ello no convierte automáticamente su respuesta en el mismo artefacto estructural, trazable y reproducible. A la inversa, MDPAR no debe presentar esa arquitectura como prueba de que su prosa sea siempre mejor que la del mismo LLM utilizado directamente.</w:t>
      </w:r>
    </w:p>
    <w:p>
      <w:pPr>
        <w:pStyle w:val="Heading1"/>
      </w:pPr>
      <w:r>
        <w:t>14. Audit provenance</w:t>
      </w:r>
    </w:p>
    <w:p>
      <w:pPr>
        <w:jc w:val="both"/>
      </w:pPr>
      <w:r>
        <w:t>El expediente de provenance se rige por el esquema MDPAR-AUDIT-PROVENANCE-4 y separa al menos cinco superficies:</w:t>
      </w:r>
    </w:p>
    <w:p>
      <w:pPr>
        <w:spacing w:after="40"/>
        <w:ind w:left="312" w:hanging="312"/>
      </w:pPr>
      <w:r>
        <w:rPr>
          <w:b/>
        </w:rPr>
        <w:t xml:space="preserve">1.  </w:t>
      </w:r>
      <w:r>
        <w:rPr>
          <w:b/>
        </w:rPr>
        <w:t>identidad del software</w:t>
      </w:r>
      <w:r>
        <w:t xml:space="preserve">: versión MDPAR observada, hash del JAR, versión del adapter e </w:t>
      </w:r>
      <w:r>
        <w:rPr>
          <w:rFonts w:ascii="Consolas" w:hAnsi="Consolas"/>
          <w:color w:val="464646"/>
          <w:sz w:val="18"/>
        </w:rPr>
        <w:t>interaction_id</w:t>
      </w:r>
      <w:r>
        <w:t>;</w:t>
      </w:r>
    </w:p>
    <w:p>
      <w:pPr>
        <w:spacing w:after="40"/>
        <w:ind w:left="312" w:hanging="312"/>
      </w:pPr>
      <w:r>
        <w:rPr>
          <w:b/>
        </w:rPr>
        <w:t xml:space="preserve">2.  </w:t>
      </w:r>
      <w:r>
        <w:rPr>
          <w:b/>
        </w:rPr>
        <w:t>integridad de evidencia</w:t>
      </w:r>
      <w:r>
        <w:t>: hashes por pieza, hash compuesto y hash del resultado canónico;</w:t>
      </w:r>
    </w:p>
    <w:p>
      <w:pPr>
        <w:spacing w:after="40"/>
        <w:ind w:left="312" w:hanging="312"/>
      </w:pPr>
      <w:r>
        <w:rPr>
          <w:b/>
        </w:rPr>
        <w:t xml:space="preserve">3.  </w:t>
      </w:r>
      <w:r>
        <w:rPr>
          <w:b/>
        </w:rPr>
        <w:t>contrato lingüístico</w:t>
      </w:r>
      <w:r>
        <w:t>: idioma de fuente, operador y cliente;</w:t>
      </w:r>
    </w:p>
    <w:p>
      <w:pPr>
        <w:spacing w:after="40"/>
        <w:ind w:left="312" w:hanging="312"/>
      </w:pPr>
      <w:r>
        <w:rPr>
          <w:b/>
        </w:rPr>
        <w:t xml:space="preserve">4.  </w:t>
      </w:r>
      <w:r>
        <w:rPr>
          <w:b/>
        </w:rPr>
        <w:t>fronteras de autoridad</w:t>
      </w:r>
      <w:r>
        <w:t>: modo, coordenadas CLOSED, marks, contratos, componentes deterministas y neuronales;</w:t>
      </w:r>
    </w:p>
    <w:p>
      <w:pPr>
        <w:spacing w:after="40"/>
        <w:ind w:left="312" w:hanging="312"/>
      </w:pPr>
      <w:r>
        <w:rPr>
          <w:b/>
        </w:rPr>
        <w:t xml:space="preserve">5.  </w:t>
      </w:r>
      <w:r>
        <w:rPr>
          <w:b/>
        </w:rPr>
        <w:t>reproducibilidad y límites</w:t>
      </w:r>
      <w:r>
        <w:t>: clase de replay, snapshot del proveedor, artefactos a archivar e incertidumbres.</w:t>
      </w:r>
    </w:p>
    <w:p>
      <w:pPr>
        <w:jc w:val="both"/>
      </w:pPr>
      <w:r>
        <w:t>La provenance no convierte una ejecución OPEN en determinista. Cuando interviene una frontera neuronal, esa frontera se declara como tal.</w:t>
      </w:r>
    </w:p>
    <w:p>
      <w:pPr>
        <w:pStyle w:val="Heading1"/>
      </w:pPr>
      <w:r>
        <w:t>15. Reproducibilidad y evidencia C0–C12</w:t>
      </w:r>
    </w:p>
    <w:p>
      <w:pPr>
        <w:jc w:val="both"/>
      </w:pPr>
      <w:r>
        <w:t xml:space="preserve">Las runs de benchmarking son evidencia científica, no residuos de desarrollo. Se conservan bajo </w:t>
      </w:r>
      <w:r>
        <w:rPr>
          <w:rFonts w:ascii="Consolas" w:hAnsi="Consolas"/>
          <w:color w:val="464646"/>
          <w:sz w:val="18"/>
        </w:rPr>
        <w:t>runs/capabilities/C0</w:t>
      </w:r>
      <w:r>
        <w:t xml:space="preserve"> … </w:t>
      </w:r>
      <w:r>
        <w:rPr>
          <w:rFonts w:ascii="Consolas" w:hAnsi="Consolas"/>
          <w:color w:val="464646"/>
          <w:sz w:val="18"/>
        </w:rPr>
        <w:t>C12</w:t>
      </w:r>
      <w:r>
        <w:t xml:space="preserve"> y se indexan por SHA-256 en </w:t>
      </w:r>
      <w:r>
        <w:rPr>
          <w:rFonts w:ascii="Consolas" w:hAnsi="Consolas"/>
          <w:color w:val="464646"/>
          <w:sz w:val="18"/>
        </w:rPr>
        <w:t>runs/index.json</w:t>
      </w:r>
      <w:r>
        <w:t>.</w:t>
      </w:r>
    </w:p>
    <w:p>
      <w:pPr>
        <w:jc w:val="both"/>
      </w:pPr>
      <w:r>
        <w:t>Un tercero puede verificar la integridad del evidence store con:</w:t>
      </w:r>
    </w:p>
    <w:tbl>
      <w:tblPr>
        <w:tblW w:type="auto" w:w="0"/>
        <w:jc w:val="center"/>
        <w:tblLook w:firstColumn="1" w:firstRow="1" w:lastColumn="0" w:lastRow="0" w:noHBand="0" w:noVBand="1" w:val="04A0"/>
      </w:tblPr>
      <w:tblGrid>
        <w:gridCol w:w="9859"/>
      </w:tblGrid>
      <w:tr>
        <w:trPr>
          <w:cantSplit/>
        </w:trPr>
        <w:tc>
          <w:tcPr>
            <w:tcW w:type="dxa" w:w="9859"/>
            <w:shd w:fill="F3F4F5"/>
            <w:tcMar>
              <w:top w:w="120" w:type="dxa"/>
              <w:start w:w="140" w:type="dxa"/>
              <w:bottom w:w="120" w:type="dxa"/>
              <w:end w:w="140" w:type="dxa"/>
            </w:tcMar>
          </w:tcPr>
          <w:p>
            <w:r>
              <w:rPr>
                <w:rFonts w:ascii="Consolas" w:hAnsi="Consolas"/>
                <w:sz w:val="17"/>
              </w:rPr>
              <w:t>python -m scripts.verify_benchmark_evidence</w:t>
            </w:r>
          </w:p>
        </w:tc>
      </w:tr>
    </w:tbl>
    <w:p>
      <w:pPr>
        <w:jc w:val="both"/>
      </w:pPr>
      <w:r>
        <w:t>La reproducibilidad tiene niveles distintos:</w:t>
      </w:r>
    </w:p>
    <w:p>
      <w:pPr>
        <w:pStyle w:val="ListBullet"/>
        <w:spacing w:after="40"/>
      </w:pPr>
      <w:r>
        <w:rPr>
          <w:b/>
        </w:rPr>
        <w:t>auditabilidad documental:</w:t>
      </w:r>
      <w:r>
        <w:t xml:space="preserve"> inspeccionar corpus, manifests, outputs y metodología;</w:t>
      </w:r>
    </w:p>
    <w:p>
      <w:pPr>
        <w:pStyle w:val="ListBullet"/>
        <w:spacing w:after="40"/>
      </w:pPr>
      <w:r>
        <w:rPr>
          <w:b/>
        </w:rPr>
        <w:t>reproducibilidad métrica:</w:t>
      </w:r>
      <w:r>
        <w:t xml:space="preserve"> recalcular métricas a partir de runs congeladas;</w:t>
      </w:r>
    </w:p>
    <w:p>
      <w:pPr>
        <w:pStyle w:val="ListBullet"/>
        <w:spacing w:after="40"/>
      </w:pPr>
      <w:r>
        <w:rPr>
          <w:b/>
        </w:rPr>
        <w:t>reproducción end-to-end:</w:t>
      </w:r>
      <w:r>
        <w:t xml:space="preserve"> volver a ejecutar el runtime y las fronteras semánticas correspondientes.</w:t>
      </w:r>
    </w:p>
    <w:p>
      <w:pPr>
        <w:jc w:val="both"/>
      </w:pPr>
      <w:r>
        <w:t>El paquete documental público puede ofrecer los dos primeros niveles sin distribuir el runtime propietario.</w:t>
      </w:r>
    </w:p>
    <w:p>
      <w:pPr>
        <w:pStyle w:val="Heading1"/>
      </w:pPr>
      <w:r>
        <w:t>16. Valor económico</w:t>
      </w:r>
    </w:p>
    <w:p>
      <w:pPr>
        <w:jc w:val="both"/>
      </w:pPr>
      <w:r>
        <w:t>El ledger económico es una superficie secundaria del expediente, no la razón de ser de Swagger. Registra uso del proveedor, coste de referencia, conversión, benchmark profesional, base imponible e impuestos configurados cuando los datos están disponibles.</w:t>
      </w:r>
    </w:p>
    <w:p>
      <w:pPr>
        <w:jc w:val="both"/>
      </w:pPr>
      <w:r>
        <w:t>El LLM puede redactar la explicación económica, pero no recalcula importes. Los valores mutables deben quedar ligados a su snapshot para evitar que una ejecución histórica cambie retrospectivamente al cambiar precios o tipos de cambio.</w:t>
      </w:r>
    </w:p>
    <w:p>
      <w:pPr>
        <w:pStyle w:val="Heading1"/>
      </w:pPr>
      <w:r>
        <w:t>17. Procedimiento operativo</w:t>
      </w:r>
    </w:p>
    <w:p>
      <w:pPr>
        <w:spacing w:after="40"/>
        <w:ind w:left="312" w:hanging="312"/>
      </w:pPr>
      <w:r>
        <w:rPr>
          <w:b/>
        </w:rPr>
        <w:t xml:space="preserve">1.  </w:t>
      </w:r>
      <w:r>
        <w:t>Ejecutar o comprobar MDPAR y el adapter.</w:t>
      </w:r>
    </w:p>
    <w:p>
      <w:pPr>
        <w:spacing w:after="40"/>
        <w:ind w:left="312" w:hanging="312"/>
      </w:pPr>
      <w:r>
        <w:rPr>
          <w:b/>
        </w:rPr>
        <w:t xml:space="preserve">2.  </w:t>
      </w:r>
      <w:r>
        <w:t xml:space="preserve">Consultar </w:t>
      </w:r>
      <w:r>
        <w:rPr>
          <w:rFonts w:ascii="Consolas" w:hAnsi="Consolas"/>
          <w:color w:val="464646"/>
          <w:sz w:val="18"/>
        </w:rPr>
        <w:t>/runtime</w:t>
      </w:r>
      <w:r>
        <w:t xml:space="preserve"> y verificar identidad/readiness cuando la cadena de custodia lo requiera.</w:t>
      </w:r>
    </w:p>
    <w:p>
      <w:pPr>
        <w:spacing w:after="40"/>
        <w:ind w:left="312" w:hanging="312"/>
      </w:pPr>
      <w:r>
        <w:rPr>
          <w:b/>
        </w:rPr>
        <w:t xml:space="preserve">3.  </w:t>
      </w:r>
      <w:r>
        <w:t xml:space="preserve">Abrir </w:t>
      </w:r>
      <w:r>
        <w:rPr>
          <w:rFonts w:ascii="Consolas" w:hAnsi="Consolas"/>
          <w:color w:val="464646"/>
          <w:sz w:val="18"/>
        </w:rPr>
        <w:t>POST /assessment</w:t>
      </w:r>
      <w:r>
        <w:t xml:space="preserve"> en Swagger.</w:t>
      </w:r>
    </w:p>
    <w:p>
      <w:pPr>
        <w:spacing w:after="40"/>
        <w:ind w:left="312" w:hanging="312"/>
      </w:pPr>
      <w:r>
        <w:t>4.  Adjuntar la evidencia principal en file y, si procede, usar additional_file_1 … additional_file_7 para piezas adicionales.</w:t>
      </w:r>
    </w:p>
    <w:p>
      <w:pPr>
        <w:spacing w:after="40"/>
        <w:ind w:left="312" w:hanging="312"/>
      </w:pPr>
      <w:r>
        <w:rPr>
          <w:b/>
        </w:rPr>
        <w:t xml:space="preserve">5.  </w:t>
      </w:r>
      <w:r>
        <w:t xml:space="preserve">Introducir </w:t>
      </w:r>
      <w:r>
        <w:rPr>
          <w:rFonts w:ascii="Consolas" w:hAnsi="Consolas"/>
          <w:color w:val="464646"/>
          <w:sz w:val="18"/>
        </w:rPr>
        <w:t>source_language</w:t>
      </w:r>
      <w:r>
        <w:t>.</w:t>
      </w:r>
    </w:p>
    <w:p>
      <w:pPr>
        <w:spacing w:after="40"/>
        <w:ind w:left="312" w:hanging="312"/>
      </w:pPr>
      <w:r>
        <w:rPr>
          <w:b/>
        </w:rPr>
        <w:t xml:space="preserve">6.  </w:t>
      </w:r>
      <w:r>
        <w:t xml:space="preserve">Introducir </w:t>
      </w:r>
      <w:r>
        <w:rPr>
          <w:rFonts w:ascii="Consolas" w:hAnsi="Consolas"/>
          <w:color w:val="464646"/>
          <w:sz w:val="18"/>
        </w:rPr>
        <w:t>operator_report_language</w:t>
      </w:r>
      <w:r>
        <w:t>.</w:t>
      </w:r>
    </w:p>
    <w:p>
      <w:pPr>
        <w:spacing w:after="40"/>
        <w:ind w:left="312" w:hanging="312"/>
      </w:pPr>
      <w:r>
        <w:rPr>
          <w:b/>
        </w:rPr>
        <w:t xml:space="preserve">7.  </w:t>
      </w:r>
      <w:r>
        <w:t xml:space="preserve">Opcionalmente indicar </w:t>
      </w:r>
      <w:r>
        <w:rPr>
          <w:rFonts w:ascii="Consolas" w:hAnsi="Consolas"/>
          <w:color w:val="464646"/>
          <w:sz w:val="18"/>
        </w:rPr>
        <w:t>client_report_language</w:t>
      </w:r>
      <w:r>
        <w:t>.</w:t>
      </w:r>
    </w:p>
    <w:p>
      <w:pPr>
        <w:spacing w:after="40"/>
        <w:ind w:left="312" w:hanging="312"/>
      </w:pPr>
      <w:r>
        <w:rPr>
          <w:b/>
        </w:rPr>
        <w:t xml:space="preserve">8.  </w:t>
      </w:r>
      <w:r>
        <w:t xml:space="preserve">Dejar </w:t>
      </w:r>
      <w:r>
        <w:rPr>
          <w:rFonts w:ascii="Consolas" w:hAnsi="Consolas"/>
          <w:color w:val="464646"/>
          <w:sz w:val="18"/>
        </w:rPr>
        <w:t>interaction_id</w:t>
      </w:r>
      <w:r>
        <w:t xml:space="preserve"> vacío para un caso nuevo o introducir el ID del caso que se continúa.</w:t>
      </w:r>
    </w:p>
    <w:p>
      <w:pPr>
        <w:spacing w:after="40"/>
        <w:ind w:left="312" w:hanging="312"/>
      </w:pPr>
      <w:r>
        <w:t>9.  Opcionalmente adjuntar evidence_metadata como archivo JSON UTF-8 alineado con las piezas realmente aportadas.</w:t>
      </w:r>
    </w:p>
    <w:p>
      <w:pPr>
        <w:spacing w:after="40"/>
        <w:ind w:left="312" w:hanging="312"/>
      </w:pPr>
      <w:r>
        <w:rPr>
          <w:b/>
        </w:rPr>
        <w:t xml:space="preserve">10.  </w:t>
      </w:r>
      <w:r>
        <w:t>Ejecutar la petición.</w:t>
      </w:r>
    </w:p>
    <w:p>
      <w:pPr>
        <w:spacing w:after="40"/>
        <w:ind w:left="312" w:hanging="312"/>
      </w:pPr>
      <w:r>
        <w:rPr>
          <w:b/>
        </w:rPr>
        <w:t xml:space="preserve">11.  </w:t>
      </w:r>
      <w:r>
        <w:t>Conservar el JSON canónico de respuesta.</w:t>
      </w:r>
    </w:p>
    <w:p>
      <w:pPr>
        <w:spacing w:after="40"/>
        <w:ind w:left="312" w:hanging="312"/>
      </w:pPr>
      <w:r>
        <w:rPr>
          <w:b/>
        </w:rPr>
        <w:t xml:space="preserve">12.  </w:t>
      </w:r>
      <w:r>
        <w:t xml:space="preserve">Descargar el/los DOCX desde las rutas devueltas o mediante </w:t>
      </w:r>
      <w:r>
        <w:rPr>
          <w:rFonts w:ascii="Consolas" w:hAnsi="Consolas"/>
          <w:color w:val="464646"/>
          <w:sz w:val="18"/>
        </w:rPr>
        <w:t>/reports/{interaction_id}/{filename}</w:t>
      </w:r>
      <w:r>
        <w:t>.</w:t>
      </w:r>
    </w:p>
    <w:p>
      <w:pPr>
        <w:spacing w:after="40"/>
        <w:ind w:left="312" w:hanging="312"/>
      </w:pPr>
      <w:r>
        <w:rPr>
          <w:b/>
        </w:rPr>
        <w:t xml:space="preserve">13.  </w:t>
      </w:r>
      <w:r>
        <w:t>Archivar evidencia original, JSON, informes, JAR identificado por SHA-256, configuración del proveedor y snapshots económicos relevantes.</w:t>
      </w:r>
    </w:p>
    <w:p>
      <w:pPr>
        <w:jc w:val="both"/>
      </w:pPr>
      <w:r>
        <w:t xml:space="preserve">El operador </w:t>
      </w:r>
      <w:r>
        <w:rPr>
          <w:b/>
        </w:rPr>
        <w:t>no</w:t>
      </w:r>
      <w:r>
        <w:t xml:space="preserve"> debe elegir un objective, declarar la versión de MDPAR ni clasificar el caso mediante un perfil de dominio.</w:t>
      </w:r>
    </w:p>
    <w:p>
      <w:pPr>
        <w:pStyle w:val="Heading1"/>
      </w:pPr>
      <w:r>
        <w:t>18. Interpretación de fallos y límites</w:t>
      </w:r>
    </w:p>
    <w:p>
      <w:pPr>
        <w:jc w:val="both"/>
      </w:pPr>
      <w:r>
        <w:t>Un expediente pericialmente útil debe hacer visibles los fallos, no absorberlos en prosa convincente.</w:t>
      </w:r>
    </w:p>
    <w:p>
      <w:pPr>
        <w:jc w:val="both"/>
      </w:pPr>
      <w:r>
        <w:t>Casos relevantes:</w:t>
      </w:r>
    </w:p>
    <w:p>
      <w:pPr>
        <w:pStyle w:val="ListBullet"/>
        <w:spacing w:after="40"/>
      </w:pPr>
      <w:r>
        <w:rPr>
          <w:b/>
        </w:rPr>
        <w:t>archivo vacío o ilegible:</w:t>
      </w:r>
      <w:r>
        <w:t xml:space="preserve"> error de entrada; no existe análisis válido;</w:t>
      </w:r>
    </w:p>
    <w:p>
      <w:pPr>
        <w:pStyle w:val="ListBullet"/>
        <w:spacing w:after="40"/>
      </w:pPr>
      <w:r>
        <w:rPr>
          <w:b/>
        </w:rPr>
        <w:t>formato no soportado:</w:t>
      </w:r>
      <w:r>
        <w:t xml:space="preserve"> HTTP 415;</w:t>
      </w:r>
    </w:p>
    <w:p>
      <w:pPr>
        <w:pStyle w:val="ListBullet"/>
        <w:spacing w:after="40"/>
      </w:pPr>
      <w:r>
        <w:rPr>
          <w:b/>
        </w:rPr>
        <w:t>archivo mayor de 25 MiB:</w:t>
      </w:r>
      <w:r>
        <w:t xml:space="preserve"> HTTP 413;</w:t>
      </w:r>
    </w:p>
    <w:p>
      <w:pPr>
        <w:pStyle w:val="ListBullet"/>
        <w:spacing w:after="40"/>
      </w:pPr>
      <w:r>
        <w:rPr>
          <w:b/>
        </w:rPr>
        <w:t>PDF sin texto extraíble:</w:t>
      </w:r>
      <w:r>
        <w:t xml:space="preserve"> requiere OCR/percepción externa;</w:t>
      </w:r>
    </w:p>
    <w:p>
      <w:pPr>
        <w:pStyle w:val="ListBullet"/>
        <w:spacing w:after="40"/>
      </w:pPr>
      <w:r>
        <w:rPr>
          <w:b/>
        </w:rPr>
        <w:t>metadata mal formada:</w:t>
      </w:r>
      <w:r>
        <w:t xml:space="preserve"> HTTP 422;</w:t>
      </w:r>
    </w:p>
    <w:p>
      <w:pPr>
        <w:pStyle w:val="ListBullet"/>
        <w:spacing w:after="40"/>
      </w:pPr>
      <w:r>
        <w:rPr>
          <w:b/>
        </w:rPr>
        <w:t>fallo de transporte frontier:</w:t>
      </w:r>
      <w:r>
        <w:t xml:space="preserve"> HTTP 504;</w:t>
      </w:r>
    </w:p>
    <w:p>
      <w:pPr>
        <w:pStyle w:val="ListBullet"/>
        <w:spacing w:after="40"/>
      </w:pPr>
      <w:r>
        <w:rPr>
          <w:b/>
        </w:rPr>
        <w:t>fallo del proveedor semántico:</w:t>
      </w:r>
      <w:r>
        <w:t xml:space="preserve"> HTTP 502;</w:t>
      </w:r>
    </w:p>
    <w:p>
      <w:pPr>
        <w:pStyle w:val="ListBullet"/>
        <w:spacing w:after="40"/>
      </w:pPr>
      <w:r>
        <w:rPr>
          <w:b/>
        </w:rPr>
        <w:t>UNKNOWN estructural:</w:t>
      </w:r>
      <w:r>
        <w:t xml:space="preserve"> debe permanecer UNKNOWN;</w:t>
      </w:r>
    </w:p>
    <w:p>
      <w:pPr>
        <w:pStyle w:val="ListBullet"/>
        <w:spacing w:after="40"/>
      </w:pPr>
      <w:r>
        <w:rPr>
          <w:b/>
        </w:rPr>
        <w:t>resultado OPEN:</w:t>
      </w:r>
      <w:r>
        <w:t xml:space="preserve"> la frontera neuronal queda declarada y no se presenta como determinista;</w:t>
      </w:r>
    </w:p>
    <w:p>
      <w:pPr>
        <w:pStyle w:val="ListBullet"/>
        <w:spacing w:after="40"/>
      </w:pPr>
      <w:r>
        <w:rPr>
          <w:b/>
        </w:rPr>
        <w:t>CLOSED disponible:</w:t>
      </w:r>
      <w:r>
        <w:t xml:space="preserve"> ownership local no implica por sí mismo certificación externa;</w:t>
      </w:r>
    </w:p>
    <w:p>
      <w:pPr>
        <w:pStyle w:val="ListBullet"/>
        <w:spacing w:after="40"/>
      </w:pPr>
      <w:r>
        <w:rPr>
          <w:b/>
        </w:rPr>
        <w:t>informe humano fallido:</w:t>
      </w:r>
      <w:r>
        <w:t xml:space="preserve"> el análisis canónico puede existir aunque la realización DOCX no se complete.</w:t>
      </w:r>
    </w:p>
    <w:p>
      <w:pPr>
        <w:pStyle w:val="Heading1"/>
      </w:pPr>
      <w:r>
        <w:t>19. Qué puede y qué no puede afirmar el servicio</w:t>
      </w:r>
    </w:p>
    <w:p>
      <w:pPr>
        <w:jc w:val="both"/>
      </w:pPr>
      <w:r>
        <w:t>MDPAR puede afirmar propiedades que realmente estén registradas por la ejecución: estructura identificada, relaciones, marks, routing, hashes, provenance, continuidad, incertidumbre, equivalencia cuando haya sido calculada, componentes usados y límites observados.</w:t>
      </w:r>
    </w:p>
    <w:p>
      <w:pPr>
        <w:jc w:val="both"/>
      </w:pPr>
      <w:r>
        <w:t>No debe convertir automáticamente esas propiedades en afirmaciones externas que requieran otra autoridad. Ejemplos:</w:t>
      </w:r>
    </w:p>
    <w:p>
      <w:pPr>
        <w:pStyle w:val="ListBullet"/>
        <w:spacing w:after="40"/>
      </w:pPr>
      <w:r>
        <w:t>puede auditar la estructura de un informe clínico; no inventa un diagnóstico;</w:t>
      </w:r>
    </w:p>
    <w:p>
      <w:pPr>
        <w:pStyle w:val="ListBullet"/>
        <w:spacing w:after="40"/>
      </w:pPr>
      <w:r>
        <w:t>puede reconstruir una argumentación jurídica; no presume vigencia normativa no aportada;</w:t>
      </w:r>
    </w:p>
    <w:p>
      <w:pPr>
        <w:pStyle w:val="ListBullet"/>
        <w:spacing w:after="40"/>
      </w:pPr>
      <w:r>
        <w:t>puede mapear cifras y cálculos; no certifica por sí mismo estados contables externos;</w:t>
      </w:r>
    </w:p>
    <w:p>
      <w:pPr>
        <w:pStyle w:val="ListBullet"/>
        <w:spacing w:after="40"/>
      </w:pPr>
      <w:r>
        <w:t>puede detectar que un claim científico excede los resultados declarados; no sustituye una replicación experimental;</w:t>
      </w:r>
    </w:p>
    <w:p>
      <w:pPr>
        <w:pStyle w:val="ListBullet"/>
        <w:spacing w:after="40"/>
      </w:pPr>
      <w:r>
        <w:t>puede trazar un incidente; no transforma mera sucesión temporal en causalidad sin soporte.</w:t>
      </w:r>
    </w:p>
    <w:p>
      <w:pPr>
        <w:jc w:val="both"/>
      </w:pPr>
      <w:r>
        <w:t>La propiedad domain-agnostic no significa omnisciencia semántica. Significa que el mismo objeto estructural y sus autoridades pueden recibir realizaciones heterogéneas sin necesitar una ontología semántica global común.</w:t>
      </w:r>
    </w:p>
    <w:p>
      <w:pPr>
        <w:pStyle w:val="Heading1"/>
      </w:pPr>
      <w:r>
        <w:t>20. Lectura pericial del sistema</w:t>
      </w:r>
    </w:p>
    <w:p>
      <w:pPr>
        <w:jc w:val="both"/>
      </w:pPr>
      <w:r>
        <w:t>El criterio de calidad de MDPAR no es “el modelo parece convincente”. Es que el resultado soporte preguntas como:</w:t>
      </w:r>
    </w:p>
    <w:p>
      <w:pPr>
        <w:pStyle w:val="ListBullet"/>
        <w:spacing w:after="40"/>
      </w:pPr>
      <w:r>
        <w:t>¿qué evidencia entró exactamente?;</w:t>
      </w:r>
    </w:p>
    <w:p>
      <w:pPr>
        <w:pStyle w:val="ListBullet"/>
        <w:spacing w:after="40"/>
      </w:pPr>
      <w:r>
        <w:t>¿qué texto pudo observar el sistema?;</w:t>
      </w:r>
    </w:p>
    <w:p>
      <w:pPr>
        <w:pStyle w:val="ListBullet"/>
        <w:spacing w:after="40"/>
      </w:pPr>
      <w:r>
        <w:t>¿qué artefacto MDPAR se ejecutó?;</w:t>
      </w:r>
    </w:p>
    <w:p>
      <w:pPr>
        <w:pStyle w:val="ListBullet"/>
        <w:spacing w:after="40"/>
      </w:pPr>
      <w:r>
        <w:t>¿qué parte fue determinista y cuál neuronal?;</w:t>
      </w:r>
    </w:p>
    <w:p>
      <w:pPr>
        <w:pStyle w:val="ListBullet"/>
        <w:spacing w:after="40"/>
      </w:pPr>
      <w:r>
        <w:t>¿qué capa tenía autoridad para cada decisión?;</w:t>
      </w:r>
    </w:p>
    <w:p>
      <w:pPr>
        <w:pStyle w:val="ListBullet"/>
        <w:spacing w:after="40"/>
      </w:pPr>
      <w:r>
        <w:t>¿qué relaciones estructurales sostienen una conclusión?;</w:t>
      </w:r>
    </w:p>
    <w:p>
      <w:pPr>
        <w:pStyle w:val="ListBullet"/>
        <w:spacing w:after="40"/>
      </w:pPr>
      <w:r>
        <w:t>¿qué permaneció UNKNOWN?;</w:t>
      </w:r>
    </w:p>
    <w:p>
      <w:pPr>
        <w:pStyle w:val="ListBullet"/>
        <w:spacing w:after="40"/>
      </w:pPr>
      <w:r>
        <w:t>¿qué cambió cuando llegó nueva evidencia?;</w:t>
      </w:r>
    </w:p>
    <w:p>
      <w:pPr>
        <w:pStyle w:val="ListBullet"/>
        <w:spacing w:after="40"/>
      </w:pPr>
      <w:r>
        <w:t>¿puede un tercero recalcular las métricas o impugnar el método?;</w:t>
      </w:r>
    </w:p>
    <w:p>
      <w:pPr>
        <w:pStyle w:val="ListBullet"/>
        <w:spacing w:after="40"/>
      </w:pPr>
      <w:r>
        <w:t>¿la prosa del informe deriva del resultado canónico o introduce una conclusión nueva?</w:t>
      </w:r>
    </w:p>
    <w:p>
      <w:pPr>
        <w:jc w:val="both"/>
      </w:pPr>
      <w:r>
        <w:t>Si el expediente no permite responder estas preguntas, el problema no se resuelve añadiendo más prosa. Debe corregirse la cadena de procedencia o el contrato de ejecución.</w:t>
      </w:r>
    </w:p>
    <w:p>
      <w:pPr>
        <w:pStyle w:val="Heading1"/>
      </w:pPr>
      <w:r>
        <w:t>21. Referencias externas de auditabilidad</w:t>
      </w:r>
    </w:p>
    <w:p>
      <w:pPr>
        <w:spacing w:after="40"/>
        <w:ind w:left="312" w:hanging="312"/>
      </w:pPr>
      <w:r>
        <w:rPr>
          <w:b/>
        </w:rPr>
        <w:t xml:space="preserve">1.  </w:t>
      </w:r>
      <w:r>
        <w:t>Guttman, B., White, D. R., Williams, S. y Walraven, T. (2022). *Digital Evidence Preservation: Considerations for Evidence Handlers*. NISTIR 8387. DOI: 10.6028/NIST.IR.8387.</w:t>
      </w:r>
    </w:p>
    <w:p>
      <w:pPr>
        <w:spacing w:after="40"/>
        <w:ind w:left="312" w:hanging="312"/>
      </w:pPr>
      <w:r>
        <w:rPr>
          <w:b/>
        </w:rPr>
        <w:t xml:space="preserve">2.  </w:t>
      </w:r>
      <w:r>
        <w:t>National Institute of Standards and Technology. *Computer Forensics Tool Testing (CFTT)*. Programa de especificaciones, procedimientos, criterios, conjuntos y hardware de prueba para herramientas forenses.</w:t>
      </w:r>
    </w:p>
    <w:p>
      <w:pPr>
        <w:spacing w:after="40"/>
        <w:ind w:left="312" w:hanging="312"/>
      </w:pPr>
      <w:r>
        <w:rPr>
          <w:b/>
        </w:rPr>
        <w:t xml:space="preserve">3.  </w:t>
      </w:r>
      <w:r>
        <w:t>España. Ley 1/2000, de 7 de enero, de Enjuiciamiento Civil, arts. 347–348: posibilidad de preguntas y objeciones sobre método, premisas y conclusiones del dictamen; valoración conforme a la sana crítica.</w:t>
      </w:r>
    </w:p>
    <w:p>
      <w:pPr>
        <w:pStyle w:val="Heading1"/>
      </w:pPr>
      <w:r>
        <w:t>22. Regla final</w:t>
      </w:r>
    </w:p>
    <w:p>
      <w:pPr>
        <w:jc w:val="both"/>
      </w:pPr>
      <w:r>
        <w:rPr>
          <w:b/>
        </w:rPr>
        <w:t>MDPAR no debe pedir confianza ciega.</w:t>
      </w:r>
    </w:p>
    <w:p>
      <w:pPr>
        <w:jc w:val="both"/>
      </w:pPr>
      <w:r>
        <w:t>El Swagger 2.0.0 existe para ejecutar una sola operación de alto control: transformar evidencia suministrada en una evaluación estructural canónica, preservada, trazable, discutible y realizable como informe con calidad pericial. El dominio emerge de la evidencia; las capacidades internas se aplican cuando corresponde; la frontera semántica no adquiere autoridad estructural por ser más expresiva; y la publicación humana nunca sustituye al objeto canónico del que deriva.</w:t>
      </w:r>
    </w:p>
    <w:p>
      <w:pPr>
        <w:jc w:val="both"/>
      </w:pPr>
      <w:r>
        <w:t>Ésa es la superficie pública de MDPAR 2.0.0.</w:t>
      </w:r>
    </w:p>
    <w:sectPr w:rsidR="00FC693F" w:rsidRPr="0006063C" w:rsidSect="00034616">
      <w:headerReference w:type="default" r:id="rId9"/>
      <w:footerReference w:type="default" r:id="rId10"/>
      <w:pgSz w:w="12240" w:h="15840"/>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 xml:space="preserve">MDPAR · 2.0.0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6464"/>
        <w:sz w:val="16"/>
      </w:rPr>
      <w:t>MDPAR 2.0.0 · Manual operativo Swagger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9324D"/>
      <w:sz w:val="3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315B72"/>
      <w:sz w:val="26"/>
      <w:szCs w:val="26"/>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ascii="Aptos Display" w:hAnsi="Aptos Display"/>
      <w:b/>
      <w:bCs/>
      <w:color w:val="315B7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Aptos Display" w:hAnsi="Aptos Display"/>
      <w:b/>
      <w:color w:val="19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60" w:after="80"/>
    </w:pPr>
    <w:rPr>
      <w:rFonts w:asciiTheme="majorHAnsi" w:eastAsiaTheme="majorEastAsia" w:hAnsiTheme="majorHAnsi" w:cstheme="majorBidi" w:ascii="Aptos Display" w:hAnsi="Aptos Display"/>
      <w:b w:val="0"/>
      <w:i/>
      <w:iCs/>
      <w:color w:val="4F6B8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MDPAR 2.0.0 — Manual operativo de Swagger y contrato de evaluación pericial</dc:title>
  <dc:subject>Servicio único de evaluación estructural exhaustiva con calidad pericial</dc:subject>
  <dc:creator>python-docx</dc:creator>
  <cp:keywords>MDPAR, Swagger, pericial, auditabilidad, provenance, C0-C12, MDPAR 2.0.0</cp:keywords>
  <dc:description>Reescritura canónica que sustituye el manual I10.1.4.</dc:description>
  <cp:lastModifiedBy/>
  <cp:revision>1</cp:revision>
  <dcterms:created xsi:type="dcterms:W3CDTF">2013-12-23T23:15:00Z</dcterms:created>
  <dcterms:modified xsi:type="dcterms:W3CDTF">2013-12-23T23:15:00Z</dcterms:modified>
  <cp:category/>
</cp:coreProperties>
</file>