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9EC9F" w14:textId="77777777" w:rsidR="00286897" w:rsidRDefault="00B31A46">
      <w:pPr>
        <w:keepNext/>
        <w:spacing w:after="120"/>
        <w:jc w:val="center"/>
      </w:pPr>
      <w:r>
        <w:rPr>
          <w:rFonts w:cs="Times New Roman"/>
          <w:b/>
        </w:rPr>
        <w:t>Proposal template Part B: technical description</w:t>
      </w:r>
    </w:p>
    <w:tbl>
      <w:tblPr>
        <w:tblW w:w="0" w:type="auto"/>
        <w:jc w:val="center"/>
        <w:tblCellMar>
          <w:top w:w="40" w:type="dxa"/>
          <w:left w:w="60" w:type="dxa"/>
          <w:bottom w:w="40" w:type="dxa"/>
          <w:right w:w="60" w:type="dxa"/>
        </w:tblCellMar>
        <w:tblLook w:val="04A0" w:firstRow="1" w:lastRow="0" w:firstColumn="1" w:lastColumn="0" w:noHBand="0" w:noVBand="1"/>
      </w:tblPr>
      <w:tblGrid>
        <w:gridCol w:w="10206"/>
      </w:tblGrid>
      <w:tr w:rsidR="00286897" w14:paraId="4AE5A245" w14:textId="77777777">
        <w:trPr>
          <w:jc w:val="center"/>
        </w:trPr>
        <w:tc>
          <w:tcPr>
            <w:tcW w:w="10206" w:type="dxa"/>
            <w:tcBorders>
              <w:top w:val="single" w:sz="8" w:space="0" w:color="000000"/>
              <w:left w:val="single" w:sz="8" w:space="0" w:color="000000"/>
              <w:bottom w:val="single" w:sz="8" w:space="0" w:color="000000"/>
              <w:right w:val="single" w:sz="8" w:space="0" w:color="000000"/>
            </w:tcBorders>
          </w:tcPr>
          <w:p w14:paraId="47C77BCF" w14:textId="77777777" w:rsidR="00286897" w:rsidRDefault="00B31A46">
            <w:pPr>
              <w:spacing w:after="0"/>
            </w:pPr>
            <w:r>
              <w:rPr>
                <w:rFonts w:cs="Times New Roman"/>
                <w:b/>
              </w:rPr>
              <w:t>MDPAR-H: EXPERIMENTAL VALIDATION OF STRUCTURAL INVARIANCE ACROSS HETEROGENEOUS COGNITIVE AI SYSTEMS</w:t>
            </w:r>
          </w:p>
        </w:tc>
      </w:tr>
    </w:tbl>
    <w:p w14:paraId="668F0462" w14:textId="77777777" w:rsidR="00286897" w:rsidRDefault="00B31A46">
      <w:pPr>
        <w:keepNext/>
        <w:tabs>
          <w:tab w:val="left" w:pos="794"/>
        </w:tabs>
        <w:spacing w:before="120"/>
      </w:pPr>
      <w:r>
        <w:rPr>
          <w:rFonts w:cs="Times New Roman"/>
          <w:b/>
        </w:rPr>
        <w:t>1.</w:t>
      </w:r>
      <w:r>
        <w:rPr>
          <w:rFonts w:cs="Times New Roman"/>
          <w:b/>
        </w:rPr>
        <w:tab/>
        <w:t>Excellence</w:t>
      </w:r>
    </w:p>
    <w:p w14:paraId="17A82335" w14:textId="77777777" w:rsidR="00894D55" w:rsidRDefault="00B20FC1">
      <w:pPr>
        <w:keepNext/>
        <w:spacing w:before="120"/>
      </w:pPr>
      <w:r>
        <w:rPr>
          <w:rFonts w:cs="Times New Roman"/>
          <w:b/>
        </w:rPr>
        <w:t>1.1</w:t>
      </w:r>
      <w:r>
        <w:rPr>
          <w:rFonts w:cs="Times New Roman"/>
          <w:b/>
        </w:rPr>
        <w:tab/>
        <w:t>Objectives and relevance to the Challenge</w:t>
      </w:r>
    </w:p>
    <w:p w14:paraId="285B688B" w14:textId="77777777" w:rsidR="00894D55" w:rsidRDefault="00B20FC1">
      <w:r>
        <w:rPr>
          <w:rFonts w:cs="Times New Roman"/>
        </w:rPr>
        <w:t>Cognitive AI systems can differ radically in model family, semantic representation, language, modality, internal state and implementation while still appearing to perform comparable acts of reasoning, abstraction and planning. The unresolved question is whether any non-trivial part of those cognitive trajectories can be represented as a sufficiently general structure that remains comparable across heterogeneous systems without requiring a shared global semantic ontology. MDPAR-H addresses that question experimentally.</w:t>
      </w:r>
    </w:p>
    <w:p w14:paraId="55C6707D" w14:textId="77777777" w:rsidR="00894D55" w:rsidRDefault="00B20FC1">
      <w:r>
        <w:rPr>
          <w:rFonts w:cs="Times New Roman"/>
          <w:b/>
        </w:rPr>
        <w:t xml:space="preserve">MDPAR Hypothesis. </w:t>
      </w:r>
      <w:r>
        <w:rPr>
          <w:rFonts w:cs="Times New Roman"/>
        </w:rPr>
        <w:t>There exists an inferential structure sufficiently general to admit structurally comparable representations across heterogeneous domains, profiles and modalities without requiring those domains to share a global semantic ontology.</w:t>
      </w:r>
    </w:p>
    <w:p w14:paraId="38D65D01" w14:textId="77777777" w:rsidR="00894D55" w:rsidRDefault="00B20FC1">
      <w:r>
        <w:rPr>
          <w:rFonts w:cs="Times New Roman"/>
        </w:rPr>
        <w:t xml:space="preserve">The project starts from a substantially matured but deliberately non-confirmatory baseline. MDPAR v2.2.0 is the definitive pre-existing experimental instrument. Its SCC formalism represents discrete inferential trajectories, correspondence, property transport, recurrence and structural comparison; the architecture separates semantic observation, structural calculation, longitudinal continuity, routing, certification and operational authority; and the v2.2.0 Swagger surface exposes an end-to-end assessment contract with canonical machine-readable output, provenance and derived reporting. The baseline is therefore not a single preliminary result but an evidential stack: formal properties defined inside SCC; executable </w:t>
      </w:r>
      <w:proofErr w:type="spellStart"/>
      <w:r>
        <w:rPr>
          <w:rFonts w:cs="Times New Roman"/>
        </w:rPr>
        <w:t>realisation</w:t>
      </w:r>
      <w:proofErr w:type="spellEnd"/>
      <w:r>
        <w:rPr>
          <w:rFonts w:cs="Times New Roman"/>
        </w:rPr>
        <w:t xml:space="preserve"> of those properties and responsibility boundaries in MDPAR; stratified C0-C12 DEVELOPMENT evidence; and an operational service surface. None of these layers establishes maximal external structural universality. The funded question begins at the next boundary: how far the regularities survive as independence from MDPAR increases through prospective controls, independently engineered cognitive systems and, finally, multimodal physical coupling.</w:t>
      </w:r>
    </w:p>
    <w:p w14:paraId="12BAB0EE" w14:textId="77777777" w:rsidR="00894D55" w:rsidRDefault="00B20FC1">
      <w:r>
        <w:rPr>
          <w:rFonts w:cs="Times New Roman"/>
        </w:rPr>
        <w:t xml:space="preserve">A central discipline is to keep four objects separate: the SCC formalism, the MDPAR experimental architecture, the operational product surface, and the universality hypothesis. Formal closure does not imply empirical </w:t>
      </w:r>
      <w:proofErr w:type="spellStart"/>
      <w:r>
        <w:rPr>
          <w:rFonts w:cs="Times New Roman"/>
        </w:rPr>
        <w:t>generalisation</w:t>
      </w:r>
      <w:proofErr w:type="spellEnd"/>
      <w:r>
        <w:rPr>
          <w:rFonts w:cs="Times New Roman"/>
        </w:rPr>
        <w:t>; an executable product does not imply scientific confirmation; and high task performance does not substitute for structural invariance. MDPAR-H will preserve this separation throughout evaluation and communication.</w:t>
      </w:r>
    </w:p>
    <w:p w14:paraId="1F224B77" w14:textId="34AAA273" w:rsidR="00894D55" w:rsidRDefault="00B20FC1">
      <w:r>
        <w:rPr>
          <w:rFonts w:cs="Times New Roman"/>
          <w:b/>
        </w:rPr>
        <w:t>Pre-project evidence and reproducibility.</w:t>
      </w:r>
      <w:r>
        <w:rPr>
          <w:rFonts w:cs="Times New Roman"/>
        </w:rPr>
        <w:t xml:space="preserve"> The pre-existing research object is independently citable and versioned through Zenodo (</w:t>
      </w:r>
      <w:r w:rsidR="009102B1">
        <w:rPr>
          <w:rFonts w:cs="Times New Roman"/>
        </w:rPr>
        <w:t>10.5281/zenodo.22818421</w:t>
      </w:r>
      <w:r>
        <w:rPr>
          <w:rFonts w:cs="Times New Roman"/>
        </w:rPr>
        <w:t xml:space="preserve">). Its scientific documentation, doctoral </w:t>
      </w:r>
      <w:proofErr w:type="spellStart"/>
      <w:r>
        <w:rPr>
          <w:rFonts w:cs="Times New Roman"/>
        </w:rPr>
        <w:t>formalisation</w:t>
      </w:r>
      <w:proofErr w:type="spellEnd"/>
      <w:r>
        <w:rPr>
          <w:rFonts w:cs="Times New Roman"/>
        </w:rPr>
        <w:t xml:space="preserve"> manuscript, C0-C12 evidence catalogue, benchmark specifications, reproducibility procedures and executable falsification commands are maintained in MDPAR-docs (</w:t>
      </w:r>
      <w:r w:rsidR="009102B1" w:rsidRPr="009102B1">
        <w:rPr>
          <w:rFonts w:cs="Times New Roman"/>
        </w:rPr>
        <w:t>https://github.com/ndrspgalan/MDPAR-docs</w:t>
      </w:r>
      <w:r>
        <w:rPr>
          <w:rFonts w:cs="Times New Roman"/>
        </w:rPr>
        <w:t>). These resources are Background evidence, not project-generated results. Their role is to establish provenance, timestamped maturity and a reproducible boundary between work completed before submission and the prospective research funded by MDPAR-H; evaluation of the proposal does not depend on external inspection of the repository.</w:t>
      </w:r>
    </w:p>
    <w:p w14:paraId="01B5E622" w14:textId="77777777" w:rsidR="00894D55" w:rsidRDefault="00B20FC1">
      <w:pPr>
        <w:keepNext/>
        <w:spacing w:before="60" w:after="40"/>
      </w:pPr>
      <w:r>
        <w:rPr>
          <w:rFonts w:cs="Times New Roman"/>
          <w:b/>
        </w:rPr>
        <w:t>Overall objective</w:t>
      </w:r>
    </w:p>
    <w:p w14:paraId="3A4A47EC" w14:textId="77777777" w:rsidR="00894D55" w:rsidRDefault="00B20FC1">
      <w:r>
        <w:rPr>
          <w:rFonts w:cs="Times New Roman"/>
        </w:rPr>
        <w:t>Over 36 months, MDPAR-H will determine whether candidate structural invariants of inference can be formally specified, prospectively measured and independently reproduced across increasingly heterogeneous cognitive systems. The project progresses from adversarial symbolic testing, to independent cross-system interoperability, and finally to multimodal and embodied cognition. Each stage increases the independence and difficulty of the claim while preserving scientifically useful outcomes if a later stage narrows or falsifies it.</w:t>
      </w:r>
    </w:p>
    <w:p w14:paraId="4EB5EA99" w14:textId="77777777" w:rsidR="00894D55" w:rsidRDefault="00B20FC1">
      <w:r>
        <w:rPr>
          <w:rFonts w:cs="Times New Roman"/>
          <w:b/>
        </w:rPr>
        <w:t xml:space="preserve">O1 - </w:t>
      </w:r>
      <w:r>
        <w:rPr>
          <w:rFonts w:cs="Times New Roman"/>
        </w:rPr>
        <w:t>Freeze a falsifiable formal and metrological specification of the MDPAR Hypothesis. By Month 12, convert the mature v2.2.0 SCC/trajectory machinery into a prospective test specification covering occurrence identity, ordering, typed relations, admissible transformations, candidate invariants, exact equivalence versus partial similarity, provenance, semantic-leakage constraints, adapter-minimality criteria and explicit falsification conditions. Existing definitions may be refined during DEVELOPMENT, but confirmatory criteria will be version-frozen before held-out exposure. Success is verified by a versioned formal specification, executable conformance tests, preregistered endpoints and independent reproducibility of the measurement procedure.</w:t>
      </w:r>
    </w:p>
    <w:p w14:paraId="33F5D376" w14:textId="77777777" w:rsidR="00894D55" w:rsidRDefault="00B20FC1">
      <w:r>
        <w:rPr>
          <w:rFonts w:cs="Times New Roman"/>
          <w:b/>
        </w:rPr>
        <w:t xml:space="preserve">O2 - </w:t>
      </w:r>
      <w:r>
        <w:rPr>
          <w:rFonts w:cs="Times New Roman"/>
        </w:rPr>
        <w:t xml:space="preserve">Determine the empirical domain of structural invariance in the symbolic plane. During Year 1, subject the frozen specification to large-scale cross-domain, cross-language, cross-model and cross-representation stress testing with positive controls, designed negative controls, transformations and ablations. The experiments will test whether properties survive changes in semantics, notation, observer, capacity, routing and representation while measuring semantic burden and detecting hidden ontology reconstruction. Success is not universal preservation: the </w:t>
      </w:r>
      <w:r>
        <w:rPr>
          <w:rFonts w:cs="Times New Roman"/>
        </w:rPr>
        <w:lastRenderedPageBreak/>
        <w:t>verifiable output is a map of preserved, degraded, non-preserved and non-estimable invariants with uncertainty, coverage and counterexamples reported explicitly.</w:t>
      </w:r>
    </w:p>
    <w:p w14:paraId="78BE3493" w14:textId="77777777" w:rsidR="00894D55" w:rsidRDefault="00B20FC1">
      <w:r>
        <w:rPr>
          <w:rFonts w:cs="Times New Roman"/>
          <w:b/>
        </w:rPr>
        <w:t xml:space="preserve">O3 - </w:t>
      </w:r>
      <w:r>
        <w:rPr>
          <w:rFonts w:cs="Times New Roman"/>
        </w:rPr>
        <w:t>Test cross-system cognitive interoperability among independently developed systems. During Year 2, evaluate reasoners, planners and symbolic or neuro-symbolic systems that were not designed around MDPAR and that retain their own native representations and control assumptions. Native execution will precede projection into MDPAR-compatible observables. Cross-system adapters will be treated as experimental objects whose complexity, semantic burden and ontology import are measured. This is the principal independence test: it determines whether regularities delimited in Year 1 belong only to MDPAR encoding or can be recovered across heterogeneous cognitive architectures.</w:t>
      </w:r>
    </w:p>
    <w:p w14:paraId="33F3DC05" w14:textId="77777777" w:rsidR="00894D55" w:rsidRDefault="00B20FC1">
      <w:r>
        <w:rPr>
          <w:rFonts w:cs="Times New Roman"/>
          <w:b/>
        </w:rPr>
        <w:t xml:space="preserve">O4 - </w:t>
      </w:r>
      <w:r>
        <w:rPr>
          <w:rFonts w:cs="Times New Roman"/>
        </w:rPr>
        <w:t xml:space="preserve">Test structural invariance under multimodal and embodied cognition. During Year 3, extend the falsification </w:t>
      </w:r>
      <w:proofErr w:type="spellStart"/>
      <w:r>
        <w:rPr>
          <w:rFonts w:cs="Times New Roman"/>
        </w:rPr>
        <w:t>programme</w:t>
      </w:r>
      <w:proofErr w:type="spellEnd"/>
      <w:r>
        <w:rPr>
          <w:rFonts w:cs="Times New Roman"/>
        </w:rPr>
        <w:t xml:space="preserve"> to systems in which perception, state estimation, planning, action and feedback are coupled to multimodal or physical environments. In collaboration with an embodied-AI/robotics partner, test partial observability, sensor disagreement, delays, replanning, actuator constraints, outages, fallback and recovery. The objective is not to show that MDPAR can command a robot, but to determine which structural properties, if any, remain identifiable once cognition is temporally and physically situated.</w:t>
      </w:r>
    </w:p>
    <w:p w14:paraId="2D4C85F5" w14:textId="77777777" w:rsidR="00894D55" w:rsidRDefault="00B20FC1">
      <w:r>
        <w:rPr>
          <w:rFonts w:cs="Times New Roman"/>
          <w:b/>
        </w:rPr>
        <w:t xml:space="preserve">O5 - </w:t>
      </w:r>
      <w:r>
        <w:rPr>
          <w:rFonts w:cs="Times New Roman"/>
        </w:rPr>
        <w:t>Integrate and validate the surviving mechanisms in a trustworthy cognitive-AI demonstrator at TRL4. O5 spans Years 2-3. The demonstrator will expose reasoning, abstraction, planning, provenance, uncertainty, structural state and action authority as auditable components, first with heterogeneous symbolic systems and then with multimodal/embodied components. TRL4 success and hypothesis support will remain separate endpoints: a useful demonstrator may survive even if the strongest universality claim is delimited or falsified.</w:t>
      </w:r>
    </w:p>
    <w:p w14:paraId="6BBBCF2F" w14:textId="77777777" w:rsidR="00894D55" w:rsidRDefault="00B20FC1">
      <w:pPr>
        <w:keepNext/>
        <w:spacing w:before="60" w:after="40"/>
      </w:pPr>
      <w:r>
        <w:rPr>
          <w:rFonts w:cs="Times New Roman"/>
          <w:b/>
        </w:rPr>
        <w:t xml:space="preserve">Relevance to the </w:t>
      </w:r>
      <w:proofErr w:type="spellStart"/>
      <w:r>
        <w:rPr>
          <w:rFonts w:cs="Times New Roman"/>
          <w:b/>
        </w:rPr>
        <w:t>DeepRAP</w:t>
      </w:r>
      <w:proofErr w:type="spellEnd"/>
      <w:r>
        <w:rPr>
          <w:rFonts w:cs="Times New Roman"/>
          <w:b/>
        </w:rPr>
        <w:t xml:space="preserve"> Challenge</w:t>
      </w:r>
    </w:p>
    <w:p w14:paraId="1F082D58" w14:textId="77777777" w:rsidR="00894D55" w:rsidRDefault="00B20FC1">
      <w:r>
        <w:rPr>
          <w:rFonts w:cs="Times New Roman"/>
        </w:rPr>
        <w:t xml:space="preserve">MDPAR-H directly addresses </w:t>
      </w:r>
      <w:proofErr w:type="spellStart"/>
      <w:r>
        <w:rPr>
          <w:rFonts w:cs="Times New Roman"/>
        </w:rPr>
        <w:t>DeepRAP's</w:t>
      </w:r>
      <w:proofErr w:type="spellEnd"/>
      <w:r>
        <w:rPr>
          <w:rFonts w:cs="Times New Roman"/>
        </w:rPr>
        <w:t xml:space="preserve"> objective of moving beyond current purely neural or purely symbolic approaches toward trustworthy cognitive AI with stronger Reasoning, Abstraction and Planning capabilities. Its scientific contribution is not another stand-alone foundation model. It tests whether a model-independent structural layer can make heterogeneous cognitive processes comparable, inspectable and governable while leaving semantic competence to neural, symbolic or hybrid systems.</w:t>
      </w:r>
    </w:p>
    <w:p w14:paraId="17C058C5" w14:textId="77777777" w:rsidR="00894D55" w:rsidRDefault="00B20FC1">
      <w:r>
        <w:rPr>
          <w:rFonts w:cs="Times New Roman"/>
        </w:rPr>
        <w:t xml:space="preserve">The project is primarily a Multi-Capability (MC) project. Deep Abstraction is the principal scientific axis because the hypothesis concerns transfer and comparability of high-level inferential structure across domains, representations and modalities. Deep Reasoning is co-primary because the object under study is inferential trajectory structure, including uncertainty, provenance, compatibility and explanation. Deep Planning becomes progressively central through longitudinal continuity, routing, contingency, replanning, timing and the Year-3 embodiment </w:t>
      </w:r>
      <w:proofErr w:type="spellStart"/>
      <w:r>
        <w:rPr>
          <w:rFonts w:cs="Times New Roman"/>
        </w:rPr>
        <w:t>programme</w:t>
      </w:r>
      <w:proofErr w:type="spellEnd"/>
      <w:r>
        <w:rPr>
          <w:rFonts w:cs="Times New Roman"/>
        </w:rPr>
        <w:t xml:space="preserve">. The project therefore tests, rather than presumes, that one structural substrate can span the three </w:t>
      </w:r>
      <w:proofErr w:type="spellStart"/>
      <w:r>
        <w:rPr>
          <w:rFonts w:cs="Times New Roman"/>
        </w:rPr>
        <w:t>DeepRAP</w:t>
      </w:r>
      <w:proofErr w:type="spellEnd"/>
      <w:r>
        <w:rPr>
          <w:rFonts w:cs="Times New Roman"/>
        </w:rPr>
        <w:t xml:space="preserve"> capabilities.</w:t>
      </w:r>
    </w:p>
    <w:p w14:paraId="491A4233" w14:textId="77777777" w:rsidR="00894D55" w:rsidRDefault="00B20FC1">
      <w:r>
        <w:rPr>
          <w:rFonts w:cs="Times New Roman"/>
        </w:rPr>
        <w:t xml:space="preserve">The technological approach is </w:t>
      </w:r>
      <w:proofErr w:type="spellStart"/>
      <w:r>
        <w:rPr>
          <w:rFonts w:cs="Times New Roman"/>
        </w:rPr>
        <w:t>centred</w:t>
      </w:r>
      <w:proofErr w:type="spellEnd"/>
      <w:r>
        <w:rPr>
          <w:rFonts w:cs="Times New Roman"/>
        </w:rPr>
        <w:t xml:space="preserve"> on Cognitive Architectures (CA) and Formal Methods Integration (FMI), with Novel Interdisciplinary Frameworks (NIF) and Trustworthiness Mechanisms (TM) as strong secondary dimensions. Multimodal Integration (MMI) becomes a principal experimental dimension in Year 3. MDPAR-H is compatible with neuro-symbolic systems, but its breakthrough claim is not simply neural-symbolic combination: it is the possible separation of semantic capability from structural ownership, longitudinal continuity and operational authority while retaining measurable inferential regularities.</w:t>
      </w:r>
    </w:p>
    <w:p w14:paraId="0F6A870E" w14:textId="77777777" w:rsidR="00894D55" w:rsidRDefault="00B20FC1">
      <w:r>
        <w:rPr>
          <w:rFonts w:cs="Times New Roman"/>
        </w:rPr>
        <w:t xml:space="preserve">The project also addresses the expected outcomes of the Challenge: methods and metrics for evaluating reasoning and trustworthiness; explicit provenance, uncertainty, failure and authority semantics; constrained-compute experiments across local and frontier cognition; FAIR evidence packages; interoperability protocols; and a TRL4 laboratory demonstrator. The pre-existing v2.2.0 instrument already provides a concrete integration baseline, while the funded work is reserved for prospective validation, independent replication, cross-system </w:t>
      </w:r>
      <w:proofErr w:type="spellStart"/>
      <w:r>
        <w:rPr>
          <w:rFonts w:cs="Times New Roman"/>
        </w:rPr>
        <w:t>generalisation</w:t>
      </w:r>
      <w:proofErr w:type="spellEnd"/>
      <w:r>
        <w:rPr>
          <w:rFonts w:cs="Times New Roman"/>
        </w:rPr>
        <w:t xml:space="preserve"> and embodiment.</w:t>
      </w:r>
    </w:p>
    <w:p w14:paraId="04CBE67A" w14:textId="77777777" w:rsidR="00894D55" w:rsidRDefault="00B20FC1">
      <w:pPr>
        <w:keepNext/>
        <w:spacing w:before="60" w:after="40"/>
      </w:pPr>
      <w:r>
        <w:rPr>
          <w:rFonts w:cs="Times New Roman"/>
          <w:b/>
        </w:rPr>
        <w:t>Portfolio positioning (max. 1 page)</w:t>
      </w:r>
    </w:p>
    <w:p w14:paraId="1D558740" w14:textId="77777777" w:rsidR="00894D55" w:rsidRDefault="00B20FC1">
      <w:r>
        <w:rPr>
          <w:rFonts w:cs="Times New Roman"/>
        </w:rPr>
        <w:t xml:space="preserve">MDPAR-H is designed to be difficult to substitute scientifically but easy to integrate technically. Its distinctive portfolio role is to contribute a falsifiable structural hypothesis, metrology and interoperability layer whose strongest tests require cognitive systems developed independently by other </w:t>
      </w:r>
      <w:proofErr w:type="spellStart"/>
      <w:r>
        <w:rPr>
          <w:rFonts w:cs="Times New Roman"/>
        </w:rPr>
        <w:t>DeepRAP</w:t>
      </w:r>
      <w:proofErr w:type="spellEnd"/>
      <w:r>
        <w:rPr>
          <w:rFonts w:cs="Times New Roman"/>
        </w:rPr>
        <w:t xml:space="preserve"> projects. Portfolio heterogeneity is therefore not merely collaborative context; it is experimental leverage.</w:t>
      </w:r>
    </w:p>
    <w:p w14:paraId="75326D2D" w14:textId="77777777" w:rsidR="00894D55" w:rsidRDefault="00B20FC1">
      <w:r>
        <w:rPr>
          <w:rFonts w:cs="Times New Roman"/>
          <w:b/>
        </w:rPr>
        <w:t>Experimental independence by design.</w:t>
      </w:r>
      <w:r>
        <w:rPr>
          <w:rFonts w:cs="Times New Roman"/>
        </w:rPr>
        <w:t xml:space="preserve"> MDPAR-H deliberately avoids treating internally engineered heterogeneity as sufficient evidence of generality. If the applicant controlled every validation architecture, representation and embodiment stack, apparent cross-system invariance could remain an artefact of common design assumptions. Independently developed </w:t>
      </w:r>
      <w:proofErr w:type="spellStart"/>
      <w:r>
        <w:rPr>
          <w:rFonts w:cs="Times New Roman"/>
        </w:rPr>
        <w:t>DeepRAP</w:t>
      </w:r>
      <w:proofErr w:type="spellEnd"/>
      <w:r>
        <w:rPr>
          <w:rFonts w:cs="Times New Roman"/>
        </w:rPr>
        <w:t xml:space="preserve"> systems are therefore not merely convenient resources: they are a methodological control against MDPAR-specific encoding. Portfolio dependence is converted into experimental independence, while fallbacks preserve executability if any particular collaboration does not </w:t>
      </w:r>
      <w:proofErr w:type="spellStart"/>
      <w:r>
        <w:rPr>
          <w:rFonts w:cs="Times New Roman"/>
        </w:rPr>
        <w:t>materialise</w:t>
      </w:r>
      <w:proofErr w:type="spellEnd"/>
      <w:r>
        <w:rPr>
          <w:rFonts w:cs="Times New Roman"/>
        </w:rPr>
        <w:t>.</w:t>
      </w:r>
    </w:p>
    <w:tbl>
      <w:tblPr>
        <w:tblStyle w:val="Tablaconcuadrcula"/>
        <w:tblW w:w="0" w:type="auto"/>
        <w:jc w:val="center"/>
        <w:tblCellMar>
          <w:top w:w="40" w:type="dxa"/>
          <w:left w:w="60" w:type="dxa"/>
          <w:bottom w:w="40" w:type="dxa"/>
          <w:right w:w="60" w:type="dxa"/>
        </w:tblCellMar>
        <w:tblLook w:val="04A0" w:firstRow="1" w:lastRow="0" w:firstColumn="1" w:lastColumn="0" w:noHBand="0" w:noVBand="1"/>
      </w:tblPr>
      <w:tblGrid>
        <w:gridCol w:w="2551"/>
        <w:gridCol w:w="2551"/>
        <w:gridCol w:w="2551"/>
        <w:gridCol w:w="2551"/>
      </w:tblGrid>
      <w:tr w:rsidR="00894D55" w14:paraId="5AAFC7DC" w14:textId="77777777">
        <w:trPr>
          <w:cantSplit/>
          <w:jc w:val="center"/>
        </w:trPr>
        <w:tc>
          <w:tcPr>
            <w:tcW w:w="2551" w:type="dxa"/>
            <w:shd w:val="clear" w:color="auto" w:fill="D9EAF7"/>
          </w:tcPr>
          <w:p w14:paraId="2A9349C4" w14:textId="77777777" w:rsidR="00894D55" w:rsidRDefault="00B20FC1">
            <w:pPr>
              <w:spacing w:after="0"/>
            </w:pPr>
            <w:r>
              <w:rPr>
                <w:rFonts w:cs="Times New Roman"/>
                <w:b/>
              </w:rPr>
              <w:lastRenderedPageBreak/>
              <w:t>Category</w:t>
            </w:r>
          </w:p>
        </w:tc>
        <w:tc>
          <w:tcPr>
            <w:tcW w:w="2551" w:type="dxa"/>
            <w:shd w:val="clear" w:color="auto" w:fill="D9EAF7"/>
          </w:tcPr>
          <w:p w14:paraId="6F81A5C3" w14:textId="77777777" w:rsidR="00894D55" w:rsidRDefault="00B20FC1">
            <w:pPr>
              <w:spacing w:after="0"/>
            </w:pPr>
            <w:r>
              <w:rPr>
                <w:rFonts w:cs="Times New Roman"/>
                <w:b/>
              </w:rPr>
              <w:t>Primary focus</w:t>
            </w:r>
          </w:p>
        </w:tc>
        <w:tc>
          <w:tcPr>
            <w:tcW w:w="2551" w:type="dxa"/>
            <w:shd w:val="clear" w:color="auto" w:fill="D9EAF7"/>
          </w:tcPr>
          <w:p w14:paraId="5BC12791" w14:textId="77777777" w:rsidR="00894D55" w:rsidRDefault="00B20FC1">
            <w:pPr>
              <w:spacing w:after="0"/>
            </w:pPr>
            <w:r>
              <w:rPr>
                <w:rFonts w:cs="Times New Roman"/>
                <w:b/>
              </w:rPr>
              <w:t>Secondary focus</w:t>
            </w:r>
          </w:p>
        </w:tc>
        <w:tc>
          <w:tcPr>
            <w:tcW w:w="2551" w:type="dxa"/>
            <w:shd w:val="clear" w:color="auto" w:fill="D9EAF7"/>
          </w:tcPr>
          <w:p w14:paraId="1C17DE17" w14:textId="77777777" w:rsidR="00894D55" w:rsidRDefault="00B20FC1">
            <w:pPr>
              <w:spacing w:after="0"/>
            </w:pPr>
            <w:r>
              <w:rPr>
                <w:rFonts w:cs="Times New Roman"/>
                <w:b/>
              </w:rPr>
              <w:t>Evidence / justification</w:t>
            </w:r>
          </w:p>
        </w:tc>
      </w:tr>
      <w:tr w:rsidR="00894D55" w14:paraId="0E663B28" w14:textId="77777777">
        <w:trPr>
          <w:cantSplit/>
          <w:jc w:val="center"/>
        </w:trPr>
        <w:tc>
          <w:tcPr>
            <w:tcW w:w="2551" w:type="dxa"/>
          </w:tcPr>
          <w:p w14:paraId="249322E8" w14:textId="77777777" w:rsidR="00894D55" w:rsidRDefault="00B20FC1">
            <w:pPr>
              <w:spacing w:after="0"/>
            </w:pPr>
            <w:r>
              <w:rPr>
                <w:rFonts w:cs="Times New Roman"/>
              </w:rPr>
              <w:t>Cognitive capability</w:t>
            </w:r>
          </w:p>
        </w:tc>
        <w:tc>
          <w:tcPr>
            <w:tcW w:w="2551" w:type="dxa"/>
          </w:tcPr>
          <w:p w14:paraId="3BAEEBE8" w14:textId="77777777" w:rsidR="00894D55" w:rsidRDefault="00B20FC1">
            <w:pPr>
              <w:spacing w:after="0"/>
            </w:pPr>
            <w:r>
              <w:rPr>
                <w:rFonts w:cs="Times New Roman"/>
              </w:rPr>
              <w:t>MC</w:t>
            </w:r>
          </w:p>
        </w:tc>
        <w:tc>
          <w:tcPr>
            <w:tcW w:w="2551" w:type="dxa"/>
          </w:tcPr>
          <w:p w14:paraId="409D0404" w14:textId="77777777" w:rsidR="00894D55" w:rsidRDefault="00B20FC1">
            <w:pPr>
              <w:spacing w:after="0"/>
            </w:pPr>
            <w:r>
              <w:rPr>
                <w:rFonts w:cs="Times New Roman"/>
              </w:rPr>
              <w:t>DA; DR; DP</w:t>
            </w:r>
          </w:p>
        </w:tc>
        <w:tc>
          <w:tcPr>
            <w:tcW w:w="2551" w:type="dxa"/>
          </w:tcPr>
          <w:p w14:paraId="62AFD409" w14:textId="77777777" w:rsidR="00894D55" w:rsidRDefault="00B20FC1">
            <w:pPr>
              <w:spacing w:after="0"/>
            </w:pPr>
            <w:r>
              <w:rPr>
                <w:rFonts w:cs="Times New Roman"/>
              </w:rPr>
              <w:t xml:space="preserve">DA </w:t>
            </w:r>
            <w:proofErr w:type="gramStart"/>
            <w:r>
              <w:rPr>
                <w:rFonts w:cs="Times New Roman"/>
              </w:rPr>
              <w:t>tests</w:t>
            </w:r>
            <w:proofErr w:type="gramEnd"/>
            <w:r>
              <w:rPr>
                <w:rFonts w:cs="Times New Roman"/>
              </w:rPr>
              <w:t xml:space="preserve"> transferable structure; DR tests inferential trajectories; DP enters through continuity, timing, contingency and embodiment.</w:t>
            </w:r>
          </w:p>
        </w:tc>
      </w:tr>
      <w:tr w:rsidR="00894D55" w14:paraId="1C81C329" w14:textId="77777777">
        <w:trPr>
          <w:cantSplit/>
          <w:jc w:val="center"/>
        </w:trPr>
        <w:tc>
          <w:tcPr>
            <w:tcW w:w="2551" w:type="dxa"/>
          </w:tcPr>
          <w:p w14:paraId="02F837DD" w14:textId="77777777" w:rsidR="00894D55" w:rsidRDefault="00B20FC1">
            <w:pPr>
              <w:spacing w:after="0"/>
            </w:pPr>
            <w:r>
              <w:rPr>
                <w:rFonts w:cs="Times New Roman"/>
              </w:rPr>
              <w:t>Technological approach</w:t>
            </w:r>
          </w:p>
        </w:tc>
        <w:tc>
          <w:tcPr>
            <w:tcW w:w="2551" w:type="dxa"/>
          </w:tcPr>
          <w:p w14:paraId="0783D3F5" w14:textId="77777777" w:rsidR="00894D55" w:rsidRDefault="00B20FC1">
            <w:pPr>
              <w:spacing w:after="0"/>
            </w:pPr>
            <w:r>
              <w:rPr>
                <w:rFonts w:cs="Times New Roman"/>
              </w:rPr>
              <w:t>CA; FMI</w:t>
            </w:r>
          </w:p>
        </w:tc>
        <w:tc>
          <w:tcPr>
            <w:tcW w:w="2551" w:type="dxa"/>
          </w:tcPr>
          <w:p w14:paraId="67671A19" w14:textId="77777777" w:rsidR="00894D55" w:rsidRDefault="00B20FC1">
            <w:pPr>
              <w:spacing w:after="0"/>
            </w:pPr>
            <w:r>
              <w:rPr>
                <w:rFonts w:cs="Times New Roman"/>
              </w:rPr>
              <w:t>NIF; TM; MMI</w:t>
            </w:r>
          </w:p>
        </w:tc>
        <w:tc>
          <w:tcPr>
            <w:tcW w:w="2551" w:type="dxa"/>
          </w:tcPr>
          <w:p w14:paraId="79611579" w14:textId="77777777" w:rsidR="00894D55" w:rsidRDefault="00B20FC1">
            <w:pPr>
              <w:spacing w:after="0"/>
            </w:pPr>
            <w:r>
              <w:rPr>
                <w:rFonts w:cs="Times New Roman"/>
              </w:rPr>
              <w:t>External cognitive architecture with explicit contracts, formal comparison and authority boundaries; MMI becomes central in Year 3.</w:t>
            </w:r>
          </w:p>
        </w:tc>
      </w:tr>
      <w:tr w:rsidR="00894D55" w14:paraId="22517547" w14:textId="77777777">
        <w:trPr>
          <w:cantSplit/>
          <w:jc w:val="center"/>
        </w:trPr>
        <w:tc>
          <w:tcPr>
            <w:tcW w:w="2551" w:type="dxa"/>
          </w:tcPr>
          <w:p w14:paraId="3928CDA4" w14:textId="77777777" w:rsidR="00894D55" w:rsidRDefault="00B20FC1">
            <w:pPr>
              <w:spacing w:after="0"/>
            </w:pPr>
            <w:r>
              <w:rPr>
                <w:rFonts w:cs="Times New Roman"/>
              </w:rPr>
              <w:t>Application domain</w:t>
            </w:r>
          </w:p>
        </w:tc>
        <w:tc>
          <w:tcPr>
            <w:tcW w:w="2551" w:type="dxa"/>
          </w:tcPr>
          <w:p w14:paraId="6D65ECEF" w14:textId="77777777" w:rsidR="00894D55" w:rsidRDefault="00B20FC1">
            <w:pPr>
              <w:spacing w:after="0"/>
            </w:pPr>
            <w:r>
              <w:rPr>
                <w:rFonts w:cs="Times New Roman"/>
              </w:rPr>
              <w:t>HAIC / AS*</w:t>
            </w:r>
          </w:p>
        </w:tc>
        <w:tc>
          <w:tcPr>
            <w:tcW w:w="2551" w:type="dxa"/>
          </w:tcPr>
          <w:p w14:paraId="7A3F7D4A" w14:textId="77777777" w:rsidR="00894D55" w:rsidRDefault="00B20FC1">
            <w:pPr>
              <w:spacing w:after="0"/>
            </w:pPr>
            <w:r>
              <w:rPr>
                <w:rFonts w:cs="Times New Roman"/>
              </w:rPr>
              <w:t>SD / DSS*</w:t>
            </w:r>
          </w:p>
        </w:tc>
        <w:tc>
          <w:tcPr>
            <w:tcW w:w="2551" w:type="dxa"/>
          </w:tcPr>
          <w:p w14:paraId="70B67272" w14:textId="77777777" w:rsidR="00894D55" w:rsidRDefault="00B20FC1">
            <w:pPr>
              <w:spacing w:after="0"/>
            </w:pPr>
            <w:r>
              <w:rPr>
                <w:rFonts w:cs="Times New Roman"/>
              </w:rPr>
              <w:t>The hypothesis is cross-domain; the final laboratory demonstrator provides a concrete use case selected with the consortium/robotics partner.</w:t>
            </w:r>
          </w:p>
        </w:tc>
      </w:tr>
      <w:tr w:rsidR="00894D55" w14:paraId="576BE8B5" w14:textId="77777777">
        <w:trPr>
          <w:cantSplit/>
          <w:jc w:val="center"/>
        </w:trPr>
        <w:tc>
          <w:tcPr>
            <w:tcW w:w="2551" w:type="dxa"/>
          </w:tcPr>
          <w:p w14:paraId="2A0CF3FE" w14:textId="77777777" w:rsidR="00894D55" w:rsidRDefault="00B20FC1">
            <w:pPr>
              <w:spacing w:after="0"/>
            </w:pPr>
            <w:r>
              <w:rPr>
                <w:rFonts w:cs="Times New Roman"/>
              </w:rPr>
              <w:t>Synergies</w:t>
            </w:r>
          </w:p>
        </w:tc>
        <w:tc>
          <w:tcPr>
            <w:tcW w:w="2551" w:type="dxa"/>
          </w:tcPr>
          <w:p w14:paraId="4DF930E3" w14:textId="77777777" w:rsidR="00894D55" w:rsidRDefault="00B20FC1">
            <w:pPr>
              <w:spacing w:after="0"/>
            </w:pPr>
            <w:r>
              <w:rPr>
                <w:rFonts w:cs="Times New Roman"/>
              </w:rPr>
              <w:t>Ben; Int; JPD</w:t>
            </w:r>
          </w:p>
        </w:tc>
        <w:tc>
          <w:tcPr>
            <w:tcW w:w="2551" w:type="dxa"/>
          </w:tcPr>
          <w:p w14:paraId="6BD55798" w14:textId="77777777" w:rsidR="00894D55" w:rsidRDefault="00B20FC1">
            <w:pPr>
              <w:spacing w:after="0"/>
            </w:pPr>
            <w:r>
              <w:rPr>
                <w:rFonts w:cs="Times New Roman"/>
              </w:rPr>
              <w:t>—</w:t>
            </w:r>
          </w:p>
        </w:tc>
        <w:tc>
          <w:tcPr>
            <w:tcW w:w="2551" w:type="dxa"/>
          </w:tcPr>
          <w:p w14:paraId="728E47F8" w14:textId="77777777" w:rsidR="00894D55" w:rsidRDefault="00B20FC1">
            <w:pPr>
              <w:spacing w:after="0"/>
            </w:pPr>
            <w:r>
              <w:rPr>
                <w:rFonts w:cs="Times New Roman"/>
              </w:rPr>
              <w:t>Year 1 contributes benchmark/metrology; Year 2 interoperability and cross-validation; Year 3 joint multimodal/embodied pilots.</w:t>
            </w:r>
          </w:p>
        </w:tc>
      </w:tr>
    </w:tbl>
    <w:p w14:paraId="61CB4C15" w14:textId="77777777" w:rsidR="00894D55" w:rsidRDefault="00B20FC1">
      <w:r>
        <w:rPr>
          <w:rFonts w:cs="Times New Roman"/>
          <w:i/>
        </w:rPr>
        <w:t xml:space="preserve">* Application-domain classification will be </w:t>
      </w:r>
      <w:proofErr w:type="spellStart"/>
      <w:r>
        <w:rPr>
          <w:rFonts w:cs="Times New Roman"/>
          <w:i/>
        </w:rPr>
        <w:t>finalised</w:t>
      </w:r>
      <w:proofErr w:type="spellEnd"/>
      <w:r>
        <w:rPr>
          <w:rFonts w:cs="Times New Roman"/>
          <w:i/>
        </w:rPr>
        <w:t xml:space="preserve"> against the selected demonstrator and consortium composition; it will not be used to redefine the scientific hypothesis.</w:t>
      </w:r>
    </w:p>
    <w:p w14:paraId="4F32A3C9" w14:textId="77777777" w:rsidR="00894D55" w:rsidRDefault="00B20FC1">
      <w:r>
        <w:rPr>
          <w:rFonts w:cs="Times New Roman"/>
          <w:b/>
        </w:rPr>
        <w:t xml:space="preserve">Technical synergies. </w:t>
      </w:r>
      <w:r>
        <w:rPr>
          <w:rFonts w:cs="Times New Roman"/>
        </w:rPr>
        <w:t xml:space="preserve">Other </w:t>
      </w:r>
      <w:proofErr w:type="spellStart"/>
      <w:r>
        <w:rPr>
          <w:rFonts w:cs="Times New Roman"/>
        </w:rPr>
        <w:t>DeepRAP</w:t>
      </w:r>
      <w:proofErr w:type="spellEnd"/>
      <w:r>
        <w:rPr>
          <w:rFonts w:cs="Times New Roman"/>
        </w:rPr>
        <w:t xml:space="preserve"> projects can use MDPAR-H structural schemas, provenance conventions, benchmark tasks, match/non-match metrics, adapter-burden measures and interoperability protocols. Conversely, their independently engineered systems provide precisely the external evidence needed to test whether an observed invariant </w:t>
      </w:r>
      <w:proofErr w:type="spellStart"/>
      <w:r>
        <w:rPr>
          <w:rFonts w:cs="Times New Roman"/>
        </w:rPr>
        <w:t>generalises</w:t>
      </w:r>
      <w:proofErr w:type="spellEnd"/>
      <w:r>
        <w:rPr>
          <w:rFonts w:cs="Times New Roman"/>
        </w:rPr>
        <w:t xml:space="preserve"> beyond MDPAR.</w:t>
      </w:r>
    </w:p>
    <w:p w14:paraId="64C22DE9" w14:textId="77777777" w:rsidR="00894D55" w:rsidRDefault="00B20FC1">
      <w:r>
        <w:rPr>
          <w:rFonts w:cs="Times New Roman"/>
          <w:b/>
        </w:rPr>
        <w:t xml:space="preserve">Resource sharing. </w:t>
      </w:r>
      <w:r>
        <w:rPr>
          <w:rFonts w:cs="Times New Roman"/>
        </w:rPr>
        <w:t>The project will contribute benchmark specifications, test protocols, structural schemas, evaluation software, reproducibility assets, selected datasets and APIs suitable for cross-project validation, subject to the project's Open Science and IP strategy. The existing Swagger contract provides a concrete starting point for service-level integration without making the proprietary runtime itself the scientific result.</w:t>
      </w:r>
    </w:p>
    <w:p w14:paraId="08681FF6" w14:textId="77777777" w:rsidR="00894D55" w:rsidRDefault="00B20FC1">
      <w:r>
        <w:rPr>
          <w:rFonts w:cs="Times New Roman"/>
          <w:b/>
        </w:rPr>
        <w:t xml:space="preserve">Collaborative innovation. </w:t>
      </w:r>
      <w:r>
        <w:rPr>
          <w:rFonts w:cs="Times New Roman"/>
        </w:rPr>
        <w:t>MDPAR-H will seek joint benchmark development, cross-project validation and common pilots in which independently developed systems are compared without imposing a common global semantic ontology. The more heterogeneous the external systems, the stronger the test of the hypothesis.</w:t>
      </w:r>
    </w:p>
    <w:p w14:paraId="1D9ECB74" w14:textId="77777777" w:rsidR="00894D55" w:rsidRDefault="00B20FC1">
      <w:pPr>
        <w:keepNext/>
        <w:spacing w:before="120"/>
      </w:pPr>
      <w:r>
        <w:rPr>
          <w:rFonts w:cs="Times New Roman"/>
          <w:b/>
        </w:rPr>
        <w:t>1.2</w:t>
      </w:r>
      <w:r>
        <w:rPr>
          <w:rFonts w:cs="Times New Roman"/>
          <w:b/>
        </w:rPr>
        <w:tab/>
        <w:t>Novelty</w:t>
      </w:r>
    </w:p>
    <w:p w14:paraId="6FEFE59F" w14:textId="77777777" w:rsidR="00894D55" w:rsidRDefault="00B20FC1">
      <w:pPr>
        <w:keepNext/>
        <w:spacing w:before="60" w:after="40"/>
      </w:pPr>
      <w:r>
        <w:rPr>
          <w:rFonts w:cs="Times New Roman"/>
          <w:b/>
        </w:rPr>
        <w:t>State of the art and unresolved architectural gap</w:t>
      </w:r>
    </w:p>
    <w:p w14:paraId="614905B6" w14:textId="77777777" w:rsidR="00894D55" w:rsidRDefault="00B20FC1">
      <w:r>
        <w:rPr>
          <w:rFonts w:cs="Times New Roman"/>
        </w:rPr>
        <w:t xml:space="preserve">MDPAR-H does not claim novelty for external reasoning structures, knowledge/inference separation, graph representations, cognitive architectures, model routing, provenance, runtime verification, memory, planning or execution authority individually. Each has substantial prior art. The novelty claim is deliberately conjunctive: whether a persistent and calculable inferential object can be structurally owned outside the semantic models that </w:t>
      </w:r>
      <w:proofErr w:type="spellStart"/>
      <w:r>
        <w:rPr>
          <w:rFonts w:cs="Times New Roman"/>
        </w:rPr>
        <w:t>realise</w:t>
      </w:r>
      <w:proofErr w:type="spellEnd"/>
      <w:r>
        <w:rPr>
          <w:rFonts w:cs="Times New Roman"/>
        </w:rPr>
        <w:t xml:space="preserve"> it, compared across heterogeneous systems without requiring a shared global semantic ontology, and remain operationally authoritative across model, compute, time and eventually embodiment.</w:t>
      </w:r>
    </w:p>
    <w:p w14:paraId="496D082F" w14:textId="77777777" w:rsidR="00894D55" w:rsidRDefault="00B20FC1">
      <w:r>
        <w:rPr>
          <w:rFonts w:cs="Times New Roman"/>
        </w:rPr>
        <w:t xml:space="preserve">Classical work already shows that relational structure can support cross-domain comparison. Structure-Mapping Theory maps relations rather than object attributes and separates mapping rules from domain content [1]. </w:t>
      </w:r>
      <w:proofErr w:type="spellStart"/>
      <w:r>
        <w:rPr>
          <w:rFonts w:cs="Times New Roman"/>
        </w:rPr>
        <w:t>CommonKADS</w:t>
      </w:r>
      <w:proofErr w:type="spellEnd"/>
      <w:r>
        <w:rPr>
          <w:rFonts w:cs="Times New Roman"/>
        </w:rPr>
        <w:t xml:space="preserve"> and reusable Problem-Solving Methods separate domain knowledge, tasks and inference methods to promote reuse [2,3]. Cognitive architectures seek common computational </w:t>
      </w:r>
      <w:proofErr w:type="spellStart"/>
      <w:r>
        <w:rPr>
          <w:rFonts w:cs="Times New Roman"/>
        </w:rPr>
        <w:t>organisations</w:t>
      </w:r>
      <w:proofErr w:type="spellEnd"/>
      <w:r>
        <w:rPr>
          <w:rFonts w:cs="Times New Roman"/>
        </w:rPr>
        <w:t xml:space="preserve"> of mind [4]. These are direct intellectual predecessors. Their typical reuse or comparison, however, is defined inside an agreed representation, task ontology, architecture or method vocabulary. MDPAR-H instead asks whether selected inferential properties remain comparable when independently engineered systems do not share one global semantic ontology.</w:t>
      </w:r>
    </w:p>
    <w:p w14:paraId="76DFD095" w14:textId="77777777" w:rsidR="00894D55" w:rsidRDefault="00B20FC1">
      <w:r>
        <w:rPr>
          <w:rFonts w:cs="Times New Roman"/>
        </w:rPr>
        <w:lastRenderedPageBreak/>
        <w:t>Representation standards and knowledge graphs provide a second strong baseline. AMR represents sentence meaning as a structured semantic graph [5]; Universal Dependencies pursues cross-linguistically consistent annotation through a shared inventory [6]; knowledge graphs encode entities, relations and ontological/background knowledge [7]. These approaches demonstrate the power of common representational schemes. MDPAR-H asks whether useful structural comparability can be obtained with a thinner shared commitment: domain/language semantics remain an observer and provenance responsibility, while the structural core is prohibited from silently absorbing domain-specific ontology. If adapters must reconstruct most semantics to recover a match, the ontology-light claim is weakened or falsified.</w:t>
      </w:r>
    </w:p>
    <w:p w14:paraId="0351D859" w14:textId="77777777" w:rsidR="00894D55" w:rsidRDefault="00B20FC1">
      <w:r>
        <w:rPr>
          <w:rFonts w:cs="Times New Roman"/>
        </w:rPr>
        <w:t xml:space="preserve">Contemporary neural and neuro-symbolic work narrows the gap further. Neuro-symbolic AI integrates learning and symbolic reasoning to improve interpretability, robustness and </w:t>
      </w:r>
      <w:proofErr w:type="spellStart"/>
      <w:r>
        <w:rPr>
          <w:rFonts w:cs="Times New Roman"/>
        </w:rPr>
        <w:t>generalisation</w:t>
      </w:r>
      <w:proofErr w:type="spellEnd"/>
      <w:r>
        <w:rPr>
          <w:rFonts w:cs="Times New Roman"/>
        </w:rPr>
        <w:t xml:space="preserve"> [8]. Tree of Thoughts and Graph of Thoughts </w:t>
      </w:r>
      <w:proofErr w:type="spellStart"/>
      <w:r>
        <w:rPr>
          <w:rFonts w:cs="Times New Roman"/>
        </w:rPr>
        <w:t>externalise</w:t>
      </w:r>
      <w:proofErr w:type="spellEnd"/>
      <w:r>
        <w:rPr>
          <w:rFonts w:cs="Times New Roman"/>
        </w:rPr>
        <w:t xml:space="preserve"> LLM-generated intermediate reasoning into search trees or graphs [9,10], while </w:t>
      </w:r>
      <w:proofErr w:type="spellStart"/>
      <w:r>
        <w:rPr>
          <w:rFonts w:cs="Times New Roman"/>
        </w:rPr>
        <w:t>ReAct</w:t>
      </w:r>
      <w:proofErr w:type="spellEnd"/>
      <w:r>
        <w:rPr>
          <w:rFonts w:cs="Times New Roman"/>
        </w:rPr>
        <w:t xml:space="preserve"> interleaves reasoning traces and actions [11]. Recent work proposes reusable reasoning prototypes in formal languages [12] and investigates transferable algorithmic primitives in latent activation space [13]. These results support the possibility of reusable reasoning structure, but either remain tied to specified formal languages or measure structure inside model representations. Neither establishes a persistent external inferential object that owns continuity and authority across independently engineered cognitive systems.</w:t>
      </w:r>
    </w:p>
    <w:p w14:paraId="75E57751" w14:textId="77777777" w:rsidR="00894D55" w:rsidRDefault="00B20FC1">
      <w:r>
        <w:rPr>
          <w:rFonts w:cs="Times New Roman"/>
        </w:rPr>
        <w:t>Runtime verification can monitor executions and enforce contracts [14], while LLM cascades can route requests among heterogeneous models for efficiency [15]. MDPAR-H does not claim either mechanism as new. Its proposed step beyond them is to bind structural comparison, verification, routing, longitudinal epistemic state and action authority to the same explicit trajectory object while keeping semantic competence, structural ownership and operational authority separable roles.</w:t>
      </w:r>
    </w:p>
    <w:p w14:paraId="7F1F45FA" w14:textId="77777777" w:rsidR="00894D55" w:rsidRDefault="00B20FC1">
      <w:pPr>
        <w:keepNext/>
        <w:spacing w:before="60" w:after="40"/>
      </w:pPr>
      <w:r>
        <w:rPr>
          <w:rFonts w:cs="Times New Roman"/>
          <w:b/>
        </w:rPr>
        <w:t>What v2.2.0 changes in the pre-project baseline</w:t>
      </w:r>
    </w:p>
    <w:p w14:paraId="6DCC79C9" w14:textId="77777777" w:rsidR="00894D55" w:rsidRDefault="00B20FC1">
      <w:r>
        <w:rPr>
          <w:rFonts w:cs="Times New Roman"/>
        </w:rPr>
        <w:t xml:space="preserve">MDPAR v2.2.0 closes an important ambiguity that existed in earlier versions of the proposal. Four epistemic objects are now explicitly separable: (1) SCC as a formal language for discrete trajectories, correspondence and invariant transport; (2) MDPAR as the experimental architecture that measures and governs that structure; (3) the Swagger assessment surface as an operational product contract that accepts evidence, produces a canonical analysis and derives human-readable reports; and (4) the MDPAR Hypothesis as the still-open claim that non-trivial structural regularities </w:t>
      </w:r>
      <w:proofErr w:type="spellStart"/>
      <w:r>
        <w:rPr>
          <w:rFonts w:cs="Times New Roman"/>
        </w:rPr>
        <w:t>generalise</w:t>
      </w:r>
      <w:proofErr w:type="spellEnd"/>
      <w:r>
        <w:rPr>
          <w:rFonts w:cs="Times New Roman"/>
        </w:rPr>
        <w:t xml:space="preserve"> beyond the MDPAR ecosystem. The project funds the transition from the first three pre-existing objects to independent evidence about the fourth.</w:t>
      </w:r>
    </w:p>
    <w:p w14:paraId="5868F87F" w14:textId="77777777" w:rsidR="00894D55" w:rsidRDefault="00B20FC1">
      <w:r>
        <w:rPr>
          <w:rFonts w:cs="Times New Roman"/>
        </w:rPr>
        <w:t>This separation also sharpens the novelty boundary. MDPAR-H is not asking whether reasoning can be represented as a graph, whether a router can choose a model, or whether an LLM can expose a chain of thought-like trace. It asks whether structure, continuity, provenance, certification and authority can remain externally inspectable and reusable when the semantic provider or native cognitive architecture changes, and whether the resulting comparison remains discriminative rather than collapsing into a permissive common encoding.</w:t>
      </w:r>
    </w:p>
    <w:p w14:paraId="4E12104E" w14:textId="77777777" w:rsidR="00894D55" w:rsidRDefault="00B20FC1">
      <w:r>
        <w:rPr>
          <w:rFonts w:cs="Times New Roman"/>
        </w:rPr>
        <w:t xml:space="preserve">The resulting research question is stronger than model interoperability alone. It asks whether semantic capability, inferential structure, longitudinal continuity, provenance, routing, certification and operational authority are necessarily properties of one cognitive provider or can be assigned to different components while preserving a </w:t>
      </w:r>
      <w:proofErr w:type="spellStart"/>
      <w:r>
        <w:rPr>
          <w:rFonts w:cs="Times New Roman"/>
        </w:rPr>
        <w:t>recognisable</w:t>
      </w:r>
      <w:proofErr w:type="spellEnd"/>
      <w:r>
        <w:rPr>
          <w:rFonts w:cs="Times New Roman"/>
        </w:rPr>
        <w:t xml:space="preserve"> inferential process. In MDPAR v2.2.0 those responsibilities are already functionally separated. </w:t>
      </w:r>
      <w:proofErr w:type="spellStart"/>
      <w:r>
        <w:rPr>
          <w:rFonts w:cs="Times New Roman"/>
        </w:rPr>
        <w:t>DeepRAP</w:t>
      </w:r>
      <w:proofErr w:type="spellEnd"/>
      <w:r>
        <w:rPr>
          <w:rFonts w:cs="Times New Roman"/>
        </w:rPr>
        <w:t xml:space="preserve"> tests the portability of that separation beyond the architecture that first </w:t>
      </w:r>
      <w:proofErr w:type="spellStart"/>
      <w:r>
        <w:rPr>
          <w:rFonts w:cs="Times New Roman"/>
        </w:rPr>
        <w:t>realised</w:t>
      </w:r>
      <w:proofErr w:type="spellEnd"/>
      <w:r>
        <w:rPr>
          <w:rFonts w:cs="Times New Roman"/>
        </w:rPr>
        <w:t xml:space="preserve"> it.</w:t>
      </w:r>
    </w:p>
    <w:p w14:paraId="260856F4" w14:textId="77777777" w:rsidR="00894D55" w:rsidRDefault="00B20FC1">
      <w:pPr>
        <w:keepNext/>
        <w:spacing w:before="60" w:after="40"/>
      </w:pPr>
      <w:r>
        <w:rPr>
          <w:rFonts w:cs="Times New Roman"/>
          <w:b/>
        </w:rPr>
        <w:t>Proposed technological breakthroughs</w:t>
      </w:r>
    </w:p>
    <w:p w14:paraId="28FCA795" w14:textId="77777777" w:rsidR="00894D55" w:rsidRDefault="00B20FC1">
      <w:r>
        <w:rPr>
          <w:rFonts w:cs="Times New Roman"/>
          <w:b/>
        </w:rPr>
        <w:t xml:space="preserve">BT1 - </w:t>
      </w:r>
      <w:r>
        <w:rPr>
          <w:rFonts w:cs="Times New Roman"/>
        </w:rPr>
        <w:t xml:space="preserve">External calculable inferential structure with discriminative invariants. MDPAR v2.2.0 already provides an explicit occurrence-based trajectory projected onto the SCC, with typed relations, ordering, radial/orbital descriptors, recurrence/closure semantics, correspondence, exact structural comparison and transformation machinery. The breakthrough to be established is not the existence of this formal object but whether non-trivial properties extracted from it remain reproducible under controlled semantic, representational and system changes. Crucially, failure to recover exact identity where it should not exist is evidence of discrimination, not a defect to be </w:t>
      </w:r>
      <w:proofErr w:type="spellStart"/>
      <w:r>
        <w:rPr>
          <w:rFonts w:cs="Times New Roman"/>
        </w:rPr>
        <w:t>normalised</w:t>
      </w:r>
      <w:proofErr w:type="spellEnd"/>
      <w:r>
        <w:rPr>
          <w:rFonts w:cs="Times New Roman"/>
        </w:rPr>
        <w:t xml:space="preserve"> away.</w:t>
      </w:r>
    </w:p>
    <w:p w14:paraId="7FB5C9E7" w14:textId="77777777" w:rsidR="00894D55" w:rsidRDefault="00B20FC1">
      <w:r>
        <w:rPr>
          <w:rFonts w:cs="Times New Roman"/>
          <w:b/>
        </w:rPr>
        <w:t xml:space="preserve">BT2 - </w:t>
      </w:r>
      <w:r>
        <w:rPr>
          <w:rFonts w:cs="Times New Roman"/>
        </w:rPr>
        <w:t xml:space="preserve">Ontology-light comparability with explicit anti-leakage boundaries. The v2.2.0 architecture keeps domain/profile semantics outside the structural core, treats language as provenance rather than an SCC coordinate, and separates neural observation from structural authority. MDPAR-H turns that design rule into an empirical criterion: independently </w:t>
      </w:r>
      <w:proofErr w:type="spellStart"/>
      <w:r>
        <w:rPr>
          <w:rFonts w:cs="Times New Roman"/>
        </w:rPr>
        <w:t>realised</w:t>
      </w:r>
      <w:proofErr w:type="spellEnd"/>
      <w:r>
        <w:rPr>
          <w:rFonts w:cs="Times New Roman"/>
        </w:rPr>
        <w:t xml:space="preserve"> semantics must be projectable with bounded adapter complexity, bounded semantic burden and audited ontology import. If cross-system adapters recreate a hidden common ontology, BT2 fails even if task interoperability is high.</w:t>
      </w:r>
    </w:p>
    <w:p w14:paraId="7C0FADC2" w14:textId="77777777" w:rsidR="00894D55" w:rsidRDefault="00B20FC1">
      <w:r>
        <w:rPr>
          <w:rFonts w:cs="Times New Roman"/>
        </w:rPr>
        <w:t xml:space="preserve">BT3 - Persistent cognitive ownership and authority outside the semantic provider. MDPAR v2.2.0 demonstrates architecturally that semantic capability and cognitive ownership need not be identical responsibilities: a provider may observe, interpret or propose without thereby owning the trajectory, structural memory, routing policy, </w:t>
      </w:r>
      <w:r>
        <w:rPr>
          <w:rFonts w:cs="Times New Roman"/>
        </w:rPr>
        <w:lastRenderedPageBreak/>
        <w:t xml:space="preserve">provenance, epistemic status or global action authority. The Pathfinder breakthrough to be established is portability of that separation across independently engineered systems. If supported, model capacity and system capacity become distinct engineering variables: semantic capability may be substituted, combined, degraded or recovered while the surrounding cognitive process remains </w:t>
      </w:r>
      <w:proofErr w:type="spellStart"/>
      <w:r>
        <w:rPr>
          <w:rFonts w:cs="Times New Roman"/>
        </w:rPr>
        <w:t>organisation</w:t>
      </w:r>
      <w:proofErr w:type="spellEnd"/>
      <w:r>
        <w:rPr>
          <w:rFonts w:cs="Times New Roman"/>
        </w:rPr>
        <w:t>-controlled and longitudinally identifiable. If external systems require provider-owned state or authority to preserve function, the claim is correspondingly narrowed.</w:t>
      </w:r>
    </w:p>
    <w:p w14:paraId="0089DBA6" w14:textId="77777777" w:rsidR="00894D55" w:rsidRDefault="00B20FC1">
      <w:r>
        <w:rPr>
          <w:rFonts w:cs="Times New Roman"/>
          <w:b/>
        </w:rPr>
        <w:t xml:space="preserve">BT4 - </w:t>
      </w:r>
      <w:r>
        <w:rPr>
          <w:rFonts w:cs="Times New Roman"/>
        </w:rPr>
        <w:t>Structural invariance across situated and embodied cognition. The current system contains an explicit embodiment boundary and integrated tests of degradation, fallback, debt, recovery and temporal authority, but it does not establish physical embodiment or multimodal universality. Year 3 deliberately attacks the hypothesis where symbolic regularities are most likely to break: perception, state estimation, planning, action and feedback become physically coupled. Failure will delimit the hypothesis rather than be converted into task-success evidence.</w:t>
      </w:r>
    </w:p>
    <w:p w14:paraId="43BC1FA2" w14:textId="77777777" w:rsidR="00894D55" w:rsidRDefault="00B20FC1">
      <w:pPr>
        <w:keepNext/>
        <w:spacing w:before="60" w:after="40"/>
      </w:pPr>
      <w:r>
        <w:rPr>
          <w:rFonts w:cs="Times New Roman"/>
          <w:b/>
        </w:rPr>
        <w:t>Pre-existing evidence and remaining Pathfinder uncertainty</w:t>
      </w:r>
    </w:p>
    <w:tbl>
      <w:tblPr>
        <w:tblStyle w:val="Tablaconcuadrcula"/>
        <w:tblW w:w="0" w:type="auto"/>
        <w:jc w:val="center"/>
        <w:tblCellMar>
          <w:top w:w="40" w:type="dxa"/>
          <w:left w:w="60" w:type="dxa"/>
          <w:bottom w:w="40" w:type="dxa"/>
          <w:right w:w="60" w:type="dxa"/>
        </w:tblCellMar>
        <w:tblLook w:val="04A0" w:firstRow="1" w:lastRow="0" w:firstColumn="1" w:lastColumn="0" w:noHBand="0" w:noVBand="1"/>
      </w:tblPr>
      <w:tblGrid>
        <w:gridCol w:w="3402"/>
        <w:gridCol w:w="3402"/>
        <w:gridCol w:w="3402"/>
      </w:tblGrid>
      <w:tr w:rsidR="00894D55" w14:paraId="6D9D1FC0" w14:textId="77777777">
        <w:trPr>
          <w:cantSplit/>
          <w:jc w:val="center"/>
        </w:trPr>
        <w:tc>
          <w:tcPr>
            <w:tcW w:w="3402" w:type="dxa"/>
            <w:shd w:val="clear" w:color="auto" w:fill="D9EAF7"/>
          </w:tcPr>
          <w:p w14:paraId="231669C3" w14:textId="77777777" w:rsidR="00894D55" w:rsidRDefault="00B20FC1">
            <w:pPr>
              <w:spacing w:after="0"/>
            </w:pPr>
            <w:r>
              <w:rPr>
                <w:rFonts w:cs="Times New Roman"/>
                <w:b/>
              </w:rPr>
              <w:t>Area</w:t>
            </w:r>
          </w:p>
        </w:tc>
        <w:tc>
          <w:tcPr>
            <w:tcW w:w="3402" w:type="dxa"/>
            <w:shd w:val="clear" w:color="auto" w:fill="D9EAF7"/>
          </w:tcPr>
          <w:p w14:paraId="2DE42FF6" w14:textId="77777777" w:rsidR="00894D55" w:rsidRDefault="00B20FC1">
            <w:pPr>
              <w:spacing w:after="0"/>
            </w:pPr>
            <w:r>
              <w:rPr>
                <w:rFonts w:cs="Times New Roman"/>
                <w:b/>
              </w:rPr>
              <w:t xml:space="preserve">Evidence already </w:t>
            </w:r>
            <w:proofErr w:type="gramStart"/>
            <w:r>
              <w:rPr>
                <w:rFonts w:cs="Times New Roman"/>
                <w:b/>
              </w:rPr>
              <w:t>present</w:t>
            </w:r>
            <w:proofErr w:type="gramEnd"/>
            <w:r>
              <w:rPr>
                <w:rFonts w:cs="Times New Roman"/>
                <w:b/>
              </w:rPr>
              <w:t xml:space="preserve"> in MDPAR v2.2.0 (DEVELOPMENT)</w:t>
            </w:r>
          </w:p>
        </w:tc>
        <w:tc>
          <w:tcPr>
            <w:tcW w:w="3402" w:type="dxa"/>
            <w:shd w:val="clear" w:color="auto" w:fill="D9EAF7"/>
          </w:tcPr>
          <w:p w14:paraId="2610CD35" w14:textId="77777777" w:rsidR="00894D55" w:rsidRDefault="00B20FC1">
            <w:pPr>
              <w:spacing w:after="0"/>
            </w:pPr>
            <w:r>
              <w:rPr>
                <w:rFonts w:cs="Times New Roman"/>
                <w:b/>
              </w:rPr>
              <w:t>Unresolved Pathfinder uncertainty</w:t>
            </w:r>
          </w:p>
        </w:tc>
      </w:tr>
      <w:tr w:rsidR="00894D55" w14:paraId="12ACF239" w14:textId="77777777">
        <w:trPr>
          <w:cantSplit/>
          <w:jc w:val="center"/>
        </w:trPr>
        <w:tc>
          <w:tcPr>
            <w:tcW w:w="3402" w:type="dxa"/>
          </w:tcPr>
          <w:p w14:paraId="3FD7FD1D" w14:textId="77777777" w:rsidR="00894D55" w:rsidRDefault="00B20FC1">
            <w:pPr>
              <w:spacing w:after="0"/>
            </w:pPr>
            <w:r>
              <w:rPr>
                <w:rFonts w:cs="Times New Roman"/>
              </w:rPr>
              <w:t>Formal / structural discrimination</w:t>
            </w:r>
          </w:p>
        </w:tc>
        <w:tc>
          <w:tcPr>
            <w:tcW w:w="3402" w:type="dxa"/>
          </w:tcPr>
          <w:p w14:paraId="5C161ED2" w14:textId="77777777" w:rsidR="00894D55" w:rsidRDefault="00B20FC1">
            <w:pPr>
              <w:spacing w:after="0"/>
            </w:pPr>
            <w:r>
              <w:rPr>
                <w:rFonts w:cs="Times New Roman"/>
              </w:rPr>
              <w:t>C0: 19/19 contractual checks. C3: 9/9 Structural Calculus cases and 16/16 Directional Continuity steps exact with 0 neural calls for the formal result. C4 preserves measurable correspondence/transport while exact target identity remains 0.</w:t>
            </w:r>
          </w:p>
        </w:tc>
        <w:tc>
          <w:tcPr>
            <w:tcW w:w="3402" w:type="dxa"/>
          </w:tcPr>
          <w:p w14:paraId="57A93D99" w14:textId="77777777" w:rsidR="00894D55" w:rsidRDefault="00B20FC1">
            <w:pPr>
              <w:spacing w:after="0"/>
            </w:pPr>
            <w:r>
              <w:rPr>
                <w:rFonts w:cs="Times New Roman"/>
              </w:rPr>
              <w:t xml:space="preserve">Which candidate invariants </w:t>
            </w:r>
            <w:proofErr w:type="spellStart"/>
            <w:r>
              <w:rPr>
                <w:rFonts w:cs="Times New Roman"/>
              </w:rPr>
              <w:t>generalise</w:t>
            </w:r>
            <w:proofErr w:type="spellEnd"/>
            <w:r>
              <w:rPr>
                <w:rFonts w:cs="Times New Roman"/>
              </w:rPr>
              <w:t xml:space="preserve"> across domains, languages, models and independent native representations; which are properties only of the MDPAR encoding.</w:t>
            </w:r>
          </w:p>
        </w:tc>
      </w:tr>
      <w:tr w:rsidR="00894D55" w14:paraId="76D43BB9" w14:textId="77777777">
        <w:trPr>
          <w:cantSplit/>
          <w:jc w:val="center"/>
        </w:trPr>
        <w:tc>
          <w:tcPr>
            <w:tcW w:w="3402" w:type="dxa"/>
          </w:tcPr>
          <w:p w14:paraId="0FD52DCE" w14:textId="77777777" w:rsidR="00894D55" w:rsidRDefault="00B20FC1">
            <w:pPr>
              <w:spacing w:after="0"/>
            </w:pPr>
            <w:r>
              <w:rPr>
                <w:rFonts w:cs="Times New Roman"/>
              </w:rPr>
              <w:t>Semantic boundary / ontology-light projection</w:t>
            </w:r>
          </w:p>
        </w:tc>
        <w:tc>
          <w:tcPr>
            <w:tcW w:w="3402" w:type="dxa"/>
          </w:tcPr>
          <w:p w14:paraId="004AFB0D" w14:textId="77777777" w:rsidR="00894D55" w:rsidRDefault="00B20FC1">
            <w:pPr>
              <w:spacing w:after="0"/>
            </w:pPr>
            <w:r>
              <w:rPr>
                <w:rFonts w:cs="Times New Roman"/>
              </w:rPr>
              <w:t>C1-C2 expose observer-specific error, ambiguity and grounding failure instead of converting them into structural success. C7 is deterministic/CLOSED and exposes reproducible policy-gold boundaries. C8: 10/10 status, 3/3 OPEN valid, routing authority MDPAR_ONLY, with ownership discrepancy retained.</w:t>
            </w:r>
          </w:p>
        </w:tc>
        <w:tc>
          <w:tcPr>
            <w:tcW w:w="3402" w:type="dxa"/>
          </w:tcPr>
          <w:p w14:paraId="578DD293" w14:textId="77777777" w:rsidR="00894D55" w:rsidRDefault="00B20FC1">
            <w:pPr>
              <w:spacing w:after="0"/>
            </w:pPr>
            <w:r>
              <w:rPr>
                <w:rFonts w:cs="Times New Roman"/>
              </w:rPr>
              <w:t>Whether independently engineered systems can be projected with bounded semantic burden and without reconstructing a de facto shared ontology.</w:t>
            </w:r>
          </w:p>
        </w:tc>
      </w:tr>
      <w:tr w:rsidR="00894D55" w14:paraId="5FB39E34" w14:textId="77777777">
        <w:trPr>
          <w:cantSplit/>
          <w:jc w:val="center"/>
        </w:trPr>
        <w:tc>
          <w:tcPr>
            <w:tcW w:w="3402" w:type="dxa"/>
          </w:tcPr>
          <w:p w14:paraId="47042D21" w14:textId="77777777" w:rsidR="00894D55" w:rsidRDefault="00B20FC1">
            <w:pPr>
              <w:spacing w:after="0"/>
            </w:pPr>
            <w:r>
              <w:rPr>
                <w:rFonts w:cs="Times New Roman"/>
              </w:rPr>
              <w:t>Longitudinal ownership / compute / authority</w:t>
            </w:r>
          </w:p>
        </w:tc>
        <w:tc>
          <w:tcPr>
            <w:tcW w:w="3402" w:type="dxa"/>
          </w:tcPr>
          <w:p w14:paraId="06442DD3" w14:textId="77777777" w:rsidR="00894D55" w:rsidRDefault="00B20FC1">
            <w:pPr>
              <w:spacing w:after="0"/>
            </w:pPr>
            <w:r>
              <w:rPr>
                <w:rFonts w:cs="Times New Roman"/>
              </w:rPr>
              <w:t>C6: 77/77 segments, 784 requests, 1 HIGH and explicit unresolved-at-end states. C9: adaptive acquisition reduces reasoning (-42.3%) and wall time (-25.3%) while total tokens increase (+27.1%), showing governed rather than monotonic compute. C10: 11/11 temporal contracts exact.</w:t>
            </w:r>
          </w:p>
        </w:tc>
        <w:tc>
          <w:tcPr>
            <w:tcW w:w="3402" w:type="dxa"/>
          </w:tcPr>
          <w:p w14:paraId="009E9B2C" w14:textId="77777777" w:rsidR="00894D55" w:rsidRDefault="00B20FC1">
            <w:pPr>
              <w:spacing w:after="0"/>
            </w:pPr>
            <w:r>
              <w:rPr>
                <w:rFonts w:cs="Times New Roman"/>
              </w:rPr>
              <w:t>Whether structural, epistemic and operational authority remains provider-independent across systems with different internal representations, timing and control assumptions.</w:t>
            </w:r>
          </w:p>
        </w:tc>
      </w:tr>
      <w:tr w:rsidR="00894D55" w14:paraId="525A3CC1" w14:textId="77777777">
        <w:trPr>
          <w:cantSplit/>
          <w:jc w:val="center"/>
        </w:trPr>
        <w:tc>
          <w:tcPr>
            <w:tcW w:w="3402" w:type="dxa"/>
          </w:tcPr>
          <w:p w14:paraId="08C92C14" w14:textId="77777777" w:rsidR="00894D55" w:rsidRDefault="00B20FC1">
            <w:pPr>
              <w:spacing w:after="0"/>
            </w:pPr>
            <w:r>
              <w:rPr>
                <w:rFonts w:cs="Times New Roman"/>
              </w:rPr>
              <w:t>Degradation and recovery</w:t>
            </w:r>
          </w:p>
        </w:tc>
        <w:tc>
          <w:tcPr>
            <w:tcW w:w="3402" w:type="dxa"/>
          </w:tcPr>
          <w:p w14:paraId="28ACAB85" w14:textId="77777777" w:rsidR="00894D55" w:rsidRDefault="00B20FC1">
            <w:pPr>
              <w:spacing w:after="0"/>
            </w:pPr>
            <w:r>
              <w:rPr>
                <w:rFonts w:cs="Times New Roman"/>
              </w:rPr>
              <w:t xml:space="preserve">C11 preserves CLOSED continuity, creates/reissues 3/3 cognitive debts, makes 0 local OPEN attempts when the local profile is uncertified, and records 0 stale </w:t>
            </w:r>
            <w:proofErr w:type="spellStart"/>
            <w:r>
              <w:rPr>
                <w:rFonts w:cs="Times New Roman"/>
              </w:rPr>
              <w:t>authorisations</w:t>
            </w:r>
            <w:proofErr w:type="spellEnd"/>
            <w:r>
              <w:rPr>
                <w:rFonts w:cs="Times New Roman"/>
              </w:rPr>
              <w:t xml:space="preserve"> / 0 committed rewrites. C12 capstone PASS recovers 3/3 debt with 0 stale / 0 rewrites.</w:t>
            </w:r>
          </w:p>
        </w:tc>
        <w:tc>
          <w:tcPr>
            <w:tcW w:w="3402" w:type="dxa"/>
          </w:tcPr>
          <w:p w14:paraId="033CE643" w14:textId="77777777" w:rsidR="00894D55" w:rsidRDefault="00B20FC1">
            <w:pPr>
              <w:spacing w:after="0"/>
            </w:pPr>
            <w:r>
              <w:rPr>
                <w:rFonts w:cs="Times New Roman"/>
              </w:rPr>
              <w:t>Whether these properties survive true multimodal observation, partial observability, sensor disagreement, physical action constraints and closed-loop consequences.</w:t>
            </w:r>
          </w:p>
        </w:tc>
      </w:tr>
      <w:tr w:rsidR="00894D55" w14:paraId="35580E77" w14:textId="77777777">
        <w:trPr>
          <w:cantSplit/>
          <w:jc w:val="center"/>
        </w:trPr>
        <w:tc>
          <w:tcPr>
            <w:tcW w:w="3402" w:type="dxa"/>
          </w:tcPr>
          <w:p w14:paraId="6AD99C98" w14:textId="77777777" w:rsidR="00894D55" w:rsidRDefault="00B20FC1">
            <w:pPr>
              <w:spacing w:after="0"/>
            </w:pPr>
            <w:r>
              <w:rPr>
                <w:rFonts w:cs="Times New Roman"/>
              </w:rPr>
              <w:t>Operational surface</w:t>
            </w:r>
          </w:p>
        </w:tc>
        <w:tc>
          <w:tcPr>
            <w:tcW w:w="3402" w:type="dxa"/>
          </w:tcPr>
          <w:p w14:paraId="395953F4" w14:textId="77777777" w:rsidR="00894D55" w:rsidRDefault="00B20FC1">
            <w:pPr>
              <w:spacing w:after="0"/>
            </w:pPr>
            <w:r>
              <w:rPr>
                <w:rFonts w:cs="Times New Roman"/>
              </w:rPr>
              <w:t>The v2.2.0 Swagger probe executes evidence -&gt; canonical analysis -&gt; derived report with explicit provenance and a deterministic-core/neural-boundary contract. One vertical run observed OPEN variation rather than exact reproducibility.</w:t>
            </w:r>
          </w:p>
        </w:tc>
        <w:tc>
          <w:tcPr>
            <w:tcW w:w="3402" w:type="dxa"/>
          </w:tcPr>
          <w:p w14:paraId="32F67E4D" w14:textId="77777777" w:rsidR="00894D55" w:rsidRDefault="00B20FC1">
            <w:pPr>
              <w:spacing w:after="0"/>
            </w:pPr>
            <w:r>
              <w:rPr>
                <w:rFonts w:cs="Times New Roman"/>
              </w:rPr>
              <w:t>Whether the service contract and metrology remain valid across independent systems and repeated external workloads; n=1 product operation is not domain-</w:t>
            </w:r>
            <w:proofErr w:type="spellStart"/>
            <w:r>
              <w:rPr>
                <w:rFonts w:cs="Times New Roman"/>
              </w:rPr>
              <w:t>generalisation</w:t>
            </w:r>
            <w:proofErr w:type="spellEnd"/>
            <w:r>
              <w:rPr>
                <w:rFonts w:cs="Times New Roman"/>
              </w:rPr>
              <w:t xml:space="preserve"> evidence.</w:t>
            </w:r>
          </w:p>
        </w:tc>
      </w:tr>
    </w:tbl>
    <w:p w14:paraId="0E2FB171" w14:textId="77777777" w:rsidR="00894D55" w:rsidRDefault="00B20FC1">
      <w:r>
        <w:rPr>
          <w:rFonts w:cs="Times New Roman"/>
        </w:rPr>
        <w:lastRenderedPageBreak/>
        <w:t xml:space="preserve">The v2.2.0 evidence is intentionally not presented as a sequence of perfect scores. </w:t>
      </w:r>
      <w:proofErr w:type="spellStart"/>
      <w:r>
        <w:rPr>
          <w:rFonts w:cs="Times New Roman"/>
        </w:rPr>
        <w:t>Qwen</w:t>
      </w:r>
      <w:proofErr w:type="spellEnd"/>
      <w:r>
        <w:rPr>
          <w:rFonts w:cs="Times New Roman"/>
        </w:rPr>
        <w:t xml:space="preserve"> can become UNEVALUABLE under stricter grounding rather than being assigned a misleading zero; C4 can preserve transport while exact identity remains absent; C7-C8 retain reproducible policy/gold mismatches; C9 can reduce reasoning and wall time while increasing total token work; and the Swagger probe records stochastic OPEN variation. These negative and boundary results are central to the Pathfinder case because they show that the instrument can preserve failure semantics instead of tuning the representation until every case appears supportive.</w:t>
      </w:r>
    </w:p>
    <w:p w14:paraId="56B6F718" w14:textId="77777777" w:rsidR="00894D55" w:rsidRDefault="00B20FC1">
      <w:r>
        <w:rPr>
          <w:rFonts w:cs="Times New Roman"/>
        </w:rPr>
        <w:t xml:space="preserve">Evidence is therefore classified by the kind of proposition being justified rather than compressed into one confidence score. Formal theorems and definitions establish what follows inside the SCC representation; executable conformance establishes whether software </w:t>
      </w:r>
      <w:proofErr w:type="spellStart"/>
      <w:r>
        <w:rPr>
          <w:rFonts w:cs="Times New Roman"/>
        </w:rPr>
        <w:t>realises</w:t>
      </w:r>
      <w:proofErr w:type="spellEnd"/>
      <w:r>
        <w:rPr>
          <w:rFonts w:cs="Times New Roman"/>
        </w:rPr>
        <w:t xml:space="preserve"> the specified contracts; internal campaigns test those mechanisms under controlled perturbation; operational probes test whether the same separation survives an end-to-end evidence workflow; and external validity asks for the maximal class of independent systems, domains and modalities over which the properties remain informative. </w:t>
      </w:r>
      <w:proofErr w:type="spellStart"/>
      <w:r>
        <w:rPr>
          <w:rFonts w:cs="Times New Roman"/>
        </w:rPr>
        <w:t>DeepRAP</w:t>
      </w:r>
      <w:proofErr w:type="spellEnd"/>
      <w:r>
        <w:rPr>
          <w:rFonts w:cs="Times New Roman"/>
        </w:rPr>
        <w:t xml:space="preserve"> is primarily the transition from the first four layers to the fifth. Statistical inference is used for population-level preservation and transfer; it does not replace exact formal comparison where the endpoint is mathematical or deterministic.</w:t>
      </w:r>
    </w:p>
    <w:p w14:paraId="443232A7" w14:textId="77777777" w:rsidR="00894D55" w:rsidRDefault="00B20FC1">
      <w:r>
        <w:rPr>
          <w:rFonts w:cs="Times New Roman"/>
        </w:rPr>
        <w:t>The operational Swagger surface is an enabling baseline, not a fifth scientific breakthrough. It demonstrates that the architecture can be exposed as a coherent service with a canonical machine-readable assessment, provenance, hashes, explicit authority limits and reports derived from—not authoritative over—the canonical analysis. It therefore reduces implementation risk for future portfolio integration while leaving the scientific independence test fully open.</w:t>
      </w:r>
    </w:p>
    <w:p w14:paraId="54CE0FD3" w14:textId="77777777" w:rsidR="00894D55" w:rsidRDefault="00B20FC1">
      <w:pPr>
        <w:keepNext/>
        <w:spacing w:before="60" w:after="40"/>
      </w:pPr>
      <w:r>
        <w:rPr>
          <w:rFonts w:cs="Times New Roman"/>
          <w:b/>
        </w:rPr>
        <w:t>Ambition beyond the state of the art</w:t>
      </w:r>
    </w:p>
    <w:p w14:paraId="004205B8" w14:textId="77777777" w:rsidR="00894D55" w:rsidRDefault="00B20FC1">
      <w:r>
        <w:rPr>
          <w:rFonts w:cs="Times New Roman"/>
        </w:rPr>
        <w:t xml:space="preserve">The project's ambition is architectural rather than additive. Current systems can reason inside neural models, execute symbolic inference, encode common representations, </w:t>
      </w:r>
      <w:proofErr w:type="spellStart"/>
      <w:r>
        <w:rPr>
          <w:rFonts w:cs="Times New Roman"/>
        </w:rPr>
        <w:t>externalise</w:t>
      </w:r>
      <w:proofErr w:type="spellEnd"/>
      <w:r>
        <w:rPr>
          <w:rFonts w:cs="Times New Roman"/>
        </w:rPr>
        <w:t xml:space="preserve"> model-generated thought graphs, combine neural and symbolic components, route requests among models and monitor executions. MDPAR-H tests whether a further layer is possible: an external inferential structure whose calculable properties remain discriminatively comparable across heterogeneous systems without first forcing them into one global semantic ontology, while continuity, provenance and authority remain inspectable outside the semantic provider.</w:t>
      </w:r>
    </w:p>
    <w:p w14:paraId="7FE2252D" w14:textId="77777777" w:rsidR="00894D55" w:rsidRDefault="00B20FC1">
      <w:r>
        <w:rPr>
          <w:rFonts w:cs="Times New Roman"/>
        </w:rPr>
        <w:t>Three outcomes remain scientifically legitimate. Strong support would identify a class of invariants independently reproducible across heterogeneous symbolic systems and at least partially preserved under embodiment. Partial support would establish narrower domains of validity or different invariant classes for symbolic and situated cognition. Falsification would show that apparent invariance depends on MDPAR-specific encoding, hidden semantic reconstruction, model family or modality. Each outcome yields useful formal boundaries, counterexamples, benchmarks and metrology.</w:t>
      </w:r>
    </w:p>
    <w:p w14:paraId="21B93E8A" w14:textId="77777777" w:rsidR="00894D55" w:rsidRDefault="00B20FC1">
      <w:r>
        <w:rPr>
          <w:rFonts w:cs="Times New Roman"/>
        </w:rPr>
        <w:t xml:space="preserve">If the strongest outcome is obtained, the implication is substantial: part of the </w:t>
      </w:r>
      <w:proofErr w:type="spellStart"/>
      <w:r>
        <w:rPr>
          <w:rFonts w:cs="Times New Roman"/>
        </w:rPr>
        <w:t>organisation</w:t>
      </w:r>
      <w:proofErr w:type="spellEnd"/>
      <w:r>
        <w:rPr>
          <w:rFonts w:cs="Times New Roman"/>
        </w:rPr>
        <w:t xml:space="preserve"> of reasoning would not need to be reconstructed inside every model, domain or cognitive system but could become reusable, auditable cognitive infrastructure. The decisive step, however, is not another internal demonstration. It is the Year-2 independence test and the Year-3 embodied attack on the hypothesis. This is precisely the high-risk/high-gain transition that MDPAR-H asks Pathfinder to fund.</w:t>
      </w:r>
    </w:p>
    <w:p w14:paraId="5AA0FA7D" w14:textId="77777777" w:rsidR="00894D55" w:rsidRDefault="00B20FC1">
      <w:pPr>
        <w:keepNext/>
        <w:spacing w:before="60" w:after="40"/>
      </w:pPr>
      <w:r>
        <w:rPr>
          <w:rFonts w:cs="Times New Roman"/>
          <w:b/>
        </w:rPr>
        <w:t>References cited in Section 1.2</w:t>
      </w:r>
    </w:p>
    <w:p w14:paraId="6CB67CC0" w14:textId="77777777" w:rsidR="00894D55" w:rsidRDefault="00B20FC1">
      <w:r>
        <w:rPr>
          <w:rFonts w:cs="Times New Roman"/>
        </w:rPr>
        <w:t xml:space="preserve">[1] </w:t>
      </w:r>
      <w:proofErr w:type="spellStart"/>
      <w:r>
        <w:rPr>
          <w:rFonts w:cs="Times New Roman"/>
        </w:rPr>
        <w:t>Gentner</w:t>
      </w:r>
      <w:proofErr w:type="spellEnd"/>
      <w:r>
        <w:rPr>
          <w:rFonts w:cs="Times New Roman"/>
        </w:rPr>
        <w:t>, D. (1983). Structure-mapping: A theoretical framework for analogy. Cognitive Science, 7(2), 155-170. doi:10.1207/s15516709cog0702_3.</w:t>
      </w:r>
    </w:p>
    <w:p w14:paraId="2FDCCECE" w14:textId="77777777" w:rsidR="00894D55" w:rsidRDefault="00B20FC1">
      <w:r>
        <w:rPr>
          <w:rFonts w:cs="Times New Roman"/>
        </w:rPr>
        <w:t xml:space="preserve">[2] Schreiber, G., </w:t>
      </w:r>
      <w:proofErr w:type="spellStart"/>
      <w:r>
        <w:rPr>
          <w:rFonts w:cs="Times New Roman"/>
        </w:rPr>
        <w:t>Akkermans</w:t>
      </w:r>
      <w:proofErr w:type="spellEnd"/>
      <w:r>
        <w:rPr>
          <w:rFonts w:cs="Times New Roman"/>
        </w:rPr>
        <w:t xml:space="preserve">, H., </w:t>
      </w:r>
      <w:proofErr w:type="spellStart"/>
      <w:r>
        <w:rPr>
          <w:rFonts w:cs="Times New Roman"/>
        </w:rPr>
        <w:t>Anjewierden</w:t>
      </w:r>
      <w:proofErr w:type="spellEnd"/>
      <w:r>
        <w:rPr>
          <w:rFonts w:cs="Times New Roman"/>
        </w:rPr>
        <w:t xml:space="preserve">, A., de Hoog, R., Shadbolt, N., Van de Velde, W., &amp; </w:t>
      </w:r>
      <w:proofErr w:type="spellStart"/>
      <w:r>
        <w:rPr>
          <w:rFonts w:cs="Times New Roman"/>
        </w:rPr>
        <w:t>Wielinga</w:t>
      </w:r>
      <w:proofErr w:type="spellEnd"/>
      <w:r>
        <w:rPr>
          <w:rFonts w:cs="Times New Roman"/>
        </w:rPr>
        <w:t xml:space="preserve">, B. (2000). Knowledge Engineering and Management: The </w:t>
      </w:r>
      <w:proofErr w:type="spellStart"/>
      <w:r>
        <w:rPr>
          <w:rFonts w:cs="Times New Roman"/>
        </w:rPr>
        <w:t>CommonKADS</w:t>
      </w:r>
      <w:proofErr w:type="spellEnd"/>
      <w:r>
        <w:rPr>
          <w:rFonts w:cs="Times New Roman"/>
        </w:rPr>
        <w:t xml:space="preserve"> Methodology. MIT Press.</w:t>
      </w:r>
    </w:p>
    <w:p w14:paraId="44F694D2" w14:textId="77777777" w:rsidR="00894D55" w:rsidRDefault="00B20FC1">
      <w:r>
        <w:rPr>
          <w:rFonts w:cs="Times New Roman"/>
        </w:rPr>
        <w:t xml:space="preserve">[3] Motta, E., &amp; </w:t>
      </w:r>
      <w:proofErr w:type="spellStart"/>
      <w:r>
        <w:rPr>
          <w:rFonts w:cs="Times New Roman"/>
        </w:rPr>
        <w:t>Zdrahal</w:t>
      </w:r>
      <w:proofErr w:type="spellEnd"/>
      <w:r>
        <w:rPr>
          <w:rFonts w:cs="Times New Roman"/>
        </w:rPr>
        <w:t>, Z. (1998). A library of problem-solving components based on the integration of the search paradigm with task and method ontologies. International Journal of Human-Computer Studies, 49(4), 437-470. doi:10.1006/ijhc.1998.0214.</w:t>
      </w:r>
    </w:p>
    <w:p w14:paraId="42B809EA" w14:textId="77777777" w:rsidR="00894D55" w:rsidRDefault="00B20FC1">
      <w:r>
        <w:rPr>
          <w:rFonts w:cs="Times New Roman"/>
        </w:rPr>
        <w:t xml:space="preserve">[4] Laird, J. E., </w:t>
      </w:r>
      <w:proofErr w:type="spellStart"/>
      <w:r>
        <w:rPr>
          <w:rFonts w:cs="Times New Roman"/>
        </w:rPr>
        <w:t>Lebiere</w:t>
      </w:r>
      <w:proofErr w:type="spellEnd"/>
      <w:r>
        <w:rPr>
          <w:rFonts w:cs="Times New Roman"/>
        </w:rPr>
        <w:t>, C., &amp; Rosenbloom, P. S. (2017). A Standard Model of the Mind: Toward a Common Computational Framework across Artificial Intelligence, Cognitive Science, Neuroscience, and Robotics. AI Magazine, 38(4), 13-26. doi:10.1609/</w:t>
      </w:r>
      <w:proofErr w:type="gramStart"/>
      <w:r>
        <w:rPr>
          <w:rFonts w:cs="Times New Roman"/>
        </w:rPr>
        <w:t>aimag.v</w:t>
      </w:r>
      <w:proofErr w:type="gramEnd"/>
      <w:r>
        <w:rPr>
          <w:rFonts w:cs="Times New Roman"/>
        </w:rPr>
        <w:t>38i4.2744.</w:t>
      </w:r>
    </w:p>
    <w:p w14:paraId="296136BE" w14:textId="77777777" w:rsidR="00894D55" w:rsidRDefault="00B20FC1">
      <w:r>
        <w:rPr>
          <w:rFonts w:cs="Times New Roman"/>
        </w:rPr>
        <w:t xml:space="preserve">[5] </w:t>
      </w:r>
      <w:proofErr w:type="spellStart"/>
      <w:r>
        <w:rPr>
          <w:rFonts w:cs="Times New Roman"/>
        </w:rPr>
        <w:t>Banarescu</w:t>
      </w:r>
      <w:proofErr w:type="spellEnd"/>
      <w:r>
        <w:rPr>
          <w:rFonts w:cs="Times New Roman"/>
        </w:rPr>
        <w:t xml:space="preserve">, L., et al. (2013). Abstract Meaning Representation for </w:t>
      </w:r>
      <w:proofErr w:type="spellStart"/>
      <w:r>
        <w:rPr>
          <w:rFonts w:cs="Times New Roman"/>
        </w:rPr>
        <w:t>Sembanking</w:t>
      </w:r>
      <w:proofErr w:type="spellEnd"/>
      <w:r>
        <w:rPr>
          <w:rFonts w:cs="Times New Roman"/>
        </w:rPr>
        <w:t>. Proceedings of the 7th Linguistic Annotation Workshop and Interoperability with Discourse, 178-186.</w:t>
      </w:r>
    </w:p>
    <w:p w14:paraId="117DDD9C" w14:textId="77777777" w:rsidR="00894D55" w:rsidRDefault="00B20FC1">
      <w:r>
        <w:rPr>
          <w:rFonts w:cs="Times New Roman"/>
        </w:rPr>
        <w:t xml:space="preserve">[6] </w:t>
      </w:r>
      <w:proofErr w:type="spellStart"/>
      <w:r>
        <w:rPr>
          <w:rFonts w:cs="Times New Roman"/>
        </w:rPr>
        <w:t>Nivre</w:t>
      </w:r>
      <w:proofErr w:type="spellEnd"/>
      <w:r>
        <w:rPr>
          <w:rFonts w:cs="Times New Roman"/>
        </w:rPr>
        <w:t>, J., et al. (2016). Universal Dependencies v1: A Multilingual Treebank Collection. Proceedings of LREC 2016, 1659-1666.</w:t>
      </w:r>
    </w:p>
    <w:p w14:paraId="24AB6132" w14:textId="77777777" w:rsidR="00894D55" w:rsidRDefault="00B20FC1">
      <w:r>
        <w:rPr>
          <w:rFonts w:cs="Times New Roman"/>
        </w:rPr>
        <w:t>[7] Hogan, A., et al. (2021). Knowledge Graphs. ACM Computing Surveys, 54(4), Article 71. doi:10.1145/3447772.</w:t>
      </w:r>
    </w:p>
    <w:p w14:paraId="5DBC857E" w14:textId="77777777" w:rsidR="00894D55" w:rsidRDefault="00B20FC1">
      <w:r w:rsidRPr="009102B1">
        <w:rPr>
          <w:rFonts w:cs="Times New Roman"/>
          <w:lang w:val="es-ES"/>
        </w:rPr>
        <w:lastRenderedPageBreak/>
        <w:t xml:space="preserve">[8] Marra, G., </w:t>
      </w:r>
      <w:proofErr w:type="spellStart"/>
      <w:r w:rsidRPr="009102B1">
        <w:rPr>
          <w:rFonts w:cs="Times New Roman"/>
          <w:lang w:val="es-ES"/>
        </w:rPr>
        <w:t>Dumancic</w:t>
      </w:r>
      <w:proofErr w:type="spellEnd"/>
      <w:r w:rsidRPr="009102B1">
        <w:rPr>
          <w:rFonts w:cs="Times New Roman"/>
          <w:lang w:val="es-ES"/>
        </w:rPr>
        <w:t xml:space="preserve">, S., </w:t>
      </w:r>
      <w:proofErr w:type="spellStart"/>
      <w:r w:rsidRPr="009102B1">
        <w:rPr>
          <w:rFonts w:cs="Times New Roman"/>
          <w:lang w:val="es-ES"/>
        </w:rPr>
        <w:t>Manhaeve</w:t>
      </w:r>
      <w:proofErr w:type="spellEnd"/>
      <w:r w:rsidRPr="009102B1">
        <w:rPr>
          <w:rFonts w:cs="Times New Roman"/>
          <w:lang w:val="es-ES"/>
        </w:rPr>
        <w:t xml:space="preserve">, R., &amp; De </w:t>
      </w:r>
      <w:proofErr w:type="spellStart"/>
      <w:r w:rsidRPr="009102B1">
        <w:rPr>
          <w:rFonts w:cs="Times New Roman"/>
          <w:lang w:val="es-ES"/>
        </w:rPr>
        <w:t>Raedt</w:t>
      </w:r>
      <w:proofErr w:type="spellEnd"/>
      <w:r w:rsidRPr="009102B1">
        <w:rPr>
          <w:rFonts w:cs="Times New Roman"/>
          <w:lang w:val="es-ES"/>
        </w:rPr>
        <w:t xml:space="preserve">, L. (2024). </w:t>
      </w:r>
      <w:r>
        <w:rPr>
          <w:rFonts w:cs="Times New Roman"/>
        </w:rPr>
        <w:t xml:space="preserve">From statistical relational to </w:t>
      </w:r>
      <w:proofErr w:type="spellStart"/>
      <w:r>
        <w:rPr>
          <w:rFonts w:cs="Times New Roman"/>
        </w:rPr>
        <w:t>neurosymbolic</w:t>
      </w:r>
      <w:proofErr w:type="spellEnd"/>
      <w:r>
        <w:rPr>
          <w:rFonts w:cs="Times New Roman"/>
        </w:rPr>
        <w:t xml:space="preserve"> artificial intelligence: A survey. Artificial Intelligence, 328, 104062. </w:t>
      </w:r>
      <w:proofErr w:type="gramStart"/>
      <w:r>
        <w:rPr>
          <w:rFonts w:cs="Times New Roman"/>
        </w:rPr>
        <w:t>doi:10.1016/j.artint</w:t>
      </w:r>
      <w:proofErr w:type="gramEnd"/>
      <w:r>
        <w:rPr>
          <w:rFonts w:cs="Times New Roman"/>
        </w:rPr>
        <w:t>.2023.104062.</w:t>
      </w:r>
    </w:p>
    <w:p w14:paraId="245A13CF" w14:textId="77777777" w:rsidR="00894D55" w:rsidRDefault="00B20FC1">
      <w:r>
        <w:rPr>
          <w:rFonts w:cs="Times New Roman"/>
        </w:rPr>
        <w:t>[9] Yao, S., et al. (2023). Tree of Thoughts: Deliberate Problem Solving with Large Language Models. arXiv:2305.10601.</w:t>
      </w:r>
    </w:p>
    <w:p w14:paraId="2EB6A84B" w14:textId="77777777" w:rsidR="00894D55" w:rsidRDefault="00B20FC1">
      <w:r>
        <w:rPr>
          <w:rFonts w:cs="Times New Roman"/>
        </w:rPr>
        <w:t xml:space="preserve">[10] </w:t>
      </w:r>
      <w:proofErr w:type="spellStart"/>
      <w:r>
        <w:rPr>
          <w:rFonts w:cs="Times New Roman"/>
        </w:rPr>
        <w:t>Besta</w:t>
      </w:r>
      <w:proofErr w:type="spellEnd"/>
      <w:r>
        <w:rPr>
          <w:rFonts w:cs="Times New Roman"/>
        </w:rPr>
        <w:t>, M., et al. (2024). Graph of Thoughts: Solving Elaborate Problems with Large Language Models. Proceedings of AAAI, 38(16), 17682-17690. doi:10.1609/</w:t>
      </w:r>
      <w:proofErr w:type="gramStart"/>
      <w:r>
        <w:rPr>
          <w:rFonts w:cs="Times New Roman"/>
        </w:rPr>
        <w:t>aaai.v</w:t>
      </w:r>
      <w:proofErr w:type="gramEnd"/>
      <w:r>
        <w:rPr>
          <w:rFonts w:cs="Times New Roman"/>
        </w:rPr>
        <w:t>38i16.29720.</w:t>
      </w:r>
    </w:p>
    <w:p w14:paraId="306312A6" w14:textId="77777777" w:rsidR="00894D55" w:rsidRDefault="00B20FC1">
      <w:r>
        <w:rPr>
          <w:rFonts w:cs="Times New Roman"/>
        </w:rPr>
        <w:t xml:space="preserve">[11] Yao, S., et al. (2023). </w:t>
      </w:r>
      <w:proofErr w:type="spellStart"/>
      <w:r>
        <w:rPr>
          <w:rFonts w:cs="Times New Roman"/>
        </w:rPr>
        <w:t>ReAct</w:t>
      </w:r>
      <w:proofErr w:type="spellEnd"/>
      <w:r>
        <w:rPr>
          <w:rFonts w:cs="Times New Roman"/>
        </w:rPr>
        <w:t>: Synergizing Reasoning and Acting in Language Models. International Conference on Learning Representations (ICLR 2023).</w:t>
      </w:r>
    </w:p>
    <w:p w14:paraId="63CF3621" w14:textId="77777777" w:rsidR="00894D55" w:rsidRDefault="00B20FC1">
      <w:r>
        <w:rPr>
          <w:rFonts w:cs="Times New Roman"/>
        </w:rPr>
        <w:t xml:space="preserve">[12] He, F., et al. (2025). </w:t>
      </w:r>
      <w:proofErr w:type="spellStart"/>
      <w:r>
        <w:rPr>
          <w:rFonts w:cs="Times New Roman"/>
        </w:rPr>
        <w:t>ProtoReasoning</w:t>
      </w:r>
      <w:proofErr w:type="spellEnd"/>
      <w:r>
        <w:rPr>
          <w:rFonts w:cs="Times New Roman"/>
        </w:rPr>
        <w:t>: Prototypes as the Foundation for Generalizable Reasoning in LLMs. arXiv:2506.15211.</w:t>
      </w:r>
    </w:p>
    <w:p w14:paraId="1F5C894D" w14:textId="77777777" w:rsidR="00894D55" w:rsidRDefault="00B20FC1">
      <w:r>
        <w:rPr>
          <w:rFonts w:cs="Times New Roman"/>
        </w:rPr>
        <w:t xml:space="preserve">[13] </w:t>
      </w:r>
      <w:proofErr w:type="spellStart"/>
      <w:r>
        <w:rPr>
          <w:rFonts w:cs="Times New Roman"/>
        </w:rPr>
        <w:t>Lippl</w:t>
      </w:r>
      <w:proofErr w:type="spellEnd"/>
      <w:r>
        <w:rPr>
          <w:rFonts w:cs="Times New Roman"/>
        </w:rPr>
        <w:t>, S., et al. (2025). Algorithmic Primitives and Compositional Geometry of Reasoning in Language Models. arXiv:2510.15987.</w:t>
      </w:r>
    </w:p>
    <w:p w14:paraId="3C0C055F" w14:textId="77777777" w:rsidR="00894D55" w:rsidRDefault="00B20FC1">
      <w:r>
        <w:rPr>
          <w:rFonts w:cs="Times New Roman"/>
        </w:rPr>
        <w:t xml:space="preserve">[14] </w:t>
      </w:r>
      <w:proofErr w:type="spellStart"/>
      <w:r>
        <w:rPr>
          <w:rFonts w:cs="Times New Roman"/>
        </w:rPr>
        <w:t>Leucker</w:t>
      </w:r>
      <w:proofErr w:type="spellEnd"/>
      <w:r>
        <w:rPr>
          <w:rFonts w:cs="Times New Roman"/>
        </w:rPr>
        <w:t xml:space="preserve">, M., &amp; </w:t>
      </w:r>
      <w:proofErr w:type="spellStart"/>
      <w:r>
        <w:rPr>
          <w:rFonts w:cs="Times New Roman"/>
        </w:rPr>
        <w:t>Schallhart</w:t>
      </w:r>
      <w:proofErr w:type="spellEnd"/>
      <w:r>
        <w:rPr>
          <w:rFonts w:cs="Times New Roman"/>
        </w:rPr>
        <w:t xml:space="preserve">, C. (2009). A brief account of runtime verification. Journal of Logic and Algebraic Programming, 78(5), 293-303. </w:t>
      </w:r>
      <w:proofErr w:type="gramStart"/>
      <w:r>
        <w:rPr>
          <w:rFonts w:cs="Times New Roman"/>
        </w:rPr>
        <w:t>doi:10.1016/j.jlap</w:t>
      </w:r>
      <w:proofErr w:type="gramEnd"/>
      <w:r>
        <w:rPr>
          <w:rFonts w:cs="Times New Roman"/>
        </w:rPr>
        <w:t>.2008.08.004.</w:t>
      </w:r>
    </w:p>
    <w:p w14:paraId="3436E268" w14:textId="77777777" w:rsidR="00894D55" w:rsidRDefault="00B20FC1">
      <w:r>
        <w:rPr>
          <w:rFonts w:cs="Times New Roman"/>
        </w:rPr>
        <w:t xml:space="preserve">[15] Chen, L., </w:t>
      </w:r>
      <w:proofErr w:type="spellStart"/>
      <w:r>
        <w:rPr>
          <w:rFonts w:cs="Times New Roman"/>
        </w:rPr>
        <w:t>Zaharia</w:t>
      </w:r>
      <w:proofErr w:type="spellEnd"/>
      <w:r>
        <w:rPr>
          <w:rFonts w:cs="Times New Roman"/>
        </w:rPr>
        <w:t xml:space="preserve">, M., &amp; Zou, J. (2023). </w:t>
      </w:r>
      <w:proofErr w:type="spellStart"/>
      <w:r>
        <w:rPr>
          <w:rFonts w:cs="Times New Roman"/>
        </w:rPr>
        <w:t>FrugalGPT</w:t>
      </w:r>
      <w:proofErr w:type="spellEnd"/>
      <w:r>
        <w:rPr>
          <w:rFonts w:cs="Times New Roman"/>
        </w:rPr>
        <w:t>: How to Use Large Language Models While Reducing Cost and Improving Performance. arXiv:2305.05176.</w:t>
      </w:r>
    </w:p>
    <w:p w14:paraId="389881E7" w14:textId="77777777" w:rsidR="00894D55" w:rsidRDefault="00B20FC1">
      <w:pPr>
        <w:keepNext/>
        <w:spacing w:before="120"/>
      </w:pPr>
      <w:r>
        <w:rPr>
          <w:rFonts w:cs="Times New Roman"/>
          <w:b/>
        </w:rPr>
        <w:t>1.3</w:t>
      </w:r>
      <w:r>
        <w:rPr>
          <w:rFonts w:cs="Times New Roman"/>
          <w:b/>
        </w:rPr>
        <w:tab/>
        <w:t>Plausibility of methodology</w:t>
      </w:r>
    </w:p>
    <w:p w14:paraId="4DBC57C1" w14:textId="77777777" w:rsidR="00894D55" w:rsidRDefault="00B20FC1">
      <w:pPr>
        <w:keepNext/>
        <w:spacing w:before="60" w:after="40"/>
      </w:pPr>
      <w:r>
        <w:rPr>
          <w:rFonts w:cs="Times New Roman"/>
          <w:b/>
        </w:rPr>
        <w:t>Methodological principle and underlying assumptions</w:t>
      </w:r>
    </w:p>
    <w:p w14:paraId="4D7F62FA" w14:textId="77777777" w:rsidR="00894D55" w:rsidRDefault="00B20FC1">
      <w:r>
        <w:rPr>
          <w:rFonts w:cs="Times New Roman"/>
        </w:rPr>
        <w:t xml:space="preserve">MDPAR-H is designed as a staged falsification </w:t>
      </w:r>
      <w:proofErr w:type="spellStart"/>
      <w:r>
        <w:rPr>
          <w:rFonts w:cs="Times New Roman"/>
        </w:rPr>
        <w:t>programme</w:t>
      </w:r>
      <w:proofErr w:type="spellEnd"/>
      <w:r>
        <w:rPr>
          <w:rFonts w:cs="Times New Roman"/>
        </w:rPr>
        <w:t xml:space="preserve"> rather than a demonstration </w:t>
      </w:r>
      <w:proofErr w:type="spellStart"/>
      <w:r>
        <w:rPr>
          <w:rFonts w:cs="Times New Roman"/>
        </w:rPr>
        <w:t>programme</w:t>
      </w:r>
      <w:proofErr w:type="spellEnd"/>
      <w:r>
        <w:rPr>
          <w:rFonts w:cs="Times New Roman"/>
        </w:rPr>
        <w:t xml:space="preserve">. It separates five evidential questions that must not be collapsed: whether a structural proposition follows from the adopted formalism; whether an implemented mechanism </w:t>
      </w:r>
      <w:proofErr w:type="spellStart"/>
      <w:r>
        <w:rPr>
          <w:rFonts w:cs="Times New Roman"/>
        </w:rPr>
        <w:t>realises</w:t>
      </w:r>
      <w:proofErr w:type="spellEnd"/>
      <w:r>
        <w:rPr>
          <w:rFonts w:cs="Times New Roman"/>
        </w:rPr>
        <w:t xml:space="preserve"> that proposition as specified; whether the mechanism survives controlled internal perturbation; whether the property </w:t>
      </w:r>
      <w:proofErr w:type="spellStart"/>
      <w:r>
        <w:rPr>
          <w:rFonts w:cs="Times New Roman"/>
        </w:rPr>
        <w:t>generalises</w:t>
      </w:r>
      <w:proofErr w:type="spellEnd"/>
      <w:r>
        <w:rPr>
          <w:rFonts w:cs="Times New Roman"/>
        </w:rPr>
        <w:t xml:space="preserve"> empirically beyond the representation/model/domain in which it was first observed; and whether it survives independently engineered architectures and physical coupling. The first questions are not made probabilistic merely because the later questions require statistical evidence. MDPAR v2.2.0, C0-C12 and the Swagger product surface provide Background </w:t>
      </w:r>
      <w:proofErr w:type="spellStart"/>
      <w:r>
        <w:rPr>
          <w:rFonts w:cs="Times New Roman"/>
        </w:rPr>
        <w:t>formalisation</w:t>
      </w:r>
      <w:proofErr w:type="spellEnd"/>
      <w:r>
        <w:rPr>
          <w:rFonts w:cs="Times New Roman"/>
        </w:rPr>
        <w:t>, instrumentation, internal DEVELOPMENT evidence and operational feasibility. They are not prospective confirmation of the maximal external domain claimed by the MDPAR Hypothesis.</w:t>
      </w:r>
    </w:p>
    <w:p w14:paraId="2B04DED3" w14:textId="77777777" w:rsidR="00894D55" w:rsidRDefault="00B20FC1">
      <w:r>
        <w:rPr>
          <w:rFonts w:cs="Times New Roman"/>
        </w:rPr>
        <w:t>The working assumptions are deliberately testable. A1: candidate structural properties can be defined independently of task accuracy. A2: semantic observations from heterogeneous systems can be projected into a common structural description without importing most of their domain ontology. A3: exact equivalence, weaker correspondence and incompatibility can be operationally distinguished. A4: longitudinal structural, epistemic and execution authority can remain inspectable outside the semantic provider. A5: provider/model substitution can occur without silently transferring ownership of the surrounding cognitive state. A6: at least a subset of properties identified in symbolic cognition may remain meaningful under multimodal and physical coupling. Failure of A2, A4, A5 or A6 directly delimits the hypothesis.</w:t>
      </w:r>
    </w:p>
    <w:p w14:paraId="74E4FB7F" w14:textId="77777777" w:rsidR="00894D55" w:rsidRDefault="00B20FC1">
      <w:pPr>
        <w:keepNext/>
        <w:spacing w:before="60" w:after="40"/>
      </w:pPr>
      <w:r>
        <w:rPr>
          <w:rFonts w:cs="Times New Roman"/>
          <w:b/>
        </w:rPr>
        <w:t>Evidence model, claim discipline and preregistration</w:t>
      </w:r>
    </w:p>
    <w:p w14:paraId="0F9135D8" w14:textId="77777777" w:rsidR="00894D55" w:rsidRDefault="00B20FC1">
      <w:r>
        <w:rPr>
          <w:rFonts w:cs="Times New Roman"/>
        </w:rPr>
        <w:t>The project extends the evidence doctrine already developed in MDPAR into a prospective lifecycle: DEVELOPMENT -&gt; CONFIRMATORY -&gt; FROZEN. During DEVELOPMENT, instruments, candidate invariants, adapters and diagnostics may be refined. Before confirmatory exposure, the applicable hypothesis, invariant set, admissible transformations, endpoints, comparison rules, datasets/task generators, model settings, repetitions, failure taxonomy and analysis plan will be preregistered and version-frozen. CONFIRMATORY runs will then be executed without adapting the rule to observed outcomes. FROZEN packages retain supportive, negative, mixed and non-estimable results with immutable provenance.</w:t>
      </w:r>
    </w:p>
    <w:p w14:paraId="50CB58F0" w14:textId="77777777" w:rsidR="00894D55" w:rsidRDefault="00B20FC1">
      <w:r>
        <w:rPr>
          <w:rFonts w:cs="Times New Roman"/>
        </w:rPr>
        <w:t xml:space="preserve">A parallel claim-status scale will prevent category inflation: IMPLEMENTED means present in software; VERIFIED means checked against specification; OBSERVED means measured experimentally; REPLICATED means independently reproduced; GENERALISED WITHIN TESTED SUPPORT means preservation has been demonstrated only over an explicitly declared support matrix; and NOT ESTABLISHED is used for extrapolation beyond that matrix. No internal v2.2.0 result will be retrospectively promoted to independent replication or </w:t>
      </w:r>
      <w:proofErr w:type="spellStart"/>
      <w:r>
        <w:rPr>
          <w:rFonts w:cs="Times New Roman"/>
        </w:rPr>
        <w:t>generalisation</w:t>
      </w:r>
      <w:proofErr w:type="spellEnd"/>
      <w:r>
        <w:rPr>
          <w:rFonts w:cs="Times New Roman"/>
        </w:rPr>
        <w:t>.</w:t>
      </w:r>
    </w:p>
    <w:p w14:paraId="241FD53E" w14:textId="77777777" w:rsidR="00894D55" w:rsidRDefault="00B20FC1">
      <w:r>
        <w:rPr>
          <w:rFonts w:cs="Times New Roman"/>
        </w:rPr>
        <w:t>A held-out design is central to avoiding circular validation. Domain-language-model combinations, transformation families and, where feasible, complete task families will be reserved from metrological development and disclosed only after freeze. Confirmatory data will not be used to redefine SCC state meaning, relax equivalence criteria or lower adapter-minimality thresholds. If a definition changes after exposure, the affected result remains historical evidence and the revised definition begins a new prospective cycle.</w:t>
      </w:r>
    </w:p>
    <w:p w14:paraId="74446E22" w14:textId="77777777" w:rsidR="00894D55" w:rsidRDefault="00B20FC1">
      <w:pPr>
        <w:keepNext/>
        <w:spacing w:before="60" w:after="40"/>
      </w:pPr>
      <w:r>
        <w:rPr>
          <w:rFonts w:cs="Times New Roman"/>
          <w:b/>
        </w:rPr>
        <w:lastRenderedPageBreak/>
        <w:t>Use of the pre-existing C0-C12 campaign</w:t>
      </w:r>
    </w:p>
    <w:p w14:paraId="0041FA8D" w14:textId="77777777" w:rsidR="00894D55" w:rsidRDefault="00B20FC1">
      <w:r>
        <w:rPr>
          <w:rFonts w:cs="Times New Roman"/>
        </w:rPr>
        <w:t>C0-C12 will be used to design the prospective experiment, not counted as its confirmatory answer. The campaign is scientifically valuable precisely because it already exposes failure modes that future tests must preserve: observer false positives and loss of specificity (C1); grounding failure and UNEVALUABLE outcomes (C2); deterministic formal calculation distinct from neural observation (C3); correspondence without exact identity (C4); conditional accuracy with explicit coverage (C5); longitudinal unresolved states and invalid OPEN claims (C6); deterministic policy/gold boundaries (C7-C8); non-monotonic compute economics (C9); temporal authority (C10); and certification-sensitive degradation/recovery without stale authority (C11-C12). These phenomena become prespecified controls, not post-hoc explanations.</w:t>
      </w:r>
    </w:p>
    <w:p w14:paraId="7E35B1C9" w14:textId="77777777" w:rsidR="00894D55" w:rsidRDefault="00B20FC1">
      <w:r>
        <w:rPr>
          <w:rFonts w:cs="Times New Roman"/>
        </w:rPr>
        <w:t xml:space="preserve">The Swagger probe adds a complementary methodological lesson. The operational pipeline can preserve a canonical deterministic core while OPEN semantic observations vary. In the pre-project vertical probe, OPEN stability was VARIATION_OBSERVED rather than exact. MDPAR-H will therefore quantify observer stochasticity prospectively and will never retry neural calls until a convenient structural projection appears. Human-readable reports will remain derived </w:t>
      </w:r>
      <w:proofErr w:type="spellStart"/>
      <w:r>
        <w:rPr>
          <w:rFonts w:cs="Times New Roman"/>
        </w:rPr>
        <w:t>realisations</w:t>
      </w:r>
      <w:proofErr w:type="spellEnd"/>
      <w:r>
        <w:rPr>
          <w:rFonts w:cs="Times New Roman"/>
        </w:rPr>
        <w:t>; the canonical evidence state, not presentation fluency, is the analysis authority.</w:t>
      </w:r>
    </w:p>
    <w:p w14:paraId="6CF25F8F" w14:textId="77777777" w:rsidR="00894D55" w:rsidRDefault="00B20FC1">
      <w:pPr>
        <w:keepNext/>
        <w:spacing w:before="60" w:after="40"/>
      </w:pPr>
      <w:r>
        <w:rPr>
          <w:rFonts w:cs="Times New Roman"/>
          <w:b/>
        </w:rPr>
        <w:t>Year 1 - Formal freeze and adversarial symbolic delimitation</w:t>
      </w:r>
    </w:p>
    <w:p w14:paraId="2948DC9F" w14:textId="77777777" w:rsidR="00894D55" w:rsidRDefault="00B20FC1">
      <w:r>
        <w:rPr>
          <w:rFonts w:cs="Times New Roman"/>
        </w:rPr>
        <w:t xml:space="preserve">Year 1 </w:t>
      </w:r>
      <w:proofErr w:type="spellStart"/>
      <w:r>
        <w:rPr>
          <w:rFonts w:cs="Times New Roman"/>
        </w:rPr>
        <w:t>operationalises</w:t>
      </w:r>
      <w:proofErr w:type="spellEnd"/>
      <w:r>
        <w:rPr>
          <w:rFonts w:cs="Times New Roman"/>
        </w:rPr>
        <w:t xml:space="preserve"> O1-O2. The mature SCC/trajectory formalism will first be converted into a versioned confirmatory specification. Occurrence identity, order, SCC projection, typed relations, recurrence/closure, exact equivalence, weaker correspondence, admissible transformations, provenance and structural-semantic boundaries will be linked to executable conformance tests. Candidate invariants will be classified by claim strength so that coarse preservation cannot be reported as exact identity and semantic task success cannot substitute for structural preservation.</w:t>
      </w:r>
    </w:p>
    <w:p w14:paraId="6B449A59" w14:textId="77777777" w:rsidR="00894D55" w:rsidRDefault="00B20FC1">
      <w:r>
        <w:rPr>
          <w:rFonts w:cs="Times New Roman"/>
        </w:rPr>
        <w:t xml:space="preserve">The symbolic campaign will cross domains, languages, model families, provider classes, capacities, representation formats, routing policies and controlled transformations. Positive controls will verify recovery of structure known by construction to be preserved. Negative controls will include cases with similar semantics or identical final answers but deliberately incompatible dependency/order/relation structure. Adversarial perturbations will alter </w:t>
      </w:r>
      <w:proofErr w:type="spellStart"/>
      <w:r>
        <w:rPr>
          <w:rFonts w:cs="Times New Roman"/>
        </w:rPr>
        <w:t>lexicalisation</w:t>
      </w:r>
      <w:proofErr w:type="spellEnd"/>
      <w:r>
        <w:rPr>
          <w:rFonts w:cs="Times New Roman"/>
        </w:rPr>
        <w:t>, notation, observation order, information availability, representation or semantic observer while selectively preserving/breaking formal properties. This dual sensitivity/specificity design is essential: a universal-looking metric that accepts both intended matches and intended non-matches will be rejected as non-discriminative.</w:t>
      </w:r>
    </w:p>
    <w:p w14:paraId="41E23953" w14:textId="77777777" w:rsidR="00894D55" w:rsidRDefault="00B20FC1">
      <w:r>
        <w:rPr>
          <w:rFonts w:cs="Times New Roman"/>
        </w:rPr>
        <w:t xml:space="preserve">Attribution will rely on prospectively specified contrasts and ablations rather than aggregate performance alone. Contrasts will include external structural continuity versus model-context continuity; exact equivalence versus coarse graph descriptors; fixed versus adaptive cognition acquisition; shared-ontology baselines versus ontology-light projection; semantic observer changes with structural rules fixed; and structural component removal/substitution. The aim is to attribute observed effects to structure, observer quality, routing, provider stochasticity, scheduling or backend </w:t>
      </w:r>
      <w:proofErr w:type="spellStart"/>
      <w:r>
        <w:rPr>
          <w:rFonts w:cs="Times New Roman"/>
        </w:rPr>
        <w:t>behaviour</w:t>
      </w:r>
      <w:proofErr w:type="spellEnd"/>
      <w:r>
        <w:rPr>
          <w:rFonts w:cs="Times New Roman"/>
        </w:rPr>
        <w:t xml:space="preserve"> rather than collapse them into one score.</w:t>
      </w:r>
    </w:p>
    <w:p w14:paraId="1EBDFBB2" w14:textId="77777777" w:rsidR="00894D55" w:rsidRDefault="00B20FC1">
      <w:pPr>
        <w:keepNext/>
        <w:spacing w:before="60" w:after="40"/>
      </w:pPr>
      <w:r>
        <w:rPr>
          <w:rFonts w:cs="Times New Roman"/>
          <w:b/>
        </w:rPr>
        <w:t>Measurement, failure semantics and statistical inference</w:t>
      </w:r>
    </w:p>
    <w:p w14:paraId="796DADA2" w14:textId="77777777" w:rsidR="00894D55" w:rsidRDefault="00B20FC1">
      <w:r>
        <w:rPr>
          <w:rFonts w:cs="Times New Roman"/>
        </w:rPr>
        <w:t>MDPAR-H will preserve explicit outcome semantics. Structural preservation/violation, exact equivalence, partial correspondence, UNKNOWN, NOT_ESTIMABLE, UNEVALUABLE, grounding failure, provider/transport failure, adapter failure, runtime failure, certification failure, protocol violation and invariant violation will remain distinct states. Missing or non-comparable evidence will not be converted into zero or a neutral score. Repetition will be used only when stochasticity/repeatability is itself part of the prespecified question.</w:t>
      </w:r>
    </w:p>
    <w:p w14:paraId="7FAB151C" w14:textId="77777777" w:rsidR="00894D55" w:rsidRDefault="00B20FC1">
      <w:r>
        <w:rPr>
          <w:rFonts w:cs="Times New Roman"/>
        </w:rPr>
        <w:t xml:space="preserve">Formal endpoints and empirical </w:t>
      </w:r>
      <w:proofErr w:type="spellStart"/>
      <w:r>
        <w:rPr>
          <w:rFonts w:cs="Times New Roman"/>
        </w:rPr>
        <w:t>generalisation</w:t>
      </w:r>
      <w:proofErr w:type="spellEnd"/>
      <w:r>
        <w:rPr>
          <w:rFonts w:cs="Times New Roman"/>
        </w:rPr>
        <w:t xml:space="preserve"> endpoints will be </w:t>
      </w:r>
      <w:proofErr w:type="spellStart"/>
      <w:r>
        <w:rPr>
          <w:rFonts w:cs="Times New Roman"/>
        </w:rPr>
        <w:t>analysed</w:t>
      </w:r>
      <w:proofErr w:type="spellEnd"/>
      <w:r>
        <w:rPr>
          <w:rFonts w:cs="Times New Roman"/>
        </w:rPr>
        <w:t xml:space="preserve"> separately. Exact validity for an individual structure is determined by the formal comparison rule; statistical inference does not replace that rule. Across experimental populations, preservation rates, false-match rates, discriminability, repeatability, adapter burden, coverage, latency and computational-resource measures will be reported with uncertainty intervals and effect sizes. Paired designs will be used for controlled variants; hierarchical or mixed-effects models will be used for observations nested across tasks, domains, languages, models/providers or laboratories. Multiplicity will be controlled for confirmatory invariant families, and sample sizes will be justified prospectively by target precision and/or power for the relevant empirical endpoint.</w:t>
      </w:r>
    </w:p>
    <w:p w14:paraId="6155DDB6" w14:textId="77777777" w:rsidR="00894D55" w:rsidRDefault="00B20FC1">
      <w:r>
        <w:rPr>
          <w:rFonts w:cs="Times New Roman"/>
        </w:rPr>
        <w:t xml:space="preserve">The existing Capability x Scientific Axis x Economic Ledger doctrine will be retained but kept subordinate to scientific validity. Capability identifies the mechanism under test; scientific axes distinguish formal performance, attribution and </w:t>
      </w:r>
      <w:proofErr w:type="spellStart"/>
      <w:r>
        <w:rPr>
          <w:rFonts w:cs="Times New Roman"/>
        </w:rPr>
        <w:t>generalisation</w:t>
      </w:r>
      <w:proofErr w:type="spellEnd"/>
      <w:r>
        <w:rPr>
          <w:rFonts w:cs="Times New Roman"/>
        </w:rPr>
        <w:t>; the operational ledger separates compute/cost (C), time (T), infrastructure (I), maintenance (M) and capability/quality (Q). The v2.2.0 C9 result demonstrates why this separation matters: reasoning and wall time can decrease while total token work increases. Resource claims will therefore be accepted only when the required capability, authority and safety floor is preserved.</w:t>
      </w:r>
    </w:p>
    <w:p w14:paraId="362789C7" w14:textId="77777777" w:rsidR="00894D55" w:rsidRDefault="00B20FC1">
      <w:pPr>
        <w:keepNext/>
        <w:spacing w:before="60" w:after="40"/>
      </w:pPr>
      <w:r>
        <w:rPr>
          <w:rFonts w:cs="Times New Roman"/>
          <w:b/>
        </w:rPr>
        <w:lastRenderedPageBreak/>
        <w:t>Year 2 - Independent cross-system falsification and interoperability</w:t>
      </w:r>
    </w:p>
    <w:p w14:paraId="25DD5808" w14:textId="77777777" w:rsidR="00894D55" w:rsidRDefault="00B20FC1">
      <w:r>
        <w:rPr>
          <w:rFonts w:cs="Times New Roman"/>
        </w:rPr>
        <w:t xml:space="preserve">Year 2 </w:t>
      </w:r>
      <w:proofErr w:type="spellStart"/>
      <w:r>
        <w:rPr>
          <w:rFonts w:cs="Times New Roman"/>
        </w:rPr>
        <w:t>operationalises</w:t>
      </w:r>
      <w:proofErr w:type="spellEnd"/>
      <w:r>
        <w:rPr>
          <w:rFonts w:cs="Times New Roman"/>
        </w:rPr>
        <w:t xml:space="preserve"> O3 and is the principal independence test. Target systems will be independently engineered reasoners, planners and symbolic/neuro-symbolic systems that possess their own native representations and can operate without MDPAR. They will not be redesigned to conform to SCC. Observable states, decisions, traces or formal artefacts will be exposed through minimal interfaces and projected only after native execution. A property found only among components designed jointly with MDPAR remains compatible with architectural self-similarity, not provider-independent invariance.</w:t>
      </w:r>
    </w:p>
    <w:p w14:paraId="37870259" w14:textId="77777777" w:rsidR="00894D55" w:rsidRDefault="00B20FC1">
      <w:r>
        <w:rPr>
          <w:rFonts w:cs="Times New Roman"/>
        </w:rPr>
        <w:t>Cross-system adapters become experimental objects rather than invisible engineering glue. For each integration the project will quantify interface size, mapping complexity, domain-specific rules/vocabulary, semantic burden and ontology import. Adapter-minimality thresholds will be fixed prospectively for each system class. Where feasible, adapter construction and structural scoring will be separated across partners, and at least one independent replication will be performed without involvement of the original MDPAR implementation team in the scoring step.</w:t>
      </w:r>
    </w:p>
    <w:p w14:paraId="5171E932" w14:textId="77777777" w:rsidR="00894D55" w:rsidRDefault="00B20FC1">
      <w:r>
        <w:rPr>
          <w:rFonts w:cs="Times New Roman"/>
        </w:rPr>
        <w:t xml:space="preserve">Shared benchmark tasks will contain expected matches and expected non-matches. Success therefore requires both recovery and rejection: systems that reach the same answer through structurally incompatible trajectories must not be declared invariant. </w:t>
      </w:r>
      <w:proofErr w:type="spellStart"/>
      <w:r>
        <w:rPr>
          <w:rFonts w:cs="Times New Roman"/>
        </w:rPr>
        <w:t>DeepRAP</w:t>
      </w:r>
      <w:proofErr w:type="spellEnd"/>
      <w:r>
        <w:rPr>
          <w:rFonts w:cs="Times New Roman"/>
        </w:rPr>
        <w:t xml:space="preserve"> portfolio systems are particularly valuable because they provide heterogeneous external architectures not selected or designed by MDPAR-H. Portfolio interoperability thus doubles as adversarial hypothesis testing.</w:t>
      </w:r>
    </w:p>
    <w:p w14:paraId="1A0C0D57" w14:textId="77777777" w:rsidR="00894D55" w:rsidRDefault="00B20FC1">
      <w:pPr>
        <w:keepNext/>
        <w:spacing w:before="60" w:after="40"/>
      </w:pPr>
      <w:r>
        <w:rPr>
          <w:rFonts w:cs="Times New Roman"/>
          <w:b/>
        </w:rPr>
        <w:t>Year 3 - Multimodal and embodied falsification</w:t>
      </w:r>
    </w:p>
    <w:p w14:paraId="5B6884D7" w14:textId="77777777" w:rsidR="00894D55" w:rsidRDefault="00B20FC1">
      <w:r>
        <w:rPr>
          <w:rFonts w:cs="Times New Roman"/>
        </w:rPr>
        <w:t xml:space="preserve">Year 3 </w:t>
      </w:r>
      <w:proofErr w:type="spellStart"/>
      <w:r>
        <w:rPr>
          <w:rFonts w:cs="Times New Roman"/>
        </w:rPr>
        <w:t>operationalises</w:t>
      </w:r>
      <w:proofErr w:type="spellEnd"/>
      <w:r>
        <w:rPr>
          <w:rFonts w:cs="Times New Roman"/>
        </w:rPr>
        <w:t xml:space="preserve"> O4 by introducing physical and temporal causality. The loop will couple perception -&gt; state estimation -&gt; semantic/structural interpretation -&gt; planning -&gt; action commitment -&gt; physical consequence -&gt; new perception. Tests progress from controlled simulation to laboratory embodiment so that world coupling can be separated from task difficulty. The embodied-AI/robotics partner will provide an independently engineered perception-action stack; success will not be defined as MDPAR merely issuing commands.</w:t>
      </w:r>
    </w:p>
    <w:p w14:paraId="53BD1BD3" w14:textId="77777777" w:rsidR="00894D55" w:rsidRDefault="00B20FC1">
      <w:r>
        <w:rPr>
          <w:rFonts w:cs="Times New Roman"/>
        </w:rPr>
        <w:t>Controlled perturbations will include partial observability, occlusion, sensor noise/disagreement, delayed or lost observations, replanning, deadlines, actuator constraints/failure, environment and goal changes, model substitution, frontier loss/recovery and fallback to constrained local cognition. The analysis will compare symbolic, simulated embodied and physical embodied trajectory classes and determine which Year-1/Year-2 properties remain preserved, weaken into another class, or cease to be identifiable. Temporal authority remains prospective: information arriving after a committed action may update future state but cannot retroactively rewrite the authority state that governed that action.</w:t>
      </w:r>
    </w:p>
    <w:p w14:paraId="18E140D3" w14:textId="77777777" w:rsidR="00894D55" w:rsidRDefault="00B20FC1">
      <w:r>
        <w:rPr>
          <w:rFonts w:cs="Times New Roman"/>
        </w:rPr>
        <w:t>A failure of embodied invariance will not be mitigated by redefining task success as support for the hypothesis. It will delimit the result to symbolic/partially situated cognition or identify structural notions requiring reformulation. This is intentionally the highest-risk stage.</w:t>
      </w:r>
    </w:p>
    <w:p w14:paraId="1480A9F5" w14:textId="77777777" w:rsidR="00894D55" w:rsidRDefault="00B20FC1">
      <w:pPr>
        <w:keepNext/>
        <w:spacing w:before="60" w:after="40"/>
      </w:pPr>
      <w:r>
        <w:rPr>
          <w:rFonts w:cs="Times New Roman"/>
          <w:b/>
        </w:rPr>
        <w:t>TRL4 integration without conflating demonstration and hypothesis support</w:t>
      </w:r>
    </w:p>
    <w:p w14:paraId="2704E489" w14:textId="77777777" w:rsidR="00894D55" w:rsidRDefault="00B20FC1">
      <w:r>
        <w:rPr>
          <w:rFonts w:cs="Times New Roman"/>
        </w:rPr>
        <w:t>O5 integrates only the mechanisms that survive the relevant scientific gates into a laboratory cognitive-AI demonstrator. Year 2 will produce an integrated symbolic demonstrator exposing reasoning, abstraction, planning, provenance, uncertainty, structural state and authority; Year 3 will extend it with multimodal and embodied components. The TRL4 capability floor will require competent task performance together with valid structural state, explicit uncertainty, authority integrity, reproducibility and safe handling of predefined faults. High task success cannot compensate for stale authority, hidden uncertainty or violated structural contracts. Conversely, the demonstrator may remain technologically useful if the strongest universality claim is narrowed or falsified.</w:t>
      </w:r>
    </w:p>
    <w:p w14:paraId="01C02F05" w14:textId="77777777" w:rsidR="00894D55" w:rsidRDefault="00B20FC1">
      <w:pPr>
        <w:keepNext/>
        <w:spacing w:before="60" w:after="40"/>
      </w:pPr>
      <w:r>
        <w:rPr>
          <w:rFonts w:cs="Times New Roman"/>
          <w:b/>
        </w:rPr>
        <w:t>Technical robustness, traceability and reproducibility</w:t>
      </w:r>
    </w:p>
    <w:p w14:paraId="44D87EB9" w14:textId="77777777" w:rsidR="00894D55" w:rsidRDefault="00B20FC1">
      <w:r>
        <w:rPr>
          <w:rFonts w:cs="Times New Roman"/>
        </w:rPr>
        <w:t>Technical robustness will be built into each evidence package rather than assessed only at the final demonstrator. Confirmatory packages will bind source/binary or interface version, MDPAR/adapter version, model/provider identity and settings, corpus/generator version, task configuration, hardware/runtime profile, analysis code, timestamps and retained outputs through machine-readable manifests and cryptographic hashes. Deterministic and neural boundaries will be recorded separately; retry semantics, transport errors, grounding failures and certification state will be explicit.</w:t>
      </w:r>
    </w:p>
    <w:p w14:paraId="408269FC" w14:textId="77777777" w:rsidR="00894D55" w:rsidRDefault="00B20FC1">
      <w:r>
        <w:rPr>
          <w:rFonts w:cs="Times New Roman"/>
        </w:rPr>
        <w:t xml:space="preserve">The pre-existing v2.2.0 operational contract provides a useful integration pattern: a canonical machine-readable analysis is the source of truth, while reports are derived </w:t>
      </w:r>
      <w:proofErr w:type="spellStart"/>
      <w:r>
        <w:rPr>
          <w:rFonts w:cs="Times New Roman"/>
        </w:rPr>
        <w:t>realisations</w:t>
      </w:r>
      <w:proofErr w:type="spellEnd"/>
      <w:r>
        <w:rPr>
          <w:rFonts w:cs="Times New Roman"/>
        </w:rPr>
        <w:t xml:space="preserve"> with no authority to rewrite canonical findings. MDPAR-H will </w:t>
      </w:r>
      <w:proofErr w:type="spellStart"/>
      <w:r>
        <w:rPr>
          <w:rFonts w:cs="Times New Roman"/>
        </w:rPr>
        <w:t>generalise</w:t>
      </w:r>
      <w:proofErr w:type="spellEnd"/>
      <w:r>
        <w:rPr>
          <w:rFonts w:cs="Times New Roman"/>
        </w:rPr>
        <w:t xml:space="preserve"> this provenance discipline to external systems. Reproducibility claims will state their exact level: deterministic re-execution where possible, stochastic replication where necessary, and controlled verification arrangements where Background IP prevents unrestricted end-to-end execution. No output will be described as independently reproducible beyond what access actually permits.</w:t>
      </w:r>
    </w:p>
    <w:p w14:paraId="6628ACCE" w14:textId="77777777" w:rsidR="00894D55" w:rsidRDefault="00B20FC1">
      <w:pPr>
        <w:keepNext/>
        <w:spacing w:before="60" w:after="40"/>
      </w:pPr>
      <w:r>
        <w:rPr>
          <w:rFonts w:cs="Times New Roman"/>
          <w:b/>
        </w:rPr>
        <w:lastRenderedPageBreak/>
        <w:t>Interdisciplinary integration</w:t>
      </w:r>
    </w:p>
    <w:p w14:paraId="417A46E2" w14:textId="77777777" w:rsidR="00894D55" w:rsidRDefault="00B20FC1">
      <w:r>
        <w:rPr>
          <w:rFonts w:cs="Times New Roman"/>
        </w:rPr>
        <w:t xml:space="preserve">The methodology requires substantive integration of cognitive science/experimental psychology, formal methods and knowledge representation, experimental AI/computer science, quantitative measurement, and embodied AI/robotics. Cognitive science defines the inferential construct and guards against equating task success with the target phenomenon; formal methods make identity, transformation, validity and falsification explicit; experimental AI supplies heterogeneous observers/reasoners/planners, ablations and compute-aware evaluation; quantitative methodology estimates empirical </w:t>
      </w:r>
      <w:proofErr w:type="spellStart"/>
      <w:r>
        <w:rPr>
          <w:rFonts w:cs="Times New Roman"/>
        </w:rPr>
        <w:t>generalisation</w:t>
      </w:r>
      <w:proofErr w:type="spellEnd"/>
      <w:r>
        <w:rPr>
          <w:rFonts w:cs="Times New Roman"/>
        </w:rPr>
        <w:t xml:space="preserve"> without replacing formal validity; and robotics introduces partial observability, real-time action and irreversible world consequences. These disciplines are coupled by the same evidential object rather than contributing parallel workstreams.</w:t>
      </w:r>
    </w:p>
    <w:p w14:paraId="0AFE2319" w14:textId="77777777" w:rsidR="00894D55" w:rsidRDefault="00B20FC1">
      <w:pPr>
        <w:keepNext/>
        <w:spacing w:before="60" w:after="40"/>
      </w:pPr>
      <w:r>
        <w:rPr>
          <w:rFonts w:cs="Times New Roman"/>
          <w:b/>
        </w:rPr>
        <w:t>High-risk issues and scientific decision rules</w:t>
      </w:r>
    </w:p>
    <w:p w14:paraId="52952523" w14:textId="77777777" w:rsidR="00894D55" w:rsidRDefault="00B20FC1">
      <w:r>
        <w:rPr>
          <w:rFonts w:cs="Times New Roman"/>
          <w:b/>
        </w:rPr>
        <w:t xml:space="preserve">R1 - </w:t>
      </w:r>
      <w:r>
        <w:rPr>
          <w:rFonts w:cs="Times New Roman"/>
        </w:rPr>
        <w:t xml:space="preserve">Encoding artefact: apparent invariants may be properties of MDPAR representation; addressed through held-out combinations, alternative representations, ablations and independent Year-2 systems. R2 - Semantic leakage: adapters may reconstruct a hidden ontology; measured through mapping complexity, semantic burden and ontology import. R3 - Weak discrimination: a permissive metric may accept too many structures; attacked with constructed non-matches and false-match endpoints. R4 - Stochastic observer instability: already observed at the product boundary; quantified prospectively without retry-to-success. R5 - Certification drift: provider availability may be confused with </w:t>
      </w:r>
      <w:proofErr w:type="spellStart"/>
      <w:r>
        <w:rPr>
          <w:rFonts w:cs="Times New Roman"/>
        </w:rPr>
        <w:t>authorised</w:t>
      </w:r>
      <w:proofErr w:type="spellEnd"/>
      <w:r>
        <w:rPr>
          <w:rFonts w:cs="Times New Roman"/>
        </w:rPr>
        <w:t xml:space="preserve"> capability; certification is versioned and tested separately from availability. R6 - Symbolic-only invariance: properties may disappear under perception/action coupling; Year 3 is designed to expose that boundary. R7 - Integration success mistaken for scientific confirmation: task/TRL endpoints and hypothesis endpoints are reported separately.</w:t>
      </w:r>
    </w:p>
    <w:p w14:paraId="3EBE8C40" w14:textId="77777777" w:rsidR="00894D55" w:rsidRDefault="00B20FC1">
      <w:pPr>
        <w:keepNext/>
        <w:spacing w:before="60" w:after="40"/>
      </w:pPr>
      <w:r>
        <w:rPr>
          <w:rFonts w:cs="Times New Roman"/>
          <w:b/>
        </w:rPr>
        <w:t>Sex and gender dimension in the research content</w:t>
      </w:r>
    </w:p>
    <w:p w14:paraId="2F17599A" w14:textId="77777777" w:rsidR="00894D55" w:rsidRDefault="00B20FC1">
      <w:r>
        <w:rPr>
          <w:rFonts w:cs="Times New Roman"/>
        </w:rPr>
        <w:t xml:space="preserve">No sex- or gender-dependent mechanism is </w:t>
      </w:r>
      <w:proofErr w:type="spellStart"/>
      <w:r>
        <w:rPr>
          <w:rFonts w:cs="Times New Roman"/>
        </w:rPr>
        <w:t>hypothesised</w:t>
      </w:r>
      <w:proofErr w:type="spellEnd"/>
      <w:r>
        <w:rPr>
          <w:rFonts w:cs="Times New Roman"/>
        </w:rPr>
        <w:t xml:space="preserve"> for the core structural-invariance experiments, whose units of analysis are artificial cognitive systems, representations and trajectories. Sex/gender will therefore not be introduced as an artificial covariate into O1-O4. Its relevance will be reassessed prospectively before any human-participant or substantively human-facing demonstrator study. If such a study is included, relevant sampling, language/perception, interaction and outcome considerations will be specified before data collection and reported transparently.</w:t>
      </w:r>
    </w:p>
    <w:p w14:paraId="2DD5476E" w14:textId="77777777" w:rsidR="00894D55" w:rsidRDefault="00B20FC1">
      <w:pPr>
        <w:keepNext/>
        <w:spacing w:before="60" w:after="40"/>
      </w:pPr>
      <w:r>
        <w:rPr>
          <w:rFonts w:cs="Times New Roman"/>
          <w:b/>
        </w:rPr>
        <w:t>Open Science, FAIR outputs and IP boundary</w:t>
      </w:r>
    </w:p>
    <w:p w14:paraId="6A2222AC" w14:textId="77777777" w:rsidR="00894D55" w:rsidRDefault="00B20FC1">
      <w:r>
        <w:rPr>
          <w:rFonts w:cs="Times New Roman"/>
        </w:rPr>
        <w:t>Open Science will be part of the experimental method. Confirmatory hypotheses and analysis plans will be preregistered where this does not disclose protectable implementation details; benchmark specifications, structural schemas, metric definitions, counterexamples/negative results, non-sensitive task material, evaluation code and sufficient run-level metadata for independent scrutiny will be released as early as scientifically and legally appropriate. Project publications will be Open Access and project-generated outputs will use persistent identifiers, versioning and machine-readable provenance. A Data Management Plan will be delivered by Month 6 and updated throughout the project.</w:t>
      </w:r>
    </w:p>
    <w:p w14:paraId="3A9906E9" w14:textId="638FE0C2" w:rsidR="00894D55" w:rsidRDefault="00B20FC1">
      <w:r>
        <w:rPr>
          <w:rFonts w:cs="Times New Roman"/>
        </w:rPr>
        <w:t>The project begins with a persistent pre-project evidence boundary rather than creating reproducibility infrastructure after award. Zenodo DOI will identify the citable MDPAR-docs release, and [GITHUB URL] will expose the corresponding version-controlled scientific documentation, thesis manuscript, run catalogue and benchmark falsification commands. During the action, confirmatory freezes will receive new immutable release identifiers rather than overwriting the Background record. This allows reviewers, replicators and portfolio partners to distinguish pre-project provenance from funded Foreground and to reconstruct exactly which specification governed each result.</w:t>
      </w:r>
    </w:p>
    <w:p w14:paraId="1BAAFE1A" w14:textId="77777777" w:rsidR="00894D55" w:rsidRDefault="00B20FC1">
      <w:r>
        <w:rPr>
          <w:rFonts w:cs="Times New Roman"/>
        </w:rPr>
        <w:t>MDPAR v2.2.0, including the pre-existing SCC/trajectory formalism, runtime/parser/engine/routing architecture, OPEN/CLOSED mechanisms, C0-C12 evidence infrastructure, Swagger service surface and associated know-how, is Background IP. MDPAR-H will distinguish this Background from project-generated scientific and technical results. Protecting the production implementation will not be used to overstate reproducibility or withhold evidence required to test the scientific claims. Reusable project benchmarks, schemas, metrics and verification assets will receive explicit reuse terms compatible with their scientific purpose wherever possible.</w:t>
      </w:r>
    </w:p>
    <w:p w14:paraId="09E2DCAD" w14:textId="77777777" w:rsidR="00894D55" w:rsidRDefault="00B20FC1">
      <w:pPr>
        <w:keepNext/>
        <w:spacing w:before="60" w:after="40"/>
      </w:pPr>
      <w:r>
        <w:rPr>
          <w:rFonts w:cs="Times New Roman"/>
          <w:b/>
        </w:rPr>
        <w:t>Do no significant harm</w:t>
      </w:r>
    </w:p>
    <w:p w14:paraId="5F389949" w14:textId="77777777" w:rsidR="00894D55" w:rsidRDefault="00B20FC1">
      <w:r>
        <w:rPr>
          <w:rFonts w:cs="Times New Roman"/>
        </w:rPr>
        <w:t xml:space="preserve">The work is predominantly software, formal analysis, controlled computing and laboratory robotics; no significant environmental harm is expected. Compute use will be instrumented and </w:t>
      </w:r>
      <w:proofErr w:type="spellStart"/>
      <w:r>
        <w:rPr>
          <w:rFonts w:cs="Times New Roman"/>
        </w:rPr>
        <w:t>minimised</w:t>
      </w:r>
      <w:proofErr w:type="spellEnd"/>
      <w:r>
        <w:rPr>
          <w:rFonts w:cs="Times New Roman"/>
        </w:rPr>
        <w:t xml:space="preserve"> subject to capability and validity floors, rather than treated as an </w:t>
      </w:r>
      <w:proofErr w:type="spellStart"/>
      <w:r>
        <w:rPr>
          <w:rFonts w:cs="Times New Roman"/>
        </w:rPr>
        <w:t>optimisation</w:t>
      </w:r>
      <w:proofErr w:type="spellEnd"/>
      <w:r>
        <w:rPr>
          <w:rFonts w:cs="Times New Roman"/>
        </w:rPr>
        <w:t xml:space="preserve"> target that can override scientific quality. Embodied work will follow institutional laboratory safety procedures and the project will avoid deployment claims beyond controlled TRL4 validation.</w:t>
      </w:r>
    </w:p>
    <w:p w14:paraId="195D6774" w14:textId="77777777" w:rsidR="00894D55" w:rsidRDefault="00B20FC1">
      <w:pPr>
        <w:keepNext/>
        <w:pageBreakBefore/>
        <w:spacing w:before="120"/>
      </w:pPr>
      <w:r>
        <w:rPr>
          <w:rFonts w:cs="Times New Roman"/>
          <w:b/>
        </w:rPr>
        <w:lastRenderedPageBreak/>
        <w:t>2.</w:t>
      </w:r>
      <w:r>
        <w:rPr>
          <w:rFonts w:cs="Times New Roman"/>
          <w:b/>
        </w:rPr>
        <w:tab/>
        <w:t>Impact</w:t>
      </w:r>
    </w:p>
    <w:p w14:paraId="2F569021" w14:textId="77777777" w:rsidR="00894D55" w:rsidRDefault="00B20FC1">
      <w:pPr>
        <w:keepNext/>
        <w:spacing w:before="120"/>
      </w:pPr>
      <w:r>
        <w:rPr>
          <w:rFonts w:cs="Times New Roman"/>
          <w:b/>
        </w:rPr>
        <w:t>2.1</w:t>
      </w:r>
      <w:r>
        <w:rPr>
          <w:rFonts w:cs="Times New Roman"/>
          <w:b/>
        </w:rPr>
        <w:tab/>
        <w:t>Potential Impact</w:t>
      </w:r>
    </w:p>
    <w:p w14:paraId="26E4044D" w14:textId="77777777" w:rsidR="00894D55" w:rsidRDefault="00B20FC1">
      <w:pPr>
        <w:keepNext/>
        <w:spacing w:before="60" w:after="40"/>
      </w:pPr>
      <w:r>
        <w:rPr>
          <w:rFonts w:cs="Times New Roman"/>
          <w:b/>
        </w:rPr>
        <w:t>Impact logic and unique contribution</w:t>
      </w:r>
    </w:p>
    <w:p w14:paraId="1485CE4C" w14:textId="77777777" w:rsidR="00894D55" w:rsidRDefault="00B20FC1">
      <w:r>
        <w:rPr>
          <w:rFonts w:cs="Times New Roman"/>
        </w:rPr>
        <w:t xml:space="preserve">MDPAR-H's impact is conditional on evidence, not on the production of another stand-alone reasoning model. Its unique contribution is to determine whether a non-trivial part of cognitive </w:t>
      </w:r>
      <w:proofErr w:type="spellStart"/>
      <w:r>
        <w:rPr>
          <w:rFonts w:cs="Times New Roman"/>
        </w:rPr>
        <w:t>organisation</w:t>
      </w:r>
      <w:proofErr w:type="spellEnd"/>
      <w:r>
        <w:rPr>
          <w:rFonts w:cs="Times New Roman"/>
        </w:rPr>
        <w:t xml:space="preserve"> can be represented, compared and governed in an external structural layer while semantic competence remains supplied by heterogeneous models or systems. Strong support would open a new class of reusable cognitive infrastructure in which inferential state, provenance, uncertainty, continuity and operational authority remain inspectable outside the semantic provider. Partial support would define the domains in which that separation is valid and useful. Falsification of the strongest claim would still yield formal boundaries, counterexamples, comparative metrology and assurance assets that prevent unsupported assumptions from propagating into future cognitive-AI architectures. The impact pathway therefore survives scientific narrowing while its scale increases with the independence and breadth of the invariants that survive testing.</w:t>
      </w:r>
    </w:p>
    <w:p w14:paraId="6C4808A8" w14:textId="77777777" w:rsidR="00894D55" w:rsidRDefault="00B20FC1">
      <w:r>
        <w:rPr>
          <w:rFonts w:cs="Times New Roman"/>
        </w:rPr>
        <w:t>The deeper architectural consequence is a change in the unit to which cognitive capability is attributed. A language model or reasoner can supply high semantic capability without necessarily owning the process in which that capability participates. If the separation survives Year-2 independence testing, model capacity and system capacity cease to be synonyms: system-level continuity can emerge from governed composition of heterogeneous capabilities over persistent structural state. This is the basis for the project's interoperability, resilience, sovereignty and exploitation pathways; it is an architectural consequence to be externally delimited, not a claim that any provider can already be replaced without adaptation.</w:t>
      </w:r>
    </w:p>
    <w:p w14:paraId="22810713" w14:textId="77777777" w:rsidR="00894D55" w:rsidRDefault="00B20FC1">
      <w:pPr>
        <w:keepNext/>
        <w:spacing w:before="60" w:after="40"/>
      </w:pPr>
      <w:r>
        <w:rPr>
          <w:rFonts w:cs="Times New Roman"/>
          <w:b/>
        </w:rPr>
        <w:t>Societal impact - scalable access to auditable and contestable cognitive analysis</w:t>
      </w:r>
    </w:p>
    <w:p w14:paraId="4AF92910" w14:textId="77777777" w:rsidR="00894D55" w:rsidRDefault="00B20FC1">
      <w:r>
        <w:rPr>
          <w:rFonts w:cs="Times New Roman"/>
        </w:rPr>
        <w:t xml:space="preserve">The potentially largest long-term impact is societal: lowering the cost of making complex AI-assisted reasoning inspectable and contestable without transferring professional or institutional authority to the AI. Evidence-intensive activities in legal and administrative work, scientific assessment, safety and incident investigation, compliance, financial analysis, medical-legal review, contracts and digital forensics all require reconstruction of what was observed, alleged, inferred, corroborated, missing, revised and </w:t>
      </w:r>
      <w:proofErr w:type="spellStart"/>
      <w:r>
        <w:rPr>
          <w:rFonts w:cs="Times New Roman"/>
        </w:rPr>
        <w:t>authorised</w:t>
      </w:r>
      <w:proofErr w:type="spellEnd"/>
      <w:r>
        <w:rPr>
          <w:rFonts w:cs="Times New Roman"/>
        </w:rPr>
        <w:t xml:space="preserve">. MDPAR-H will test whether a common structural layer can preserve those distinctions across heterogeneous semantic systems. The intended effect is not automated adjudication or expert replacement, but scalable analytical discipline: more cases and </w:t>
      </w:r>
      <w:proofErr w:type="spellStart"/>
      <w:r>
        <w:rPr>
          <w:rFonts w:cs="Times New Roman"/>
        </w:rPr>
        <w:t>organisations</w:t>
      </w:r>
      <w:proofErr w:type="spellEnd"/>
      <w:r>
        <w:rPr>
          <w:rFonts w:cs="Times New Roman"/>
        </w:rPr>
        <w:t xml:space="preserve"> could obtain explicit evidence-to-inference structure, provenance and uncertainty while the competent human or institution retains responsibility for conclusions and action.</w:t>
      </w:r>
    </w:p>
    <w:p w14:paraId="53A91763" w14:textId="77777777" w:rsidR="00894D55" w:rsidRDefault="00B20FC1">
      <w:r>
        <w:rPr>
          <w:rFonts w:cs="Times New Roman"/>
        </w:rPr>
        <w:t>The pre-project v2.2.0 operational surface makes this pathway concrete without converting it into an impact claim. Its assessment contract separates submitted evidence, semantic observation, canonical structural analysis and derived reporting; retains provenance and hashes; preserves UNKNOWN and unexamined surfaces; and prevents the report layer from rewriting canonical findings. A pre-project legal-document probe further showed that the same mechanism can distinguish direct statements, third-party information, inferential attribution and missing technical bridges while refusing to infer guilt, innocence or documentary authenticity. Such probes are feasibility evidence only. MDPAR-H will quantify, prospectively and across validated workflow classes, whether this architecture reduces professional handling time or computational cost while preserving coverage, contestability and authority. Any economic estimate will be reported as measured, derived or scenario-based rather than extrapolated from a single operation.</w:t>
      </w:r>
    </w:p>
    <w:p w14:paraId="18F3233C" w14:textId="77777777" w:rsidR="00894D55" w:rsidRDefault="00B20FC1">
      <w:r>
        <w:rPr>
          <w:rFonts w:cs="Times New Roman"/>
        </w:rPr>
        <w:t>This extends trustworthiness beyond explanation as an accompanying narrative. MDPAR's stronger target is contestability: preserving enough of the evidence-to-observation-to-structure-to-authority path that a competent third party can reconstruct what entered the analysis, what was observed, what was calculated or inferred, what remained UNKNOWN or unexamined, which component intervened and what authority it possessed. The architecture cannot guarantee factual truth, institutional fairness or legal validity. It can make the conditions under which those questions must be answered explicit and technically inspectable.</w:t>
      </w:r>
    </w:p>
    <w:p w14:paraId="429B6859" w14:textId="77777777" w:rsidR="00894D55" w:rsidRDefault="00B20FC1">
      <w:pPr>
        <w:keepNext/>
        <w:spacing w:before="60" w:after="40"/>
      </w:pPr>
      <w:r>
        <w:rPr>
          <w:rFonts w:cs="Times New Roman"/>
          <w:b/>
        </w:rPr>
        <w:t>European sovereignty and strategic autonomy</w:t>
      </w:r>
    </w:p>
    <w:p w14:paraId="5EFEF6F8" w14:textId="77777777" w:rsidR="00894D55" w:rsidRDefault="00B20FC1">
      <w:pPr>
        <w:keepNext/>
      </w:pPr>
      <w:r>
        <w:rPr>
          <w:rFonts w:cs="Times New Roman"/>
          <w:b/>
        </w:rPr>
        <w:t>Resource-efficiency implication.</w:t>
      </w:r>
      <w:r>
        <w:rPr>
          <w:rFonts w:cs="Times New Roman"/>
        </w:rPr>
        <w:t xml:space="preserve"> The same separation changes the economic unit of analysis. The relevant question is not simply which model uses the fewest tokens, but which minimum sufficient capability should be assigned to each bounded cognitive responsibility while preserving quality and authority floors. Pre-project C9 evidence already shows why one-dimensional efficiency claims are unsafe: reductions in deep-reasoning use and wall time can coexist with increased total token work. MDPAR-H will therefore report compute, latency, interruption, migration/substitution and quality/authority effects separately and will preserve the distinction between measured results, derived quantities and scenario-based economic implications.</w:t>
      </w:r>
    </w:p>
    <w:p w14:paraId="765583B9" w14:textId="77777777" w:rsidR="00894D55" w:rsidRDefault="00B20FC1">
      <w:r>
        <w:rPr>
          <w:rFonts w:cs="Times New Roman"/>
        </w:rPr>
        <w:t xml:space="preserve">The sovereignty contribution is architectural rather than rhetorical. MDPAR-H tests whether semantic capability and cognitive ownership can be separated: a frontier model, local model, symbolic reasoner or planner may provide </w:t>
      </w:r>
      <w:r>
        <w:rPr>
          <w:rFonts w:cs="Times New Roman"/>
        </w:rPr>
        <w:lastRenderedPageBreak/>
        <w:t xml:space="preserve">observations or competence without necessarily owning longitudinal structural state, routing policy, provenance, epistemic status, certification or action authority. If Year-2 independence tests support this separation, European </w:t>
      </w:r>
      <w:proofErr w:type="spellStart"/>
      <w:r>
        <w:rPr>
          <w:rFonts w:cs="Times New Roman"/>
        </w:rPr>
        <w:t>organisations</w:t>
      </w:r>
      <w:proofErr w:type="spellEnd"/>
      <w:r>
        <w:rPr>
          <w:rFonts w:cs="Times New Roman"/>
        </w:rPr>
        <w:t xml:space="preserve"> could substitute, combine or degrade semantic providers according to availability, cost, policy, jurisdiction or data-governance requirements while retaining continuity and authority in an </w:t>
      </w:r>
      <w:proofErr w:type="spellStart"/>
      <w:r>
        <w:rPr>
          <w:rFonts w:cs="Times New Roman"/>
        </w:rPr>
        <w:t>organisation</w:t>
      </w:r>
      <w:proofErr w:type="spellEnd"/>
      <w:r>
        <w:rPr>
          <w:rFonts w:cs="Times New Roman"/>
        </w:rPr>
        <w:t xml:space="preserve">-controlled cognitive layer. The v2.2.0 baseline provides only DEVELOPMENT evidence for this possibility: C9 distinguishes governed cognition acquisition from simple token </w:t>
      </w:r>
      <w:proofErr w:type="spellStart"/>
      <w:r>
        <w:rPr>
          <w:rFonts w:cs="Times New Roman"/>
        </w:rPr>
        <w:t>minimisation</w:t>
      </w:r>
      <w:proofErr w:type="spellEnd"/>
      <w:r>
        <w:rPr>
          <w:rFonts w:cs="Times New Roman"/>
        </w:rPr>
        <w:t>, C10 separates validity from temporal authority, and C11-C12 preserve continuity and debt/recovery semantics through provider degradation. MDPAR-H will determine whether those properties remain portable across independently engineered systems and embodiment.</w:t>
      </w:r>
    </w:p>
    <w:p w14:paraId="49AB452B" w14:textId="77777777" w:rsidR="00894D55" w:rsidRDefault="00B20FC1">
      <w:pPr>
        <w:keepNext/>
        <w:spacing w:before="60" w:after="40"/>
      </w:pPr>
      <w:r>
        <w:rPr>
          <w:rFonts w:cs="Times New Roman"/>
          <w:b/>
        </w:rPr>
        <w:t>Scientific, technological and economic impact</w:t>
      </w:r>
    </w:p>
    <w:p w14:paraId="4A89714A" w14:textId="77777777" w:rsidR="00894D55" w:rsidRDefault="00B20FC1">
      <w:r>
        <w:rPr>
          <w:rFonts w:cs="Times New Roman"/>
        </w:rPr>
        <w:t>Scientifically, MDPAR-H will establish, delimit or falsify a measurable class of structural invariants across cognitive systems and release a comparative metrology for reasoning, abstraction and planning. Technologically, it will produce structural schemas, anti-leakage adapter criteria, provenance and authority conventions, cross-system benchmarks, evidence packages and a TRL4 demonstrator in which semantic capability, structural state and operational authority are separately inspectable. Economically, it will test two distinct propositions: whether expensive cognition can be acquired selectively, and whether structural/control mechanisms can be reused across providers or products without sacrificing a predefined capability, authority or safety floor. The C-T-I-M-Q ledger will keep compute/cost, time, infrastructure, maintenance and capability/quality separate. This is essential because the v2.2.0 C9 evidence already shows that reasoning and wall time may fall while total token work rises; MDPAR-H will therefore reject simplistic 'fewer tokens = greater efficiency' claims.</w:t>
      </w:r>
    </w:p>
    <w:p w14:paraId="15CC0897" w14:textId="77777777" w:rsidR="00894D55" w:rsidRDefault="00B20FC1">
      <w:pPr>
        <w:keepNext/>
        <w:spacing w:before="60" w:after="40"/>
      </w:pPr>
      <w:r>
        <w:rPr>
          <w:rFonts w:cs="Times New Roman"/>
          <w:b/>
        </w:rPr>
        <w:t xml:space="preserve">Contribution to </w:t>
      </w:r>
      <w:proofErr w:type="spellStart"/>
      <w:r>
        <w:rPr>
          <w:rFonts w:cs="Times New Roman"/>
          <w:b/>
        </w:rPr>
        <w:t>DeepRAP</w:t>
      </w:r>
      <w:proofErr w:type="spellEnd"/>
      <w:r>
        <w:rPr>
          <w:rFonts w:cs="Times New Roman"/>
          <w:b/>
        </w:rPr>
        <w:t xml:space="preserve"> outcomes, target groups, scale and significance</w:t>
      </w:r>
    </w:p>
    <w:tbl>
      <w:tblPr>
        <w:tblW w:w="0" w:type="auto"/>
        <w:jc w:val="center"/>
        <w:tblCellMar>
          <w:top w:w="40" w:type="dxa"/>
          <w:left w:w="60" w:type="dxa"/>
          <w:bottom w:w="40" w:type="dxa"/>
          <w:right w:w="60" w:type="dxa"/>
        </w:tblCellMar>
        <w:tblLook w:val="04A0" w:firstRow="1" w:lastRow="0" w:firstColumn="1" w:lastColumn="0" w:noHBand="0" w:noVBand="1"/>
      </w:tblPr>
      <w:tblGrid>
        <w:gridCol w:w="2470"/>
        <w:gridCol w:w="2744"/>
        <w:gridCol w:w="2762"/>
        <w:gridCol w:w="2340"/>
      </w:tblGrid>
      <w:tr w:rsidR="00894D55" w14:paraId="48367A94" w14:textId="77777777">
        <w:trPr>
          <w:tblHeader/>
          <w:jc w:val="center"/>
        </w:trPr>
        <w:tc>
          <w:tcPr>
            <w:tcW w:w="2154" w:type="dxa"/>
            <w:tcMar>
              <w:top w:w="25" w:type="dxa"/>
              <w:left w:w="55" w:type="dxa"/>
              <w:bottom w:w="25" w:type="dxa"/>
              <w:right w:w="55" w:type="dxa"/>
            </w:tcMar>
          </w:tcPr>
          <w:p w14:paraId="4F724120" w14:textId="77777777" w:rsidR="00894D55" w:rsidRDefault="00B20FC1">
            <w:pPr>
              <w:spacing w:after="0"/>
            </w:pPr>
            <w:r>
              <w:rPr>
                <w:rFonts w:cs="Times New Roman"/>
                <w:b/>
              </w:rPr>
              <w:t>Target group</w:t>
            </w:r>
          </w:p>
        </w:tc>
        <w:tc>
          <w:tcPr>
            <w:tcW w:w="3345" w:type="dxa"/>
            <w:tcMar>
              <w:top w:w="25" w:type="dxa"/>
              <w:left w:w="55" w:type="dxa"/>
              <w:bottom w:w="25" w:type="dxa"/>
              <w:right w:w="55" w:type="dxa"/>
            </w:tcMar>
          </w:tcPr>
          <w:p w14:paraId="6D395245" w14:textId="77777777" w:rsidR="00894D55" w:rsidRDefault="00B20FC1">
            <w:pPr>
              <w:spacing w:after="0"/>
            </w:pPr>
            <w:r>
              <w:rPr>
                <w:rFonts w:cs="Times New Roman"/>
                <w:b/>
              </w:rPr>
              <w:t>Direct project-enabled benefit</w:t>
            </w:r>
          </w:p>
        </w:tc>
        <w:tc>
          <w:tcPr>
            <w:tcW w:w="2948" w:type="dxa"/>
            <w:tcMar>
              <w:top w:w="25" w:type="dxa"/>
              <w:left w:w="55" w:type="dxa"/>
              <w:bottom w:w="25" w:type="dxa"/>
              <w:right w:w="55" w:type="dxa"/>
            </w:tcMar>
          </w:tcPr>
          <w:p w14:paraId="4B16259D" w14:textId="77777777" w:rsidR="00894D55" w:rsidRDefault="00B20FC1">
            <w:pPr>
              <w:spacing w:after="0"/>
            </w:pPr>
            <w:proofErr w:type="spellStart"/>
            <w:r>
              <w:rPr>
                <w:rFonts w:cs="Times New Roman"/>
                <w:b/>
              </w:rPr>
              <w:t>DeepRAP</w:t>
            </w:r>
            <w:proofErr w:type="spellEnd"/>
            <w:r>
              <w:rPr>
                <w:rFonts w:cs="Times New Roman"/>
                <w:b/>
              </w:rPr>
              <w:t xml:space="preserve"> contribution</w:t>
            </w:r>
          </w:p>
        </w:tc>
        <w:tc>
          <w:tcPr>
            <w:tcW w:w="1871" w:type="dxa"/>
            <w:tcMar>
              <w:top w:w="25" w:type="dxa"/>
              <w:left w:w="55" w:type="dxa"/>
              <w:bottom w:w="25" w:type="dxa"/>
              <w:right w:w="55" w:type="dxa"/>
            </w:tcMar>
          </w:tcPr>
          <w:p w14:paraId="2BADDE50" w14:textId="77777777" w:rsidR="00894D55" w:rsidRDefault="00B20FC1">
            <w:pPr>
              <w:spacing w:after="0"/>
            </w:pPr>
            <w:r>
              <w:rPr>
                <w:rFonts w:cs="Times New Roman"/>
                <w:b/>
              </w:rPr>
              <w:t>Scale / significance indicator</w:t>
            </w:r>
          </w:p>
        </w:tc>
      </w:tr>
      <w:tr w:rsidR="00894D55" w14:paraId="5FB3F48A" w14:textId="77777777">
        <w:trPr>
          <w:jc w:val="center"/>
        </w:trPr>
        <w:tc>
          <w:tcPr>
            <w:tcW w:w="2551" w:type="dxa"/>
            <w:tcMar>
              <w:top w:w="25" w:type="dxa"/>
              <w:left w:w="55" w:type="dxa"/>
              <w:bottom w:w="25" w:type="dxa"/>
              <w:right w:w="55" w:type="dxa"/>
            </w:tcMar>
          </w:tcPr>
          <w:p w14:paraId="6D095F99" w14:textId="77777777" w:rsidR="00894D55" w:rsidRDefault="00B20FC1">
            <w:pPr>
              <w:spacing w:after="0"/>
            </w:pPr>
            <w:r>
              <w:rPr>
                <w:rFonts w:cs="Times New Roman"/>
              </w:rPr>
              <w:t>Cognitive-AI, formal-methods and KR researchers</w:t>
            </w:r>
          </w:p>
        </w:tc>
        <w:tc>
          <w:tcPr>
            <w:tcW w:w="2551" w:type="dxa"/>
            <w:tcMar>
              <w:top w:w="25" w:type="dxa"/>
              <w:left w:w="55" w:type="dxa"/>
              <w:bottom w:w="25" w:type="dxa"/>
              <w:right w:w="55" w:type="dxa"/>
            </w:tcMar>
          </w:tcPr>
          <w:p w14:paraId="1BA556A3" w14:textId="77777777" w:rsidR="00894D55" w:rsidRDefault="00B20FC1">
            <w:pPr>
              <w:spacing w:after="0"/>
            </w:pPr>
            <w:r>
              <w:rPr>
                <w:rFonts w:cs="Times New Roman"/>
              </w:rPr>
              <w:t>Structural theory, benchmarks, negative evidence and comparative metrology.</w:t>
            </w:r>
          </w:p>
        </w:tc>
        <w:tc>
          <w:tcPr>
            <w:tcW w:w="2551" w:type="dxa"/>
            <w:tcMar>
              <w:top w:w="25" w:type="dxa"/>
              <w:left w:w="55" w:type="dxa"/>
              <w:bottom w:w="25" w:type="dxa"/>
              <w:right w:w="55" w:type="dxa"/>
            </w:tcMar>
          </w:tcPr>
          <w:p w14:paraId="30F96DFA" w14:textId="77777777" w:rsidR="00894D55" w:rsidRDefault="00B20FC1">
            <w:pPr>
              <w:spacing w:after="0"/>
            </w:pPr>
            <w:r>
              <w:rPr>
                <w:rFonts w:cs="Times New Roman"/>
              </w:rPr>
              <w:t>New reasoning/trustworthiness metrics; FAIR evidence; Deep Abstraction/Reasoning.</w:t>
            </w:r>
          </w:p>
        </w:tc>
        <w:tc>
          <w:tcPr>
            <w:tcW w:w="2551" w:type="dxa"/>
            <w:tcMar>
              <w:top w:w="25" w:type="dxa"/>
              <w:left w:w="55" w:type="dxa"/>
              <w:bottom w:w="25" w:type="dxa"/>
              <w:right w:w="55" w:type="dxa"/>
            </w:tcMar>
          </w:tcPr>
          <w:p w14:paraId="6BFCE396" w14:textId="77777777" w:rsidR="00894D55" w:rsidRDefault="00B20FC1">
            <w:pPr>
              <w:spacing w:after="0"/>
            </w:pPr>
            <w:r>
              <w:rPr>
                <w:rFonts w:cs="Times New Roman"/>
              </w:rPr>
              <w:t>Independent systems, models, languages, domains/modalities; replication rate.</w:t>
            </w:r>
          </w:p>
        </w:tc>
      </w:tr>
      <w:tr w:rsidR="00894D55" w14:paraId="5B3F147A" w14:textId="77777777">
        <w:trPr>
          <w:jc w:val="center"/>
        </w:trPr>
        <w:tc>
          <w:tcPr>
            <w:tcW w:w="2551" w:type="dxa"/>
            <w:tcMar>
              <w:top w:w="25" w:type="dxa"/>
              <w:left w:w="55" w:type="dxa"/>
              <w:bottom w:w="25" w:type="dxa"/>
              <w:right w:w="55" w:type="dxa"/>
            </w:tcMar>
          </w:tcPr>
          <w:p w14:paraId="15B94680" w14:textId="77777777" w:rsidR="00894D55" w:rsidRDefault="00B20FC1">
            <w:pPr>
              <w:spacing w:after="0"/>
            </w:pPr>
            <w:proofErr w:type="spellStart"/>
            <w:r>
              <w:rPr>
                <w:rFonts w:cs="Times New Roman"/>
              </w:rPr>
              <w:t>DeepRAP</w:t>
            </w:r>
            <w:proofErr w:type="spellEnd"/>
            <w:r>
              <w:rPr>
                <w:rFonts w:cs="Times New Roman"/>
              </w:rPr>
              <w:t xml:space="preserve"> projects and cognitive-system developers</w:t>
            </w:r>
          </w:p>
        </w:tc>
        <w:tc>
          <w:tcPr>
            <w:tcW w:w="2551" w:type="dxa"/>
            <w:tcMar>
              <w:top w:w="25" w:type="dxa"/>
              <w:left w:w="55" w:type="dxa"/>
              <w:bottom w:w="25" w:type="dxa"/>
              <w:right w:w="55" w:type="dxa"/>
            </w:tcMar>
          </w:tcPr>
          <w:p w14:paraId="7FD25358" w14:textId="77777777" w:rsidR="00894D55" w:rsidRDefault="00B20FC1">
            <w:pPr>
              <w:spacing w:after="0"/>
            </w:pPr>
            <w:r>
              <w:rPr>
                <w:rFonts w:cs="Times New Roman"/>
              </w:rPr>
              <w:t>Interoperability protocols and structural comparison without one global semantic ontology.</w:t>
            </w:r>
          </w:p>
        </w:tc>
        <w:tc>
          <w:tcPr>
            <w:tcW w:w="2551" w:type="dxa"/>
            <w:tcMar>
              <w:top w:w="25" w:type="dxa"/>
              <w:left w:w="55" w:type="dxa"/>
              <w:bottom w:w="25" w:type="dxa"/>
              <w:right w:w="55" w:type="dxa"/>
            </w:tcMar>
          </w:tcPr>
          <w:p w14:paraId="42D455AC" w14:textId="77777777" w:rsidR="00894D55" w:rsidRDefault="00B20FC1">
            <w:pPr>
              <w:spacing w:after="0"/>
            </w:pPr>
            <w:r>
              <w:rPr>
                <w:rFonts w:cs="Times New Roman"/>
              </w:rPr>
              <w:t>Benchmark Development, Interoperability, Common Pilots and multi-agent integration where feasible.</w:t>
            </w:r>
          </w:p>
        </w:tc>
        <w:tc>
          <w:tcPr>
            <w:tcW w:w="2551" w:type="dxa"/>
            <w:tcMar>
              <w:top w:w="25" w:type="dxa"/>
              <w:left w:w="55" w:type="dxa"/>
              <w:bottom w:w="25" w:type="dxa"/>
              <w:right w:w="55" w:type="dxa"/>
            </w:tcMar>
          </w:tcPr>
          <w:p w14:paraId="66E78751" w14:textId="77777777" w:rsidR="00894D55" w:rsidRDefault="00B20FC1">
            <w:pPr>
              <w:spacing w:after="0"/>
            </w:pPr>
            <w:r>
              <w:rPr>
                <w:rFonts w:cs="Times New Roman"/>
              </w:rPr>
              <w:t>External integrations; benchmark reuse; adapter burden; match/non-match discrimination.</w:t>
            </w:r>
          </w:p>
        </w:tc>
      </w:tr>
      <w:tr w:rsidR="00894D55" w14:paraId="1C1D25DC" w14:textId="77777777">
        <w:trPr>
          <w:jc w:val="center"/>
        </w:trPr>
        <w:tc>
          <w:tcPr>
            <w:tcW w:w="2551" w:type="dxa"/>
            <w:tcMar>
              <w:top w:w="25" w:type="dxa"/>
              <w:left w:w="55" w:type="dxa"/>
              <w:bottom w:w="25" w:type="dxa"/>
              <w:right w:w="55" w:type="dxa"/>
            </w:tcMar>
          </w:tcPr>
          <w:p w14:paraId="1E01754C" w14:textId="77777777" w:rsidR="00894D55" w:rsidRDefault="00B20FC1">
            <w:pPr>
              <w:spacing w:after="0"/>
            </w:pPr>
            <w:r>
              <w:rPr>
                <w:rFonts w:cs="Times New Roman"/>
              </w:rPr>
              <w:t>Assurance actors and professional/institutional evidence users</w:t>
            </w:r>
          </w:p>
        </w:tc>
        <w:tc>
          <w:tcPr>
            <w:tcW w:w="2551" w:type="dxa"/>
            <w:tcMar>
              <w:top w:w="25" w:type="dxa"/>
              <w:left w:w="55" w:type="dxa"/>
              <w:bottom w:w="25" w:type="dxa"/>
              <w:right w:w="55" w:type="dxa"/>
            </w:tcMar>
          </w:tcPr>
          <w:p w14:paraId="38FDAA71" w14:textId="77777777" w:rsidR="00894D55" w:rsidRDefault="00B20FC1">
            <w:pPr>
              <w:spacing w:after="0"/>
            </w:pPr>
            <w:r>
              <w:rPr>
                <w:rFonts w:cs="Times New Roman"/>
              </w:rPr>
              <w:t>Auditable provenance, uncertainty, authority and failure semantics; potentially lower-cost rigorous evidence structuring with human authority retained.</w:t>
            </w:r>
          </w:p>
        </w:tc>
        <w:tc>
          <w:tcPr>
            <w:tcW w:w="2551" w:type="dxa"/>
            <w:tcMar>
              <w:top w:w="25" w:type="dxa"/>
              <w:left w:w="55" w:type="dxa"/>
              <w:bottom w:w="25" w:type="dxa"/>
              <w:right w:w="55" w:type="dxa"/>
            </w:tcMar>
          </w:tcPr>
          <w:p w14:paraId="768095FA" w14:textId="77777777" w:rsidR="00894D55" w:rsidRDefault="00B20FC1">
            <w:pPr>
              <w:spacing w:after="0"/>
            </w:pPr>
            <w:r>
              <w:rPr>
                <w:rFonts w:cs="Times New Roman"/>
              </w:rPr>
              <w:t>Trustworthiness mechanisms, transparent evaluation and application shaping.</w:t>
            </w:r>
          </w:p>
        </w:tc>
        <w:tc>
          <w:tcPr>
            <w:tcW w:w="2551" w:type="dxa"/>
            <w:tcMar>
              <w:top w:w="25" w:type="dxa"/>
              <w:left w:w="55" w:type="dxa"/>
              <w:bottom w:w="25" w:type="dxa"/>
              <w:right w:w="55" w:type="dxa"/>
            </w:tcMar>
          </w:tcPr>
          <w:p w14:paraId="3E068B5C" w14:textId="77777777" w:rsidR="00894D55" w:rsidRDefault="00B20FC1">
            <w:pPr>
              <w:spacing w:after="0"/>
            </w:pPr>
            <w:r>
              <w:rPr>
                <w:rFonts w:cs="Times New Roman"/>
              </w:rPr>
              <w:t>Provenance/failure coverage; professional time and provider cost per validated workflow; workflow classes validated.</w:t>
            </w:r>
          </w:p>
        </w:tc>
      </w:tr>
      <w:tr w:rsidR="00894D55" w14:paraId="29346C8B" w14:textId="77777777">
        <w:trPr>
          <w:jc w:val="center"/>
        </w:trPr>
        <w:tc>
          <w:tcPr>
            <w:tcW w:w="2551" w:type="dxa"/>
            <w:tcMar>
              <w:top w:w="25" w:type="dxa"/>
              <w:left w:w="55" w:type="dxa"/>
              <w:bottom w:w="25" w:type="dxa"/>
              <w:right w:w="55" w:type="dxa"/>
            </w:tcMar>
          </w:tcPr>
          <w:p w14:paraId="25422FCE" w14:textId="77777777" w:rsidR="00894D55" w:rsidRDefault="00B20FC1">
            <w:pPr>
              <w:spacing w:after="0"/>
            </w:pPr>
            <w:r>
              <w:rPr>
                <w:rFonts w:cs="Times New Roman"/>
              </w:rPr>
              <w:t>European AI integrators, SMEs and public/critical infrastructures</w:t>
            </w:r>
          </w:p>
        </w:tc>
        <w:tc>
          <w:tcPr>
            <w:tcW w:w="2551" w:type="dxa"/>
            <w:tcMar>
              <w:top w:w="25" w:type="dxa"/>
              <w:left w:w="55" w:type="dxa"/>
              <w:bottom w:w="25" w:type="dxa"/>
              <w:right w:w="55" w:type="dxa"/>
            </w:tcMar>
          </w:tcPr>
          <w:p w14:paraId="7730C53A" w14:textId="77777777" w:rsidR="00894D55" w:rsidRDefault="00B20FC1">
            <w:pPr>
              <w:spacing w:after="0"/>
            </w:pPr>
            <w:r>
              <w:rPr>
                <w:rFonts w:cs="Times New Roman"/>
              </w:rPr>
              <w:t xml:space="preserve">Provider-substitutable stacks with </w:t>
            </w:r>
            <w:proofErr w:type="spellStart"/>
            <w:r>
              <w:rPr>
                <w:rFonts w:cs="Times New Roman"/>
              </w:rPr>
              <w:t>organisation</w:t>
            </w:r>
            <w:proofErr w:type="spellEnd"/>
            <w:r>
              <w:rPr>
                <w:rFonts w:cs="Times New Roman"/>
              </w:rPr>
              <w:t>-owned continuity, routing and authority; selective frontier compute.</w:t>
            </w:r>
          </w:p>
        </w:tc>
        <w:tc>
          <w:tcPr>
            <w:tcW w:w="2551" w:type="dxa"/>
            <w:tcMar>
              <w:top w:w="25" w:type="dxa"/>
              <w:left w:w="55" w:type="dxa"/>
              <w:bottom w:w="25" w:type="dxa"/>
              <w:right w:w="55" w:type="dxa"/>
            </w:tcMar>
          </w:tcPr>
          <w:p w14:paraId="250B48A5" w14:textId="77777777" w:rsidR="00894D55" w:rsidRDefault="00B20FC1">
            <w:pPr>
              <w:spacing w:after="0"/>
            </w:pPr>
            <w:r>
              <w:rPr>
                <w:rFonts w:cs="Times New Roman"/>
              </w:rPr>
              <w:t>Constrained-resource cognitive AI; European sovereignty and competitiveness.</w:t>
            </w:r>
          </w:p>
        </w:tc>
        <w:tc>
          <w:tcPr>
            <w:tcW w:w="2551" w:type="dxa"/>
            <w:tcMar>
              <w:top w:w="25" w:type="dxa"/>
              <w:left w:w="55" w:type="dxa"/>
              <w:bottom w:w="25" w:type="dxa"/>
              <w:right w:w="55" w:type="dxa"/>
            </w:tcMar>
          </w:tcPr>
          <w:p w14:paraId="3CEE9E1C" w14:textId="77777777" w:rsidR="00894D55" w:rsidRDefault="00B20FC1">
            <w:pPr>
              <w:spacing w:after="0"/>
            </w:pPr>
            <w:r>
              <w:rPr>
                <w:rFonts w:cs="Times New Roman"/>
              </w:rPr>
              <w:t>Provider substitution; local/frontier continuity; compute/cost/time subject to unchanged capability and safety floors.</w:t>
            </w:r>
          </w:p>
        </w:tc>
      </w:tr>
    </w:tbl>
    <w:p w14:paraId="5B34D833" w14:textId="77777777" w:rsidR="00894D55" w:rsidRDefault="00B20FC1">
      <w:r>
        <w:rPr>
          <w:rFonts w:cs="Times New Roman"/>
        </w:rPr>
        <w:t xml:space="preserve">Scale will be quantified primarily through validated technical reach rather than speculative market size: diversity and number of independent cognitive architectures, domains, languages, modalities and providers; external and </w:t>
      </w:r>
      <w:proofErr w:type="spellStart"/>
      <w:r>
        <w:rPr>
          <w:rFonts w:cs="Times New Roman"/>
        </w:rPr>
        <w:t>DeepRAP</w:t>
      </w:r>
      <w:proofErr w:type="spellEnd"/>
      <w:r>
        <w:rPr>
          <w:rFonts w:cs="Times New Roman"/>
        </w:rPr>
        <w:t xml:space="preserve"> integrations; benchmark reuse; adapter semantic burden; independently reproduced frozen evidence packages; and, where meaningful, professional time, latency and computational resources per validated workflow. Significance will be assessed by the value and integrity of the capability obtained: discrimination between intended matches and non-matches, preservation of provenance and uncertainty, resistance to hidden ontology reconstruction, continuity under provider substitution, authority integrity under failure, and resource changes at an unchanged capability/safety floor. Baselines will include native-system execution, shared-ontology or representation baselines where appropriate, and the frozen v2.2.0 DEVELOPMENT baseline. All project-level quantities will be labelled as measured, derived, scenario or future estimates, with assumptions and uncertainty stated explicitly.</w:t>
      </w:r>
    </w:p>
    <w:p w14:paraId="15571637" w14:textId="77777777" w:rsidR="00894D55" w:rsidRDefault="00B20FC1">
      <w:pPr>
        <w:keepNext/>
        <w:spacing w:before="60" w:after="40"/>
      </w:pPr>
      <w:r>
        <w:rPr>
          <w:rFonts w:cs="Times New Roman"/>
          <w:b/>
        </w:rPr>
        <w:lastRenderedPageBreak/>
        <w:t>Long-term pathways, external barriers and safeguards</w:t>
      </w:r>
    </w:p>
    <w:p w14:paraId="48FBEEDB" w14:textId="77777777" w:rsidR="00894D55" w:rsidRDefault="00B20FC1">
      <w:r>
        <w:rPr>
          <w:rFonts w:cs="Times New Roman"/>
        </w:rPr>
        <w:t xml:space="preserve">Beyond M36, the primary pathway is from validated structural science to reusable measurement infrastructure, portfolio interoperability and, only where evidence warrants it, domain-specific services, assurance tooling and pre-normative </w:t>
      </w:r>
      <w:proofErr w:type="spellStart"/>
      <w:r>
        <w:rPr>
          <w:rFonts w:cs="Times New Roman"/>
        </w:rPr>
        <w:t>standardisation</w:t>
      </w:r>
      <w:proofErr w:type="spellEnd"/>
      <w:r>
        <w:rPr>
          <w:rFonts w:cs="Times New Roman"/>
        </w:rPr>
        <w:t xml:space="preserve">. External barriers include failure of invariants to </w:t>
      </w:r>
      <w:proofErr w:type="spellStart"/>
      <w:r>
        <w:rPr>
          <w:rFonts w:cs="Times New Roman"/>
        </w:rPr>
        <w:t>generalise</w:t>
      </w:r>
      <w:proofErr w:type="spellEnd"/>
      <w:r>
        <w:rPr>
          <w:rFonts w:cs="Times New Roman"/>
        </w:rPr>
        <w:t xml:space="preserve">; excessive adapter or semantic burden; limited access to native system observables; provider/API volatility; standards fragmentation; regulatory and assurance acceptance; transfer failure from symbolic to embodied settings; cybersecurity and data-governance constraints; and market preference for simpler end-to-end systems. MDPAR-H addresses these through minimal interfaces, explicit adapter-burden and ontology-import metrics, multi-provider/local execution, version-bound evidence, </w:t>
      </w:r>
      <w:proofErr w:type="spellStart"/>
      <w:r>
        <w:rPr>
          <w:rFonts w:cs="Times New Roman"/>
        </w:rPr>
        <w:t>DeepRAP</w:t>
      </w:r>
      <w:proofErr w:type="spellEnd"/>
      <w:r>
        <w:rPr>
          <w:rFonts w:cs="Times New Roman"/>
        </w:rPr>
        <w:t xml:space="preserve"> benchmark/interoperability activities, and strict separation between structural evidence primitives and any later certification claim. A negative Year-3 embodiment result will not invalidate a supported symbolic interoperability pathway; it will delimit the exploitable scope.</w:t>
      </w:r>
    </w:p>
    <w:p w14:paraId="04072E37" w14:textId="77777777" w:rsidR="00894D55" w:rsidRDefault="00B20FC1">
      <w:r>
        <w:rPr>
          <w:rFonts w:cs="Times New Roman"/>
        </w:rPr>
        <w:t xml:space="preserve">Potential negative impacts are part of the impact model. Structural analysis could be used to give a predetermined conclusion an appearance of objectivity, amplify automation bias, expose sensitive evidence, </w:t>
      </w:r>
      <w:proofErr w:type="spellStart"/>
      <w:r>
        <w:rPr>
          <w:rFonts w:cs="Times New Roman"/>
        </w:rPr>
        <w:t>centralise</w:t>
      </w:r>
      <w:proofErr w:type="spellEnd"/>
      <w:r>
        <w:rPr>
          <w:rFonts w:cs="Times New Roman"/>
        </w:rPr>
        <w:t xml:space="preserve"> cognitive infrastructure, or be mistaken for legal, medical, regulatory or safety authority. The mitigation is architectural and procedural: OPEN observations do not acquire factual authority merely by entering the system; uncertainty, missing evidence and unexamined surfaces remain explicit; provenance and negative evidence are retained; canonical findings cannot be rewritten by a fluent report layer; access and sensitive-data handling are use-case controlled; and competent humans or institutions remain responsible for domain conclusions. Contestability - the ability to reconstruct and challenge the chain from evidence to inference and from inference to </w:t>
      </w:r>
      <w:proofErr w:type="spellStart"/>
      <w:r>
        <w:rPr>
          <w:rFonts w:cs="Times New Roman"/>
        </w:rPr>
        <w:t>authorised</w:t>
      </w:r>
      <w:proofErr w:type="spellEnd"/>
      <w:r>
        <w:rPr>
          <w:rFonts w:cs="Times New Roman"/>
        </w:rPr>
        <w:t xml:space="preserve"> action - is therefore both a trustworthiness requirement and a societal impact target.</w:t>
      </w:r>
    </w:p>
    <w:p w14:paraId="2284A19D" w14:textId="77777777" w:rsidR="00894D55" w:rsidRDefault="00B20FC1">
      <w:pPr>
        <w:keepNext/>
        <w:pageBreakBefore/>
        <w:spacing w:before="120"/>
      </w:pPr>
      <w:r>
        <w:rPr>
          <w:rFonts w:cs="Times New Roman"/>
          <w:b/>
        </w:rPr>
        <w:lastRenderedPageBreak/>
        <w:t>2.2</w:t>
      </w:r>
      <w:r>
        <w:rPr>
          <w:rFonts w:cs="Times New Roman"/>
          <w:b/>
        </w:rPr>
        <w:tab/>
        <w:t>Innovation potential</w:t>
      </w:r>
    </w:p>
    <w:p w14:paraId="5538CF43" w14:textId="77777777" w:rsidR="00894D55" w:rsidRDefault="00B20FC1">
      <w:pPr>
        <w:keepNext/>
        <w:spacing w:before="60" w:after="40"/>
      </w:pPr>
      <w:r>
        <w:rPr>
          <w:rFonts w:cs="Times New Roman"/>
          <w:b/>
        </w:rPr>
        <w:t>Innovation-to-exploitation logic</w:t>
      </w:r>
    </w:p>
    <w:p w14:paraId="7F742543" w14:textId="77777777" w:rsidR="00894D55" w:rsidRDefault="00B20FC1">
      <w:r>
        <w:rPr>
          <w:rFonts w:cs="Times New Roman"/>
        </w:rPr>
        <w:t xml:space="preserve">MDPAR-H is designed so that exploitation follows the scientific gates rather than presupposing their outcome. The project will not </w:t>
      </w:r>
      <w:proofErr w:type="spellStart"/>
      <w:r>
        <w:rPr>
          <w:rFonts w:cs="Times New Roman"/>
        </w:rPr>
        <w:t>commercialise</w:t>
      </w:r>
      <w:proofErr w:type="spellEnd"/>
      <w:r>
        <w:rPr>
          <w:rFonts w:cs="Times New Roman"/>
        </w:rPr>
        <w:t xml:space="preserve"> the MDPAR Hypothesis; it will convert the mechanisms, interfaces, metrology and domain-of-validity evidence that survive falsification into exploitable assets. If cross-system independence is established, the highest-value innovation is a cognitive control and measurement layer in which heterogeneous semantic providers can be integrated, substituted and audited while structural continuity, provenance, certification and operational authority remain with the deploying </w:t>
      </w:r>
      <w:proofErr w:type="spellStart"/>
      <w:r>
        <w:rPr>
          <w:rFonts w:cs="Times New Roman"/>
        </w:rPr>
        <w:t>organisation</w:t>
      </w:r>
      <w:proofErr w:type="spellEnd"/>
      <w:r>
        <w:rPr>
          <w:rFonts w:cs="Times New Roman"/>
        </w:rPr>
        <w:t>. If support is narrower, exploitation is restricted to the validated domain. If the strongest universality claim is falsified, benchmarks, failure taxonomies, comparative metrology, provenance/authority mechanisms and assurance tooling remain independently exploitable.</w:t>
      </w:r>
    </w:p>
    <w:p w14:paraId="25C67912" w14:textId="77777777" w:rsidR="00894D55" w:rsidRDefault="00B20FC1">
      <w:pPr>
        <w:keepNext/>
        <w:spacing w:before="60" w:after="40"/>
      </w:pPr>
      <w:r>
        <w:rPr>
          <w:rFonts w:cs="Times New Roman"/>
          <w:b/>
        </w:rPr>
        <w:t>Background IP, project results and access rights</w:t>
      </w:r>
    </w:p>
    <w:p w14:paraId="4A1F7996" w14:textId="77777777" w:rsidR="00894D55" w:rsidRDefault="00B20FC1">
      <w:r>
        <w:rPr>
          <w:rFonts w:cs="Times New Roman"/>
        </w:rPr>
        <w:t>Pre-existing MDPAR v2.2.0 will be declared as Background IP rather than as a project result. This Background includes the SCC/trajectory formalism and implementation; runtime, parser, engine, routing and plugin architecture; OPEN/CLOSED and longitudinal mechanisms; C0-C12 evidence infrastructure; the v2.2.0 Swagger assessment surface and associated implementation know-how. Earlier v2.0.0/v2.1.0 states remain historical experimental cuts, not the Background baseline submitted for MDPAR-H. Project-generated results may include prospectively validated invariant classes, metrology, benchmark/task generators, interoperability schemas, adapter protocols, assurance methods, embodied mechanisms, software components and the TRL4 integration. Ownership will follow Horizon Europe rules and actual beneficiary contributions. The Consortium Agreement will identify Background required for implementation and exploitation, define access rights, and ensure that cross-project validation does not imply transfer of proprietary source code or native internal representations. A living results-ownership and access-rights register will be maintained from project start.</w:t>
      </w:r>
    </w:p>
    <w:p w14:paraId="3488455C" w14:textId="77777777" w:rsidR="00894D55" w:rsidRDefault="00B20FC1">
      <w:pPr>
        <w:keepNext/>
        <w:spacing w:before="60" w:after="40"/>
      </w:pPr>
      <w:r>
        <w:rPr>
          <w:rFonts w:cs="Times New Roman"/>
          <w:b/>
        </w:rPr>
        <w:t>Protection strategy: open science where needed, protected implementation where valuable</w:t>
      </w:r>
    </w:p>
    <w:p w14:paraId="6AD9BA67" w14:textId="77777777" w:rsidR="00894D55" w:rsidRDefault="00B20FC1">
      <w:r>
        <w:rPr>
          <w:rFonts w:cs="Times New Roman"/>
        </w:rPr>
        <w:t xml:space="preserve">The protection strategy is layered because scientific scrutiny and commercial differentiation concern different objects. Hypotheses, preregistered confirmatory criteria, benchmark definitions, negative/boundary results and sufficient evidence for independent scrutiny will follow the Open Science and FAIR commitments in Section 1.3. The production implementation need not therefore become open source. Background and project-generated software may be protected through copyright, controlled access, confidential know-how and contractual licensing; project-generated technical inventions will undergo novelty, inventorship, patentability and freedom-to-operate review before public disclosure. Patent protection will be pursued only for concrete technical inventions where it improves exploitation and is compatible with disclosure obligations; no assumption is made that mathematical or scientific claims are patentable. Third-party software, models/APIs, datasets and robotics components will be </w:t>
      </w:r>
      <w:proofErr w:type="spellStart"/>
      <w:r>
        <w:rPr>
          <w:rFonts w:cs="Times New Roman"/>
        </w:rPr>
        <w:t>licence</w:t>
      </w:r>
      <w:proofErr w:type="spellEnd"/>
      <w:r>
        <w:rPr>
          <w:rFonts w:cs="Times New Roman"/>
        </w:rPr>
        <w:t>- and dependency-audited before becoming exploitation-critical.</w:t>
      </w:r>
    </w:p>
    <w:p w14:paraId="3DD0F568" w14:textId="77777777" w:rsidR="00894D55" w:rsidRDefault="00B20FC1">
      <w:pPr>
        <w:keepNext/>
        <w:spacing w:before="60" w:after="40"/>
      </w:pPr>
      <w:r>
        <w:rPr>
          <w:rFonts w:cs="Times New Roman"/>
          <w:b/>
        </w:rPr>
        <w:t>Exploitation routes and business-model optionality</w:t>
      </w:r>
    </w:p>
    <w:p w14:paraId="14637784" w14:textId="77777777" w:rsidR="00894D55" w:rsidRDefault="00B20FC1">
      <w:r>
        <w:rPr>
          <w:rFonts w:cs="Times New Roman"/>
        </w:rPr>
        <w:t xml:space="preserve">The project will preserve business-model optionality until scientific scope and adopter evidence justify concentration. The nearest route is professional or institutional evidence assessment, where MDPAR augments a responsible expert and exposes the evidence-to-inference chain. A second route is enterprise/on-premise cognitive infrastructure for </w:t>
      </w:r>
      <w:proofErr w:type="spellStart"/>
      <w:r>
        <w:rPr>
          <w:rFonts w:cs="Times New Roman"/>
        </w:rPr>
        <w:t>organisations</w:t>
      </w:r>
      <w:proofErr w:type="spellEnd"/>
      <w:r>
        <w:rPr>
          <w:rFonts w:cs="Times New Roman"/>
        </w:rPr>
        <w:t xml:space="preserve"> requiring </w:t>
      </w:r>
      <w:proofErr w:type="spellStart"/>
      <w:r>
        <w:rPr>
          <w:rFonts w:cs="Times New Roman"/>
        </w:rPr>
        <w:t>organisation</w:t>
      </w:r>
      <w:proofErr w:type="spellEnd"/>
      <w:r>
        <w:rPr>
          <w:rFonts w:cs="Times New Roman"/>
        </w:rPr>
        <w:t xml:space="preserve">-owned continuity, sensitive-data control and provider-neutral operation. A third is runtime/API or SDK licensing to AI integrators through the canonical assessment and interoperability contracts. A fourth is assurance/evaluation tooling based on structural comparability, provenance, semantic leakage, certification, authority, degradation and reproducibility metrics. If Year-3 embodiment succeeds, a fifth route is embedded/OEM integration in autonomous or robotic systems. Revenue models may include professional services, enterprise </w:t>
      </w:r>
      <w:proofErr w:type="spellStart"/>
      <w:r>
        <w:rPr>
          <w:rFonts w:cs="Times New Roman"/>
        </w:rPr>
        <w:t>licences</w:t>
      </w:r>
      <w:proofErr w:type="spellEnd"/>
      <w:r>
        <w:rPr>
          <w:rFonts w:cs="Times New Roman"/>
        </w:rPr>
        <w:t>, usage-based APIs, support/validation contracts and OEM licensing, but pricing and market claims will be tied to validated capability and deployment economics rather than to token resale or speculative universality.</w:t>
      </w:r>
    </w:p>
    <w:p w14:paraId="46ECC989" w14:textId="77777777" w:rsidR="00894D55" w:rsidRDefault="00B20FC1">
      <w:pPr>
        <w:keepNext/>
        <w:spacing w:before="60" w:after="40"/>
      </w:pPr>
      <w:r>
        <w:rPr>
          <w:rFonts w:cs="Times New Roman"/>
          <w:b/>
        </w:rPr>
        <w:t>Results exploitation matrix</w:t>
      </w:r>
    </w:p>
    <w:tbl>
      <w:tblPr>
        <w:tblW w:w="0" w:type="auto"/>
        <w:jc w:val="center"/>
        <w:tblCellMar>
          <w:top w:w="40" w:type="dxa"/>
          <w:left w:w="60" w:type="dxa"/>
          <w:bottom w:w="40" w:type="dxa"/>
          <w:right w:w="60" w:type="dxa"/>
        </w:tblCellMar>
        <w:tblLook w:val="04A0" w:firstRow="1" w:lastRow="0" w:firstColumn="1" w:lastColumn="0" w:noHBand="0" w:noVBand="1"/>
      </w:tblPr>
      <w:tblGrid>
        <w:gridCol w:w="1928"/>
        <w:gridCol w:w="2494"/>
        <w:gridCol w:w="2551"/>
        <w:gridCol w:w="2608"/>
      </w:tblGrid>
      <w:tr w:rsidR="00894D55" w14:paraId="671A4621" w14:textId="77777777">
        <w:trPr>
          <w:tblHeader/>
          <w:jc w:val="center"/>
        </w:trPr>
        <w:tc>
          <w:tcPr>
            <w:tcW w:w="1928" w:type="dxa"/>
            <w:tcMar>
              <w:top w:w="50" w:type="dxa"/>
              <w:left w:w="70" w:type="dxa"/>
              <w:bottom w:w="50" w:type="dxa"/>
              <w:right w:w="70" w:type="dxa"/>
            </w:tcMar>
          </w:tcPr>
          <w:p w14:paraId="04FC6AA9" w14:textId="77777777" w:rsidR="00894D55" w:rsidRDefault="00B20FC1">
            <w:pPr>
              <w:keepNext/>
              <w:spacing w:after="0"/>
            </w:pPr>
            <w:r>
              <w:rPr>
                <w:rFonts w:cs="Times New Roman"/>
                <w:b/>
              </w:rPr>
              <w:t>Result / asset</w:t>
            </w:r>
          </w:p>
        </w:tc>
        <w:tc>
          <w:tcPr>
            <w:tcW w:w="2494" w:type="dxa"/>
            <w:tcMar>
              <w:top w:w="50" w:type="dxa"/>
              <w:left w:w="70" w:type="dxa"/>
              <w:bottom w:w="50" w:type="dxa"/>
              <w:right w:w="70" w:type="dxa"/>
            </w:tcMar>
          </w:tcPr>
          <w:p w14:paraId="6294795C" w14:textId="77777777" w:rsidR="00894D55" w:rsidRDefault="00B20FC1">
            <w:pPr>
              <w:keepNext/>
              <w:spacing w:after="0"/>
            </w:pPr>
            <w:r>
              <w:rPr>
                <w:rFonts w:cs="Times New Roman"/>
                <w:b/>
              </w:rPr>
              <w:t>IP and disclosure position</w:t>
            </w:r>
          </w:p>
        </w:tc>
        <w:tc>
          <w:tcPr>
            <w:tcW w:w="2551" w:type="dxa"/>
            <w:tcMar>
              <w:top w:w="50" w:type="dxa"/>
              <w:left w:w="70" w:type="dxa"/>
              <w:bottom w:w="50" w:type="dxa"/>
              <w:right w:w="70" w:type="dxa"/>
            </w:tcMar>
          </w:tcPr>
          <w:p w14:paraId="75009F73" w14:textId="77777777" w:rsidR="00894D55" w:rsidRDefault="00B20FC1">
            <w:pPr>
              <w:keepNext/>
              <w:spacing w:after="0"/>
            </w:pPr>
            <w:r>
              <w:rPr>
                <w:rFonts w:cs="Times New Roman"/>
                <w:b/>
              </w:rPr>
              <w:t>Primary exploitation route</w:t>
            </w:r>
          </w:p>
        </w:tc>
        <w:tc>
          <w:tcPr>
            <w:tcW w:w="2608" w:type="dxa"/>
            <w:tcMar>
              <w:top w:w="50" w:type="dxa"/>
              <w:left w:w="70" w:type="dxa"/>
              <w:bottom w:w="50" w:type="dxa"/>
              <w:right w:w="70" w:type="dxa"/>
            </w:tcMar>
          </w:tcPr>
          <w:p w14:paraId="33F20799" w14:textId="77777777" w:rsidR="00894D55" w:rsidRDefault="00B20FC1">
            <w:pPr>
              <w:keepNext/>
              <w:spacing w:after="0"/>
            </w:pPr>
            <w:r>
              <w:rPr>
                <w:rFonts w:cs="Times New Roman"/>
                <w:b/>
              </w:rPr>
              <w:t>Evidence needed for transition</w:t>
            </w:r>
          </w:p>
        </w:tc>
      </w:tr>
      <w:tr w:rsidR="00894D55" w14:paraId="236D203A" w14:textId="77777777">
        <w:trPr>
          <w:jc w:val="center"/>
        </w:trPr>
        <w:tc>
          <w:tcPr>
            <w:tcW w:w="1928" w:type="dxa"/>
            <w:tcMar>
              <w:top w:w="50" w:type="dxa"/>
              <w:left w:w="70" w:type="dxa"/>
              <w:bottom w:w="50" w:type="dxa"/>
              <w:right w:w="70" w:type="dxa"/>
            </w:tcMar>
          </w:tcPr>
          <w:p w14:paraId="7601601D" w14:textId="77777777" w:rsidR="00894D55" w:rsidRDefault="00B20FC1">
            <w:pPr>
              <w:spacing w:after="0"/>
            </w:pPr>
            <w:r>
              <w:rPr>
                <w:rFonts w:cs="Times New Roman"/>
              </w:rPr>
              <w:t>MDPAR v2.2.0 runtime and pre-existing know-how</w:t>
            </w:r>
          </w:p>
        </w:tc>
        <w:tc>
          <w:tcPr>
            <w:tcW w:w="2494" w:type="dxa"/>
            <w:tcMar>
              <w:top w:w="50" w:type="dxa"/>
              <w:left w:w="70" w:type="dxa"/>
              <w:bottom w:w="50" w:type="dxa"/>
              <w:right w:w="70" w:type="dxa"/>
            </w:tcMar>
          </w:tcPr>
          <w:p w14:paraId="2DD1299A" w14:textId="77777777" w:rsidR="00894D55" w:rsidRDefault="00B20FC1">
            <w:pPr>
              <w:spacing w:after="0"/>
            </w:pPr>
            <w:r>
              <w:rPr>
                <w:rFonts w:cs="Times New Roman"/>
              </w:rPr>
              <w:t>Background IP; copyright, controlled access and confidential know-how as applicable.</w:t>
            </w:r>
          </w:p>
        </w:tc>
        <w:tc>
          <w:tcPr>
            <w:tcW w:w="2551" w:type="dxa"/>
            <w:tcMar>
              <w:top w:w="50" w:type="dxa"/>
              <w:left w:w="70" w:type="dxa"/>
              <w:bottom w:w="50" w:type="dxa"/>
              <w:right w:w="70" w:type="dxa"/>
            </w:tcMar>
          </w:tcPr>
          <w:p w14:paraId="4C35D688" w14:textId="77777777" w:rsidR="00894D55" w:rsidRDefault="00B20FC1">
            <w:pPr>
              <w:spacing w:after="0"/>
            </w:pPr>
            <w:r>
              <w:rPr>
                <w:rFonts w:cs="Times New Roman"/>
              </w:rPr>
              <w:t>Professional/enterprise deployment; runtime/API licensing.</w:t>
            </w:r>
          </w:p>
        </w:tc>
        <w:tc>
          <w:tcPr>
            <w:tcW w:w="2608" w:type="dxa"/>
            <w:tcMar>
              <w:top w:w="50" w:type="dxa"/>
              <w:left w:w="70" w:type="dxa"/>
              <w:bottom w:w="50" w:type="dxa"/>
              <w:right w:w="70" w:type="dxa"/>
            </w:tcMar>
          </w:tcPr>
          <w:p w14:paraId="4873F43A" w14:textId="77777777" w:rsidR="00894D55" w:rsidRDefault="00B20FC1">
            <w:pPr>
              <w:spacing w:after="0"/>
            </w:pPr>
            <w:r>
              <w:rPr>
                <w:rFonts w:cs="Times New Roman"/>
              </w:rPr>
              <w:t xml:space="preserve">Documented access rights; FTO and third-party </w:t>
            </w:r>
            <w:proofErr w:type="spellStart"/>
            <w:r>
              <w:rPr>
                <w:rFonts w:cs="Times New Roman"/>
              </w:rPr>
              <w:t>licence</w:t>
            </w:r>
            <w:proofErr w:type="spellEnd"/>
            <w:r>
              <w:rPr>
                <w:rFonts w:cs="Times New Roman"/>
              </w:rPr>
              <w:t xml:space="preserve"> audit.</w:t>
            </w:r>
          </w:p>
        </w:tc>
      </w:tr>
      <w:tr w:rsidR="00894D55" w14:paraId="74F6450C" w14:textId="77777777">
        <w:trPr>
          <w:jc w:val="center"/>
        </w:trPr>
        <w:tc>
          <w:tcPr>
            <w:tcW w:w="1928" w:type="dxa"/>
            <w:tcMar>
              <w:top w:w="50" w:type="dxa"/>
              <w:left w:w="70" w:type="dxa"/>
              <w:bottom w:w="50" w:type="dxa"/>
              <w:right w:w="70" w:type="dxa"/>
            </w:tcMar>
          </w:tcPr>
          <w:p w14:paraId="2C7A0BAA" w14:textId="77777777" w:rsidR="00894D55" w:rsidRDefault="00B20FC1">
            <w:pPr>
              <w:spacing w:after="0"/>
            </w:pPr>
            <w:r>
              <w:rPr>
                <w:rFonts w:cs="Times New Roman"/>
              </w:rPr>
              <w:t>MDPAR-H scientific findings and domain-of-</w:t>
            </w:r>
            <w:r>
              <w:rPr>
                <w:rFonts w:cs="Times New Roman"/>
              </w:rPr>
              <w:lastRenderedPageBreak/>
              <w:t>validity map</w:t>
            </w:r>
          </w:p>
        </w:tc>
        <w:tc>
          <w:tcPr>
            <w:tcW w:w="2494" w:type="dxa"/>
            <w:tcMar>
              <w:top w:w="50" w:type="dxa"/>
              <w:left w:w="70" w:type="dxa"/>
              <w:bottom w:w="50" w:type="dxa"/>
              <w:right w:w="70" w:type="dxa"/>
            </w:tcMar>
          </w:tcPr>
          <w:p w14:paraId="611E543E" w14:textId="77777777" w:rsidR="00894D55" w:rsidRDefault="00B20FC1">
            <w:pPr>
              <w:spacing w:after="0"/>
            </w:pPr>
            <w:r>
              <w:rPr>
                <w:rFonts w:cs="Times New Roman"/>
              </w:rPr>
              <w:lastRenderedPageBreak/>
              <w:t xml:space="preserve">Open scientific result subject to protection review before disclosure </w:t>
            </w:r>
            <w:r>
              <w:rPr>
                <w:rFonts w:cs="Times New Roman"/>
              </w:rPr>
              <w:lastRenderedPageBreak/>
              <w:t>of technical inventions.</w:t>
            </w:r>
          </w:p>
        </w:tc>
        <w:tc>
          <w:tcPr>
            <w:tcW w:w="2551" w:type="dxa"/>
            <w:tcMar>
              <w:top w:w="50" w:type="dxa"/>
              <w:left w:w="70" w:type="dxa"/>
              <w:bottom w:w="50" w:type="dxa"/>
              <w:right w:w="70" w:type="dxa"/>
            </w:tcMar>
          </w:tcPr>
          <w:p w14:paraId="6392C668" w14:textId="77777777" w:rsidR="00894D55" w:rsidRDefault="00B20FC1">
            <w:pPr>
              <w:spacing w:after="0"/>
            </w:pPr>
            <w:r>
              <w:rPr>
                <w:rFonts w:cs="Times New Roman"/>
              </w:rPr>
              <w:lastRenderedPageBreak/>
              <w:t>Scientific uptake; credibility and demand generation; future R&amp;I.</w:t>
            </w:r>
          </w:p>
        </w:tc>
        <w:tc>
          <w:tcPr>
            <w:tcW w:w="2608" w:type="dxa"/>
            <w:tcMar>
              <w:top w:w="50" w:type="dxa"/>
              <w:left w:w="70" w:type="dxa"/>
              <w:bottom w:w="50" w:type="dxa"/>
              <w:right w:w="70" w:type="dxa"/>
            </w:tcMar>
          </w:tcPr>
          <w:p w14:paraId="10D2759A" w14:textId="77777777" w:rsidR="00894D55" w:rsidRDefault="00B20FC1">
            <w:pPr>
              <w:spacing w:after="0"/>
            </w:pPr>
            <w:r>
              <w:rPr>
                <w:rFonts w:cs="Times New Roman"/>
              </w:rPr>
              <w:t>Independent replication and frozen evidence.</w:t>
            </w:r>
          </w:p>
        </w:tc>
      </w:tr>
      <w:tr w:rsidR="00894D55" w14:paraId="7146DE66" w14:textId="77777777">
        <w:trPr>
          <w:jc w:val="center"/>
        </w:trPr>
        <w:tc>
          <w:tcPr>
            <w:tcW w:w="1928" w:type="dxa"/>
            <w:tcMar>
              <w:top w:w="50" w:type="dxa"/>
              <w:left w:w="70" w:type="dxa"/>
              <w:bottom w:w="50" w:type="dxa"/>
              <w:right w:w="70" w:type="dxa"/>
            </w:tcMar>
          </w:tcPr>
          <w:p w14:paraId="26C3CEBA" w14:textId="77777777" w:rsidR="00894D55" w:rsidRDefault="00B20FC1">
            <w:pPr>
              <w:spacing w:after="0"/>
            </w:pPr>
            <w:r>
              <w:rPr>
                <w:rFonts w:cs="Times New Roman"/>
              </w:rPr>
              <w:t>Structural specifications, invariants and reporting conventions</w:t>
            </w:r>
          </w:p>
        </w:tc>
        <w:tc>
          <w:tcPr>
            <w:tcW w:w="2494" w:type="dxa"/>
            <w:tcMar>
              <w:top w:w="50" w:type="dxa"/>
              <w:left w:w="70" w:type="dxa"/>
              <w:bottom w:w="50" w:type="dxa"/>
              <w:right w:w="70" w:type="dxa"/>
            </w:tcMar>
          </w:tcPr>
          <w:p w14:paraId="40DE88AB" w14:textId="77777777" w:rsidR="00894D55" w:rsidRDefault="00B20FC1">
            <w:pPr>
              <w:spacing w:after="0"/>
            </w:pPr>
            <w:r>
              <w:rPr>
                <w:rFonts w:cs="Times New Roman"/>
              </w:rPr>
              <w:t>Mixed: open or licensable specifications; selective protection if implementation-specific.</w:t>
            </w:r>
          </w:p>
        </w:tc>
        <w:tc>
          <w:tcPr>
            <w:tcW w:w="2551" w:type="dxa"/>
            <w:tcMar>
              <w:top w:w="50" w:type="dxa"/>
              <w:left w:w="70" w:type="dxa"/>
              <w:bottom w:w="50" w:type="dxa"/>
              <w:right w:w="70" w:type="dxa"/>
            </w:tcMar>
          </w:tcPr>
          <w:p w14:paraId="342DCC75" w14:textId="77777777" w:rsidR="00894D55" w:rsidRDefault="00B20FC1">
            <w:pPr>
              <w:spacing w:after="0"/>
            </w:pPr>
            <w:r>
              <w:rPr>
                <w:rFonts w:cs="Times New Roman"/>
              </w:rPr>
              <w:t>Interoperability, assurance tooling, pre-normative contributions.</w:t>
            </w:r>
          </w:p>
        </w:tc>
        <w:tc>
          <w:tcPr>
            <w:tcW w:w="2608" w:type="dxa"/>
            <w:tcMar>
              <w:top w:w="50" w:type="dxa"/>
              <w:left w:w="70" w:type="dxa"/>
              <w:bottom w:w="50" w:type="dxa"/>
              <w:right w:w="70" w:type="dxa"/>
            </w:tcMar>
          </w:tcPr>
          <w:p w14:paraId="5C097127" w14:textId="77777777" w:rsidR="00894D55" w:rsidRDefault="00B20FC1">
            <w:pPr>
              <w:spacing w:after="0"/>
            </w:pPr>
            <w:r>
              <w:rPr>
                <w:rFonts w:cs="Times New Roman"/>
              </w:rPr>
              <w:t>Cross-system discrimination, low semantic leakage, reproducibility.</w:t>
            </w:r>
          </w:p>
        </w:tc>
      </w:tr>
      <w:tr w:rsidR="00894D55" w14:paraId="082813DD" w14:textId="77777777">
        <w:trPr>
          <w:jc w:val="center"/>
        </w:trPr>
        <w:tc>
          <w:tcPr>
            <w:tcW w:w="1928" w:type="dxa"/>
            <w:tcMar>
              <w:top w:w="50" w:type="dxa"/>
              <w:left w:w="70" w:type="dxa"/>
              <w:bottom w:w="50" w:type="dxa"/>
              <w:right w:w="70" w:type="dxa"/>
            </w:tcMar>
          </w:tcPr>
          <w:p w14:paraId="46CEEB36" w14:textId="77777777" w:rsidR="00894D55" w:rsidRDefault="00B20FC1">
            <w:pPr>
              <w:spacing w:after="0"/>
            </w:pPr>
            <w:r>
              <w:rPr>
                <w:rFonts w:cs="Times New Roman"/>
              </w:rPr>
              <w:t>Benchmarks and metrology</w:t>
            </w:r>
          </w:p>
        </w:tc>
        <w:tc>
          <w:tcPr>
            <w:tcW w:w="2494" w:type="dxa"/>
            <w:tcMar>
              <w:top w:w="50" w:type="dxa"/>
              <w:left w:w="70" w:type="dxa"/>
              <w:bottom w:w="50" w:type="dxa"/>
              <w:right w:w="70" w:type="dxa"/>
            </w:tcMar>
          </w:tcPr>
          <w:p w14:paraId="0B224FB6" w14:textId="77777777" w:rsidR="00894D55" w:rsidRDefault="00B20FC1">
            <w:pPr>
              <w:spacing w:after="0"/>
            </w:pPr>
            <w:r>
              <w:rPr>
                <w:rFonts w:cs="Times New Roman"/>
              </w:rPr>
              <w:t>FAIR/open where legally possible; copyright/</w:t>
            </w:r>
            <w:proofErr w:type="spellStart"/>
            <w:r>
              <w:rPr>
                <w:rFonts w:cs="Times New Roman"/>
              </w:rPr>
              <w:t>licence</w:t>
            </w:r>
            <w:proofErr w:type="spellEnd"/>
            <w:r>
              <w:rPr>
                <w:rFonts w:cs="Times New Roman"/>
              </w:rPr>
              <w:t xml:space="preserve"> for reusable assets.</w:t>
            </w:r>
          </w:p>
        </w:tc>
        <w:tc>
          <w:tcPr>
            <w:tcW w:w="2551" w:type="dxa"/>
            <w:tcMar>
              <w:top w:w="50" w:type="dxa"/>
              <w:left w:w="70" w:type="dxa"/>
              <w:bottom w:w="50" w:type="dxa"/>
              <w:right w:w="70" w:type="dxa"/>
            </w:tcMar>
          </w:tcPr>
          <w:p w14:paraId="3E58AB78" w14:textId="77777777" w:rsidR="00894D55" w:rsidRDefault="00B20FC1">
            <w:pPr>
              <w:spacing w:after="0"/>
            </w:pPr>
            <w:proofErr w:type="spellStart"/>
            <w:r>
              <w:rPr>
                <w:rFonts w:cs="Times New Roman"/>
              </w:rPr>
              <w:t>DeepRAP</w:t>
            </w:r>
            <w:proofErr w:type="spellEnd"/>
            <w:r>
              <w:rPr>
                <w:rFonts w:cs="Times New Roman"/>
              </w:rPr>
              <w:t>/TEF evaluation; assurance and certification-support tooling.</w:t>
            </w:r>
          </w:p>
        </w:tc>
        <w:tc>
          <w:tcPr>
            <w:tcW w:w="2608" w:type="dxa"/>
            <w:tcMar>
              <w:top w:w="50" w:type="dxa"/>
              <w:left w:w="70" w:type="dxa"/>
              <w:bottom w:w="50" w:type="dxa"/>
              <w:right w:w="70" w:type="dxa"/>
            </w:tcMar>
          </w:tcPr>
          <w:p w14:paraId="6AB6F6D4" w14:textId="77777777" w:rsidR="00894D55" w:rsidRDefault="00B20FC1">
            <w:pPr>
              <w:spacing w:after="0"/>
            </w:pPr>
            <w:r>
              <w:rPr>
                <w:rFonts w:cs="Times New Roman"/>
              </w:rPr>
              <w:t>External reuse, benchmark validity and repeatability.</w:t>
            </w:r>
          </w:p>
        </w:tc>
      </w:tr>
      <w:tr w:rsidR="00894D55" w14:paraId="1290FBE7" w14:textId="77777777">
        <w:trPr>
          <w:jc w:val="center"/>
        </w:trPr>
        <w:tc>
          <w:tcPr>
            <w:tcW w:w="1928" w:type="dxa"/>
            <w:tcMar>
              <w:top w:w="50" w:type="dxa"/>
              <w:left w:w="70" w:type="dxa"/>
              <w:bottom w:w="50" w:type="dxa"/>
              <w:right w:w="70" w:type="dxa"/>
            </w:tcMar>
          </w:tcPr>
          <w:p w14:paraId="048EA788" w14:textId="77777777" w:rsidR="00894D55" w:rsidRDefault="00B20FC1">
            <w:pPr>
              <w:spacing w:after="0"/>
            </w:pPr>
            <w:r>
              <w:rPr>
                <w:rFonts w:cs="Times New Roman"/>
              </w:rPr>
              <w:t>Adapters, APIs and integration mechanisms</w:t>
            </w:r>
          </w:p>
        </w:tc>
        <w:tc>
          <w:tcPr>
            <w:tcW w:w="2494" w:type="dxa"/>
            <w:tcMar>
              <w:top w:w="50" w:type="dxa"/>
              <w:left w:w="70" w:type="dxa"/>
              <w:bottom w:w="50" w:type="dxa"/>
              <w:right w:w="70" w:type="dxa"/>
            </w:tcMar>
          </w:tcPr>
          <w:p w14:paraId="6FBDC041" w14:textId="77777777" w:rsidR="00894D55" w:rsidRDefault="00B20FC1">
            <w:pPr>
              <w:spacing w:after="0"/>
            </w:pPr>
            <w:r>
              <w:rPr>
                <w:rFonts w:cs="Times New Roman"/>
              </w:rPr>
              <w:t>Foreground/joint ownership as generated; copyright and patentability review where relevant.</w:t>
            </w:r>
          </w:p>
        </w:tc>
        <w:tc>
          <w:tcPr>
            <w:tcW w:w="2551" w:type="dxa"/>
            <w:tcMar>
              <w:top w:w="50" w:type="dxa"/>
              <w:left w:w="70" w:type="dxa"/>
              <w:bottom w:w="50" w:type="dxa"/>
              <w:right w:w="70" w:type="dxa"/>
            </w:tcMar>
          </w:tcPr>
          <w:p w14:paraId="5D857220" w14:textId="77777777" w:rsidR="00894D55" w:rsidRDefault="00B20FC1">
            <w:pPr>
              <w:spacing w:after="0"/>
            </w:pPr>
            <w:r>
              <w:rPr>
                <w:rFonts w:cs="Times New Roman"/>
              </w:rPr>
              <w:t>Integrator SDK/API, enterprise integration, licensing.</w:t>
            </w:r>
          </w:p>
        </w:tc>
        <w:tc>
          <w:tcPr>
            <w:tcW w:w="2608" w:type="dxa"/>
            <w:tcMar>
              <w:top w:w="50" w:type="dxa"/>
              <w:left w:w="70" w:type="dxa"/>
              <w:bottom w:w="50" w:type="dxa"/>
              <w:right w:w="70" w:type="dxa"/>
            </w:tcMar>
          </w:tcPr>
          <w:p w14:paraId="637820D8" w14:textId="77777777" w:rsidR="00894D55" w:rsidRDefault="00B20FC1">
            <w:pPr>
              <w:spacing w:after="0"/>
            </w:pPr>
            <w:r>
              <w:rPr>
                <w:rFonts w:cs="Times New Roman"/>
              </w:rPr>
              <w:t>Bounded adapter burden; interop without source-code disclosure.</w:t>
            </w:r>
          </w:p>
        </w:tc>
      </w:tr>
      <w:tr w:rsidR="00894D55" w14:paraId="56BE5ED9" w14:textId="77777777">
        <w:trPr>
          <w:jc w:val="center"/>
        </w:trPr>
        <w:tc>
          <w:tcPr>
            <w:tcW w:w="1928" w:type="dxa"/>
            <w:tcMar>
              <w:top w:w="50" w:type="dxa"/>
              <w:left w:w="70" w:type="dxa"/>
              <w:bottom w:w="50" w:type="dxa"/>
              <w:right w:w="70" w:type="dxa"/>
            </w:tcMar>
          </w:tcPr>
          <w:p w14:paraId="5F1C82F1" w14:textId="77777777" w:rsidR="00894D55" w:rsidRDefault="00B20FC1">
            <w:pPr>
              <w:spacing w:after="0"/>
            </w:pPr>
            <w:r>
              <w:rPr>
                <w:rFonts w:cs="Times New Roman"/>
              </w:rPr>
              <w:t>Embodied mechanisms and TRL4 demonstrator</w:t>
            </w:r>
          </w:p>
        </w:tc>
        <w:tc>
          <w:tcPr>
            <w:tcW w:w="2494" w:type="dxa"/>
            <w:tcMar>
              <w:top w:w="50" w:type="dxa"/>
              <w:left w:w="70" w:type="dxa"/>
              <w:bottom w:w="50" w:type="dxa"/>
              <w:right w:w="70" w:type="dxa"/>
            </w:tcMar>
          </w:tcPr>
          <w:p w14:paraId="63D82FF7" w14:textId="77777777" w:rsidR="00894D55" w:rsidRDefault="00B20FC1">
            <w:pPr>
              <w:spacing w:after="0"/>
            </w:pPr>
            <w:r>
              <w:rPr>
                <w:rFonts w:cs="Times New Roman"/>
              </w:rPr>
              <w:t>Mixed/joint Foreground; selective patentability/FTO assessment.</w:t>
            </w:r>
          </w:p>
        </w:tc>
        <w:tc>
          <w:tcPr>
            <w:tcW w:w="2551" w:type="dxa"/>
            <w:tcMar>
              <w:top w:w="50" w:type="dxa"/>
              <w:left w:w="70" w:type="dxa"/>
              <w:bottom w:w="50" w:type="dxa"/>
              <w:right w:w="70" w:type="dxa"/>
            </w:tcMar>
          </w:tcPr>
          <w:p w14:paraId="77B4FD74" w14:textId="77777777" w:rsidR="00894D55" w:rsidRDefault="00B20FC1">
            <w:pPr>
              <w:spacing w:after="0"/>
            </w:pPr>
            <w:r>
              <w:rPr>
                <w:rFonts w:cs="Times New Roman"/>
              </w:rPr>
              <w:t>Robotics/autonomous systems; OEM or industrial partnership.</w:t>
            </w:r>
          </w:p>
        </w:tc>
        <w:tc>
          <w:tcPr>
            <w:tcW w:w="2608" w:type="dxa"/>
            <w:tcMar>
              <w:top w:w="50" w:type="dxa"/>
              <w:left w:w="70" w:type="dxa"/>
              <w:bottom w:w="50" w:type="dxa"/>
              <w:right w:w="70" w:type="dxa"/>
            </w:tcMar>
          </w:tcPr>
          <w:p w14:paraId="756C4C77" w14:textId="77777777" w:rsidR="00894D55" w:rsidRDefault="00B20FC1">
            <w:pPr>
              <w:spacing w:after="0"/>
            </w:pPr>
            <w:r>
              <w:rPr>
                <w:rFonts w:cs="Times New Roman"/>
              </w:rPr>
              <w:t>TRL4 capability floor; physical validation; acceptable overhead.</w:t>
            </w:r>
          </w:p>
        </w:tc>
      </w:tr>
    </w:tbl>
    <w:p w14:paraId="6049A124" w14:textId="77777777" w:rsidR="00894D55" w:rsidRDefault="00B20FC1">
      <w:pPr>
        <w:keepNext/>
        <w:spacing w:before="60" w:after="40"/>
      </w:pPr>
      <w:r>
        <w:rPr>
          <w:rFonts w:cs="Times New Roman"/>
          <w:b/>
        </w:rPr>
        <w:t xml:space="preserve">Interoperability and </w:t>
      </w:r>
      <w:proofErr w:type="spellStart"/>
      <w:r>
        <w:rPr>
          <w:rFonts w:cs="Times New Roman"/>
          <w:b/>
        </w:rPr>
        <w:t>standardisation</w:t>
      </w:r>
      <w:proofErr w:type="spellEnd"/>
      <w:r>
        <w:rPr>
          <w:rFonts w:cs="Times New Roman"/>
          <w:b/>
        </w:rPr>
        <w:t xml:space="preserve"> as exploitation multipliers</w:t>
      </w:r>
    </w:p>
    <w:p w14:paraId="03B7DB04" w14:textId="77777777" w:rsidR="00894D55" w:rsidRDefault="00B20FC1">
      <w:r>
        <w:rPr>
          <w:rFonts w:cs="Times New Roman"/>
        </w:rPr>
        <w:t xml:space="preserve">MDPAR-H will distinguish Open Science, open interfaces and open-source implementation: they are not equivalent. Where scientifically and commercially appropriate, the project will expose trajectory/provenance schemas, adapter declarations, failure semantics, authority-state conventions, benchmark-reporting protocols and service-level interoperability contracts while retaining differentiated implementation of the production cognitive layer. The pre-existing v2.2.0 Swagger design provides a concrete pattern: a small canonical service surface can expose assessment, runtime state and reports without exposing every internal capability as a public API. This supports an 'open protocol, differentiated implementation' pathway in which </w:t>
      </w:r>
      <w:proofErr w:type="spellStart"/>
      <w:r>
        <w:rPr>
          <w:rFonts w:cs="Times New Roman"/>
        </w:rPr>
        <w:t>DeepRAP</w:t>
      </w:r>
      <w:proofErr w:type="spellEnd"/>
      <w:r>
        <w:rPr>
          <w:rFonts w:cs="Times New Roman"/>
        </w:rPr>
        <w:t xml:space="preserve"> interoperability expands external validation and uptake without making proprietary internals the scientific result. Mature interfaces and metrics will be prepared as pre-normative contributions to relevant standards, testing and experimentation facilities and sector assurance communities; no output will be described as a standard, certificate or conformity assessment until the competent external process establishes it.</w:t>
      </w:r>
    </w:p>
    <w:p w14:paraId="3F59E260" w14:textId="77777777" w:rsidR="00894D55" w:rsidRDefault="00B20FC1">
      <w:pPr>
        <w:keepNext/>
        <w:spacing w:before="60" w:after="40"/>
      </w:pPr>
      <w:r>
        <w:rPr>
          <w:rFonts w:cs="Times New Roman"/>
          <w:b/>
        </w:rPr>
        <w:t>Regulation, assurance and European-first exploitation</w:t>
      </w:r>
    </w:p>
    <w:p w14:paraId="764E4002" w14:textId="77777777" w:rsidR="00894D55" w:rsidRDefault="00B20FC1">
      <w:r>
        <w:rPr>
          <w:rFonts w:cs="Times New Roman"/>
        </w:rPr>
        <w:t xml:space="preserve">Regulatory and assurance strategy will be use-case specific and evidence-bounded. MDPAR-H can generate technical evidence primitives relevant to traceability, logging, provenance, explicit uncertainty, human oversight, failure disclosure, model/provider substitution and authority boundaries, but those primitives do not by themselves establish AI Act or sectoral compliance. For the selected demonstrator and priority exploitation routes, the consortium will map the system role, applicable obligations, safety/security requirements, data-governance constraints and conformity/assurance needs, and engage </w:t>
      </w:r>
      <w:proofErr w:type="spellStart"/>
      <w:r>
        <w:rPr>
          <w:rFonts w:cs="Times New Roman"/>
        </w:rPr>
        <w:t>DeepRAP</w:t>
      </w:r>
      <w:proofErr w:type="spellEnd"/>
      <w:r>
        <w:rPr>
          <w:rFonts w:cs="Times New Roman"/>
        </w:rPr>
        <w:t xml:space="preserve"> trustworthiness/regulation activities and relevant testing actors. Exploitation will </w:t>
      </w:r>
      <w:proofErr w:type="spellStart"/>
      <w:r>
        <w:rPr>
          <w:rFonts w:cs="Times New Roman"/>
        </w:rPr>
        <w:t>prioritise</w:t>
      </w:r>
      <w:proofErr w:type="spellEnd"/>
      <w:r>
        <w:rPr>
          <w:rFonts w:cs="Times New Roman"/>
        </w:rPr>
        <w:t xml:space="preserve"> Member States and Associated Countries. Provider-neutral interfaces, local/on-premise options and </w:t>
      </w:r>
      <w:proofErr w:type="spellStart"/>
      <w:r>
        <w:rPr>
          <w:rFonts w:cs="Times New Roman"/>
        </w:rPr>
        <w:t>organisation</w:t>
      </w:r>
      <w:proofErr w:type="spellEnd"/>
      <w:r>
        <w:rPr>
          <w:rFonts w:cs="Times New Roman"/>
        </w:rPr>
        <w:t>-owned structural state will be treated as product requirements where they strengthen European strategic autonomy and lawful deployment.</w:t>
      </w:r>
    </w:p>
    <w:p w14:paraId="32FA8357" w14:textId="77777777" w:rsidR="00894D55" w:rsidRDefault="00B20FC1">
      <w:pPr>
        <w:keepNext/>
        <w:spacing w:before="60" w:after="40"/>
      </w:pPr>
      <w:r>
        <w:rPr>
          <w:rFonts w:cs="Times New Roman"/>
          <w:b/>
        </w:rPr>
        <w:t>Stage-gated transition, key actors and post-Pathfinder route</w:t>
      </w:r>
    </w:p>
    <w:p w14:paraId="4F8D68C3" w14:textId="77777777" w:rsidR="00894D55" w:rsidRDefault="00B20FC1">
      <w:r>
        <w:rPr>
          <w:rFonts w:cs="Times New Roman"/>
        </w:rPr>
        <w:t xml:space="preserve">Exploitation decisions will be stage-gated by evidence. By M12, MDPAR-H will deliver an initial Background/Foreground and access-rights map, protection/FTO screen, adopter/problem landscape and exploitation hypotheses constrained by the Year-1 symbolic domain of validity. By M24, independent cross-system results will support go/narrow/stop decisions on transferable interfaces, adapters, assurance assets and provider-substitution claims, with measured integration burden and engagement of AI SMEs, integrators, professional-service </w:t>
      </w:r>
      <w:proofErr w:type="spellStart"/>
      <w:r>
        <w:rPr>
          <w:rFonts w:cs="Times New Roman"/>
        </w:rPr>
        <w:t>organisations</w:t>
      </w:r>
      <w:proofErr w:type="spellEnd"/>
      <w:r>
        <w:rPr>
          <w:rFonts w:cs="Times New Roman"/>
        </w:rPr>
        <w:t xml:space="preserve">, TEF/assurance actors, technology-transfer offices and prospective public/industrial adopters. By M30-M36, the TRL4 demonstrator, techno-economic evidence and stakeholder validation will determine the most credible route: direct beneficiary exploitation, licensing, industrial partnership, technology transfer or a dedicated venture if justified. EIC Business Acceleration Services, Booster Grant opportunities and a later Fast Track route to the EIC Accelerator will be assessed only if maturity and market evidence support them. The M36 </w:t>
      </w:r>
      <w:r>
        <w:rPr>
          <w:rFonts w:cs="Times New Roman"/>
        </w:rPr>
        <w:lastRenderedPageBreak/>
        <w:t>objective is an exploitation-ready package: validated scope, protected assets, ownership/access clarity, FTO status, measured integration economics, target adopters and a credible route to TRL5+.</w:t>
      </w:r>
    </w:p>
    <w:p w14:paraId="7EF8D79A" w14:textId="77777777" w:rsidR="00894D55" w:rsidRDefault="00B20FC1">
      <w:pPr>
        <w:keepNext/>
        <w:spacing w:before="120"/>
      </w:pPr>
      <w:r>
        <w:rPr>
          <w:rFonts w:cs="Times New Roman"/>
          <w:b/>
        </w:rPr>
        <w:t>2.3</w:t>
      </w:r>
      <w:r>
        <w:rPr>
          <w:rFonts w:cs="Times New Roman"/>
          <w:b/>
        </w:rPr>
        <w:tab/>
        <w:t>Communication and Dissemination</w:t>
      </w:r>
    </w:p>
    <w:p w14:paraId="2B743C30" w14:textId="77777777" w:rsidR="00894D55" w:rsidRDefault="00B20FC1">
      <w:pPr>
        <w:keepNext/>
        <w:spacing w:before="60" w:after="40"/>
      </w:pPr>
      <w:r>
        <w:rPr>
          <w:rFonts w:cs="Times New Roman"/>
          <w:b/>
        </w:rPr>
        <w:t>Communication and dissemination logic</w:t>
      </w:r>
    </w:p>
    <w:p w14:paraId="2535C00D" w14:textId="77777777" w:rsidR="00894D55" w:rsidRDefault="00B20FC1">
      <w:r>
        <w:rPr>
          <w:rFonts w:cs="Times New Roman"/>
        </w:rPr>
        <w:t xml:space="preserve">MDPAR-H will communicate a test, not a predetermined result. Its public and scientific narrative will track progressively stronger evidence about where structural invariance holds, where it fails and why the boundary matters. Dissemination will mirror the evidential architecture: claims remain traceable to versioned/frozen evidence; negative, censored and boundary results accompany supportive findings; and tested support is distinguished from untested </w:t>
      </w:r>
      <w:proofErr w:type="spellStart"/>
      <w:r>
        <w:rPr>
          <w:rFonts w:cs="Times New Roman"/>
        </w:rPr>
        <w:t>generalisation</w:t>
      </w:r>
      <w:proofErr w:type="spellEnd"/>
      <w:r>
        <w:rPr>
          <w:rFonts w:cs="Times New Roman"/>
        </w:rPr>
        <w:t>. Scientific dissemination enables scrutiny and reuse; communication explains relevance, limits and safeguards to stakeholders and citizens; exploitation is handled in Section 2.2. A detailed Plan for Dissemination and Exploitation including Communication Activities will be delivered by M6 and updated as scientific gates, portfolio opportunities and exploitation priorities evolve.</w:t>
      </w:r>
    </w:p>
    <w:p w14:paraId="1A15788F" w14:textId="77777777" w:rsidR="00894D55" w:rsidRDefault="00B20FC1">
      <w:pPr>
        <w:keepNext/>
        <w:spacing w:before="60" w:after="40"/>
      </w:pPr>
      <w:r>
        <w:rPr>
          <w:rFonts w:cs="Times New Roman"/>
          <w:b/>
        </w:rPr>
        <w:t xml:space="preserve">Scientific dissemination and evidence </w:t>
      </w:r>
      <w:proofErr w:type="gramStart"/>
      <w:r>
        <w:rPr>
          <w:rFonts w:cs="Times New Roman"/>
          <w:b/>
        </w:rPr>
        <w:t>releases</w:t>
      </w:r>
      <w:proofErr w:type="gramEnd"/>
    </w:p>
    <w:p w14:paraId="44BEC484" w14:textId="77777777" w:rsidR="00894D55" w:rsidRDefault="00B20FC1">
      <w:r>
        <w:rPr>
          <w:rFonts w:cs="Times New Roman"/>
        </w:rPr>
        <w:t>Scientific dissemination will combine top-level peer-reviewed Open Access publications with preregistrations, benchmark releases, technical reports, reproducibility packages and persistent repository records. Publication families will cover the formal specification and falsifiability framework; Year-1 symbolic invariance and anti-leakage metrology; Year-2 independent cross-system interoperability; Year-3 multimodal/embodied validation; and cross-cutting trustworthiness, temporal authority, degradation/recovery and compute-allocation results. Null, falsifying and non-estimable outcomes will be published as domain-boundary evidence rather than hidden or reframed as success.</w:t>
      </w:r>
    </w:p>
    <w:p w14:paraId="6585C921" w14:textId="77777777" w:rsidR="00894D55" w:rsidRDefault="00B20FC1">
      <w:r>
        <w:rPr>
          <w:rFonts w:cs="Times New Roman"/>
        </w:rPr>
        <w:t>The Background repository and DOI also create a public provenance anchor for the scientific narrative before M1. Subsequent M12, M24 and M36 releases will cite rather than overwrite that baseline, so the progression from pre-project DEVELOPMENT evidence to frozen confirmatory evidence remains externally reconstructable. Repository visibility is therefore part of the method: it supports priority, version identity, falsifiability and auditability without requiring disclosure of protectable production implementation.</w:t>
      </w:r>
    </w:p>
    <w:p w14:paraId="5881D446" w14:textId="77777777" w:rsidR="00894D55" w:rsidRDefault="00B20FC1">
      <w:r>
        <w:rPr>
          <w:rFonts w:cs="Times New Roman"/>
        </w:rPr>
        <w:t>Three frozen evidence releases will align with the scientific gates: M12 Symbolic Structural Domain; M24 Cross-System Independence; and M36 Embodied Domain of Validity. Each will combine the applicable paper/report, benchmark/protocol version, frozen result matrix, machine-readable metadata, counterexamples, reproducibility material and a concise visual summary. Living technical assets may remain in version-controlled repositories, while citable releases and evidence snapshots will be deposited in trusted repositories such as Zenodo. The final MDPAR-H Structural Invariance Atlas will map each tested invariant across systems, domains, languages, representations and modalities, including preservation status, uncertainty, coverage, counterexamples, adapter burden and reproducibility level. It will explicitly avoid a single 'universality score' that could conceal heterogeneous failure modes.</w:t>
      </w:r>
    </w:p>
    <w:p w14:paraId="07B960BE" w14:textId="77777777" w:rsidR="00894D55" w:rsidRDefault="00B20FC1">
      <w:pPr>
        <w:keepNext/>
        <w:spacing w:before="60" w:after="40"/>
      </w:pPr>
      <w:r>
        <w:rPr>
          <w:rFonts w:cs="Times New Roman"/>
          <w:b/>
        </w:rPr>
        <w:t>Targeted stakeholder communication</w:t>
      </w:r>
    </w:p>
    <w:p w14:paraId="6DC10E4C" w14:textId="77777777" w:rsidR="00894D55" w:rsidRDefault="00B20FC1">
      <w:r>
        <w:rPr>
          <w:rFonts w:cs="Times New Roman"/>
        </w:rPr>
        <w:t>Communication will be audience-specific but governed by one claim discipline across all channels: IMPLEMENTED means present in software; VERIFIED means checked against specification; OBSERVED means measured experimentally; REPLICATED means independently reproduced; GENERALISED WITHIN TESTED SUPPORT means preserved across the declared support matrix; and NOT ESTABLISHED denotes extrapolation beyond it. Public material will identify the tested support and known boundary conditions for major claims. Product capability, scientific evidence and universality will never be presented as interchangeable categories.</w:t>
      </w:r>
    </w:p>
    <w:tbl>
      <w:tblPr>
        <w:tblW w:w="0" w:type="auto"/>
        <w:jc w:val="center"/>
        <w:tblCellMar>
          <w:top w:w="40" w:type="dxa"/>
          <w:left w:w="60" w:type="dxa"/>
          <w:bottom w:w="40" w:type="dxa"/>
          <w:right w:w="60" w:type="dxa"/>
        </w:tblCellMar>
        <w:tblLook w:val="04A0" w:firstRow="1" w:lastRow="0" w:firstColumn="1" w:lastColumn="0" w:noHBand="0" w:noVBand="1"/>
      </w:tblPr>
      <w:tblGrid>
        <w:gridCol w:w="3063"/>
        <w:gridCol w:w="4171"/>
        <w:gridCol w:w="3112"/>
      </w:tblGrid>
      <w:tr w:rsidR="00894D55" w14:paraId="329807D6" w14:textId="77777777">
        <w:trPr>
          <w:tblHeader/>
          <w:jc w:val="center"/>
        </w:trPr>
        <w:tc>
          <w:tcPr>
            <w:tcW w:w="3402" w:type="dxa"/>
            <w:shd w:val="clear" w:color="auto" w:fill="D9E2F3"/>
            <w:tcMar>
              <w:top w:w="70" w:type="dxa"/>
              <w:left w:w="70" w:type="dxa"/>
              <w:bottom w:w="70" w:type="dxa"/>
              <w:right w:w="70" w:type="dxa"/>
            </w:tcMar>
          </w:tcPr>
          <w:p w14:paraId="224E5912" w14:textId="77777777" w:rsidR="00894D55" w:rsidRDefault="00B20FC1">
            <w:pPr>
              <w:spacing w:after="0"/>
            </w:pPr>
            <w:r>
              <w:rPr>
                <w:rFonts w:cs="Times New Roman"/>
                <w:b/>
              </w:rPr>
              <w:t>Audience</w:t>
            </w:r>
          </w:p>
        </w:tc>
        <w:tc>
          <w:tcPr>
            <w:tcW w:w="3402" w:type="dxa"/>
            <w:shd w:val="clear" w:color="auto" w:fill="D9E2F3"/>
            <w:tcMar>
              <w:top w:w="70" w:type="dxa"/>
              <w:left w:w="70" w:type="dxa"/>
              <w:bottom w:w="70" w:type="dxa"/>
              <w:right w:w="70" w:type="dxa"/>
            </w:tcMar>
          </w:tcPr>
          <w:p w14:paraId="32BBCAE7" w14:textId="77777777" w:rsidR="00894D55" w:rsidRDefault="00B20FC1">
            <w:pPr>
              <w:spacing w:after="0"/>
            </w:pPr>
            <w:r>
              <w:rPr>
                <w:rFonts w:cs="Times New Roman"/>
                <w:b/>
              </w:rPr>
              <w:t>Core message and channels</w:t>
            </w:r>
          </w:p>
        </w:tc>
        <w:tc>
          <w:tcPr>
            <w:tcW w:w="3402" w:type="dxa"/>
            <w:shd w:val="clear" w:color="auto" w:fill="D9E2F3"/>
            <w:tcMar>
              <w:top w:w="70" w:type="dxa"/>
              <w:left w:w="70" w:type="dxa"/>
              <w:bottom w:w="70" w:type="dxa"/>
              <w:right w:w="70" w:type="dxa"/>
            </w:tcMar>
          </w:tcPr>
          <w:p w14:paraId="6963BEB5" w14:textId="77777777" w:rsidR="00894D55" w:rsidRDefault="00B20FC1">
            <w:pPr>
              <w:spacing w:after="0"/>
            </w:pPr>
            <w:r>
              <w:rPr>
                <w:rFonts w:cs="Times New Roman"/>
                <w:b/>
              </w:rPr>
              <w:t>Indicators</w:t>
            </w:r>
          </w:p>
        </w:tc>
      </w:tr>
      <w:tr w:rsidR="00894D55" w14:paraId="6E5EAC61" w14:textId="77777777">
        <w:trPr>
          <w:cantSplit/>
          <w:jc w:val="center"/>
        </w:trPr>
        <w:tc>
          <w:tcPr>
            <w:tcW w:w="2324" w:type="dxa"/>
            <w:tcMar>
              <w:top w:w="70" w:type="dxa"/>
              <w:left w:w="70" w:type="dxa"/>
              <w:bottom w:w="70" w:type="dxa"/>
              <w:right w:w="70" w:type="dxa"/>
            </w:tcMar>
          </w:tcPr>
          <w:p w14:paraId="0D716DAB" w14:textId="77777777" w:rsidR="00894D55" w:rsidRDefault="00B20FC1">
            <w:pPr>
              <w:spacing w:after="0"/>
            </w:pPr>
            <w:r>
              <w:rPr>
                <w:rFonts w:cs="Times New Roman"/>
              </w:rPr>
              <w:t xml:space="preserve">Researchers and </w:t>
            </w:r>
            <w:proofErr w:type="spellStart"/>
            <w:r>
              <w:rPr>
                <w:rFonts w:cs="Times New Roman"/>
              </w:rPr>
              <w:t>DeepRAP</w:t>
            </w:r>
            <w:proofErr w:type="spellEnd"/>
            <w:r>
              <w:rPr>
                <w:rFonts w:cs="Times New Roman"/>
              </w:rPr>
              <w:t xml:space="preserve"> projects</w:t>
            </w:r>
          </w:p>
        </w:tc>
        <w:tc>
          <w:tcPr>
            <w:tcW w:w="4592" w:type="dxa"/>
            <w:tcMar>
              <w:top w:w="70" w:type="dxa"/>
              <w:left w:w="70" w:type="dxa"/>
              <w:bottom w:w="70" w:type="dxa"/>
              <w:right w:w="70" w:type="dxa"/>
            </w:tcMar>
          </w:tcPr>
          <w:p w14:paraId="5388F331" w14:textId="77777777" w:rsidR="00894D55" w:rsidRDefault="00B20FC1">
            <w:pPr>
              <w:spacing w:after="0"/>
            </w:pPr>
            <w:r>
              <w:rPr>
                <w:rFonts w:cs="Times New Roman"/>
              </w:rPr>
              <w:t>Question: which inferential properties survive model, representation, system and embodiment changes? Channels: OA papers, conferences, benchmark/evidence releases and cross-project validation.</w:t>
            </w:r>
          </w:p>
        </w:tc>
        <w:tc>
          <w:tcPr>
            <w:tcW w:w="2268" w:type="dxa"/>
            <w:tcMar>
              <w:top w:w="70" w:type="dxa"/>
              <w:left w:w="70" w:type="dxa"/>
              <w:bottom w:w="70" w:type="dxa"/>
              <w:right w:w="70" w:type="dxa"/>
            </w:tcMar>
          </w:tcPr>
          <w:p w14:paraId="47E66FDF" w14:textId="77777777" w:rsidR="00894D55" w:rsidRDefault="00B20FC1">
            <w:pPr>
              <w:spacing w:after="0"/>
            </w:pPr>
            <w:r>
              <w:rPr>
                <w:rFonts w:cs="Times New Roman"/>
              </w:rPr>
              <w:t>OA outputs; benchmark reuse; independent replications; external systems evaluated.</w:t>
            </w:r>
          </w:p>
        </w:tc>
      </w:tr>
      <w:tr w:rsidR="00894D55" w14:paraId="3B0D80C8" w14:textId="77777777">
        <w:trPr>
          <w:cantSplit/>
          <w:jc w:val="center"/>
        </w:trPr>
        <w:tc>
          <w:tcPr>
            <w:tcW w:w="2324" w:type="dxa"/>
            <w:tcMar>
              <w:top w:w="70" w:type="dxa"/>
              <w:left w:w="70" w:type="dxa"/>
              <w:bottom w:w="70" w:type="dxa"/>
              <w:right w:w="70" w:type="dxa"/>
            </w:tcMar>
          </w:tcPr>
          <w:p w14:paraId="4107F46F" w14:textId="77777777" w:rsidR="00894D55" w:rsidRDefault="00B20FC1">
            <w:pPr>
              <w:spacing w:after="0"/>
            </w:pPr>
            <w:r>
              <w:rPr>
                <w:rFonts w:cs="Times New Roman"/>
              </w:rPr>
              <w:t>AI developers, SMEs, integrators and assurance actors</w:t>
            </w:r>
          </w:p>
        </w:tc>
        <w:tc>
          <w:tcPr>
            <w:tcW w:w="4592" w:type="dxa"/>
            <w:tcMar>
              <w:top w:w="70" w:type="dxa"/>
              <w:left w:w="70" w:type="dxa"/>
              <w:bottom w:w="70" w:type="dxa"/>
              <w:right w:w="70" w:type="dxa"/>
            </w:tcMar>
          </w:tcPr>
          <w:p w14:paraId="69390F14" w14:textId="77777777" w:rsidR="00894D55" w:rsidRDefault="00B20FC1">
            <w:pPr>
              <w:spacing w:after="0"/>
            </w:pPr>
            <w:r>
              <w:rPr>
                <w:rFonts w:cs="Times New Roman"/>
              </w:rPr>
              <w:t>Value: a cognitive control/measurement layer may support integration and audit without transferring structural ownership. Channels: demos, APIs/schemas, interoperability workshops and TEF/industry events.</w:t>
            </w:r>
          </w:p>
        </w:tc>
        <w:tc>
          <w:tcPr>
            <w:tcW w:w="2268" w:type="dxa"/>
            <w:tcMar>
              <w:top w:w="70" w:type="dxa"/>
              <w:left w:w="70" w:type="dxa"/>
              <w:bottom w:w="70" w:type="dxa"/>
              <w:right w:w="70" w:type="dxa"/>
            </w:tcMar>
          </w:tcPr>
          <w:p w14:paraId="4D045A6A" w14:textId="77777777" w:rsidR="00894D55" w:rsidRDefault="00B20FC1">
            <w:pPr>
              <w:spacing w:after="0"/>
            </w:pPr>
            <w:r>
              <w:rPr>
                <w:rFonts w:cs="Times New Roman"/>
              </w:rPr>
              <w:t>External integrations; API/schema reuse; benchmark submissions; assurance pilots.</w:t>
            </w:r>
          </w:p>
        </w:tc>
      </w:tr>
      <w:tr w:rsidR="00894D55" w14:paraId="6BE02921" w14:textId="77777777">
        <w:trPr>
          <w:cantSplit/>
          <w:jc w:val="center"/>
        </w:trPr>
        <w:tc>
          <w:tcPr>
            <w:tcW w:w="2324" w:type="dxa"/>
            <w:tcMar>
              <w:top w:w="70" w:type="dxa"/>
              <w:left w:w="70" w:type="dxa"/>
              <w:bottom w:w="70" w:type="dxa"/>
              <w:right w:w="70" w:type="dxa"/>
            </w:tcMar>
          </w:tcPr>
          <w:p w14:paraId="10123E31" w14:textId="77777777" w:rsidR="00894D55" w:rsidRDefault="00B20FC1">
            <w:pPr>
              <w:spacing w:after="0"/>
            </w:pPr>
            <w:r>
              <w:rPr>
                <w:rFonts w:cs="Times New Roman"/>
              </w:rPr>
              <w:lastRenderedPageBreak/>
              <w:t>Professionals and institutions</w:t>
            </w:r>
          </w:p>
        </w:tc>
        <w:tc>
          <w:tcPr>
            <w:tcW w:w="4592" w:type="dxa"/>
            <w:tcMar>
              <w:top w:w="70" w:type="dxa"/>
              <w:left w:w="70" w:type="dxa"/>
              <w:bottom w:w="70" w:type="dxa"/>
              <w:right w:w="70" w:type="dxa"/>
            </w:tcMar>
          </w:tcPr>
          <w:p w14:paraId="26E8A6DC" w14:textId="77777777" w:rsidR="00894D55" w:rsidRDefault="00B20FC1">
            <w:pPr>
              <w:spacing w:after="0"/>
            </w:pPr>
            <w:r>
              <w:rPr>
                <w:rFonts w:cs="Times New Roman"/>
              </w:rPr>
              <w:t>Value: MDPAR does not replace professional authority; it can make evidence-to-inference chains more inspectable and contestable. Channels: domain workshops, briefings and demonstrators.</w:t>
            </w:r>
          </w:p>
        </w:tc>
        <w:tc>
          <w:tcPr>
            <w:tcW w:w="2268" w:type="dxa"/>
            <w:tcMar>
              <w:top w:w="70" w:type="dxa"/>
              <w:left w:w="70" w:type="dxa"/>
              <w:bottom w:w="70" w:type="dxa"/>
              <w:right w:w="70" w:type="dxa"/>
            </w:tcMar>
          </w:tcPr>
          <w:p w14:paraId="4655FD38" w14:textId="77777777" w:rsidR="00894D55" w:rsidRDefault="00B20FC1">
            <w:pPr>
              <w:spacing w:after="0"/>
            </w:pPr>
            <w:r>
              <w:rPr>
                <w:rFonts w:cs="Times New Roman"/>
              </w:rPr>
              <w:t>Validated workflow classes; stakeholder feedback; follow-on pilots.</w:t>
            </w:r>
          </w:p>
        </w:tc>
      </w:tr>
      <w:tr w:rsidR="00894D55" w14:paraId="73CE14A9" w14:textId="77777777">
        <w:trPr>
          <w:cantSplit/>
          <w:jc w:val="center"/>
        </w:trPr>
        <w:tc>
          <w:tcPr>
            <w:tcW w:w="2324" w:type="dxa"/>
            <w:tcMar>
              <w:top w:w="70" w:type="dxa"/>
              <w:left w:w="70" w:type="dxa"/>
              <w:bottom w:w="70" w:type="dxa"/>
              <w:right w:w="70" w:type="dxa"/>
            </w:tcMar>
          </w:tcPr>
          <w:p w14:paraId="1196C463" w14:textId="77777777" w:rsidR="00894D55" w:rsidRDefault="00B20FC1">
            <w:pPr>
              <w:spacing w:after="0"/>
            </w:pPr>
            <w:r>
              <w:rPr>
                <w:rFonts w:cs="Times New Roman"/>
              </w:rPr>
              <w:t>Policy, standards and public-sector stakeholders</w:t>
            </w:r>
          </w:p>
        </w:tc>
        <w:tc>
          <w:tcPr>
            <w:tcW w:w="4592" w:type="dxa"/>
            <w:tcMar>
              <w:top w:w="70" w:type="dxa"/>
              <w:left w:w="70" w:type="dxa"/>
              <w:bottom w:w="70" w:type="dxa"/>
              <w:right w:w="70" w:type="dxa"/>
            </w:tcMar>
          </w:tcPr>
          <w:p w14:paraId="5FF8C4EF" w14:textId="77777777" w:rsidR="00894D55" w:rsidRDefault="00B20FC1">
            <w:pPr>
              <w:spacing w:after="0"/>
            </w:pPr>
            <w:r>
              <w:rPr>
                <w:rFonts w:cs="Times New Roman"/>
              </w:rPr>
              <w:t xml:space="preserve">Question: can cognitive AI preserve provenance, explicit uncertainty, legitimate authority and provider-substitutable continuity? Channels: policy/assurance briefs, standards/TEF dialogue, </w:t>
            </w:r>
            <w:proofErr w:type="spellStart"/>
            <w:r>
              <w:rPr>
                <w:rFonts w:cs="Times New Roman"/>
              </w:rPr>
              <w:t>DeepRAP</w:t>
            </w:r>
            <w:proofErr w:type="spellEnd"/>
            <w:r>
              <w:rPr>
                <w:rFonts w:cs="Times New Roman"/>
              </w:rPr>
              <w:t xml:space="preserve"> WG3.</w:t>
            </w:r>
          </w:p>
        </w:tc>
        <w:tc>
          <w:tcPr>
            <w:tcW w:w="2268" w:type="dxa"/>
            <w:tcMar>
              <w:top w:w="70" w:type="dxa"/>
              <w:left w:w="70" w:type="dxa"/>
              <w:bottom w:w="70" w:type="dxa"/>
              <w:right w:w="70" w:type="dxa"/>
            </w:tcMar>
          </w:tcPr>
          <w:p w14:paraId="65A7DCCA" w14:textId="77777777" w:rsidR="00894D55" w:rsidRDefault="00B20FC1">
            <w:pPr>
              <w:spacing w:after="0"/>
            </w:pPr>
            <w:r>
              <w:rPr>
                <w:rFonts w:cs="Times New Roman"/>
              </w:rPr>
              <w:t>Policy/assurance engagements; pre-normative contributions; consultations.</w:t>
            </w:r>
          </w:p>
        </w:tc>
      </w:tr>
      <w:tr w:rsidR="00894D55" w14:paraId="30D967BA" w14:textId="77777777">
        <w:trPr>
          <w:cantSplit/>
          <w:jc w:val="center"/>
        </w:trPr>
        <w:tc>
          <w:tcPr>
            <w:tcW w:w="2324" w:type="dxa"/>
            <w:tcMar>
              <w:top w:w="70" w:type="dxa"/>
              <w:left w:w="70" w:type="dxa"/>
              <w:bottom w:w="70" w:type="dxa"/>
              <w:right w:w="70" w:type="dxa"/>
            </w:tcMar>
          </w:tcPr>
          <w:p w14:paraId="43FB8B15" w14:textId="77777777" w:rsidR="00894D55" w:rsidRDefault="00B20FC1">
            <w:pPr>
              <w:spacing w:after="0"/>
            </w:pPr>
            <w:r>
              <w:rPr>
                <w:rFonts w:cs="Times New Roman"/>
              </w:rPr>
              <w:t>Citizens and general public</w:t>
            </w:r>
          </w:p>
        </w:tc>
        <w:tc>
          <w:tcPr>
            <w:tcW w:w="4592" w:type="dxa"/>
            <w:tcMar>
              <w:top w:w="70" w:type="dxa"/>
              <w:left w:w="70" w:type="dxa"/>
              <w:bottom w:w="70" w:type="dxa"/>
              <w:right w:w="70" w:type="dxa"/>
            </w:tcMar>
          </w:tcPr>
          <w:p w14:paraId="24138FDA" w14:textId="77777777" w:rsidR="00894D55" w:rsidRDefault="00B20FC1">
            <w:pPr>
              <w:spacing w:after="0"/>
            </w:pPr>
            <w:r>
              <w:rPr>
                <w:rFonts w:cs="Times New Roman"/>
              </w:rPr>
              <w:t>Message: consequential AI-assisted reasoning should be inspectable and challengeable, while institutional authority remains external to the model. Channels: website, visual explainers, talks, short videos and portfolio communication.</w:t>
            </w:r>
          </w:p>
        </w:tc>
        <w:tc>
          <w:tcPr>
            <w:tcW w:w="2268" w:type="dxa"/>
            <w:tcMar>
              <w:top w:w="70" w:type="dxa"/>
              <w:left w:w="70" w:type="dxa"/>
              <w:bottom w:w="70" w:type="dxa"/>
              <w:right w:w="70" w:type="dxa"/>
            </w:tcMar>
          </w:tcPr>
          <w:p w14:paraId="1D827544" w14:textId="77777777" w:rsidR="00894D55" w:rsidRDefault="00B20FC1">
            <w:pPr>
              <w:spacing w:after="0"/>
            </w:pPr>
            <w:r>
              <w:rPr>
                <w:rFonts w:cs="Times New Roman"/>
              </w:rPr>
              <w:t>Reach and engagement; event participation; qualitative feedback.</w:t>
            </w:r>
          </w:p>
        </w:tc>
      </w:tr>
    </w:tbl>
    <w:p w14:paraId="1F6D22FD" w14:textId="77777777" w:rsidR="00894D55" w:rsidRDefault="00B20FC1">
      <w:pPr>
        <w:keepNext/>
        <w:spacing w:before="60" w:after="40"/>
      </w:pPr>
      <w:proofErr w:type="spellStart"/>
      <w:r>
        <w:rPr>
          <w:rFonts w:cs="Times New Roman"/>
          <w:b/>
        </w:rPr>
        <w:t>DeepRAP</w:t>
      </w:r>
      <w:proofErr w:type="spellEnd"/>
      <w:r>
        <w:rPr>
          <w:rFonts w:cs="Times New Roman"/>
          <w:b/>
        </w:rPr>
        <w:t xml:space="preserve"> portfolio communication and policy feedback</w:t>
      </w:r>
    </w:p>
    <w:p w14:paraId="38E40446" w14:textId="77777777" w:rsidR="00894D55" w:rsidRDefault="00B20FC1">
      <w:r>
        <w:rPr>
          <w:rFonts w:cs="Times New Roman"/>
        </w:rPr>
        <w:t xml:space="preserve">The </w:t>
      </w:r>
      <w:proofErr w:type="spellStart"/>
      <w:r>
        <w:rPr>
          <w:rFonts w:cs="Times New Roman"/>
        </w:rPr>
        <w:t>DeepRAP</w:t>
      </w:r>
      <w:proofErr w:type="spellEnd"/>
      <w:r>
        <w:rPr>
          <w:rFonts w:cs="Times New Roman"/>
        </w:rPr>
        <w:t xml:space="preserve"> portfolio is both a dissemination multiplier and part of the scientific design. MDPAR-H will contribute benchmark specifications, structural/provenance schemas, adapter-burden measures, interoperability sessions, cross-project evidence releases, joint demonstrations, workshops and training material. Conversely, independently developed </w:t>
      </w:r>
      <w:proofErr w:type="spellStart"/>
      <w:r>
        <w:rPr>
          <w:rFonts w:cs="Times New Roman"/>
        </w:rPr>
        <w:t>DeepRAP</w:t>
      </w:r>
      <w:proofErr w:type="spellEnd"/>
      <w:r>
        <w:rPr>
          <w:rFonts w:cs="Times New Roman"/>
        </w:rPr>
        <w:t xml:space="preserve"> systems provide stronger external tests than additional internal MDPAR demonstrations. Year 2 will therefore </w:t>
      </w:r>
      <w:proofErr w:type="spellStart"/>
      <w:r>
        <w:rPr>
          <w:rFonts w:cs="Times New Roman"/>
        </w:rPr>
        <w:t>prioritise</w:t>
      </w:r>
      <w:proofErr w:type="spellEnd"/>
      <w:r>
        <w:rPr>
          <w:rFonts w:cs="Times New Roman"/>
        </w:rPr>
        <w:t xml:space="preserve"> cross-validation with systems not designed around SCC, while Year 3 will seek common multimodal/embodied pilots where scientifically appropriate. This positions MDPAR-H to contribute directly to Benchmark Development, Interoperability and Joint Pilot/Demonstration activities while using portfolio heterogeneity as falsification leverage.</w:t>
      </w:r>
    </w:p>
    <w:p w14:paraId="1E84CC65" w14:textId="77777777" w:rsidR="00894D55" w:rsidRDefault="00B20FC1">
      <w:r>
        <w:rPr>
          <w:rFonts w:cs="Times New Roman"/>
        </w:rPr>
        <w:t xml:space="preserve">Policy feedback will be evidence-led and limited to validated mechanisms. Short Policy &amp; Assurance Briefs will translate results into implications for structural provenance and contestability; explicit uncertainty and legitimate human/institutional authority; provider substitution and European cognitive sovereignty; cross-system interoperability; and reasoning/trustworthiness evaluation under constrained compute. These outputs may inform AI Act implementation practice, public-sector procurement, testing/assurance and pre-normative </w:t>
      </w:r>
      <w:proofErr w:type="spellStart"/>
      <w:r>
        <w:rPr>
          <w:rFonts w:cs="Times New Roman"/>
        </w:rPr>
        <w:t>standardisation</w:t>
      </w:r>
      <w:proofErr w:type="spellEnd"/>
      <w:r>
        <w:rPr>
          <w:rFonts w:cs="Times New Roman"/>
        </w:rPr>
        <w:t xml:space="preserve">, but MDPAR-H will not equate structural auditability with legal compliance or certification. The sovereignty message is precise: European </w:t>
      </w:r>
      <w:proofErr w:type="spellStart"/>
      <w:r>
        <w:rPr>
          <w:rFonts w:cs="Times New Roman"/>
        </w:rPr>
        <w:t>organisations</w:t>
      </w:r>
      <w:proofErr w:type="spellEnd"/>
      <w:r>
        <w:rPr>
          <w:rFonts w:cs="Times New Roman"/>
        </w:rPr>
        <w:t xml:space="preserve"> should be able, where technically validated, to use heterogeneous semantic capabilities without surrendering longitudinal cognitive state, provenance or operational authority to a single model provider.</w:t>
      </w:r>
    </w:p>
    <w:p w14:paraId="67A205CC" w14:textId="77777777" w:rsidR="00894D55" w:rsidRDefault="00B20FC1">
      <w:pPr>
        <w:keepNext/>
        <w:spacing w:before="60" w:after="40"/>
      </w:pPr>
      <w:r>
        <w:rPr>
          <w:rFonts w:cs="Times New Roman"/>
          <w:b/>
        </w:rPr>
        <w:t>Staged public narrative and communication safeguards</w:t>
      </w:r>
    </w:p>
    <w:p w14:paraId="4DC54B69" w14:textId="77777777" w:rsidR="00894D55" w:rsidRDefault="00B20FC1">
      <w:r>
        <w:rPr>
          <w:rFonts w:cs="Times New Roman"/>
        </w:rPr>
        <w:t xml:space="preserve">Communication will follow the three-year falsification logic. Year 1 asks 'Can structure survive controlled change?' and focuses on formal freeze, preregistration, discrimination and symbolic evidence. Year 2 asks 'Does the structure belong only to MDPAR?' and </w:t>
      </w:r>
      <w:proofErr w:type="spellStart"/>
      <w:r>
        <w:rPr>
          <w:rFonts w:cs="Times New Roman"/>
        </w:rPr>
        <w:t>centres</w:t>
      </w:r>
      <w:proofErr w:type="spellEnd"/>
      <w:r>
        <w:rPr>
          <w:rFonts w:cs="Times New Roman"/>
        </w:rPr>
        <w:t xml:space="preserve"> independent systems, adapter burden, interoperability and replication. Year 3 asks 'Does it survive the world?' and uses multimodal and embodied experiments to show what changes when perception, partial observability, timing, action and physical consequences enter the loop. The narrative is intentionally memorable while remaining scientifically reversible: a negative answer at any stage is a result, not a communication failure.</w:t>
      </w:r>
    </w:p>
    <w:p w14:paraId="24EACEFE" w14:textId="77777777" w:rsidR="00894D55" w:rsidRDefault="00B20FC1">
      <w:r>
        <w:rPr>
          <w:rFonts w:cs="Times New Roman"/>
        </w:rPr>
        <w:t xml:space="preserve">High-impact application examples will be communicated conservatively. Legal, medical, administrative, financial or safety examples will not be framed as automated adjudication, diagnosis, certification or institutional decision-making. MDPAR will be presented as an analytical instrument bounded by evidence coverage, observer uncertainty, certification state and external professional authority. Communication will avoid claims of universal reasoning, guilt/innocence determination, guaranteed compliance or autonomous professional replacement. Where confidentiality, privacy or third-party rights apply, representative, synthetic or properly governed material will be used. The public-facing benefit is contestability: the chain from evidence to inference and </w:t>
      </w:r>
      <w:proofErr w:type="spellStart"/>
      <w:r>
        <w:rPr>
          <w:rFonts w:cs="Times New Roman"/>
        </w:rPr>
        <w:t>authorised</w:t>
      </w:r>
      <w:proofErr w:type="spellEnd"/>
      <w:r>
        <w:rPr>
          <w:rFonts w:cs="Times New Roman"/>
        </w:rPr>
        <w:t xml:space="preserve"> action can be reconstructed, inspected and challenged.</w:t>
      </w:r>
    </w:p>
    <w:p w14:paraId="5F13A390" w14:textId="77777777" w:rsidR="00894D55" w:rsidRDefault="00B20FC1">
      <w:pPr>
        <w:keepNext/>
        <w:spacing w:before="60" w:after="40"/>
      </w:pPr>
      <w:r>
        <w:rPr>
          <w:rFonts w:cs="Times New Roman"/>
          <w:b/>
        </w:rPr>
        <w:t>Post-project persistence and performance indicators</w:t>
      </w:r>
    </w:p>
    <w:p w14:paraId="0F76BB7C" w14:textId="77777777" w:rsidR="00894D55" w:rsidRDefault="00B20FC1">
      <w:r>
        <w:rPr>
          <w:rFonts w:cs="Times New Roman"/>
        </w:rPr>
        <w:t xml:space="preserve">Communication and dissemination will persist beyond M36 through durable repository records, the Structural Invariance Atlas, maintained benchmark documentation, reusable training material, continued scientific publication </w:t>
      </w:r>
      <w:r>
        <w:rPr>
          <w:rFonts w:cs="Times New Roman"/>
        </w:rPr>
        <w:lastRenderedPageBreak/>
        <w:t>and follow-on standards/assurance engagement. The project website will point to persistent outputs rather than serve as the sole archive. Success will use function-specific indicators: scientific uptake (OA publications, benchmark reuse and independent replications); technical uptake (external integrations, API/schema reuse and benchmark participation); stakeholder/policy uptake (workshops, consultations, assurance/standards interactions and follow-on pilots); and public reach/qualitative feedback. Proportionate numerical targets will be fixed in the M6 plan once consortium size, portfolio coordination and demonstrator domain are known. Major public claims must remain traceable to the evidence state, tested support and boundary conditions that justify them.</w:t>
      </w:r>
    </w:p>
    <w:p w14:paraId="5903344D" w14:textId="77777777" w:rsidR="00894D55" w:rsidRDefault="00B20FC1">
      <w:pPr>
        <w:keepNext/>
        <w:pageBreakBefore/>
        <w:spacing w:before="120"/>
      </w:pPr>
      <w:r>
        <w:rPr>
          <w:rFonts w:cs="Times New Roman"/>
          <w:b/>
        </w:rPr>
        <w:lastRenderedPageBreak/>
        <w:t>3. Quality and efficiency of the implementation</w:t>
      </w:r>
    </w:p>
    <w:p w14:paraId="6AFA46E9" w14:textId="77777777" w:rsidR="00894D55" w:rsidRDefault="00B20FC1">
      <w:pPr>
        <w:keepNext/>
        <w:spacing w:before="120"/>
      </w:pPr>
      <w:r>
        <w:rPr>
          <w:rFonts w:cs="Times New Roman"/>
          <w:b/>
        </w:rPr>
        <w:t>3.1 Work plan and allocation of resources</w:t>
      </w:r>
    </w:p>
    <w:p w14:paraId="1E7F49CA" w14:textId="77777777" w:rsidR="00894D55" w:rsidRDefault="00B20FC1">
      <w:pPr>
        <w:keepNext/>
        <w:spacing w:before="60" w:after="40"/>
      </w:pPr>
      <w:r>
        <w:rPr>
          <w:rFonts w:cs="Times New Roman"/>
          <w:b/>
        </w:rPr>
        <w:t>Overall implementation logic</w:t>
      </w:r>
    </w:p>
    <w:p w14:paraId="143E88A7" w14:textId="77777777" w:rsidR="00894D55" w:rsidRDefault="00B20FC1">
      <w:r>
        <w:rPr>
          <w:rFonts w:cs="Times New Roman"/>
        </w:rPr>
        <w:t>MDPAR-H converts the scientific progression defined in Section 1 into a staged implementation plan with explicit decision gates. The action starts from MDPAR v2.2.0 as Background instrumentation, not as a result to be rebuilt. Months 1-12 are applicant-controlled and concentrate on formal freeze, metrology, adversarial symbolic testing and the first frozen evidence release. Months 10-24 introduce independently engineered cognitive systems and portfolio interoperability as the principal test of architectural independence. Months 19-36 introduce multimodal and physical coupling and culminate in the TRL4 demonstrator and final domain-of-validity map. Project management, Open Science, evidence governance, exploitation and communication are separated into reporting-period work packages so that the lump-sum structure is aligned with completion of substantial packages at M12 and M36.</w:t>
      </w:r>
    </w:p>
    <w:p w14:paraId="3E0D1FF9" w14:textId="77777777" w:rsidR="00894D55" w:rsidRDefault="00B20FC1">
      <w:r>
        <w:rPr>
          <w:rFonts w:cs="Times New Roman"/>
        </w:rPr>
        <w:t xml:space="preserve">The work plan does not assume access that has not been secured. Year 1 can be executed without dedicated institutional laboratory infrastructure using the pre-existing MDPAR codebase, controlled local execution and budgeted compute/API resources. Year 2 deliberately requires external systems because independence from MDPAR is the scientific object of O3; </w:t>
      </w:r>
      <w:proofErr w:type="spellStart"/>
      <w:r>
        <w:rPr>
          <w:rFonts w:cs="Times New Roman"/>
        </w:rPr>
        <w:t>DeepRAP</w:t>
      </w:r>
      <w:proofErr w:type="spellEnd"/>
      <w:r>
        <w:rPr>
          <w:rFonts w:cs="Times New Roman"/>
        </w:rPr>
        <w:t xml:space="preserve"> portfolio systems are the preferred route, with public/open systems, licensed APIs and other independently developed European systems as fallbacks. Year 3 requires embodied laboratory access. That access is treated as a formal implementation gate to be secured before the physical campaign starts. The preferred post-selection route is a formal agreement with the University of Salamanca (USAL), anchored in its </w:t>
      </w:r>
      <w:proofErr w:type="spellStart"/>
      <w:r>
        <w:rPr>
          <w:rFonts w:cs="Times New Roman"/>
        </w:rPr>
        <w:t>Departamento</w:t>
      </w:r>
      <w:proofErr w:type="spellEnd"/>
      <w:r>
        <w:rPr>
          <w:rFonts w:cs="Times New Roman"/>
        </w:rPr>
        <w:t xml:space="preserve"> de </w:t>
      </w:r>
      <w:proofErr w:type="spellStart"/>
      <w:r>
        <w:rPr>
          <w:rFonts w:cs="Times New Roman"/>
        </w:rPr>
        <w:t>Informática</w:t>
      </w:r>
      <w:proofErr w:type="spellEnd"/>
      <w:r>
        <w:rPr>
          <w:rFonts w:cs="Times New Roman"/>
        </w:rPr>
        <w:t xml:space="preserve"> y </w:t>
      </w:r>
      <w:proofErr w:type="spellStart"/>
      <w:r>
        <w:rPr>
          <w:rFonts w:cs="Times New Roman"/>
        </w:rPr>
        <w:t>Automática</w:t>
      </w:r>
      <w:proofErr w:type="spellEnd"/>
      <w:r>
        <w:rPr>
          <w:rFonts w:cs="Times New Roman"/>
        </w:rPr>
        <w:t xml:space="preserve"> and specifically the complementary areas of </w:t>
      </w:r>
      <w:proofErr w:type="spellStart"/>
      <w:r>
        <w:rPr>
          <w:rFonts w:cs="Times New Roman"/>
        </w:rPr>
        <w:t>Ciencia</w:t>
      </w:r>
      <w:proofErr w:type="spellEnd"/>
      <w:r>
        <w:rPr>
          <w:rFonts w:cs="Times New Roman"/>
        </w:rPr>
        <w:t xml:space="preserve"> de la </w:t>
      </w:r>
      <w:proofErr w:type="spellStart"/>
      <w:r>
        <w:rPr>
          <w:rFonts w:cs="Times New Roman"/>
        </w:rPr>
        <w:t>Computación</w:t>
      </w:r>
      <w:proofErr w:type="spellEnd"/>
      <w:r>
        <w:rPr>
          <w:rFonts w:cs="Times New Roman"/>
        </w:rPr>
        <w:t xml:space="preserve"> e </w:t>
      </w:r>
      <w:proofErr w:type="spellStart"/>
      <w:r>
        <w:rPr>
          <w:rFonts w:cs="Times New Roman"/>
        </w:rPr>
        <w:t>Inteligencia</w:t>
      </w:r>
      <w:proofErr w:type="spellEnd"/>
      <w:r>
        <w:rPr>
          <w:rFonts w:cs="Times New Roman"/>
        </w:rPr>
        <w:t xml:space="preserve"> Artificial and </w:t>
      </w:r>
      <w:proofErr w:type="spellStart"/>
      <w:r>
        <w:rPr>
          <w:rFonts w:cs="Times New Roman"/>
        </w:rPr>
        <w:t>Ingeniería</w:t>
      </w:r>
      <w:proofErr w:type="spellEnd"/>
      <w:r>
        <w:rPr>
          <w:rFonts w:cs="Times New Roman"/>
        </w:rPr>
        <w:t xml:space="preserve"> de </w:t>
      </w:r>
      <w:proofErr w:type="spellStart"/>
      <w:r>
        <w:rPr>
          <w:rFonts w:cs="Times New Roman"/>
        </w:rPr>
        <w:t>Sistemas</w:t>
      </w:r>
      <w:proofErr w:type="spellEnd"/>
      <w:r>
        <w:rPr>
          <w:rFonts w:cs="Times New Roman"/>
        </w:rPr>
        <w:t xml:space="preserve"> y </w:t>
      </w:r>
      <w:proofErr w:type="spellStart"/>
      <w:r>
        <w:rPr>
          <w:rFonts w:cs="Times New Roman"/>
        </w:rPr>
        <w:t>Automática</w:t>
      </w:r>
      <w:proofErr w:type="spellEnd"/>
      <w:r>
        <w:rPr>
          <w:rFonts w:cs="Times New Roman"/>
        </w:rPr>
        <w:t xml:space="preserve">. A positive EIC Pathfinder </w:t>
      </w:r>
      <w:proofErr w:type="spellStart"/>
      <w:r>
        <w:rPr>
          <w:rFonts w:cs="Times New Roman"/>
        </w:rPr>
        <w:t>DeepRAP</w:t>
      </w:r>
      <w:proofErr w:type="spellEnd"/>
      <w:r>
        <w:rPr>
          <w:rFonts w:cs="Times New Roman"/>
        </w:rPr>
        <w:t xml:space="preserve"> funding decision would trigger that institutional negotiation; it is not represented as USAL endorsement or committed access at submission.</w:t>
      </w:r>
    </w:p>
    <w:p w14:paraId="18905ADE" w14:textId="77777777" w:rsidR="00894D55" w:rsidRDefault="00B20FC1">
      <w:r>
        <w:rPr>
          <w:rFonts w:cs="Times New Roman"/>
        </w:rPr>
        <w:t>The Year-3 dependency is deliberately narrow. Embodiment is a falsification environment, not the scientific core or the product definition: the project does not require a specific robot brand, proprietary laboratory stack or partner-owned ontology. It requires an independently engineered perception-action environment capable of imposing the phenomena relevant to O4 - partial observability, sensor disagreement, delay, replanning, actuator constraints, outage, fallback and recovery - under controlled TRL4 conditions. This makes the missing infrastructure substitutable at the facility level while keeping the scientific endpoint fixed.</w:t>
      </w:r>
    </w:p>
    <w:p w14:paraId="74FAAE18" w14:textId="77777777" w:rsidR="00894D55" w:rsidRDefault="00B20FC1">
      <w:pPr>
        <w:keepNext/>
        <w:spacing w:before="60" w:after="40"/>
      </w:pPr>
      <w:r>
        <w:rPr>
          <w:rFonts w:cs="Times New Roman"/>
          <w:b/>
        </w:rPr>
        <w:t>Work-package structure (Table 3.1a)</w:t>
      </w:r>
    </w:p>
    <w:tbl>
      <w:tblPr>
        <w:tblStyle w:val="Tablaconcuadrcula"/>
        <w:tblW w:w="0" w:type="auto"/>
        <w:jc w:val="center"/>
        <w:tblCellMar>
          <w:top w:w="40" w:type="dxa"/>
          <w:left w:w="60" w:type="dxa"/>
          <w:bottom w:w="40" w:type="dxa"/>
          <w:right w:w="60" w:type="dxa"/>
        </w:tblCellMar>
        <w:tblLook w:val="04A0" w:firstRow="1" w:lastRow="0" w:firstColumn="1" w:lastColumn="0" w:noHBand="0" w:noVBand="1"/>
      </w:tblPr>
      <w:tblGrid>
        <w:gridCol w:w="550"/>
        <w:gridCol w:w="3960"/>
        <w:gridCol w:w="1224"/>
        <w:gridCol w:w="2542"/>
        <w:gridCol w:w="587"/>
        <w:gridCol w:w="576"/>
      </w:tblGrid>
      <w:tr w:rsidR="00894D55" w14:paraId="4FA511DD" w14:textId="77777777">
        <w:trPr>
          <w:tblHeader/>
          <w:jc w:val="center"/>
        </w:trPr>
        <w:tc>
          <w:tcPr>
            <w:tcW w:w="504" w:type="dxa"/>
            <w:shd w:val="clear" w:color="auto" w:fill="D9EAF7"/>
            <w:tcMar>
              <w:top w:w="45" w:type="dxa"/>
              <w:left w:w="55" w:type="dxa"/>
              <w:bottom w:w="45" w:type="dxa"/>
              <w:right w:w="55" w:type="dxa"/>
            </w:tcMar>
          </w:tcPr>
          <w:p w14:paraId="4FF5B871" w14:textId="77777777" w:rsidR="00894D55" w:rsidRDefault="00B20FC1">
            <w:pPr>
              <w:spacing w:after="0"/>
            </w:pPr>
            <w:r>
              <w:rPr>
                <w:rFonts w:cs="Times New Roman"/>
                <w:b/>
              </w:rPr>
              <w:t>WP</w:t>
            </w:r>
          </w:p>
        </w:tc>
        <w:tc>
          <w:tcPr>
            <w:tcW w:w="3960" w:type="dxa"/>
            <w:shd w:val="clear" w:color="auto" w:fill="D9EAF7"/>
            <w:tcMar>
              <w:top w:w="45" w:type="dxa"/>
              <w:left w:w="55" w:type="dxa"/>
              <w:bottom w:w="45" w:type="dxa"/>
              <w:right w:w="55" w:type="dxa"/>
            </w:tcMar>
          </w:tcPr>
          <w:p w14:paraId="20B1AC48" w14:textId="77777777" w:rsidR="00894D55" w:rsidRDefault="00B20FC1">
            <w:pPr>
              <w:spacing w:after="0"/>
            </w:pPr>
            <w:r>
              <w:rPr>
                <w:rFonts w:cs="Times New Roman"/>
                <w:b/>
              </w:rPr>
              <w:t>Title</w:t>
            </w:r>
          </w:p>
        </w:tc>
        <w:tc>
          <w:tcPr>
            <w:tcW w:w="1224" w:type="dxa"/>
            <w:shd w:val="clear" w:color="auto" w:fill="D9EAF7"/>
            <w:tcMar>
              <w:top w:w="45" w:type="dxa"/>
              <w:left w:w="55" w:type="dxa"/>
              <w:bottom w:w="45" w:type="dxa"/>
              <w:right w:w="55" w:type="dxa"/>
            </w:tcMar>
          </w:tcPr>
          <w:p w14:paraId="5B2B08D7" w14:textId="77777777" w:rsidR="00894D55" w:rsidRDefault="00B20FC1">
            <w:pPr>
              <w:spacing w:after="0"/>
            </w:pPr>
            <w:r>
              <w:rPr>
                <w:rFonts w:cs="Times New Roman"/>
                <w:b/>
              </w:rPr>
              <w:t>Lead participant</w:t>
            </w:r>
          </w:p>
        </w:tc>
        <w:tc>
          <w:tcPr>
            <w:tcW w:w="1728" w:type="dxa"/>
            <w:shd w:val="clear" w:color="auto" w:fill="D9EAF7"/>
            <w:tcMar>
              <w:top w:w="45" w:type="dxa"/>
              <w:left w:w="55" w:type="dxa"/>
              <w:bottom w:w="45" w:type="dxa"/>
              <w:right w:w="55" w:type="dxa"/>
            </w:tcMar>
          </w:tcPr>
          <w:p w14:paraId="1CFF1346" w14:textId="77777777" w:rsidR="00894D55" w:rsidRDefault="00B20FC1">
            <w:pPr>
              <w:spacing w:after="0"/>
            </w:pPr>
            <w:r>
              <w:rPr>
                <w:rFonts w:cs="Times New Roman"/>
                <w:b/>
              </w:rPr>
              <w:t>WP leader role</w:t>
            </w:r>
          </w:p>
        </w:tc>
        <w:tc>
          <w:tcPr>
            <w:tcW w:w="576" w:type="dxa"/>
            <w:shd w:val="clear" w:color="auto" w:fill="D9EAF7"/>
            <w:tcMar>
              <w:top w:w="45" w:type="dxa"/>
              <w:left w:w="55" w:type="dxa"/>
              <w:bottom w:w="45" w:type="dxa"/>
              <w:right w:w="55" w:type="dxa"/>
            </w:tcMar>
          </w:tcPr>
          <w:p w14:paraId="00931EE1" w14:textId="77777777" w:rsidR="00894D55" w:rsidRDefault="00B20FC1">
            <w:pPr>
              <w:spacing w:after="0"/>
            </w:pPr>
            <w:r>
              <w:rPr>
                <w:rFonts w:cs="Times New Roman"/>
                <w:b/>
              </w:rPr>
              <w:t>Start</w:t>
            </w:r>
          </w:p>
        </w:tc>
        <w:tc>
          <w:tcPr>
            <w:tcW w:w="576" w:type="dxa"/>
            <w:shd w:val="clear" w:color="auto" w:fill="D9EAF7"/>
            <w:tcMar>
              <w:top w:w="45" w:type="dxa"/>
              <w:left w:w="55" w:type="dxa"/>
              <w:bottom w:w="45" w:type="dxa"/>
              <w:right w:w="55" w:type="dxa"/>
            </w:tcMar>
          </w:tcPr>
          <w:p w14:paraId="271444ED" w14:textId="77777777" w:rsidR="00894D55" w:rsidRDefault="00B20FC1">
            <w:pPr>
              <w:spacing w:after="0"/>
            </w:pPr>
            <w:r>
              <w:rPr>
                <w:rFonts w:cs="Times New Roman"/>
                <w:b/>
              </w:rPr>
              <w:t>End</w:t>
            </w:r>
          </w:p>
        </w:tc>
      </w:tr>
      <w:tr w:rsidR="00894D55" w14:paraId="3DA5361D" w14:textId="77777777">
        <w:trPr>
          <w:jc w:val="center"/>
        </w:trPr>
        <w:tc>
          <w:tcPr>
            <w:tcW w:w="504" w:type="dxa"/>
            <w:tcMar>
              <w:top w:w="45" w:type="dxa"/>
              <w:left w:w="55" w:type="dxa"/>
              <w:bottom w:w="45" w:type="dxa"/>
              <w:right w:w="55" w:type="dxa"/>
            </w:tcMar>
          </w:tcPr>
          <w:p w14:paraId="0AAB217E" w14:textId="77777777" w:rsidR="00894D55" w:rsidRDefault="00B20FC1">
            <w:pPr>
              <w:spacing w:after="0"/>
            </w:pPr>
            <w:r>
              <w:rPr>
                <w:rFonts w:cs="Times New Roman"/>
              </w:rPr>
              <w:t>WP1</w:t>
            </w:r>
          </w:p>
        </w:tc>
        <w:tc>
          <w:tcPr>
            <w:tcW w:w="3960" w:type="dxa"/>
            <w:tcMar>
              <w:top w:w="45" w:type="dxa"/>
              <w:left w:w="55" w:type="dxa"/>
              <w:bottom w:w="45" w:type="dxa"/>
              <w:right w:w="55" w:type="dxa"/>
            </w:tcMar>
          </w:tcPr>
          <w:p w14:paraId="6230A49B" w14:textId="77777777" w:rsidR="00894D55" w:rsidRDefault="00B20FC1">
            <w:pPr>
              <w:spacing w:after="0"/>
            </w:pPr>
            <w:r>
              <w:rPr>
                <w:rFonts w:cs="Times New Roman"/>
              </w:rPr>
              <w:t>Project governance, quality and risk - RP1</w:t>
            </w:r>
          </w:p>
        </w:tc>
        <w:tc>
          <w:tcPr>
            <w:tcW w:w="1224" w:type="dxa"/>
            <w:tcMar>
              <w:top w:w="45" w:type="dxa"/>
              <w:left w:w="55" w:type="dxa"/>
              <w:bottom w:w="45" w:type="dxa"/>
              <w:right w:w="55" w:type="dxa"/>
            </w:tcMar>
          </w:tcPr>
          <w:p w14:paraId="7F27B33C" w14:textId="77777777" w:rsidR="00894D55" w:rsidRDefault="00B20FC1">
            <w:pPr>
              <w:spacing w:after="0"/>
            </w:pPr>
            <w:r>
              <w:rPr>
                <w:rFonts w:cs="Times New Roman"/>
              </w:rPr>
              <w:t>P1 Applicant</w:t>
            </w:r>
          </w:p>
        </w:tc>
        <w:tc>
          <w:tcPr>
            <w:tcW w:w="1728" w:type="dxa"/>
            <w:tcMar>
              <w:top w:w="45" w:type="dxa"/>
              <w:left w:w="55" w:type="dxa"/>
              <w:bottom w:w="45" w:type="dxa"/>
              <w:right w:w="55" w:type="dxa"/>
            </w:tcMar>
          </w:tcPr>
          <w:p w14:paraId="3113F856" w14:textId="77777777" w:rsidR="00894D55" w:rsidRDefault="00B20FC1">
            <w:pPr>
              <w:spacing w:after="0"/>
            </w:pPr>
            <w:r>
              <w:rPr>
                <w:rFonts w:cs="Times New Roman"/>
              </w:rPr>
              <w:t>Scientific/Technical Lead</w:t>
            </w:r>
          </w:p>
        </w:tc>
        <w:tc>
          <w:tcPr>
            <w:tcW w:w="576" w:type="dxa"/>
            <w:tcMar>
              <w:top w:w="45" w:type="dxa"/>
              <w:left w:w="55" w:type="dxa"/>
              <w:bottom w:w="45" w:type="dxa"/>
              <w:right w:w="55" w:type="dxa"/>
            </w:tcMar>
          </w:tcPr>
          <w:p w14:paraId="662AD8AD" w14:textId="77777777" w:rsidR="00894D55" w:rsidRDefault="00B20FC1">
            <w:pPr>
              <w:spacing w:after="0"/>
            </w:pPr>
            <w:r>
              <w:rPr>
                <w:rFonts w:cs="Times New Roman"/>
              </w:rPr>
              <w:t>M1</w:t>
            </w:r>
          </w:p>
        </w:tc>
        <w:tc>
          <w:tcPr>
            <w:tcW w:w="576" w:type="dxa"/>
            <w:tcMar>
              <w:top w:w="45" w:type="dxa"/>
              <w:left w:w="55" w:type="dxa"/>
              <w:bottom w:w="45" w:type="dxa"/>
              <w:right w:w="55" w:type="dxa"/>
            </w:tcMar>
          </w:tcPr>
          <w:p w14:paraId="14C75219" w14:textId="77777777" w:rsidR="00894D55" w:rsidRDefault="00B20FC1">
            <w:pPr>
              <w:spacing w:after="0"/>
            </w:pPr>
            <w:r>
              <w:rPr>
                <w:rFonts w:cs="Times New Roman"/>
              </w:rPr>
              <w:t>M12</w:t>
            </w:r>
          </w:p>
        </w:tc>
      </w:tr>
      <w:tr w:rsidR="00894D55" w14:paraId="5D6A2ED3" w14:textId="77777777">
        <w:trPr>
          <w:jc w:val="center"/>
        </w:trPr>
        <w:tc>
          <w:tcPr>
            <w:tcW w:w="504" w:type="dxa"/>
            <w:tcMar>
              <w:top w:w="45" w:type="dxa"/>
              <w:left w:w="55" w:type="dxa"/>
              <w:bottom w:w="45" w:type="dxa"/>
              <w:right w:w="55" w:type="dxa"/>
            </w:tcMar>
          </w:tcPr>
          <w:p w14:paraId="0619D6BF" w14:textId="77777777" w:rsidR="00894D55" w:rsidRDefault="00B20FC1">
            <w:pPr>
              <w:spacing w:after="0"/>
            </w:pPr>
            <w:r>
              <w:rPr>
                <w:rFonts w:cs="Times New Roman"/>
              </w:rPr>
              <w:t>WP2</w:t>
            </w:r>
          </w:p>
        </w:tc>
        <w:tc>
          <w:tcPr>
            <w:tcW w:w="3960" w:type="dxa"/>
            <w:tcMar>
              <w:top w:w="45" w:type="dxa"/>
              <w:left w:w="55" w:type="dxa"/>
              <w:bottom w:w="45" w:type="dxa"/>
              <w:right w:w="55" w:type="dxa"/>
            </w:tcMar>
          </w:tcPr>
          <w:p w14:paraId="2850198E" w14:textId="77777777" w:rsidR="00894D55" w:rsidRDefault="00B20FC1">
            <w:pPr>
              <w:spacing w:after="0"/>
            </w:pPr>
            <w:r>
              <w:rPr>
                <w:rFonts w:cs="Times New Roman"/>
              </w:rPr>
              <w:t>Formal specification, metrology and confirmatory freeze</w:t>
            </w:r>
          </w:p>
        </w:tc>
        <w:tc>
          <w:tcPr>
            <w:tcW w:w="1224" w:type="dxa"/>
            <w:tcMar>
              <w:top w:w="45" w:type="dxa"/>
              <w:left w:w="55" w:type="dxa"/>
              <w:bottom w:w="45" w:type="dxa"/>
              <w:right w:w="55" w:type="dxa"/>
            </w:tcMar>
          </w:tcPr>
          <w:p w14:paraId="23F130F5" w14:textId="77777777" w:rsidR="00894D55" w:rsidRDefault="00B20FC1">
            <w:pPr>
              <w:spacing w:after="0"/>
            </w:pPr>
            <w:r>
              <w:rPr>
                <w:rFonts w:cs="Times New Roman"/>
              </w:rPr>
              <w:t>P1 Applicant</w:t>
            </w:r>
          </w:p>
        </w:tc>
        <w:tc>
          <w:tcPr>
            <w:tcW w:w="1728" w:type="dxa"/>
            <w:tcMar>
              <w:top w:w="45" w:type="dxa"/>
              <w:left w:w="55" w:type="dxa"/>
              <w:bottom w:w="45" w:type="dxa"/>
              <w:right w:w="55" w:type="dxa"/>
            </w:tcMar>
          </w:tcPr>
          <w:p w14:paraId="76EFEEB5" w14:textId="77777777" w:rsidR="00894D55" w:rsidRDefault="00B20FC1">
            <w:pPr>
              <w:spacing w:after="0"/>
            </w:pPr>
            <w:r>
              <w:rPr>
                <w:rFonts w:cs="Times New Roman"/>
              </w:rPr>
              <w:t>Scientific/Technical Lead</w:t>
            </w:r>
          </w:p>
        </w:tc>
        <w:tc>
          <w:tcPr>
            <w:tcW w:w="576" w:type="dxa"/>
            <w:tcMar>
              <w:top w:w="45" w:type="dxa"/>
              <w:left w:w="55" w:type="dxa"/>
              <w:bottom w:w="45" w:type="dxa"/>
              <w:right w:w="55" w:type="dxa"/>
            </w:tcMar>
          </w:tcPr>
          <w:p w14:paraId="6DA58F6F" w14:textId="77777777" w:rsidR="00894D55" w:rsidRDefault="00B20FC1">
            <w:pPr>
              <w:spacing w:after="0"/>
            </w:pPr>
            <w:r>
              <w:rPr>
                <w:rFonts w:cs="Times New Roman"/>
              </w:rPr>
              <w:t>M1</w:t>
            </w:r>
          </w:p>
        </w:tc>
        <w:tc>
          <w:tcPr>
            <w:tcW w:w="576" w:type="dxa"/>
            <w:tcMar>
              <w:top w:w="45" w:type="dxa"/>
              <w:left w:w="55" w:type="dxa"/>
              <w:bottom w:w="45" w:type="dxa"/>
              <w:right w:w="55" w:type="dxa"/>
            </w:tcMar>
          </w:tcPr>
          <w:p w14:paraId="037C94EE" w14:textId="77777777" w:rsidR="00894D55" w:rsidRDefault="00B20FC1">
            <w:pPr>
              <w:spacing w:after="0"/>
            </w:pPr>
            <w:r>
              <w:rPr>
                <w:rFonts w:cs="Times New Roman"/>
              </w:rPr>
              <w:t>M12</w:t>
            </w:r>
          </w:p>
        </w:tc>
      </w:tr>
      <w:tr w:rsidR="00894D55" w14:paraId="1AA634F2" w14:textId="77777777">
        <w:trPr>
          <w:jc w:val="center"/>
        </w:trPr>
        <w:tc>
          <w:tcPr>
            <w:tcW w:w="504" w:type="dxa"/>
            <w:tcMar>
              <w:top w:w="45" w:type="dxa"/>
              <w:left w:w="55" w:type="dxa"/>
              <w:bottom w:w="45" w:type="dxa"/>
              <w:right w:w="55" w:type="dxa"/>
            </w:tcMar>
          </w:tcPr>
          <w:p w14:paraId="4D932F9D" w14:textId="77777777" w:rsidR="00894D55" w:rsidRDefault="00B20FC1">
            <w:pPr>
              <w:spacing w:after="0"/>
            </w:pPr>
            <w:r>
              <w:rPr>
                <w:rFonts w:cs="Times New Roman"/>
              </w:rPr>
              <w:t>WP3</w:t>
            </w:r>
          </w:p>
        </w:tc>
        <w:tc>
          <w:tcPr>
            <w:tcW w:w="3960" w:type="dxa"/>
            <w:tcMar>
              <w:top w:w="45" w:type="dxa"/>
              <w:left w:w="55" w:type="dxa"/>
              <w:bottom w:w="45" w:type="dxa"/>
              <w:right w:w="55" w:type="dxa"/>
            </w:tcMar>
          </w:tcPr>
          <w:p w14:paraId="22968782" w14:textId="77777777" w:rsidR="00894D55" w:rsidRDefault="00B20FC1">
            <w:pPr>
              <w:spacing w:after="0"/>
            </w:pPr>
            <w:r>
              <w:rPr>
                <w:rFonts w:cs="Times New Roman"/>
              </w:rPr>
              <w:t>Symbolic invariance and adversarial validation</w:t>
            </w:r>
          </w:p>
        </w:tc>
        <w:tc>
          <w:tcPr>
            <w:tcW w:w="1224" w:type="dxa"/>
            <w:tcMar>
              <w:top w:w="45" w:type="dxa"/>
              <w:left w:w="55" w:type="dxa"/>
              <w:bottom w:w="45" w:type="dxa"/>
              <w:right w:w="55" w:type="dxa"/>
            </w:tcMar>
          </w:tcPr>
          <w:p w14:paraId="03D9482B" w14:textId="77777777" w:rsidR="00894D55" w:rsidRDefault="00B20FC1">
            <w:pPr>
              <w:spacing w:after="0"/>
            </w:pPr>
            <w:r>
              <w:rPr>
                <w:rFonts w:cs="Times New Roman"/>
              </w:rPr>
              <w:t>P1 Applicant</w:t>
            </w:r>
          </w:p>
        </w:tc>
        <w:tc>
          <w:tcPr>
            <w:tcW w:w="1728" w:type="dxa"/>
            <w:tcMar>
              <w:top w:w="45" w:type="dxa"/>
              <w:left w:w="55" w:type="dxa"/>
              <w:bottom w:w="45" w:type="dxa"/>
              <w:right w:w="55" w:type="dxa"/>
            </w:tcMar>
          </w:tcPr>
          <w:p w14:paraId="41B2471A" w14:textId="77777777" w:rsidR="00894D55" w:rsidRDefault="00B20FC1">
            <w:pPr>
              <w:spacing w:after="0"/>
            </w:pPr>
            <w:r>
              <w:rPr>
                <w:rFonts w:cs="Times New Roman"/>
              </w:rPr>
              <w:t>Experimental AI Lead</w:t>
            </w:r>
          </w:p>
        </w:tc>
        <w:tc>
          <w:tcPr>
            <w:tcW w:w="576" w:type="dxa"/>
            <w:tcMar>
              <w:top w:w="45" w:type="dxa"/>
              <w:left w:w="55" w:type="dxa"/>
              <w:bottom w:w="45" w:type="dxa"/>
              <w:right w:w="55" w:type="dxa"/>
            </w:tcMar>
          </w:tcPr>
          <w:p w14:paraId="6F5E9419" w14:textId="77777777" w:rsidR="00894D55" w:rsidRDefault="00B20FC1">
            <w:pPr>
              <w:spacing w:after="0"/>
            </w:pPr>
            <w:r>
              <w:rPr>
                <w:rFonts w:cs="Times New Roman"/>
              </w:rPr>
              <w:t>M3</w:t>
            </w:r>
          </w:p>
        </w:tc>
        <w:tc>
          <w:tcPr>
            <w:tcW w:w="576" w:type="dxa"/>
            <w:tcMar>
              <w:top w:w="45" w:type="dxa"/>
              <w:left w:w="55" w:type="dxa"/>
              <w:bottom w:w="45" w:type="dxa"/>
              <w:right w:w="55" w:type="dxa"/>
            </w:tcMar>
          </w:tcPr>
          <w:p w14:paraId="1A647341" w14:textId="77777777" w:rsidR="00894D55" w:rsidRDefault="00B20FC1">
            <w:pPr>
              <w:spacing w:after="0"/>
            </w:pPr>
            <w:r>
              <w:rPr>
                <w:rFonts w:cs="Times New Roman"/>
              </w:rPr>
              <w:t>M12</w:t>
            </w:r>
          </w:p>
        </w:tc>
      </w:tr>
      <w:tr w:rsidR="00894D55" w14:paraId="21FD2CAD" w14:textId="77777777">
        <w:trPr>
          <w:jc w:val="center"/>
        </w:trPr>
        <w:tc>
          <w:tcPr>
            <w:tcW w:w="504" w:type="dxa"/>
            <w:tcMar>
              <w:top w:w="45" w:type="dxa"/>
              <w:left w:w="55" w:type="dxa"/>
              <w:bottom w:w="45" w:type="dxa"/>
              <w:right w:w="55" w:type="dxa"/>
            </w:tcMar>
          </w:tcPr>
          <w:p w14:paraId="7549E175" w14:textId="77777777" w:rsidR="00894D55" w:rsidRDefault="00B20FC1">
            <w:pPr>
              <w:spacing w:after="0"/>
            </w:pPr>
            <w:r>
              <w:rPr>
                <w:rFonts w:cs="Times New Roman"/>
              </w:rPr>
              <w:t>WP4</w:t>
            </w:r>
          </w:p>
        </w:tc>
        <w:tc>
          <w:tcPr>
            <w:tcW w:w="3960" w:type="dxa"/>
            <w:tcMar>
              <w:top w:w="45" w:type="dxa"/>
              <w:left w:w="55" w:type="dxa"/>
              <w:bottom w:w="45" w:type="dxa"/>
              <w:right w:w="55" w:type="dxa"/>
            </w:tcMar>
          </w:tcPr>
          <w:p w14:paraId="2E5B3287" w14:textId="77777777" w:rsidR="00894D55" w:rsidRDefault="00B20FC1">
            <w:pPr>
              <w:spacing w:after="0"/>
            </w:pPr>
            <w:r>
              <w:rPr>
                <w:rFonts w:cs="Times New Roman"/>
              </w:rPr>
              <w:t>Data, Open Science, dissemination and exploitation - RP1</w:t>
            </w:r>
          </w:p>
        </w:tc>
        <w:tc>
          <w:tcPr>
            <w:tcW w:w="1224" w:type="dxa"/>
            <w:tcMar>
              <w:top w:w="45" w:type="dxa"/>
              <w:left w:w="55" w:type="dxa"/>
              <w:bottom w:w="45" w:type="dxa"/>
              <w:right w:w="55" w:type="dxa"/>
            </w:tcMar>
          </w:tcPr>
          <w:p w14:paraId="7BAE239B" w14:textId="77777777" w:rsidR="00894D55" w:rsidRDefault="00B20FC1">
            <w:pPr>
              <w:spacing w:after="0"/>
            </w:pPr>
            <w:r>
              <w:rPr>
                <w:rFonts w:cs="Times New Roman"/>
              </w:rPr>
              <w:t>P1 Applicant</w:t>
            </w:r>
          </w:p>
        </w:tc>
        <w:tc>
          <w:tcPr>
            <w:tcW w:w="1728" w:type="dxa"/>
            <w:tcMar>
              <w:top w:w="45" w:type="dxa"/>
              <w:left w:w="55" w:type="dxa"/>
              <w:bottom w:w="45" w:type="dxa"/>
              <w:right w:w="55" w:type="dxa"/>
            </w:tcMar>
          </w:tcPr>
          <w:p w14:paraId="6298E4D9" w14:textId="77777777" w:rsidR="00894D55" w:rsidRDefault="00B20FC1">
            <w:pPr>
              <w:spacing w:after="0"/>
            </w:pPr>
            <w:r>
              <w:rPr>
                <w:rFonts w:cs="Times New Roman"/>
              </w:rPr>
              <w:t>Open Science/Innovation Lead</w:t>
            </w:r>
          </w:p>
        </w:tc>
        <w:tc>
          <w:tcPr>
            <w:tcW w:w="576" w:type="dxa"/>
            <w:tcMar>
              <w:top w:w="45" w:type="dxa"/>
              <w:left w:w="55" w:type="dxa"/>
              <w:bottom w:w="45" w:type="dxa"/>
              <w:right w:w="55" w:type="dxa"/>
            </w:tcMar>
          </w:tcPr>
          <w:p w14:paraId="1E903645" w14:textId="77777777" w:rsidR="00894D55" w:rsidRDefault="00B20FC1">
            <w:pPr>
              <w:spacing w:after="0"/>
            </w:pPr>
            <w:r>
              <w:rPr>
                <w:rFonts w:cs="Times New Roman"/>
              </w:rPr>
              <w:t>M1</w:t>
            </w:r>
          </w:p>
        </w:tc>
        <w:tc>
          <w:tcPr>
            <w:tcW w:w="576" w:type="dxa"/>
            <w:tcMar>
              <w:top w:w="45" w:type="dxa"/>
              <w:left w:w="55" w:type="dxa"/>
              <w:bottom w:w="45" w:type="dxa"/>
              <w:right w:w="55" w:type="dxa"/>
            </w:tcMar>
          </w:tcPr>
          <w:p w14:paraId="1D7EBBF3" w14:textId="77777777" w:rsidR="00894D55" w:rsidRDefault="00B20FC1">
            <w:pPr>
              <w:spacing w:after="0"/>
            </w:pPr>
            <w:r>
              <w:rPr>
                <w:rFonts w:cs="Times New Roman"/>
              </w:rPr>
              <w:t>M12</w:t>
            </w:r>
          </w:p>
        </w:tc>
      </w:tr>
      <w:tr w:rsidR="00894D55" w14:paraId="6C37897A" w14:textId="77777777">
        <w:trPr>
          <w:jc w:val="center"/>
        </w:trPr>
        <w:tc>
          <w:tcPr>
            <w:tcW w:w="504" w:type="dxa"/>
            <w:tcMar>
              <w:top w:w="45" w:type="dxa"/>
              <w:left w:w="55" w:type="dxa"/>
              <w:bottom w:w="45" w:type="dxa"/>
              <w:right w:w="55" w:type="dxa"/>
            </w:tcMar>
          </w:tcPr>
          <w:p w14:paraId="08A7A2B2" w14:textId="77777777" w:rsidR="00894D55" w:rsidRDefault="00B20FC1">
            <w:pPr>
              <w:spacing w:after="0"/>
            </w:pPr>
            <w:r>
              <w:rPr>
                <w:rFonts w:cs="Times New Roman"/>
              </w:rPr>
              <w:t>WP5</w:t>
            </w:r>
          </w:p>
        </w:tc>
        <w:tc>
          <w:tcPr>
            <w:tcW w:w="3960" w:type="dxa"/>
            <w:tcMar>
              <w:top w:w="45" w:type="dxa"/>
              <w:left w:w="55" w:type="dxa"/>
              <w:bottom w:w="45" w:type="dxa"/>
              <w:right w:w="55" w:type="dxa"/>
            </w:tcMar>
          </w:tcPr>
          <w:p w14:paraId="221942D5" w14:textId="77777777" w:rsidR="00894D55" w:rsidRDefault="00B20FC1">
            <w:pPr>
              <w:spacing w:after="0"/>
            </w:pPr>
            <w:r>
              <w:rPr>
                <w:rFonts w:cs="Times New Roman"/>
              </w:rPr>
              <w:t>Project governance, portfolio coordination and exploitation - RP2</w:t>
            </w:r>
          </w:p>
        </w:tc>
        <w:tc>
          <w:tcPr>
            <w:tcW w:w="1224" w:type="dxa"/>
            <w:tcMar>
              <w:top w:w="45" w:type="dxa"/>
              <w:left w:w="55" w:type="dxa"/>
              <w:bottom w:w="45" w:type="dxa"/>
              <w:right w:w="55" w:type="dxa"/>
            </w:tcMar>
          </w:tcPr>
          <w:p w14:paraId="3E25B9C0" w14:textId="77777777" w:rsidR="00894D55" w:rsidRDefault="00B20FC1">
            <w:pPr>
              <w:spacing w:after="0"/>
            </w:pPr>
            <w:r>
              <w:rPr>
                <w:rFonts w:cs="Times New Roman"/>
              </w:rPr>
              <w:t>P1 Applicant</w:t>
            </w:r>
          </w:p>
        </w:tc>
        <w:tc>
          <w:tcPr>
            <w:tcW w:w="1728" w:type="dxa"/>
            <w:tcMar>
              <w:top w:w="45" w:type="dxa"/>
              <w:left w:w="55" w:type="dxa"/>
              <w:bottom w:w="45" w:type="dxa"/>
              <w:right w:w="55" w:type="dxa"/>
            </w:tcMar>
          </w:tcPr>
          <w:p w14:paraId="4853C275" w14:textId="77777777" w:rsidR="00894D55" w:rsidRDefault="00B20FC1">
            <w:pPr>
              <w:spacing w:after="0"/>
            </w:pPr>
            <w:r>
              <w:rPr>
                <w:rFonts w:cs="Times New Roman"/>
              </w:rPr>
              <w:t>Scientific/Technical Lead</w:t>
            </w:r>
          </w:p>
        </w:tc>
        <w:tc>
          <w:tcPr>
            <w:tcW w:w="576" w:type="dxa"/>
            <w:tcMar>
              <w:top w:w="45" w:type="dxa"/>
              <w:left w:w="55" w:type="dxa"/>
              <w:bottom w:w="45" w:type="dxa"/>
              <w:right w:w="55" w:type="dxa"/>
            </w:tcMar>
          </w:tcPr>
          <w:p w14:paraId="5057D5D3" w14:textId="77777777" w:rsidR="00894D55" w:rsidRDefault="00B20FC1">
            <w:pPr>
              <w:spacing w:after="0"/>
            </w:pPr>
            <w:r>
              <w:rPr>
                <w:rFonts w:cs="Times New Roman"/>
              </w:rPr>
              <w:t>M13</w:t>
            </w:r>
          </w:p>
        </w:tc>
        <w:tc>
          <w:tcPr>
            <w:tcW w:w="576" w:type="dxa"/>
            <w:tcMar>
              <w:top w:w="45" w:type="dxa"/>
              <w:left w:w="55" w:type="dxa"/>
              <w:bottom w:w="45" w:type="dxa"/>
              <w:right w:w="55" w:type="dxa"/>
            </w:tcMar>
          </w:tcPr>
          <w:p w14:paraId="54B2D8E4" w14:textId="77777777" w:rsidR="00894D55" w:rsidRDefault="00B20FC1">
            <w:pPr>
              <w:spacing w:after="0"/>
            </w:pPr>
            <w:r>
              <w:rPr>
                <w:rFonts w:cs="Times New Roman"/>
              </w:rPr>
              <w:t>M36</w:t>
            </w:r>
          </w:p>
        </w:tc>
      </w:tr>
      <w:tr w:rsidR="00894D55" w14:paraId="7E54F130" w14:textId="77777777">
        <w:trPr>
          <w:jc w:val="center"/>
        </w:trPr>
        <w:tc>
          <w:tcPr>
            <w:tcW w:w="504" w:type="dxa"/>
            <w:tcMar>
              <w:top w:w="45" w:type="dxa"/>
              <w:left w:w="55" w:type="dxa"/>
              <w:bottom w:w="45" w:type="dxa"/>
              <w:right w:w="55" w:type="dxa"/>
            </w:tcMar>
          </w:tcPr>
          <w:p w14:paraId="29A207AE" w14:textId="77777777" w:rsidR="00894D55" w:rsidRDefault="00B20FC1">
            <w:pPr>
              <w:spacing w:after="0"/>
            </w:pPr>
            <w:r>
              <w:rPr>
                <w:rFonts w:cs="Times New Roman"/>
              </w:rPr>
              <w:t>WP6</w:t>
            </w:r>
          </w:p>
        </w:tc>
        <w:tc>
          <w:tcPr>
            <w:tcW w:w="3960" w:type="dxa"/>
            <w:tcMar>
              <w:top w:w="45" w:type="dxa"/>
              <w:left w:w="55" w:type="dxa"/>
              <w:bottom w:w="45" w:type="dxa"/>
              <w:right w:w="55" w:type="dxa"/>
            </w:tcMar>
          </w:tcPr>
          <w:p w14:paraId="480D6984" w14:textId="77777777" w:rsidR="00894D55" w:rsidRDefault="00B20FC1">
            <w:pPr>
              <w:spacing w:after="0"/>
            </w:pPr>
            <w:r>
              <w:rPr>
                <w:rFonts w:cs="Times New Roman"/>
              </w:rPr>
              <w:t>Independent cross-system interoperability and replication</w:t>
            </w:r>
          </w:p>
        </w:tc>
        <w:tc>
          <w:tcPr>
            <w:tcW w:w="1224" w:type="dxa"/>
            <w:tcMar>
              <w:top w:w="45" w:type="dxa"/>
              <w:left w:w="55" w:type="dxa"/>
              <w:bottom w:w="45" w:type="dxa"/>
              <w:right w:w="55" w:type="dxa"/>
            </w:tcMar>
          </w:tcPr>
          <w:p w14:paraId="4595B57C" w14:textId="77777777" w:rsidR="00894D55" w:rsidRDefault="00B20FC1">
            <w:pPr>
              <w:spacing w:after="0"/>
            </w:pPr>
            <w:r>
              <w:rPr>
                <w:rFonts w:cs="Times New Roman"/>
              </w:rPr>
              <w:t>P1 Applicant</w:t>
            </w:r>
          </w:p>
        </w:tc>
        <w:tc>
          <w:tcPr>
            <w:tcW w:w="1728" w:type="dxa"/>
            <w:tcMar>
              <w:top w:w="45" w:type="dxa"/>
              <w:left w:w="55" w:type="dxa"/>
              <w:bottom w:w="45" w:type="dxa"/>
              <w:right w:w="55" w:type="dxa"/>
            </w:tcMar>
          </w:tcPr>
          <w:p w14:paraId="1B60294B" w14:textId="77777777" w:rsidR="00894D55" w:rsidRDefault="00B20FC1">
            <w:pPr>
              <w:spacing w:after="0"/>
            </w:pPr>
            <w:r>
              <w:rPr>
                <w:rFonts w:cs="Times New Roman"/>
              </w:rPr>
              <w:t>Experimental AI Lead</w:t>
            </w:r>
          </w:p>
        </w:tc>
        <w:tc>
          <w:tcPr>
            <w:tcW w:w="576" w:type="dxa"/>
            <w:tcMar>
              <w:top w:w="45" w:type="dxa"/>
              <w:left w:w="55" w:type="dxa"/>
              <w:bottom w:w="45" w:type="dxa"/>
              <w:right w:w="55" w:type="dxa"/>
            </w:tcMar>
          </w:tcPr>
          <w:p w14:paraId="531CF484" w14:textId="77777777" w:rsidR="00894D55" w:rsidRDefault="00B20FC1">
            <w:pPr>
              <w:spacing w:after="0"/>
            </w:pPr>
            <w:r>
              <w:rPr>
                <w:rFonts w:cs="Times New Roman"/>
              </w:rPr>
              <w:t>M10</w:t>
            </w:r>
          </w:p>
        </w:tc>
        <w:tc>
          <w:tcPr>
            <w:tcW w:w="576" w:type="dxa"/>
            <w:tcMar>
              <w:top w:w="45" w:type="dxa"/>
              <w:left w:w="55" w:type="dxa"/>
              <w:bottom w:w="45" w:type="dxa"/>
              <w:right w:w="55" w:type="dxa"/>
            </w:tcMar>
          </w:tcPr>
          <w:p w14:paraId="18DD56BB" w14:textId="77777777" w:rsidR="00894D55" w:rsidRDefault="00B20FC1">
            <w:pPr>
              <w:spacing w:after="0"/>
            </w:pPr>
            <w:r>
              <w:rPr>
                <w:rFonts w:cs="Times New Roman"/>
              </w:rPr>
              <w:t>M24</w:t>
            </w:r>
          </w:p>
        </w:tc>
      </w:tr>
      <w:tr w:rsidR="00894D55" w14:paraId="55597C33" w14:textId="77777777">
        <w:trPr>
          <w:jc w:val="center"/>
        </w:trPr>
        <w:tc>
          <w:tcPr>
            <w:tcW w:w="504" w:type="dxa"/>
            <w:tcMar>
              <w:top w:w="45" w:type="dxa"/>
              <w:left w:w="55" w:type="dxa"/>
              <w:bottom w:w="45" w:type="dxa"/>
              <w:right w:w="55" w:type="dxa"/>
            </w:tcMar>
          </w:tcPr>
          <w:p w14:paraId="1BB5B38E" w14:textId="77777777" w:rsidR="00894D55" w:rsidRDefault="00B20FC1">
            <w:pPr>
              <w:spacing w:after="0"/>
            </w:pPr>
            <w:r>
              <w:rPr>
                <w:rFonts w:cs="Times New Roman"/>
              </w:rPr>
              <w:t>WP7</w:t>
            </w:r>
          </w:p>
        </w:tc>
        <w:tc>
          <w:tcPr>
            <w:tcW w:w="3960" w:type="dxa"/>
            <w:tcMar>
              <w:top w:w="45" w:type="dxa"/>
              <w:left w:w="55" w:type="dxa"/>
              <w:bottom w:w="45" w:type="dxa"/>
              <w:right w:w="55" w:type="dxa"/>
            </w:tcMar>
          </w:tcPr>
          <w:p w14:paraId="24B5FE78" w14:textId="77777777" w:rsidR="00894D55" w:rsidRDefault="00B20FC1">
            <w:pPr>
              <w:spacing w:after="0"/>
            </w:pPr>
            <w:r>
              <w:rPr>
                <w:rFonts w:cs="Times New Roman"/>
              </w:rPr>
              <w:t>Multimodal/embodied falsification and TRL4 integration</w:t>
            </w:r>
          </w:p>
        </w:tc>
        <w:tc>
          <w:tcPr>
            <w:tcW w:w="1224" w:type="dxa"/>
            <w:tcMar>
              <w:top w:w="45" w:type="dxa"/>
              <w:left w:w="55" w:type="dxa"/>
              <w:bottom w:w="45" w:type="dxa"/>
              <w:right w:w="55" w:type="dxa"/>
            </w:tcMar>
          </w:tcPr>
          <w:p w14:paraId="74EFF7B0" w14:textId="77777777" w:rsidR="00894D55" w:rsidRDefault="00B20FC1">
            <w:pPr>
              <w:spacing w:after="0"/>
            </w:pPr>
            <w:r>
              <w:rPr>
                <w:rFonts w:cs="Times New Roman"/>
              </w:rPr>
              <w:t>P1 Applicant</w:t>
            </w:r>
          </w:p>
        </w:tc>
        <w:tc>
          <w:tcPr>
            <w:tcW w:w="1728" w:type="dxa"/>
            <w:tcMar>
              <w:top w:w="45" w:type="dxa"/>
              <w:left w:w="55" w:type="dxa"/>
              <w:bottom w:w="45" w:type="dxa"/>
              <w:right w:w="55" w:type="dxa"/>
            </w:tcMar>
          </w:tcPr>
          <w:p w14:paraId="34FE20AF" w14:textId="77777777" w:rsidR="00894D55" w:rsidRDefault="00B20FC1">
            <w:pPr>
              <w:spacing w:after="0"/>
            </w:pPr>
            <w:r>
              <w:rPr>
                <w:rFonts w:cs="Times New Roman"/>
              </w:rPr>
              <w:t>Embodied AI Lead</w:t>
            </w:r>
          </w:p>
        </w:tc>
        <w:tc>
          <w:tcPr>
            <w:tcW w:w="576" w:type="dxa"/>
            <w:tcMar>
              <w:top w:w="45" w:type="dxa"/>
              <w:left w:w="55" w:type="dxa"/>
              <w:bottom w:w="45" w:type="dxa"/>
              <w:right w:w="55" w:type="dxa"/>
            </w:tcMar>
          </w:tcPr>
          <w:p w14:paraId="1438BC42" w14:textId="77777777" w:rsidR="00894D55" w:rsidRDefault="00B20FC1">
            <w:pPr>
              <w:spacing w:after="0"/>
            </w:pPr>
            <w:r>
              <w:rPr>
                <w:rFonts w:cs="Times New Roman"/>
              </w:rPr>
              <w:t>M19</w:t>
            </w:r>
          </w:p>
        </w:tc>
        <w:tc>
          <w:tcPr>
            <w:tcW w:w="576" w:type="dxa"/>
            <w:tcMar>
              <w:top w:w="45" w:type="dxa"/>
              <w:left w:w="55" w:type="dxa"/>
              <w:bottom w:w="45" w:type="dxa"/>
              <w:right w:w="55" w:type="dxa"/>
            </w:tcMar>
          </w:tcPr>
          <w:p w14:paraId="5F9AEBEB" w14:textId="77777777" w:rsidR="00894D55" w:rsidRDefault="00B20FC1">
            <w:pPr>
              <w:spacing w:after="0"/>
            </w:pPr>
            <w:r>
              <w:rPr>
                <w:rFonts w:cs="Times New Roman"/>
              </w:rPr>
              <w:t>M36</w:t>
            </w:r>
          </w:p>
        </w:tc>
      </w:tr>
      <w:tr w:rsidR="00894D55" w14:paraId="0CF9896D" w14:textId="77777777">
        <w:trPr>
          <w:jc w:val="center"/>
        </w:trPr>
        <w:tc>
          <w:tcPr>
            <w:tcW w:w="504" w:type="dxa"/>
            <w:tcMar>
              <w:top w:w="45" w:type="dxa"/>
              <w:left w:w="55" w:type="dxa"/>
              <w:bottom w:w="45" w:type="dxa"/>
              <w:right w:w="55" w:type="dxa"/>
            </w:tcMar>
          </w:tcPr>
          <w:p w14:paraId="64FE8498" w14:textId="77777777" w:rsidR="00894D55" w:rsidRDefault="00B20FC1">
            <w:pPr>
              <w:spacing w:after="0"/>
            </w:pPr>
            <w:r>
              <w:rPr>
                <w:rFonts w:cs="Times New Roman"/>
              </w:rPr>
              <w:t>WP8</w:t>
            </w:r>
          </w:p>
        </w:tc>
        <w:tc>
          <w:tcPr>
            <w:tcW w:w="3960" w:type="dxa"/>
            <w:tcMar>
              <w:top w:w="45" w:type="dxa"/>
              <w:left w:w="55" w:type="dxa"/>
              <w:bottom w:w="45" w:type="dxa"/>
              <w:right w:w="55" w:type="dxa"/>
            </w:tcMar>
          </w:tcPr>
          <w:p w14:paraId="1331B3C8" w14:textId="77777777" w:rsidR="00894D55" w:rsidRDefault="00B20FC1">
            <w:pPr>
              <w:spacing w:after="0"/>
            </w:pPr>
            <w:r>
              <w:rPr>
                <w:rFonts w:cs="Times New Roman"/>
              </w:rPr>
              <w:t>Evidence infrastructure, reproducibility and Open Science - RP2</w:t>
            </w:r>
          </w:p>
        </w:tc>
        <w:tc>
          <w:tcPr>
            <w:tcW w:w="1224" w:type="dxa"/>
            <w:tcMar>
              <w:top w:w="45" w:type="dxa"/>
              <w:left w:w="55" w:type="dxa"/>
              <w:bottom w:w="45" w:type="dxa"/>
              <w:right w:w="55" w:type="dxa"/>
            </w:tcMar>
          </w:tcPr>
          <w:p w14:paraId="74CABD18" w14:textId="77777777" w:rsidR="00894D55" w:rsidRDefault="00B20FC1">
            <w:pPr>
              <w:spacing w:after="0"/>
            </w:pPr>
            <w:r>
              <w:rPr>
                <w:rFonts w:cs="Times New Roman"/>
              </w:rPr>
              <w:t>P1 Applicant</w:t>
            </w:r>
          </w:p>
        </w:tc>
        <w:tc>
          <w:tcPr>
            <w:tcW w:w="1728" w:type="dxa"/>
            <w:tcMar>
              <w:top w:w="45" w:type="dxa"/>
              <w:left w:w="55" w:type="dxa"/>
              <w:bottom w:w="45" w:type="dxa"/>
              <w:right w:w="55" w:type="dxa"/>
            </w:tcMar>
          </w:tcPr>
          <w:p w14:paraId="20C53FD3" w14:textId="77777777" w:rsidR="00894D55" w:rsidRDefault="00B20FC1">
            <w:pPr>
              <w:spacing w:after="0"/>
            </w:pPr>
            <w:r>
              <w:rPr>
                <w:rFonts w:cs="Times New Roman"/>
              </w:rPr>
              <w:t>Quantitative/Open Science Lead</w:t>
            </w:r>
          </w:p>
        </w:tc>
        <w:tc>
          <w:tcPr>
            <w:tcW w:w="576" w:type="dxa"/>
            <w:tcMar>
              <w:top w:w="45" w:type="dxa"/>
              <w:left w:w="55" w:type="dxa"/>
              <w:bottom w:w="45" w:type="dxa"/>
              <w:right w:w="55" w:type="dxa"/>
            </w:tcMar>
          </w:tcPr>
          <w:p w14:paraId="4A2E501A" w14:textId="77777777" w:rsidR="00894D55" w:rsidRDefault="00B20FC1">
            <w:pPr>
              <w:spacing w:after="0"/>
            </w:pPr>
            <w:r>
              <w:rPr>
                <w:rFonts w:cs="Times New Roman"/>
              </w:rPr>
              <w:t>M13</w:t>
            </w:r>
          </w:p>
        </w:tc>
        <w:tc>
          <w:tcPr>
            <w:tcW w:w="576" w:type="dxa"/>
            <w:tcMar>
              <w:top w:w="45" w:type="dxa"/>
              <w:left w:w="55" w:type="dxa"/>
              <w:bottom w:w="45" w:type="dxa"/>
              <w:right w:w="55" w:type="dxa"/>
            </w:tcMar>
          </w:tcPr>
          <w:p w14:paraId="6DC3D61A" w14:textId="77777777" w:rsidR="00894D55" w:rsidRDefault="00B20FC1">
            <w:pPr>
              <w:spacing w:after="0"/>
            </w:pPr>
            <w:r>
              <w:rPr>
                <w:rFonts w:cs="Times New Roman"/>
              </w:rPr>
              <w:t>M36</w:t>
            </w:r>
          </w:p>
        </w:tc>
      </w:tr>
      <w:tr w:rsidR="00894D55" w14:paraId="389408F6" w14:textId="77777777">
        <w:trPr>
          <w:jc w:val="center"/>
        </w:trPr>
        <w:tc>
          <w:tcPr>
            <w:tcW w:w="504" w:type="dxa"/>
            <w:tcMar>
              <w:top w:w="45" w:type="dxa"/>
              <w:left w:w="55" w:type="dxa"/>
              <w:bottom w:w="45" w:type="dxa"/>
              <w:right w:w="55" w:type="dxa"/>
            </w:tcMar>
          </w:tcPr>
          <w:p w14:paraId="5C19D650" w14:textId="77777777" w:rsidR="00894D55" w:rsidRDefault="00B20FC1">
            <w:pPr>
              <w:spacing w:after="0"/>
            </w:pPr>
            <w:r>
              <w:rPr>
                <w:rFonts w:cs="Times New Roman"/>
              </w:rPr>
              <w:t>WP9</w:t>
            </w:r>
          </w:p>
        </w:tc>
        <w:tc>
          <w:tcPr>
            <w:tcW w:w="3960" w:type="dxa"/>
            <w:tcMar>
              <w:top w:w="45" w:type="dxa"/>
              <w:left w:w="55" w:type="dxa"/>
              <w:bottom w:w="45" w:type="dxa"/>
              <w:right w:w="55" w:type="dxa"/>
            </w:tcMar>
          </w:tcPr>
          <w:p w14:paraId="663FB259" w14:textId="77777777" w:rsidR="00894D55" w:rsidRDefault="00B20FC1">
            <w:pPr>
              <w:spacing w:after="0"/>
            </w:pPr>
            <w:r>
              <w:rPr>
                <w:rFonts w:cs="Times New Roman"/>
              </w:rPr>
              <w:t xml:space="preserve">Communication, </w:t>
            </w:r>
            <w:proofErr w:type="spellStart"/>
            <w:r>
              <w:rPr>
                <w:rFonts w:cs="Times New Roman"/>
              </w:rPr>
              <w:t>standardisation</w:t>
            </w:r>
            <w:proofErr w:type="spellEnd"/>
            <w:r>
              <w:rPr>
                <w:rFonts w:cs="Times New Roman"/>
              </w:rPr>
              <w:t xml:space="preserve"> and post-project transition</w:t>
            </w:r>
          </w:p>
        </w:tc>
        <w:tc>
          <w:tcPr>
            <w:tcW w:w="1224" w:type="dxa"/>
            <w:tcMar>
              <w:top w:w="45" w:type="dxa"/>
              <w:left w:w="55" w:type="dxa"/>
              <w:bottom w:w="45" w:type="dxa"/>
              <w:right w:w="55" w:type="dxa"/>
            </w:tcMar>
          </w:tcPr>
          <w:p w14:paraId="34A9E0C4" w14:textId="77777777" w:rsidR="00894D55" w:rsidRDefault="00B20FC1">
            <w:pPr>
              <w:spacing w:after="0"/>
            </w:pPr>
            <w:r>
              <w:rPr>
                <w:rFonts w:cs="Times New Roman"/>
              </w:rPr>
              <w:t>P1 Applicant</w:t>
            </w:r>
          </w:p>
        </w:tc>
        <w:tc>
          <w:tcPr>
            <w:tcW w:w="1728" w:type="dxa"/>
            <w:tcMar>
              <w:top w:w="45" w:type="dxa"/>
              <w:left w:w="55" w:type="dxa"/>
              <w:bottom w:w="45" w:type="dxa"/>
              <w:right w:w="55" w:type="dxa"/>
            </w:tcMar>
          </w:tcPr>
          <w:p w14:paraId="74209046" w14:textId="77777777" w:rsidR="00894D55" w:rsidRDefault="00B20FC1">
            <w:pPr>
              <w:spacing w:after="0"/>
            </w:pPr>
            <w:r>
              <w:rPr>
                <w:rFonts w:cs="Times New Roman"/>
              </w:rPr>
              <w:t>Innovation/Communication Lead</w:t>
            </w:r>
          </w:p>
        </w:tc>
        <w:tc>
          <w:tcPr>
            <w:tcW w:w="576" w:type="dxa"/>
            <w:tcMar>
              <w:top w:w="45" w:type="dxa"/>
              <w:left w:w="55" w:type="dxa"/>
              <w:bottom w:w="45" w:type="dxa"/>
              <w:right w:w="55" w:type="dxa"/>
            </w:tcMar>
          </w:tcPr>
          <w:p w14:paraId="204BBBCD" w14:textId="77777777" w:rsidR="00894D55" w:rsidRDefault="00B20FC1">
            <w:pPr>
              <w:spacing w:after="0"/>
            </w:pPr>
            <w:r>
              <w:rPr>
                <w:rFonts w:cs="Times New Roman"/>
              </w:rPr>
              <w:t>M13</w:t>
            </w:r>
          </w:p>
        </w:tc>
        <w:tc>
          <w:tcPr>
            <w:tcW w:w="576" w:type="dxa"/>
            <w:tcMar>
              <w:top w:w="45" w:type="dxa"/>
              <w:left w:w="55" w:type="dxa"/>
              <w:bottom w:w="45" w:type="dxa"/>
              <w:right w:w="55" w:type="dxa"/>
            </w:tcMar>
          </w:tcPr>
          <w:p w14:paraId="14707062" w14:textId="77777777" w:rsidR="00894D55" w:rsidRDefault="00B20FC1">
            <w:pPr>
              <w:spacing w:after="0"/>
            </w:pPr>
            <w:r>
              <w:rPr>
                <w:rFonts w:cs="Times New Roman"/>
              </w:rPr>
              <w:t>M36</w:t>
            </w:r>
          </w:p>
        </w:tc>
      </w:tr>
    </w:tbl>
    <w:p w14:paraId="2228A966" w14:textId="77777777" w:rsidR="00894D55" w:rsidRDefault="00894D55"/>
    <w:p w14:paraId="0CF77457" w14:textId="77777777" w:rsidR="00894D55" w:rsidRDefault="00B20FC1">
      <w:r>
        <w:rPr>
          <w:rFonts w:cs="Times New Roman"/>
          <w:i/>
        </w:rPr>
        <w:lastRenderedPageBreak/>
        <w:t xml:space="preserve">P1 denotes the eligible legal entity identified in Part A. Named personnel and any additional beneficiary/associated-partner roles will be reconciled with Part A before submission. External </w:t>
      </w:r>
      <w:proofErr w:type="spellStart"/>
      <w:r>
        <w:rPr>
          <w:rFonts w:cs="Times New Roman"/>
          <w:i/>
        </w:rPr>
        <w:t>DeepRAP</w:t>
      </w:r>
      <w:proofErr w:type="spellEnd"/>
      <w:r>
        <w:rPr>
          <w:rFonts w:cs="Times New Roman"/>
          <w:i/>
        </w:rPr>
        <w:t xml:space="preserve"> projects are portfolio collaborators, not presumed beneficiaries of MDPAR-H unless formally included in the application.</w:t>
      </w:r>
    </w:p>
    <w:p w14:paraId="0C36EF9F" w14:textId="77777777" w:rsidR="00894D55" w:rsidRDefault="00B20FC1">
      <w:pPr>
        <w:keepNext/>
        <w:spacing w:before="60" w:after="40"/>
      </w:pPr>
      <w:r>
        <w:rPr>
          <w:rFonts w:cs="Times New Roman"/>
          <w:b/>
        </w:rPr>
        <w:t>Gantt chart</w:t>
      </w:r>
    </w:p>
    <w:tbl>
      <w:tblPr>
        <w:tblStyle w:val="Tablaconcuadrcula"/>
        <w:tblW w:w="0" w:type="auto"/>
        <w:jc w:val="center"/>
        <w:tblCellMar>
          <w:top w:w="40" w:type="dxa"/>
          <w:left w:w="60" w:type="dxa"/>
          <w:bottom w:w="40" w:type="dxa"/>
          <w:right w:w="60" w:type="dxa"/>
        </w:tblCellMar>
        <w:tblLook w:val="04A0" w:firstRow="1" w:lastRow="0" w:firstColumn="1" w:lastColumn="0" w:noHBand="0" w:noVBand="1"/>
      </w:tblPr>
      <w:tblGrid>
        <w:gridCol w:w="648"/>
        <w:gridCol w:w="1008"/>
        <w:gridCol w:w="1008"/>
        <w:gridCol w:w="1123"/>
        <w:gridCol w:w="1123"/>
        <w:gridCol w:w="1123"/>
        <w:gridCol w:w="1123"/>
      </w:tblGrid>
      <w:tr w:rsidR="00894D55" w14:paraId="2F777F9D" w14:textId="77777777">
        <w:trPr>
          <w:tblHeader/>
          <w:jc w:val="center"/>
        </w:trPr>
        <w:tc>
          <w:tcPr>
            <w:tcW w:w="648" w:type="dxa"/>
            <w:shd w:val="clear" w:color="auto" w:fill="D9EAF7"/>
            <w:tcMar>
              <w:top w:w="45" w:type="dxa"/>
              <w:left w:w="55" w:type="dxa"/>
              <w:bottom w:w="45" w:type="dxa"/>
              <w:right w:w="55" w:type="dxa"/>
            </w:tcMar>
          </w:tcPr>
          <w:p w14:paraId="32935B36" w14:textId="77777777" w:rsidR="00894D55" w:rsidRDefault="00B20FC1">
            <w:pPr>
              <w:spacing w:after="0"/>
            </w:pPr>
            <w:r>
              <w:rPr>
                <w:rFonts w:cs="Times New Roman"/>
                <w:b/>
              </w:rPr>
              <w:t>WP</w:t>
            </w:r>
          </w:p>
        </w:tc>
        <w:tc>
          <w:tcPr>
            <w:tcW w:w="1008" w:type="dxa"/>
            <w:shd w:val="clear" w:color="auto" w:fill="D9EAF7"/>
            <w:tcMar>
              <w:top w:w="45" w:type="dxa"/>
              <w:left w:w="55" w:type="dxa"/>
              <w:bottom w:w="45" w:type="dxa"/>
              <w:right w:w="55" w:type="dxa"/>
            </w:tcMar>
          </w:tcPr>
          <w:p w14:paraId="5A1F0626" w14:textId="77777777" w:rsidR="00894D55" w:rsidRDefault="00B20FC1">
            <w:pPr>
              <w:spacing w:after="0"/>
            </w:pPr>
            <w:r>
              <w:rPr>
                <w:rFonts w:cs="Times New Roman"/>
                <w:b/>
              </w:rPr>
              <w:t>M1-6</w:t>
            </w:r>
          </w:p>
        </w:tc>
        <w:tc>
          <w:tcPr>
            <w:tcW w:w="1008" w:type="dxa"/>
            <w:shd w:val="clear" w:color="auto" w:fill="D9EAF7"/>
            <w:tcMar>
              <w:top w:w="45" w:type="dxa"/>
              <w:left w:w="55" w:type="dxa"/>
              <w:bottom w:w="45" w:type="dxa"/>
              <w:right w:w="55" w:type="dxa"/>
            </w:tcMar>
          </w:tcPr>
          <w:p w14:paraId="733BD058" w14:textId="77777777" w:rsidR="00894D55" w:rsidRDefault="00B20FC1">
            <w:pPr>
              <w:spacing w:after="0"/>
            </w:pPr>
            <w:r>
              <w:rPr>
                <w:rFonts w:cs="Times New Roman"/>
                <w:b/>
              </w:rPr>
              <w:t>M7-12</w:t>
            </w:r>
          </w:p>
        </w:tc>
        <w:tc>
          <w:tcPr>
            <w:tcW w:w="1123" w:type="dxa"/>
            <w:shd w:val="clear" w:color="auto" w:fill="D9EAF7"/>
            <w:tcMar>
              <w:top w:w="45" w:type="dxa"/>
              <w:left w:w="55" w:type="dxa"/>
              <w:bottom w:w="45" w:type="dxa"/>
              <w:right w:w="55" w:type="dxa"/>
            </w:tcMar>
          </w:tcPr>
          <w:p w14:paraId="58B4B96D" w14:textId="77777777" w:rsidR="00894D55" w:rsidRDefault="00B20FC1">
            <w:pPr>
              <w:spacing w:after="0"/>
            </w:pPr>
            <w:r>
              <w:rPr>
                <w:rFonts w:cs="Times New Roman"/>
                <w:b/>
              </w:rPr>
              <w:t>M13-18</w:t>
            </w:r>
          </w:p>
        </w:tc>
        <w:tc>
          <w:tcPr>
            <w:tcW w:w="1123" w:type="dxa"/>
            <w:shd w:val="clear" w:color="auto" w:fill="D9EAF7"/>
            <w:tcMar>
              <w:top w:w="45" w:type="dxa"/>
              <w:left w:w="55" w:type="dxa"/>
              <w:bottom w:w="45" w:type="dxa"/>
              <w:right w:w="55" w:type="dxa"/>
            </w:tcMar>
          </w:tcPr>
          <w:p w14:paraId="283A755F" w14:textId="77777777" w:rsidR="00894D55" w:rsidRDefault="00B20FC1">
            <w:pPr>
              <w:spacing w:after="0"/>
            </w:pPr>
            <w:r>
              <w:rPr>
                <w:rFonts w:cs="Times New Roman"/>
                <w:b/>
              </w:rPr>
              <w:t>M19-24</w:t>
            </w:r>
          </w:p>
        </w:tc>
        <w:tc>
          <w:tcPr>
            <w:tcW w:w="1123" w:type="dxa"/>
            <w:shd w:val="clear" w:color="auto" w:fill="D9EAF7"/>
            <w:tcMar>
              <w:top w:w="45" w:type="dxa"/>
              <w:left w:w="55" w:type="dxa"/>
              <w:bottom w:w="45" w:type="dxa"/>
              <w:right w:w="55" w:type="dxa"/>
            </w:tcMar>
          </w:tcPr>
          <w:p w14:paraId="65B59121" w14:textId="77777777" w:rsidR="00894D55" w:rsidRDefault="00B20FC1">
            <w:pPr>
              <w:spacing w:after="0"/>
            </w:pPr>
            <w:r>
              <w:rPr>
                <w:rFonts w:cs="Times New Roman"/>
                <w:b/>
              </w:rPr>
              <w:t>M25-30</w:t>
            </w:r>
          </w:p>
        </w:tc>
        <w:tc>
          <w:tcPr>
            <w:tcW w:w="1123" w:type="dxa"/>
            <w:shd w:val="clear" w:color="auto" w:fill="D9EAF7"/>
            <w:tcMar>
              <w:top w:w="45" w:type="dxa"/>
              <w:left w:w="55" w:type="dxa"/>
              <w:bottom w:w="45" w:type="dxa"/>
              <w:right w:w="55" w:type="dxa"/>
            </w:tcMar>
          </w:tcPr>
          <w:p w14:paraId="018D941B" w14:textId="77777777" w:rsidR="00894D55" w:rsidRDefault="00B20FC1">
            <w:pPr>
              <w:spacing w:after="0"/>
            </w:pPr>
            <w:r>
              <w:rPr>
                <w:rFonts w:cs="Times New Roman"/>
                <w:b/>
              </w:rPr>
              <w:t>M31-36</w:t>
            </w:r>
          </w:p>
        </w:tc>
      </w:tr>
      <w:tr w:rsidR="00894D55" w14:paraId="74A75DE4" w14:textId="77777777">
        <w:trPr>
          <w:jc w:val="center"/>
        </w:trPr>
        <w:tc>
          <w:tcPr>
            <w:tcW w:w="648" w:type="dxa"/>
            <w:tcMar>
              <w:top w:w="45" w:type="dxa"/>
              <w:left w:w="55" w:type="dxa"/>
              <w:bottom w:w="45" w:type="dxa"/>
              <w:right w:w="55" w:type="dxa"/>
            </w:tcMar>
          </w:tcPr>
          <w:p w14:paraId="16677F88" w14:textId="77777777" w:rsidR="00894D55" w:rsidRDefault="00B20FC1">
            <w:pPr>
              <w:spacing w:after="0"/>
            </w:pPr>
            <w:r>
              <w:rPr>
                <w:rFonts w:cs="Times New Roman"/>
              </w:rPr>
              <w:t>WP1</w:t>
            </w:r>
          </w:p>
        </w:tc>
        <w:tc>
          <w:tcPr>
            <w:tcW w:w="1008" w:type="dxa"/>
            <w:tcMar>
              <w:top w:w="45" w:type="dxa"/>
              <w:left w:w="55" w:type="dxa"/>
              <w:bottom w:w="45" w:type="dxa"/>
              <w:right w:w="55" w:type="dxa"/>
            </w:tcMar>
          </w:tcPr>
          <w:p w14:paraId="1B944D0D" w14:textId="77777777" w:rsidR="00894D55" w:rsidRDefault="00B20FC1">
            <w:pPr>
              <w:spacing w:after="0"/>
            </w:pPr>
            <w:r>
              <w:rPr>
                <w:rFonts w:cs="Times New Roman"/>
              </w:rPr>
              <w:t>X</w:t>
            </w:r>
          </w:p>
        </w:tc>
        <w:tc>
          <w:tcPr>
            <w:tcW w:w="1008" w:type="dxa"/>
            <w:tcMar>
              <w:top w:w="45" w:type="dxa"/>
              <w:left w:w="55" w:type="dxa"/>
              <w:bottom w:w="45" w:type="dxa"/>
              <w:right w:w="55" w:type="dxa"/>
            </w:tcMar>
          </w:tcPr>
          <w:p w14:paraId="235CB63E" w14:textId="77777777" w:rsidR="00894D55" w:rsidRDefault="00B20FC1">
            <w:pPr>
              <w:spacing w:after="0"/>
            </w:pPr>
            <w:r>
              <w:rPr>
                <w:rFonts w:cs="Times New Roman"/>
              </w:rPr>
              <w:t>X</w:t>
            </w:r>
          </w:p>
        </w:tc>
        <w:tc>
          <w:tcPr>
            <w:tcW w:w="1123" w:type="dxa"/>
            <w:tcMar>
              <w:top w:w="45" w:type="dxa"/>
              <w:left w:w="55" w:type="dxa"/>
              <w:bottom w:w="45" w:type="dxa"/>
              <w:right w:w="55" w:type="dxa"/>
            </w:tcMar>
          </w:tcPr>
          <w:p w14:paraId="36C8216F" w14:textId="77777777" w:rsidR="00894D55" w:rsidRDefault="00894D55">
            <w:pPr>
              <w:spacing w:after="0"/>
            </w:pPr>
          </w:p>
        </w:tc>
        <w:tc>
          <w:tcPr>
            <w:tcW w:w="1123" w:type="dxa"/>
            <w:tcMar>
              <w:top w:w="45" w:type="dxa"/>
              <w:left w:w="55" w:type="dxa"/>
              <w:bottom w:w="45" w:type="dxa"/>
              <w:right w:w="55" w:type="dxa"/>
            </w:tcMar>
          </w:tcPr>
          <w:p w14:paraId="36B7644C" w14:textId="77777777" w:rsidR="00894D55" w:rsidRDefault="00894D55">
            <w:pPr>
              <w:spacing w:after="0"/>
            </w:pPr>
          </w:p>
        </w:tc>
        <w:tc>
          <w:tcPr>
            <w:tcW w:w="1123" w:type="dxa"/>
            <w:tcMar>
              <w:top w:w="45" w:type="dxa"/>
              <w:left w:w="55" w:type="dxa"/>
              <w:bottom w:w="45" w:type="dxa"/>
              <w:right w:w="55" w:type="dxa"/>
            </w:tcMar>
          </w:tcPr>
          <w:p w14:paraId="348F85FC" w14:textId="77777777" w:rsidR="00894D55" w:rsidRDefault="00894D55">
            <w:pPr>
              <w:spacing w:after="0"/>
            </w:pPr>
          </w:p>
        </w:tc>
        <w:tc>
          <w:tcPr>
            <w:tcW w:w="1123" w:type="dxa"/>
            <w:tcMar>
              <w:top w:w="45" w:type="dxa"/>
              <w:left w:w="55" w:type="dxa"/>
              <w:bottom w:w="45" w:type="dxa"/>
              <w:right w:w="55" w:type="dxa"/>
            </w:tcMar>
          </w:tcPr>
          <w:p w14:paraId="0113EE3D" w14:textId="77777777" w:rsidR="00894D55" w:rsidRDefault="00894D55">
            <w:pPr>
              <w:spacing w:after="0"/>
            </w:pPr>
          </w:p>
        </w:tc>
      </w:tr>
      <w:tr w:rsidR="00894D55" w14:paraId="5BBE4201" w14:textId="77777777">
        <w:trPr>
          <w:jc w:val="center"/>
        </w:trPr>
        <w:tc>
          <w:tcPr>
            <w:tcW w:w="648" w:type="dxa"/>
            <w:tcMar>
              <w:top w:w="45" w:type="dxa"/>
              <w:left w:w="55" w:type="dxa"/>
              <w:bottom w:w="45" w:type="dxa"/>
              <w:right w:w="55" w:type="dxa"/>
            </w:tcMar>
          </w:tcPr>
          <w:p w14:paraId="53C9FBD3" w14:textId="77777777" w:rsidR="00894D55" w:rsidRDefault="00B20FC1">
            <w:pPr>
              <w:spacing w:after="0"/>
            </w:pPr>
            <w:r>
              <w:rPr>
                <w:rFonts w:cs="Times New Roman"/>
              </w:rPr>
              <w:t>WP2</w:t>
            </w:r>
          </w:p>
        </w:tc>
        <w:tc>
          <w:tcPr>
            <w:tcW w:w="1008" w:type="dxa"/>
            <w:tcMar>
              <w:top w:w="45" w:type="dxa"/>
              <w:left w:w="55" w:type="dxa"/>
              <w:bottom w:w="45" w:type="dxa"/>
              <w:right w:w="55" w:type="dxa"/>
            </w:tcMar>
          </w:tcPr>
          <w:p w14:paraId="06CEA6BF" w14:textId="77777777" w:rsidR="00894D55" w:rsidRDefault="00B20FC1">
            <w:pPr>
              <w:spacing w:after="0"/>
            </w:pPr>
            <w:r>
              <w:rPr>
                <w:rFonts w:cs="Times New Roman"/>
              </w:rPr>
              <w:t>X</w:t>
            </w:r>
          </w:p>
        </w:tc>
        <w:tc>
          <w:tcPr>
            <w:tcW w:w="1008" w:type="dxa"/>
            <w:tcMar>
              <w:top w:w="45" w:type="dxa"/>
              <w:left w:w="55" w:type="dxa"/>
              <w:bottom w:w="45" w:type="dxa"/>
              <w:right w:w="55" w:type="dxa"/>
            </w:tcMar>
          </w:tcPr>
          <w:p w14:paraId="40DF9FBD" w14:textId="77777777" w:rsidR="00894D55" w:rsidRDefault="00B20FC1">
            <w:pPr>
              <w:spacing w:after="0"/>
            </w:pPr>
            <w:r>
              <w:rPr>
                <w:rFonts w:cs="Times New Roman"/>
              </w:rPr>
              <w:t>X</w:t>
            </w:r>
          </w:p>
        </w:tc>
        <w:tc>
          <w:tcPr>
            <w:tcW w:w="1123" w:type="dxa"/>
            <w:tcMar>
              <w:top w:w="45" w:type="dxa"/>
              <w:left w:w="55" w:type="dxa"/>
              <w:bottom w:w="45" w:type="dxa"/>
              <w:right w:w="55" w:type="dxa"/>
            </w:tcMar>
          </w:tcPr>
          <w:p w14:paraId="5DFFF1E5" w14:textId="77777777" w:rsidR="00894D55" w:rsidRDefault="00894D55">
            <w:pPr>
              <w:spacing w:after="0"/>
            </w:pPr>
          </w:p>
        </w:tc>
        <w:tc>
          <w:tcPr>
            <w:tcW w:w="1123" w:type="dxa"/>
            <w:tcMar>
              <w:top w:w="45" w:type="dxa"/>
              <w:left w:w="55" w:type="dxa"/>
              <w:bottom w:w="45" w:type="dxa"/>
              <w:right w:w="55" w:type="dxa"/>
            </w:tcMar>
          </w:tcPr>
          <w:p w14:paraId="3EEFCF09" w14:textId="77777777" w:rsidR="00894D55" w:rsidRDefault="00894D55">
            <w:pPr>
              <w:spacing w:after="0"/>
            </w:pPr>
          </w:p>
        </w:tc>
        <w:tc>
          <w:tcPr>
            <w:tcW w:w="1123" w:type="dxa"/>
            <w:tcMar>
              <w:top w:w="45" w:type="dxa"/>
              <w:left w:w="55" w:type="dxa"/>
              <w:bottom w:w="45" w:type="dxa"/>
              <w:right w:w="55" w:type="dxa"/>
            </w:tcMar>
          </w:tcPr>
          <w:p w14:paraId="10E654E1" w14:textId="77777777" w:rsidR="00894D55" w:rsidRDefault="00894D55">
            <w:pPr>
              <w:spacing w:after="0"/>
            </w:pPr>
          </w:p>
        </w:tc>
        <w:tc>
          <w:tcPr>
            <w:tcW w:w="1123" w:type="dxa"/>
            <w:tcMar>
              <w:top w:w="45" w:type="dxa"/>
              <w:left w:w="55" w:type="dxa"/>
              <w:bottom w:w="45" w:type="dxa"/>
              <w:right w:w="55" w:type="dxa"/>
            </w:tcMar>
          </w:tcPr>
          <w:p w14:paraId="6F52EF96" w14:textId="77777777" w:rsidR="00894D55" w:rsidRDefault="00894D55">
            <w:pPr>
              <w:spacing w:after="0"/>
            </w:pPr>
          </w:p>
        </w:tc>
      </w:tr>
      <w:tr w:rsidR="00894D55" w14:paraId="35A33593" w14:textId="77777777">
        <w:trPr>
          <w:jc w:val="center"/>
        </w:trPr>
        <w:tc>
          <w:tcPr>
            <w:tcW w:w="648" w:type="dxa"/>
            <w:tcMar>
              <w:top w:w="45" w:type="dxa"/>
              <w:left w:w="55" w:type="dxa"/>
              <w:bottom w:w="45" w:type="dxa"/>
              <w:right w:w="55" w:type="dxa"/>
            </w:tcMar>
          </w:tcPr>
          <w:p w14:paraId="2CF70B96" w14:textId="77777777" w:rsidR="00894D55" w:rsidRDefault="00B20FC1">
            <w:pPr>
              <w:spacing w:after="0"/>
            </w:pPr>
            <w:r>
              <w:rPr>
                <w:rFonts w:cs="Times New Roman"/>
              </w:rPr>
              <w:t>WP3</w:t>
            </w:r>
          </w:p>
        </w:tc>
        <w:tc>
          <w:tcPr>
            <w:tcW w:w="1008" w:type="dxa"/>
            <w:tcMar>
              <w:top w:w="45" w:type="dxa"/>
              <w:left w:w="55" w:type="dxa"/>
              <w:bottom w:w="45" w:type="dxa"/>
              <w:right w:w="55" w:type="dxa"/>
            </w:tcMar>
          </w:tcPr>
          <w:p w14:paraId="1C845090" w14:textId="77777777" w:rsidR="00894D55" w:rsidRDefault="00B20FC1">
            <w:pPr>
              <w:spacing w:after="0"/>
            </w:pPr>
            <w:r>
              <w:rPr>
                <w:rFonts w:cs="Times New Roman"/>
              </w:rPr>
              <w:t>X</w:t>
            </w:r>
          </w:p>
        </w:tc>
        <w:tc>
          <w:tcPr>
            <w:tcW w:w="1008" w:type="dxa"/>
            <w:tcMar>
              <w:top w:w="45" w:type="dxa"/>
              <w:left w:w="55" w:type="dxa"/>
              <w:bottom w:w="45" w:type="dxa"/>
              <w:right w:w="55" w:type="dxa"/>
            </w:tcMar>
          </w:tcPr>
          <w:p w14:paraId="1B135A57" w14:textId="77777777" w:rsidR="00894D55" w:rsidRDefault="00B20FC1">
            <w:pPr>
              <w:spacing w:after="0"/>
            </w:pPr>
            <w:r>
              <w:rPr>
                <w:rFonts w:cs="Times New Roman"/>
              </w:rPr>
              <w:t>X</w:t>
            </w:r>
          </w:p>
        </w:tc>
        <w:tc>
          <w:tcPr>
            <w:tcW w:w="1123" w:type="dxa"/>
            <w:tcMar>
              <w:top w:w="45" w:type="dxa"/>
              <w:left w:w="55" w:type="dxa"/>
              <w:bottom w:w="45" w:type="dxa"/>
              <w:right w:w="55" w:type="dxa"/>
            </w:tcMar>
          </w:tcPr>
          <w:p w14:paraId="507D6DA8" w14:textId="77777777" w:rsidR="00894D55" w:rsidRDefault="00894D55">
            <w:pPr>
              <w:spacing w:after="0"/>
            </w:pPr>
          </w:p>
        </w:tc>
        <w:tc>
          <w:tcPr>
            <w:tcW w:w="1123" w:type="dxa"/>
            <w:tcMar>
              <w:top w:w="45" w:type="dxa"/>
              <w:left w:w="55" w:type="dxa"/>
              <w:bottom w:w="45" w:type="dxa"/>
              <w:right w:w="55" w:type="dxa"/>
            </w:tcMar>
          </w:tcPr>
          <w:p w14:paraId="76E4ACC1" w14:textId="77777777" w:rsidR="00894D55" w:rsidRDefault="00894D55">
            <w:pPr>
              <w:spacing w:after="0"/>
            </w:pPr>
          </w:p>
        </w:tc>
        <w:tc>
          <w:tcPr>
            <w:tcW w:w="1123" w:type="dxa"/>
            <w:tcMar>
              <w:top w:w="45" w:type="dxa"/>
              <w:left w:w="55" w:type="dxa"/>
              <w:bottom w:w="45" w:type="dxa"/>
              <w:right w:w="55" w:type="dxa"/>
            </w:tcMar>
          </w:tcPr>
          <w:p w14:paraId="3DC46971" w14:textId="77777777" w:rsidR="00894D55" w:rsidRDefault="00894D55">
            <w:pPr>
              <w:spacing w:after="0"/>
            </w:pPr>
          </w:p>
        </w:tc>
        <w:tc>
          <w:tcPr>
            <w:tcW w:w="1123" w:type="dxa"/>
            <w:tcMar>
              <w:top w:w="45" w:type="dxa"/>
              <w:left w:w="55" w:type="dxa"/>
              <w:bottom w:w="45" w:type="dxa"/>
              <w:right w:w="55" w:type="dxa"/>
            </w:tcMar>
          </w:tcPr>
          <w:p w14:paraId="330DDB4F" w14:textId="77777777" w:rsidR="00894D55" w:rsidRDefault="00894D55">
            <w:pPr>
              <w:spacing w:after="0"/>
            </w:pPr>
          </w:p>
        </w:tc>
      </w:tr>
      <w:tr w:rsidR="00894D55" w14:paraId="0C08C71B" w14:textId="77777777">
        <w:trPr>
          <w:jc w:val="center"/>
        </w:trPr>
        <w:tc>
          <w:tcPr>
            <w:tcW w:w="648" w:type="dxa"/>
            <w:tcMar>
              <w:top w:w="45" w:type="dxa"/>
              <w:left w:w="55" w:type="dxa"/>
              <w:bottom w:w="45" w:type="dxa"/>
              <w:right w:w="55" w:type="dxa"/>
            </w:tcMar>
          </w:tcPr>
          <w:p w14:paraId="514B1401" w14:textId="77777777" w:rsidR="00894D55" w:rsidRDefault="00B20FC1">
            <w:pPr>
              <w:spacing w:after="0"/>
            </w:pPr>
            <w:r>
              <w:rPr>
                <w:rFonts w:cs="Times New Roman"/>
              </w:rPr>
              <w:t>WP4</w:t>
            </w:r>
          </w:p>
        </w:tc>
        <w:tc>
          <w:tcPr>
            <w:tcW w:w="1008" w:type="dxa"/>
            <w:tcMar>
              <w:top w:w="45" w:type="dxa"/>
              <w:left w:w="55" w:type="dxa"/>
              <w:bottom w:w="45" w:type="dxa"/>
              <w:right w:w="55" w:type="dxa"/>
            </w:tcMar>
          </w:tcPr>
          <w:p w14:paraId="484B4EC4" w14:textId="77777777" w:rsidR="00894D55" w:rsidRDefault="00B20FC1">
            <w:pPr>
              <w:spacing w:after="0"/>
            </w:pPr>
            <w:r>
              <w:rPr>
                <w:rFonts w:cs="Times New Roman"/>
              </w:rPr>
              <w:t>X</w:t>
            </w:r>
          </w:p>
        </w:tc>
        <w:tc>
          <w:tcPr>
            <w:tcW w:w="1008" w:type="dxa"/>
            <w:tcMar>
              <w:top w:w="45" w:type="dxa"/>
              <w:left w:w="55" w:type="dxa"/>
              <w:bottom w:w="45" w:type="dxa"/>
              <w:right w:w="55" w:type="dxa"/>
            </w:tcMar>
          </w:tcPr>
          <w:p w14:paraId="0C199E55" w14:textId="77777777" w:rsidR="00894D55" w:rsidRDefault="00B20FC1">
            <w:pPr>
              <w:spacing w:after="0"/>
            </w:pPr>
            <w:r>
              <w:rPr>
                <w:rFonts w:cs="Times New Roman"/>
              </w:rPr>
              <w:t>X</w:t>
            </w:r>
          </w:p>
        </w:tc>
        <w:tc>
          <w:tcPr>
            <w:tcW w:w="1123" w:type="dxa"/>
            <w:tcMar>
              <w:top w:w="45" w:type="dxa"/>
              <w:left w:w="55" w:type="dxa"/>
              <w:bottom w:w="45" w:type="dxa"/>
              <w:right w:w="55" w:type="dxa"/>
            </w:tcMar>
          </w:tcPr>
          <w:p w14:paraId="4DDBD049" w14:textId="77777777" w:rsidR="00894D55" w:rsidRDefault="00894D55">
            <w:pPr>
              <w:spacing w:after="0"/>
            </w:pPr>
          </w:p>
        </w:tc>
        <w:tc>
          <w:tcPr>
            <w:tcW w:w="1123" w:type="dxa"/>
            <w:tcMar>
              <w:top w:w="45" w:type="dxa"/>
              <w:left w:w="55" w:type="dxa"/>
              <w:bottom w:w="45" w:type="dxa"/>
              <w:right w:w="55" w:type="dxa"/>
            </w:tcMar>
          </w:tcPr>
          <w:p w14:paraId="04D25D36" w14:textId="77777777" w:rsidR="00894D55" w:rsidRDefault="00894D55">
            <w:pPr>
              <w:spacing w:after="0"/>
            </w:pPr>
          </w:p>
        </w:tc>
        <w:tc>
          <w:tcPr>
            <w:tcW w:w="1123" w:type="dxa"/>
            <w:tcMar>
              <w:top w:w="45" w:type="dxa"/>
              <w:left w:w="55" w:type="dxa"/>
              <w:bottom w:w="45" w:type="dxa"/>
              <w:right w:w="55" w:type="dxa"/>
            </w:tcMar>
          </w:tcPr>
          <w:p w14:paraId="154E882F" w14:textId="77777777" w:rsidR="00894D55" w:rsidRDefault="00894D55">
            <w:pPr>
              <w:spacing w:after="0"/>
            </w:pPr>
          </w:p>
        </w:tc>
        <w:tc>
          <w:tcPr>
            <w:tcW w:w="1123" w:type="dxa"/>
            <w:tcMar>
              <w:top w:w="45" w:type="dxa"/>
              <w:left w:w="55" w:type="dxa"/>
              <w:bottom w:w="45" w:type="dxa"/>
              <w:right w:w="55" w:type="dxa"/>
            </w:tcMar>
          </w:tcPr>
          <w:p w14:paraId="00CB22F5" w14:textId="77777777" w:rsidR="00894D55" w:rsidRDefault="00894D55">
            <w:pPr>
              <w:spacing w:after="0"/>
            </w:pPr>
          </w:p>
        </w:tc>
      </w:tr>
      <w:tr w:rsidR="00894D55" w14:paraId="168A9EF6" w14:textId="77777777">
        <w:trPr>
          <w:jc w:val="center"/>
        </w:trPr>
        <w:tc>
          <w:tcPr>
            <w:tcW w:w="648" w:type="dxa"/>
            <w:tcMar>
              <w:top w:w="45" w:type="dxa"/>
              <w:left w:w="55" w:type="dxa"/>
              <w:bottom w:w="45" w:type="dxa"/>
              <w:right w:w="55" w:type="dxa"/>
            </w:tcMar>
          </w:tcPr>
          <w:p w14:paraId="47CB0FD4" w14:textId="77777777" w:rsidR="00894D55" w:rsidRDefault="00B20FC1">
            <w:pPr>
              <w:spacing w:after="0"/>
            </w:pPr>
            <w:r>
              <w:rPr>
                <w:rFonts w:cs="Times New Roman"/>
              </w:rPr>
              <w:t>WP5</w:t>
            </w:r>
          </w:p>
        </w:tc>
        <w:tc>
          <w:tcPr>
            <w:tcW w:w="1008" w:type="dxa"/>
            <w:tcMar>
              <w:top w:w="45" w:type="dxa"/>
              <w:left w:w="55" w:type="dxa"/>
              <w:bottom w:w="45" w:type="dxa"/>
              <w:right w:w="55" w:type="dxa"/>
            </w:tcMar>
          </w:tcPr>
          <w:p w14:paraId="542B261F" w14:textId="77777777" w:rsidR="00894D55" w:rsidRDefault="00894D55">
            <w:pPr>
              <w:spacing w:after="0"/>
            </w:pPr>
          </w:p>
        </w:tc>
        <w:tc>
          <w:tcPr>
            <w:tcW w:w="1008" w:type="dxa"/>
            <w:tcMar>
              <w:top w:w="45" w:type="dxa"/>
              <w:left w:w="55" w:type="dxa"/>
              <w:bottom w:w="45" w:type="dxa"/>
              <w:right w:w="55" w:type="dxa"/>
            </w:tcMar>
          </w:tcPr>
          <w:p w14:paraId="16625D37" w14:textId="77777777" w:rsidR="00894D55" w:rsidRDefault="00894D55">
            <w:pPr>
              <w:spacing w:after="0"/>
            </w:pPr>
          </w:p>
        </w:tc>
        <w:tc>
          <w:tcPr>
            <w:tcW w:w="1123" w:type="dxa"/>
            <w:tcMar>
              <w:top w:w="45" w:type="dxa"/>
              <w:left w:w="55" w:type="dxa"/>
              <w:bottom w:w="45" w:type="dxa"/>
              <w:right w:w="55" w:type="dxa"/>
            </w:tcMar>
          </w:tcPr>
          <w:p w14:paraId="569EB450" w14:textId="77777777" w:rsidR="00894D55" w:rsidRDefault="00B20FC1">
            <w:pPr>
              <w:spacing w:after="0"/>
            </w:pPr>
            <w:r>
              <w:rPr>
                <w:rFonts w:cs="Times New Roman"/>
              </w:rPr>
              <w:t>X</w:t>
            </w:r>
          </w:p>
        </w:tc>
        <w:tc>
          <w:tcPr>
            <w:tcW w:w="1123" w:type="dxa"/>
            <w:tcMar>
              <w:top w:w="45" w:type="dxa"/>
              <w:left w:w="55" w:type="dxa"/>
              <w:bottom w:w="45" w:type="dxa"/>
              <w:right w:w="55" w:type="dxa"/>
            </w:tcMar>
          </w:tcPr>
          <w:p w14:paraId="217836C8" w14:textId="77777777" w:rsidR="00894D55" w:rsidRDefault="00B20FC1">
            <w:pPr>
              <w:spacing w:after="0"/>
            </w:pPr>
            <w:r>
              <w:rPr>
                <w:rFonts w:cs="Times New Roman"/>
              </w:rPr>
              <w:t>X</w:t>
            </w:r>
          </w:p>
        </w:tc>
        <w:tc>
          <w:tcPr>
            <w:tcW w:w="1123" w:type="dxa"/>
            <w:tcMar>
              <w:top w:w="45" w:type="dxa"/>
              <w:left w:w="55" w:type="dxa"/>
              <w:bottom w:w="45" w:type="dxa"/>
              <w:right w:w="55" w:type="dxa"/>
            </w:tcMar>
          </w:tcPr>
          <w:p w14:paraId="1BDA68B5" w14:textId="77777777" w:rsidR="00894D55" w:rsidRDefault="00B20FC1">
            <w:pPr>
              <w:spacing w:after="0"/>
            </w:pPr>
            <w:r>
              <w:rPr>
                <w:rFonts w:cs="Times New Roman"/>
              </w:rPr>
              <w:t>X</w:t>
            </w:r>
          </w:p>
        </w:tc>
        <w:tc>
          <w:tcPr>
            <w:tcW w:w="1123" w:type="dxa"/>
            <w:tcMar>
              <w:top w:w="45" w:type="dxa"/>
              <w:left w:w="55" w:type="dxa"/>
              <w:bottom w:w="45" w:type="dxa"/>
              <w:right w:w="55" w:type="dxa"/>
            </w:tcMar>
          </w:tcPr>
          <w:p w14:paraId="24EF9743" w14:textId="77777777" w:rsidR="00894D55" w:rsidRDefault="00B20FC1">
            <w:pPr>
              <w:spacing w:after="0"/>
            </w:pPr>
            <w:r>
              <w:rPr>
                <w:rFonts w:cs="Times New Roman"/>
              </w:rPr>
              <w:t>X</w:t>
            </w:r>
          </w:p>
        </w:tc>
      </w:tr>
      <w:tr w:rsidR="00894D55" w14:paraId="498FD34A" w14:textId="77777777">
        <w:trPr>
          <w:jc w:val="center"/>
        </w:trPr>
        <w:tc>
          <w:tcPr>
            <w:tcW w:w="648" w:type="dxa"/>
            <w:tcMar>
              <w:top w:w="45" w:type="dxa"/>
              <w:left w:w="55" w:type="dxa"/>
              <w:bottom w:w="45" w:type="dxa"/>
              <w:right w:w="55" w:type="dxa"/>
            </w:tcMar>
          </w:tcPr>
          <w:p w14:paraId="5F0110FE" w14:textId="77777777" w:rsidR="00894D55" w:rsidRDefault="00B20FC1">
            <w:pPr>
              <w:spacing w:after="0"/>
            </w:pPr>
            <w:r>
              <w:rPr>
                <w:rFonts w:cs="Times New Roman"/>
              </w:rPr>
              <w:t>WP6</w:t>
            </w:r>
          </w:p>
        </w:tc>
        <w:tc>
          <w:tcPr>
            <w:tcW w:w="1008" w:type="dxa"/>
            <w:tcMar>
              <w:top w:w="45" w:type="dxa"/>
              <w:left w:w="55" w:type="dxa"/>
              <w:bottom w:w="45" w:type="dxa"/>
              <w:right w:w="55" w:type="dxa"/>
            </w:tcMar>
          </w:tcPr>
          <w:p w14:paraId="46F5C101" w14:textId="77777777" w:rsidR="00894D55" w:rsidRDefault="00894D55">
            <w:pPr>
              <w:spacing w:after="0"/>
            </w:pPr>
          </w:p>
        </w:tc>
        <w:tc>
          <w:tcPr>
            <w:tcW w:w="1008" w:type="dxa"/>
            <w:tcMar>
              <w:top w:w="45" w:type="dxa"/>
              <w:left w:w="55" w:type="dxa"/>
              <w:bottom w:w="45" w:type="dxa"/>
              <w:right w:w="55" w:type="dxa"/>
            </w:tcMar>
          </w:tcPr>
          <w:p w14:paraId="5CFA304F" w14:textId="77777777" w:rsidR="00894D55" w:rsidRDefault="00B20FC1">
            <w:pPr>
              <w:spacing w:after="0"/>
            </w:pPr>
            <w:r>
              <w:rPr>
                <w:rFonts w:cs="Times New Roman"/>
              </w:rPr>
              <w:t>X</w:t>
            </w:r>
          </w:p>
        </w:tc>
        <w:tc>
          <w:tcPr>
            <w:tcW w:w="1123" w:type="dxa"/>
            <w:tcMar>
              <w:top w:w="45" w:type="dxa"/>
              <w:left w:w="55" w:type="dxa"/>
              <w:bottom w:w="45" w:type="dxa"/>
              <w:right w:w="55" w:type="dxa"/>
            </w:tcMar>
          </w:tcPr>
          <w:p w14:paraId="051C2497" w14:textId="77777777" w:rsidR="00894D55" w:rsidRDefault="00B20FC1">
            <w:pPr>
              <w:spacing w:after="0"/>
            </w:pPr>
            <w:r>
              <w:rPr>
                <w:rFonts w:cs="Times New Roman"/>
              </w:rPr>
              <w:t>X</w:t>
            </w:r>
          </w:p>
        </w:tc>
        <w:tc>
          <w:tcPr>
            <w:tcW w:w="1123" w:type="dxa"/>
            <w:tcMar>
              <w:top w:w="45" w:type="dxa"/>
              <w:left w:w="55" w:type="dxa"/>
              <w:bottom w:w="45" w:type="dxa"/>
              <w:right w:w="55" w:type="dxa"/>
            </w:tcMar>
          </w:tcPr>
          <w:p w14:paraId="23B458D3" w14:textId="77777777" w:rsidR="00894D55" w:rsidRDefault="00B20FC1">
            <w:pPr>
              <w:spacing w:after="0"/>
            </w:pPr>
            <w:r>
              <w:rPr>
                <w:rFonts w:cs="Times New Roman"/>
              </w:rPr>
              <w:t>X</w:t>
            </w:r>
          </w:p>
        </w:tc>
        <w:tc>
          <w:tcPr>
            <w:tcW w:w="1123" w:type="dxa"/>
            <w:tcMar>
              <w:top w:w="45" w:type="dxa"/>
              <w:left w:w="55" w:type="dxa"/>
              <w:bottom w:w="45" w:type="dxa"/>
              <w:right w:w="55" w:type="dxa"/>
            </w:tcMar>
          </w:tcPr>
          <w:p w14:paraId="58C05152" w14:textId="77777777" w:rsidR="00894D55" w:rsidRDefault="00894D55">
            <w:pPr>
              <w:spacing w:after="0"/>
            </w:pPr>
          </w:p>
        </w:tc>
        <w:tc>
          <w:tcPr>
            <w:tcW w:w="1123" w:type="dxa"/>
            <w:tcMar>
              <w:top w:w="45" w:type="dxa"/>
              <w:left w:w="55" w:type="dxa"/>
              <w:bottom w:w="45" w:type="dxa"/>
              <w:right w:w="55" w:type="dxa"/>
            </w:tcMar>
          </w:tcPr>
          <w:p w14:paraId="64FC993E" w14:textId="77777777" w:rsidR="00894D55" w:rsidRDefault="00894D55">
            <w:pPr>
              <w:spacing w:after="0"/>
            </w:pPr>
          </w:p>
        </w:tc>
      </w:tr>
      <w:tr w:rsidR="00894D55" w14:paraId="17BB45D6" w14:textId="77777777">
        <w:trPr>
          <w:jc w:val="center"/>
        </w:trPr>
        <w:tc>
          <w:tcPr>
            <w:tcW w:w="648" w:type="dxa"/>
            <w:tcMar>
              <w:top w:w="45" w:type="dxa"/>
              <w:left w:w="55" w:type="dxa"/>
              <w:bottom w:w="45" w:type="dxa"/>
              <w:right w:w="55" w:type="dxa"/>
            </w:tcMar>
          </w:tcPr>
          <w:p w14:paraId="2DA989B6" w14:textId="77777777" w:rsidR="00894D55" w:rsidRDefault="00B20FC1">
            <w:pPr>
              <w:spacing w:after="0"/>
            </w:pPr>
            <w:r>
              <w:rPr>
                <w:rFonts w:cs="Times New Roman"/>
              </w:rPr>
              <w:t>WP7</w:t>
            </w:r>
          </w:p>
        </w:tc>
        <w:tc>
          <w:tcPr>
            <w:tcW w:w="1008" w:type="dxa"/>
            <w:tcMar>
              <w:top w:w="45" w:type="dxa"/>
              <w:left w:w="55" w:type="dxa"/>
              <w:bottom w:w="45" w:type="dxa"/>
              <w:right w:w="55" w:type="dxa"/>
            </w:tcMar>
          </w:tcPr>
          <w:p w14:paraId="5C14DE10" w14:textId="77777777" w:rsidR="00894D55" w:rsidRDefault="00894D55">
            <w:pPr>
              <w:spacing w:after="0"/>
            </w:pPr>
          </w:p>
        </w:tc>
        <w:tc>
          <w:tcPr>
            <w:tcW w:w="1008" w:type="dxa"/>
            <w:tcMar>
              <w:top w:w="45" w:type="dxa"/>
              <w:left w:w="55" w:type="dxa"/>
              <w:bottom w:w="45" w:type="dxa"/>
              <w:right w:w="55" w:type="dxa"/>
            </w:tcMar>
          </w:tcPr>
          <w:p w14:paraId="2797E893" w14:textId="77777777" w:rsidR="00894D55" w:rsidRDefault="00894D55">
            <w:pPr>
              <w:spacing w:after="0"/>
            </w:pPr>
          </w:p>
        </w:tc>
        <w:tc>
          <w:tcPr>
            <w:tcW w:w="1123" w:type="dxa"/>
            <w:tcMar>
              <w:top w:w="45" w:type="dxa"/>
              <w:left w:w="55" w:type="dxa"/>
              <w:bottom w:w="45" w:type="dxa"/>
              <w:right w:w="55" w:type="dxa"/>
            </w:tcMar>
          </w:tcPr>
          <w:p w14:paraId="09C2244D" w14:textId="77777777" w:rsidR="00894D55" w:rsidRDefault="00894D55">
            <w:pPr>
              <w:spacing w:after="0"/>
            </w:pPr>
          </w:p>
        </w:tc>
        <w:tc>
          <w:tcPr>
            <w:tcW w:w="1123" w:type="dxa"/>
            <w:tcMar>
              <w:top w:w="45" w:type="dxa"/>
              <w:left w:w="55" w:type="dxa"/>
              <w:bottom w:w="45" w:type="dxa"/>
              <w:right w:w="55" w:type="dxa"/>
            </w:tcMar>
          </w:tcPr>
          <w:p w14:paraId="77F749BA" w14:textId="77777777" w:rsidR="00894D55" w:rsidRDefault="00B20FC1">
            <w:pPr>
              <w:spacing w:after="0"/>
            </w:pPr>
            <w:r>
              <w:rPr>
                <w:rFonts w:cs="Times New Roman"/>
              </w:rPr>
              <w:t>X</w:t>
            </w:r>
          </w:p>
        </w:tc>
        <w:tc>
          <w:tcPr>
            <w:tcW w:w="1123" w:type="dxa"/>
            <w:tcMar>
              <w:top w:w="45" w:type="dxa"/>
              <w:left w:w="55" w:type="dxa"/>
              <w:bottom w:w="45" w:type="dxa"/>
              <w:right w:w="55" w:type="dxa"/>
            </w:tcMar>
          </w:tcPr>
          <w:p w14:paraId="64D467C5" w14:textId="77777777" w:rsidR="00894D55" w:rsidRDefault="00B20FC1">
            <w:pPr>
              <w:spacing w:after="0"/>
            </w:pPr>
            <w:r>
              <w:rPr>
                <w:rFonts w:cs="Times New Roman"/>
              </w:rPr>
              <w:t>X</w:t>
            </w:r>
          </w:p>
        </w:tc>
        <w:tc>
          <w:tcPr>
            <w:tcW w:w="1123" w:type="dxa"/>
            <w:tcMar>
              <w:top w:w="45" w:type="dxa"/>
              <w:left w:w="55" w:type="dxa"/>
              <w:bottom w:w="45" w:type="dxa"/>
              <w:right w:w="55" w:type="dxa"/>
            </w:tcMar>
          </w:tcPr>
          <w:p w14:paraId="439DCC81" w14:textId="77777777" w:rsidR="00894D55" w:rsidRDefault="00B20FC1">
            <w:pPr>
              <w:spacing w:after="0"/>
            </w:pPr>
            <w:r>
              <w:rPr>
                <w:rFonts w:cs="Times New Roman"/>
              </w:rPr>
              <w:t>X</w:t>
            </w:r>
          </w:p>
        </w:tc>
      </w:tr>
      <w:tr w:rsidR="00894D55" w14:paraId="7D7DFE01" w14:textId="77777777">
        <w:trPr>
          <w:jc w:val="center"/>
        </w:trPr>
        <w:tc>
          <w:tcPr>
            <w:tcW w:w="648" w:type="dxa"/>
            <w:tcMar>
              <w:top w:w="45" w:type="dxa"/>
              <w:left w:w="55" w:type="dxa"/>
              <w:bottom w:w="45" w:type="dxa"/>
              <w:right w:w="55" w:type="dxa"/>
            </w:tcMar>
          </w:tcPr>
          <w:p w14:paraId="0672D579" w14:textId="77777777" w:rsidR="00894D55" w:rsidRDefault="00B20FC1">
            <w:pPr>
              <w:spacing w:after="0"/>
            </w:pPr>
            <w:r>
              <w:rPr>
                <w:rFonts w:cs="Times New Roman"/>
              </w:rPr>
              <w:t>WP8</w:t>
            </w:r>
          </w:p>
        </w:tc>
        <w:tc>
          <w:tcPr>
            <w:tcW w:w="1008" w:type="dxa"/>
            <w:tcMar>
              <w:top w:w="45" w:type="dxa"/>
              <w:left w:w="55" w:type="dxa"/>
              <w:bottom w:w="45" w:type="dxa"/>
              <w:right w:w="55" w:type="dxa"/>
            </w:tcMar>
          </w:tcPr>
          <w:p w14:paraId="7E74354E" w14:textId="77777777" w:rsidR="00894D55" w:rsidRDefault="00894D55">
            <w:pPr>
              <w:spacing w:after="0"/>
            </w:pPr>
          </w:p>
        </w:tc>
        <w:tc>
          <w:tcPr>
            <w:tcW w:w="1008" w:type="dxa"/>
            <w:tcMar>
              <w:top w:w="45" w:type="dxa"/>
              <w:left w:w="55" w:type="dxa"/>
              <w:bottom w:w="45" w:type="dxa"/>
              <w:right w:w="55" w:type="dxa"/>
            </w:tcMar>
          </w:tcPr>
          <w:p w14:paraId="4B2DF3F0" w14:textId="77777777" w:rsidR="00894D55" w:rsidRDefault="00894D55">
            <w:pPr>
              <w:spacing w:after="0"/>
            </w:pPr>
          </w:p>
        </w:tc>
        <w:tc>
          <w:tcPr>
            <w:tcW w:w="1123" w:type="dxa"/>
            <w:tcMar>
              <w:top w:w="45" w:type="dxa"/>
              <w:left w:w="55" w:type="dxa"/>
              <w:bottom w:w="45" w:type="dxa"/>
              <w:right w:w="55" w:type="dxa"/>
            </w:tcMar>
          </w:tcPr>
          <w:p w14:paraId="3CF408BE" w14:textId="77777777" w:rsidR="00894D55" w:rsidRDefault="00B20FC1">
            <w:pPr>
              <w:spacing w:after="0"/>
            </w:pPr>
            <w:r>
              <w:rPr>
                <w:rFonts w:cs="Times New Roman"/>
              </w:rPr>
              <w:t>X</w:t>
            </w:r>
          </w:p>
        </w:tc>
        <w:tc>
          <w:tcPr>
            <w:tcW w:w="1123" w:type="dxa"/>
            <w:tcMar>
              <w:top w:w="45" w:type="dxa"/>
              <w:left w:w="55" w:type="dxa"/>
              <w:bottom w:w="45" w:type="dxa"/>
              <w:right w:w="55" w:type="dxa"/>
            </w:tcMar>
          </w:tcPr>
          <w:p w14:paraId="79003098" w14:textId="77777777" w:rsidR="00894D55" w:rsidRDefault="00B20FC1">
            <w:pPr>
              <w:spacing w:after="0"/>
            </w:pPr>
            <w:r>
              <w:rPr>
                <w:rFonts w:cs="Times New Roman"/>
              </w:rPr>
              <w:t>X</w:t>
            </w:r>
          </w:p>
        </w:tc>
        <w:tc>
          <w:tcPr>
            <w:tcW w:w="1123" w:type="dxa"/>
            <w:tcMar>
              <w:top w:w="45" w:type="dxa"/>
              <w:left w:w="55" w:type="dxa"/>
              <w:bottom w:w="45" w:type="dxa"/>
              <w:right w:w="55" w:type="dxa"/>
            </w:tcMar>
          </w:tcPr>
          <w:p w14:paraId="175533AD" w14:textId="77777777" w:rsidR="00894D55" w:rsidRDefault="00B20FC1">
            <w:pPr>
              <w:spacing w:after="0"/>
            </w:pPr>
            <w:r>
              <w:rPr>
                <w:rFonts w:cs="Times New Roman"/>
              </w:rPr>
              <w:t>X</w:t>
            </w:r>
          </w:p>
        </w:tc>
        <w:tc>
          <w:tcPr>
            <w:tcW w:w="1123" w:type="dxa"/>
            <w:tcMar>
              <w:top w:w="45" w:type="dxa"/>
              <w:left w:w="55" w:type="dxa"/>
              <w:bottom w:w="45" w:type="dxa"/>
              <w:right w:w="55" w:type="dxa"/>
            </w:tcMar>
          </w:tcPr>
          <w:p w14:paraId="3AAC4273" w14:textId="77777777" w:rsidR="00894D55" w:rsidRDefault="00B20FC1">
            <w:pPr>
              <w:spacing w:after="0"/>
            </w:pPr>
            <w:r>
              <w:rPr>
                <w:rFonts w:cs="Times New Roman"/>
              </w:rPr>
              <w:t>X</w:t>
            </w:r>
          </w:p>
        </w:tc>
      </w:tr>
      <w:tr w:rsidR="00894D55" w14:paraId="727D6331" w14:textId="77777777">
        <w:trPr>
          <w:jc w:val="center"/>
        </w:trPr>
        <w:tc>
          <w:tcPr>
            <w:tcW w:w="648" w:type="dxa"/>
            <w:tcMar>
              <w:top w:w="45" w:type="dxa"/>
              <w:left w:w="55" w:type="dxa"/>
              <w:bottom w:w="45" w:type="dxa"/>
              <w:right w:w="55" w:type="dxa"/>
            </w:tcMar>
          </w:tcPr>
          <w:p w14:paraId="65867076" w14:textId="77777777" w:rsidR="00894D55" w:rsidRDefault="00B20FC1">
            <w:pPr>
              <w:spacing w:after="0"/>
            </w:pPr>
            <w:r>
              <w:rPr>
                <w:rFonts w:cs="Times New Roman"/>
              </w:rPr>
              <w:t>WP9</w:t>
            </w:r>
          </w:p>
        </w:tc>
        <w:tc>
          <w:tcPr>
            <w:tcW w:w="1008" w:type="dxa"/>
            <w:tcMar>
              <w:top w:w="45" w:type="dxa"/>
              <w:left w:w="55" w:type="dxa"/>
              <w:bottom w:w="45" w:type="dxa"/>
              <w:right w:w="55" w:type="dxa"/>
            </w:tcMar>
          </w:tcPr>
          <w:p w14:paraId="719541B2" w14:textId="77777777" w:rsidR="00894D55" w:rsidRDefault="00894D55">
            <w:pPr>
              <w:spacing w:after="0"/>
            </w:pPr>
          </w:p>
        </w:tc>
        <w:tc>
          <w:tcPr>
            <w:tcW w:w="1008" w:type="dxa"/>
            <w:tcMar>
              <w:top w:w="45" w:type="dxa"/>
              <w:left w:w="55" w:type="dxa"/>
              <w:bottom w:w="45" w:type="dxa"/>
              <w:right w:w="55" w:type="dxa"/>
            </w:tcMar>
          </w:tcPr>
          <w:p w14:paraId="060639E9" w14:textId="77777777" w:rsidR="00894D55" w:rsidRDefault="00894D55">
            <w:pPr>
              <w:spacing w:after="0"/>
            </w:pPr>
          </w:p>
        </w:tc>
        <w:tc>
          <w:tcPr>
            <w:tcW w:w="1123" w:type="dxa"/>
            <w:tcMar>
              <w:top w:w="45" w:type="dxa"/>
              <w:left w:w="55" w:type="dxa"/>
              <w:bottom w:w="45" w:type="dxa"/>
              <w:right w:w="55" w:type="dxa"/>
            </w:tcMar>
          </w:tcPr>
          <w:p w14:paraId="37E85704" w14:textId="77777777" w:rsidR="00894D55" w:rsidRDefault="00B20FC1">
            <w:pPr>
              <w:spacing w:after="0"/>
            </w:pPr>
            <w:r>
              <w:rPr>
                <w:rFonts w:cs="Times New Roman"/>
              </w:rPr>
              <w:t>X</w:t>
            </w:r>
          </w:p>
        </w:tc>
        <w:tc>
          <w:tcPr>
            <w:tcW w:w="1123" w:type="dxa"/>
            <w:tcMar>
              <w:top w:w="45" w:type="dxa"/>
              <w:left w:w="55" w:type="dxa"/>
              <w:bottom w:w="45" w:type="dxa"/>
              <w:right w:w="55" w:type="dxa"/>
            </w:tcMar>
          </w:tcPr>
          <w:p w14:paraId="675F1735" w14:textId="77777777" w:rsidR="00894D55" w:rsidRDefault="00B20FC1">
            <w:pPr>
              <w:spacing w:after="0"/>
            </w:pPr>
            <w:r>
              <w:rPr>
                <w:rFonts w:cs="Times New Roman"/>
              </w:rPr>
              <w:t>X</w:t>
            </w:r>
          </w:p>
        </w:tc>
        <w:tc>
          <w:tcPr>
            <w:tcW w:w="1123" w:type="dxa"/>
            <w:tcMar>
              <w:top w:w="45" w:type="dxa"/>
              <w:left w:w="55" w:type="dxa"/>
              <w:bottom w:w="45" w:type="dxa"/>
              <w:right w:w="55" w:type="dxa"/>
            </w:tcMar>
          </w:tcPr>
          <w:p w14:paraId="460A3587" w14:textId="77777777" w:rsidR="00894D55" w:rsidRDefault="00B20FC1">
            <w:pPr>
              <w:spacing w:after="0"/>
            </w:pPr>
            <w:r>
              <w:rPr>
                <w:rFonts w:cs="Times New Roman"/>
              </w:rPr>
              <w:t>X</w:t>
            </w:r>
          </w:p>
        </w:tc>
        <w:tc>
          <w:tcPr>
            <w:tcW w:w="1123" w:type="dxa"/>
            <w:tcMar>
              <w:top w:w="45" w:type="dxa"/>
              <w:left w:w="55" w:type="dxa"/>
              <w:bottom w:w="45" w:type="dxa"/>
              <w:right w:w="55" w:type="dxa"/>
            </w:tcMar>
          </w:tcPr>
          <w:p w14:paraId="10B45DC1" w14:textId="77777777" w:rsidR="00894D55" w:rsidRDefault="00B20FC1">
            <w:pPr>
              <w:spacing w:after="0"/>
            </w:pPr>
            <w:r>
              <w:rPr>
                <w:rFonts w:cs="Times New Roman"/>
              </w:rPr>
              <w:t>X</w:t>
            </w:r>
          </w:p>
        </w:tc>
      </w:tr>
    </w:tbl>
    <w:p w14:paraId="4F5343D7" w14:textId="77777777" w:rsidR="00894D55" w:rsidRDefault="00894D55"/>
    <w:p w14:paraId="485E5E74" w14:textId="77777777" w:rsidR="00894D55" w:rsidRDefault="00B20FC1">
      <w:pPr>
        <w:keepNext/>
        <w:spacing w:before="60" w:after="40"/>
      </w:pPr>
      <w:r>
        <w:rPr>
          <w:rFonts w:cs="Times New Roman"/>
          <w:b/>
        </w:rPr>
        <w:t>PERT / dependency logic</w:t>
      </w:r>
    </w:p>
    <w:tbl>
      <w:tblPr>
        <w:tblStyle w:val="Tablaconcuadrcula"/>
        <w:tblW w:w="0" w:type="auto"/>
        <w:jc w:val="center"/>
        <w:tblCellMar>
          <w:top w:w="40" w:type="dxa"/>
          <w:left w:w="60" w:type="dxa"/>
          <w:bottom w:w="40" w:type="dxa"/>
          <w:right w:w="60" w:type="dxa"/>
        </w:tblCellMar>
        <w:tblLook w:val="04A0" w:firstRow="1" w:lastRow="0" w:firstColumn="1" w:lastColumn="0" w:noHBand="0" w:noVBand="1"/>
      </w:tblPr>
      <w:tblGrid>
        <w:gridCol w:w="2736"/>
        <w:gridCol w:w="4680"/>
        <w:gridCol w:w="2736"/>
      </w:tblGrid>
      <w:tr w:rsidR="00894D55" w14:paraId="58EB929C" w14:textId="77777777">
        <w:trPr>
          <w:tblHeader/>
          <w:jc w:val="center"/>
        </w:trPr>
        <w:tc>
          <w:tcPr>
            <w:tcW w:w="2736" w:type="dxa"/>
            <w:shd w:val="clear" w:color="auto" w:fill="D9EAF7"/>
            <w:tcMar>
              <w:top w:w="45" w:type="dxa"/>
              <w:left w:w="55" w:type="dxa"/>
              <w:bottom w:w="45" w:type="dxa"/>
              <w:right w:w="55" w:type="dxa"/>
            </w:tcMar>
          </w:tcPr>
          <w:p w14:paraId="675A6FB0" w14:textId="77777777" w:rsidR="00894D55" w:rsidRDefault="00B20FC1">
            <w:pPr>
              <w:spacing w:after="0"/>
            </w:pPr>
            <w:r>
              <w:rPr>
                <w:rFonts w:cs="Times New Roman"/>
                <w:b/>
              </w:rPr>
              <w:t>Enabling layer</w:t>
            </w:r>
          </w:p>
        </w:tc>
        <w:tc>
          <w:tcPr>
            <w:tcW w:w="4680" w:type="dxa"/>
            <w:shd w:val="clear" w:color="auto" w:fill="D9EAF7"/>
            <w:tcMar>
              <w:top w:w="45" w:type="dxa"/>
              <w:left w:w="55" w:type="dxa"/>
              <w:bottom w:w="45" w:type="dxa"/>
              <w:right w:w="55" w:type="dxa"/>
            </w:tcMar>
          </w:tcPr>
          <w:p w14:paraId="137BB431" w14:textId="77777777" w:rsidR="00894D55" w:rsidRDefault="00B20FC1">
            <w:pPr>
              <w:spacing w:after="0"/>
            </w:pPr>
            <w:r>
              <w:rPr>
                <w:rFonts w:cs="Times New Roman"/>
                <w:b/>
              </w:rPr>
              <w:t>Scientific chain</w:t>
            </w:r>
          </w:p>
        </w:tc>
        <w:tc>
          <w:tcPr>
            <w:tcW w:w="2736" w:type="dxa"/>
            <w:shd w:val="clear" w:color="auto" w:fill="D9EAF7"/>
            <w:tcMar>
              <w:top w:w="45" w:type="dxa"/>
              <w:left w:w="55" w:type="dxa"/>
              <w:bottom w:w="45" w:type="dxa"/>
              <w:right w:w="55" w:type="dxa"/>
            </w:tcMar>
          </w:tcPr>
          <w:p w14:paraId="0BBC7BF1" w14:textId="77777777" w:rsidR="00894D55" w:rsidRDefault="00B20FC1">
            <w:pPr>
              <w:spacing w:after="0"/>
            </w:pPr>
            <w:r>
              <w:rPr>
                <w:rFonts w:cs="Times New Roman"/>
                <w:b/>
              </w:rPr>
              <w:t>Evidence / uptake layer</w:t>
            </w:r>
          </w:p>
        </w:tc>
      </w:tr>
      <w:tr w:rsidR="00894D55" w14:paraId="114B48EE" w14:textId="77777777">
        <w:trPr>
          <w:jc w:val="center"/>
        </w:trPr>
        <w:tc>
          <w:tcPr>
            <w:tcW w:w="2736" w:type="dxa"/>
            <w:tcMar>
              <w:top w:w="45" w:type="dxa"/>
              <w:left w:w="55" w:type="dxa"/>
              <w:bottom w:w="45" w:type="dxa"/>
              <w:right w:w="55" w:type="dxa"/>
            </w:tcMar>
          </w:tcPr>
          <w:p w14:paraId="60643E24" w14:textId="77777777" w:rsidR="00894D55" w:rsidRDefault="00B20FC1">
            <w:pPr>
              <w:spacing w:after="0"/>
            </w:pPr>
            <w:r>
              <w:rPr>
                <w:rFonts w:cs="Times New Roman"/>
              </w:rPr>
              <w:t>WP1 (M1-12) -&gt; WP5 (M13-36)</w:t>
            </w:r>
          </w:p>
        </w:tc>
        <w:tc>
          <w:tcPr>
            <w:tcW w:w="4680" w:type="dxa"/>
            <w:tcMar>
              <w:top w:w="45" w:type="dxa"/>
              <w:left w:w="55" w:type="dxa"/>
              <w:bottom w:w="45" w:type="dxa"/>
              <w:right w:w="55" w:type="dxa"/>
            </w:tcMar>
          </w:tcPr>
          <w:p w14:paraId="00B0D242" w14:textId="77777777" w:rsidR="00894D55" w:rsidRDefault="00B20FC1">
            <w:pPr>
              <w:spacing w:after="0"/>
            </w:pPr>
            <w:r>
              <w:rPr>
                <w:rFonts w:cs="Times New Roman"/>
              </w:rPr>
              <w:t>WP2 -&gt; WP3 -&gt; WP6 -&gt; WP7</w:t>
            </w:r>
          </w:p>
        </w:tc>
        <w:tc>
          <w:tcPr>
            <w:tcW w:w="2736" w:type="dxa"/>
            <w:tcMar>
              <w:top w:w="45" w:type="dxa"/>
              <w:left w:w="55" w:type="dxa"/>
              <w:bottom w:w="45" w:type="dxa"/>
              <w:right w:w="55" w:type="dxa"/>
            </w:tcMar>
          </w:tcPr>
          <w:p w14:paraId="1A7EE607" w14:textId="77777777" w:rsidR="00894D55" w:rsidRDefault="00B20FC1">
            <w:pPr>
              <w:spacing w:after="0"/>
            </w:pPr>
            <w:r>
              <w:rPr>
                <w:rFonts w:cs="Times New Roman"/>
              </w:rPr>
              <w:t>WP4 (RP1) -&gt; WP8 + WP9 (RP2)</w:t>
            </w:r>
          </w:p>
        </w:tc>
      </w:tr>
      <w:tr w:rsidR="00894D55" w14:paraId="3DDBE5D0" w14:textId="77777777">
        <w:trPr>
          <w:jc w:val="center"/>
        </w:trPr>
        <w:tc>
          <w:tcPr>
            <w:tcW w:w="2736" w:type="dxa"/>
            <w:tcMar>
              <w:top w:w="45" w:type="dxa"/>
              <w:left w:w="55" w:type="dxa"/>
              <w:bottom w:w="45" w:type="dxa"/>
              <w:right w:w="55" w:type="dxa"/>
            </w:tcMar>
          </w:tcPr>
          <w:p w14:paraId="10397BCA" w14:textId="77777777" w:rsidR="00894D55" w:rsidRDefault="00B20FC1">
            <w:pPr>
              <w:spacing w:after="0"/>
            </w:pPr>
            <w:r>
              <w:rPr>
                <w:rFonts w:cs="Times New Roman"/>
              </w:rPr>
              <w:t>Governance, risk, quality and access gates</w:t>
            </w:r>
          </w:p>
        </w:tc>
        <w:tc>
          <w:tcPr>
            <w:tcW w:w="4680" w:type="dxa"/>
            <w:tcMar>
              <w:top w:w="45" w:type="dxa"/>
              <w:left w:w="55" w:type="dxa"/>
              <w:bottom w:w="45" w:type="dxa"/>
              <w:right w:w="55" w:type="dxa"/>
            </w:tcMar>
          </w:tcPr>
          <w:p w14:paraId="084E9B63" w14:textId="77777777" w:rsidR="00894D55" w:rsidRDefault="00B20FC1">
            <w:pPr>
              <w:spacing w:after="0"/>
            </w:pPr>
            <w:r>
              <w:rPr>
                <w:rFonts w:cs="Times New Roman"/>
              </w:rPr>
              <w:t>Formal freeze -&gt; symbolic delimitation -&gt; independent systems -&gt; embodiment/TRL4</w:t>
            </w:r>
          </w:p>
        </w:tc>
        <w:tc>
          <w:tcPr>
            <w:tcW w:w="2736" w:type="dxa"/>
            <w:tcMar>
              <w:top w:w="45" w:type="dxa"/>
              <w:left w:w="55" w:type="dxa"/>
              <w:bottom w:w="45" w:type="dxa"/>
              <w:right w:w="55" w:type="dxa"/>
            </w:tcMar>
          </w:tcPr>
          <w:p w14:paraId="4AABDA20" w14:textId="77777777" w:rsidR="00894D55" w:rsidRDefault="00B20FC1">
            <w:pPr>
              <w:spacing w:after="0"/>
            </w:pPr>
            <w:r>
              <w:rPr>
                <w:rFonts w:cs="Times New Roman"/>
              </w:rPr>
              <w:t xml:space="preserve">DMP, frozen evidence, reproducibility, dissemination, exploitation and </w:t>
            </w:r>
            <w:proofErr w:type="spellStart"/>
            <w:r>
              <w:rPr>
                <w:rFonts w:cs="Times New Roman"/>
              </w:rPr>
              <w:t>standardisation</w:t>
            </w:r>
            <w:proofErr w:type="spellEnd"/>
          </w:p>
        </w:tc>
      </w:tr>
    </w:tbl>
    <w:p w14:paraId="380C392D" w14:textId="77777777" w:rsidR="00894D55" w:rsidRDefault="00894D55"/>
    <w:p w14:paraId="47FA3A4E" w14:textId="77777777" w:rsidR="00894D55" w:rsidRDefault="00B20FC1">
      <w:r>
        <w:rPr>
          <w:rFonts w:cs="Times New Roman"/>
        </w:rPr>
        <w:t>The principal scientific dependencies are intentionally serial. WP6 cannot claim independent invariance until WP2-WP3 have frozen the representation, endpoints and symbolic domain. WP7 cannot interpret embodied preservation until WP6 establishes what survived architectural independence. WP4/WP8 provide evidence integrity across the chain; WP9 translates only claims that have passed the applicable evidence gate.</w:t>
      </w:r>
    </w:p>
    <w:p w14:paraId="659B9CB3" w14:textId="77777777" w:rsidR="00894D55" w:rsidRDefault="00B20FC1">
      <w:pPr>
        <w:keepNext/>
        <w:spacing w:before="60" w:after="40"/>
      </w:pPr>
      <w:r>
        <w:rPr>
          <w:rFonts w:cs="Times New Roman"/>
          <w:b/>
        </w:rPr>
        <w:t>Detailed work-package descriptions (Table 3.1b)</w:t>
      </w:r>
    </w:p>
    <w:p w14:paraId="1DD75B1E" w14:textId="77777777" w:rsidR="00894D55" w:rsidRDefault="00B20FC1">
      <w:pPr>
        <w:keepNext/>
        <w:spacing w:before="60" w:after="40"/>
      </w:pPr>
      <w:r>
        <w:rPr>
          <w:rFonts w:cs="Times New Roman"/>
          <w:b/>
        </w:rPr>
        <w:t>WP1 - Project governance, quality and risk - RP1 (M1-M12; 8 PM)</w:t>
      </w:r>
    </w:p>
    <w:p w14:paraId="69CF4A70" w14:textId="77777777" w:rsidR="00894D55" w:rsidRDefault="00B20FC1">
      <w:r>
        <w:rPr>
          <w:rFonts w:cs="Times New Roman"/>
        </w:rPr>
        <w:t xml:space="preserve">Objective: establish the contractual, scientific and operational control baseline for RP1. T1.1 Project governance and quality (2 PM): versioned decision log, quality criteria, reporting calendar and change control. T1.2 Risk/ethics/security register (2 PM): maintain implementation and scientific risks, AI/dual-use/privacy screening and mitigation ownership. T1.3 Resource and infrastructure planning (2 PM): reconcile person-months, compute/API budget and Year-2/Year-3 access routes; following a positive EIC Pathfinder </w:t>
      </w:r>
      <w:proofErr w:type="spellStart"/>
      <w:r>
        <w:rPr>
          <w:rFonts w:cs="Times New Roman"/>
        </w:rPr>
        <w:t>DeepRAP</w:t>
      </w:r>
      <w:proofErr w:type="spellEnd"/>
      <w:r>
        <w:rPr>
          <w:rFonts w:cs="Times New Roman"/>
        </w:rPr>
        <w:t xml:space="preserve"> funding decision, open the preferred USAL institutional route while maintaining portfolio/TEF/alternative-facility fallbacks. T1.4 RP1 coordination (2 PM): monitor WP2-WP4, prepare M12 gate and reporting package. Quantified outputs: monthly control review; risk register updated at least quarterly; one M12 go/narrow/stop decision package.</w:t>
      </w:r>
    </w:p>
    <w:p w14:paraId="5067A1E6" w14:textId="77777777" w:rsidR="00894D55" w:rsidRDefault="00B20FC1">
      <w:pPr>
        <w:keepNext/>
        <w:spacing w:before="60" w:after="40"/>
      </w:pPr>
      <w:r>
        <w:rPr>
          <w:rFonts w:cs="Times New Roman"/>
          <w:b/>
        </w:rPr>
        <w:t>WP2 - Formal specification, metrology and confirmatory freeze (M1-M12; 20 PM)</w:t>
      </w:r>
    </w:p>
    <w:p w14:paraId="32BACE05" w14:textId="77777777" w:rsidR="00894D55" w:rsidRDefault="00B20FC1">
      <w:r>
        <w:rPr>
          <w:rFonts w:cs="Times New Roman"/>
        </w:rPr>
        <w:t>Objective: transform the mature v2.2.0 SCC/trajectory machinery into a prospective and falsifiable test specification. T2.1 Formal/metrological specification (6 PM): occurrence identity, ordering, typed relations, transformations, exact equivalence, partial correspondence, provenance and failure semantics. T2.2 Anti-leakage and adapter-minimality criteria (4 PM): define measurable semantic burden and ontology import. T2.3 Conformance suite and positive/negative controls (5 PM): executable formal tests and constructed discriminative cases. T2.4 Preregistration and freeze (5 PM): freeze invariant families, endpoints, held-outs, repetition policy, statistical analysis and claim taxonomy before confirmatory exposure. Quantified outputs: one versioned specification; executable conformance suite; preregistered confirmatory protocol; support matrix defining what is and is not tested.</w:t>
      </w:r>
    </w:p>
    <w:p w14:paraId="437E6B03" w14:textId="77777777" w:rsidR="00894D55" w:rsidRDefault="00B20FC1">
      <w:pPr>
        <w:keepNext/>
        <w:spacing w:before="60" w:after="40"/>
      </w:pPr>
      <w:r>
        <w:rPr>
          <w:rFonts w:cs="Times New Roman"/>
          <w:b/>
        </w:rPr>
        <w:t>WP3 - Symbolic invariance and adversarial validation (M3-M12; 18 PM)</w:t>
      </w:r>
    </w:p>
    <w:p w14:paraId="63DC19B8" w14:textId="77777777" w:rsidR="00894D55" w:rsidRDefault="00B20FC1">
      <w:r>
        <w:rPr>
          <w:rFonts w:cs="Times New Roman"/>
        </w:rPr>
        <w:t xml:space="preserve">Objective: delimit the symbolic domain of structural invariance under controlled heterogeneity. T3.1 Cross-domain/language/model campaign (7 PM): execute prespecified combinations spanning semantic domains, </w:t>
      </w:r>
      <w:r>
        <w:rPr>
          <w:rFonts w:cs="Times New Roman"/>
        </w:rPr>
        <w:lastRenderedPageBreak/>
        <w:t>languages, model/provider classes and representation formats. T3.2 Transformation/ablation campaign (5 PM): positive controls, designed non-matches, lexical/notation/order perturbations and structural component ablations. T3.3 Repeatability and observer-stochasticity analysis (3 PM): quantify variation without retry-to-success. T3.4 Frozen symbolic release (3 PM): report preserved, degraded, violated, UNEVALUABLE and NOT_ESTIMABLE outcomes with coverage and counterexamples. Quantified outputs will be fixed in the WP2 freeze; the release will include all prespecified cells, not only successful ones.</w:t>
      </w:r>
    </w:p>
    <w:p w14:paraId="0DD39A90" w14:textId="77777777" w:rsidR="00894D55" w:rsidRDefault="00B20FC1">
      <w:pPr>
        <w:keepNext/>
        <w:spacing w:before="60" w:after="40"/>
      </w:pPr>
      <w:r>
        <w:rPr>
          <w:rFonts w:cs="Times New Roman"/>
          <w:b/>
        </w:rPr>
        <w:t>WP4 - Data, Open Science, dissemination and exploitation - RP1 (M1-M12; 5 PM)</w:t>
      </w:r>
    </w:p>
    <w:p w14:paraId="09DD3D50" w14:textId="77777777" w:rsidR="00894D55" w:rsidRDefault="00B20FC1">
      <w:r>
        <w:rPr>
          <w:rFonts w:cs="Times New Roman"/>
        </w:rPr>
        <w:t>Objective: make RP1 evidence FAIR and establish early exploitation/communication discipline. T4.1 DMP and repository/provenance design (2 PM). T4.2 Plan for Dissemination and Exploitation including Communication Activities (1 PM). T4.3 Background/Foreground and access-rights register, preliminary FTO/dependency screen (1 PM). T4.4 M12 evidence release and stakeholder/portfolio communication (1 PM). Mandatory DMP and dissemination/exploitation/communication plan are delivered by M6 and updated later under WP8/WP9.</w:t>
      </w:r>
    </w:p>
    <w:p w14:paraId="0785E5FB" w14:textId="77777777" w:rsidR="00894D55" w:rsidRDefault="00B20FC1">
      <w:pPr>
        <w:keepNext/>
        <w:spacing w:before="60" w:after="40"/>
      </w:pPr>
      <w:r>
        <w:rPr>
          <w:rFonts w:cs="Times New Roman"/>
          <w:b/>
        </w:rPr>
        <w:t>WP5 - Project governance, portfolio coordination and exploitation - RP2 (M13-M36; 8 PM)</w:t>
      </w:r>
    </w:p>
    <w:p w14:paraId="36D47F56" w14:textId="77777777" w:rsidR="00894D55" w:rsidRDefault="00B20FC1">
      <w:r>
        <w:rPr>
          <w:rFonts w:cs="Times New Roman"/>
        </w:rPr>
        <w:t>Objective: govern the higher-dependency phase and maintain alignment with EIC/</w:t>
      </w:r>
      <w:proofErr w:type="spellStart"/>
      <w:r>
        <w:rPr>
          <w:rFonts w:cs="Times New Roman"/>
        </w:rPr>
        <w:t>DeepRAP</w:t>
      </w:r>
      <w:proofErr w:type="spellEnd"/>
      <w:r>
        <w:rPr>
          <w:rFonts w:cs="Times New Roman"/>
        </w:rPr>
        <w:t xml:space="preserve"> portfolio activities. T5.1 Scientific/financial/risk control (3 PM). T5.2 Portfolio interoperability, benchmark and common-pilot coordination (2 PM). T5.3 Infrastructure-access gate management (1 PM): verify external system and embodied-lab access before dependent tasks. T5.4 Exploitation/ownership decisions and final reporting (2 PM). The WP preserves a strict distinction between portfolio opportunity and project dependency: no single external project is a critical path dependency.</w:t>
      </w:r>
    </w:p>
    <w:p w14:paraId="1125E614" w14:textId="77777777" w:rsidR="00894D55" w:rsidRDefault="00B20FC1">
      <w:pPr>
        <w:keepNext/>
        <w:spacing w:before="60" w:after="40"/>
      </w:pPr>
      <w:r>
        <w:rPr>
          <w:rFonts w:cs="Times New Roman"/>
          <w:b/>
        </w:rPr>
        <w:t>WP6 - Independent cross-system interoperability and replication (M10-M24; 20 PM)</w:t>
      </w:r>
    </w:p>
    <w:p w14:paraId="75F84CF4" w14:textId="77777777" w:rsidR="00894D55" w:rsidRDefault="00B20FC1">
      <w:r>
        <w:rPr>
          <w:rFonts w:cs="Times New Roman"/>
        </w:rPr>
        <w:t xml:space="preserve">Objective: perform the principal independence test using cognitive systems not designed around MDPAR. T6.1 System selection and native baselines (4 PM): select heterogeneous reasoners/planners/symbolic or neuro-symbolic systems, </w:t>
      </w:r>
      <w:proofErr w:type="spellStart"/>
      <w:r>
        <w:rPr>
          <w:rFonts w:cs="Times New Roman"/>
        </w:rPr>
        <w:t>prioritising</w:t>
      </w:r>
      <w:proofErr w:type="spellEnd"/>
      <w:r>
        <w:rPr>
          <w:rFonts w:cs="Times New Roman"/>
        </w:rPr>
        <w:t xml:space="preserve"> </w:t>
      </w:r>
      <w:proofErr w:type="spellStart"/>
      <w:r>
        <w:rPr>
          <w:rFonts w:cs="Times New Roman"/>
        </w:rPr>
        <w:t>DeepRAP</w:t>
      </w:r>
      <w:proofErr w:type="spellEnd"/>
      <w:r>
        <w:rPr>
          <w:rFonts w:cs="Times New Roman"/>
        </w:rPr>
        <w:t xml:space="preserve"> portfolio systems where collaboration is available. T6.2 Minimal adapters (6 PM): expose native observables after native execution; quantify interface size, mapping complexity, domain rules, semantic burden and ontology import. T6.3 Cross-system match/non-match experiments (6 PM): test both recovery and rejection against frozen criteria. T6.4 Independent scoring/replication (2 PM): separate adapter construction and scoring where feasible. T6.5 M24 frozen evidence release (2 PM). Fallback systems may be open, licensed or API-accessible, but must remain independently engineered and capable of native execution without SCC.</w:t>
      </w:r>
    </w:p>
    <w:p w14:paraId="51AD159D" w14:textId="77777777" w:rsidR="00894D55" w:rsidRDefault="00B20FC1">
      <w:pPr>
        <w:keepNext/>
        <w:spacing w:before="60" w:after="40"/>
      </w:pPr>
      <w:r>
        <w:rPr>
          <w:rFonts w:cs="Times New Roman"/>
          <w:b/>
        </w:rPr>
        <w:t>WP7 - Multimodal/embodied falsification and TRL4 integration (M19-M36; 22 PM)</w:t>
      </w:r>
    </w:p>
    <w:p w14:paraId="7823144E" w14:textId="77777777" w:rsidR="00894D55" w:rsidRDefault="00B20FC1">
      <w:r>
        <w:rPr>
          <w:rFonts w:cs="Times New Roman"/>
        </w:rPr>
        <w:t>Objective: test whether surviving structural properties remain identifiable when cognition is coupled to perception, time, action and physical consequence, and integrate validated mechanisms at TRL4. T7.1 Simulation bridge and embodiment protocol (4 PM). T7.2 Laboratory access and independently engineered perception-action stack integration (4 PM), using the formal USAL route as the preferred post-selection pathway and an alternative European host/TEF/facility route if required. T7.3 Perturbation campaign (6 PM): partial observability, occlusion, sensor disagreement/noise, delays, replanning, actuator constraints/failures, provider loss/recovery and constrained fallback. T7.4 Comparative symbolic/simulated/physical analysis (4 PM). T7.5 TRL4 demonstrator and acceptance tests (4 PM). Access is not presumed at submission; it must be documented before the physical task begins. Simulation is an intermediate control, not a substitute for the stated physical-validation endpoint.</w:t>
      </w:r>
    </w:p>
    <w:p w14:paraId="74CEE03B" w14:textId="77777777" w:rsidR="00894D55" w:rsidRDefault="00B20FC1">
      <w:pPr>
        <w:keepNext/>
        <w:spacing w:before="60" w:after="40"/>
      </w:pPr>
      <w:r>
        <w:rPr>
          <w:rFonts w:cs="Times New Roman"/>
          <w:b/>
        </w:rPr>
        <w:t>WP8 - Evidence infrastructure, reproducibility and Open Science - RP2 (M13-M36; 4 PM)</w:t>
      </w:r>
    </w:p>
    <w:p w14:paraId="3F7D26DA" w14:textId="77777777" w:rsidR="00894D55" w:rsidRDefault="00B20FC1">
      <w:r>
        <w:rPr>
          <w:rFonts w:cs="Times New Roman"/>
        </w:rPr>
        <w:t xml:space="preserve">Objective: maintain auditable, reproducible evidence across external systems and embodiment. T8.1 Evidence manifests/hashes and deterministic-versus-neural boundary recording (1 PM). T8.2 DMP and FAIR updates (1 PM). T8.3 Reproducibility packages and controlled verification arrangements where Background IP limits full release (1 PM). T8.4 Structural Invariance Atlas and final frozen evidence package support (1 PM). Reproducibility claims will state their exact level rather than imply unrestricted </w:t>
      </w:r>
      <w:proofErr w:type="spellStart"/>
      <w:r>
        <w:rPr>
          <w:rFonts w:cs="Times New Roman"/>
        </w:rPr>
        <w:t>rerunnability</w:t>
      </w:r>
      <w:proofErr w:type="spellEnd"/>
      <w:r>
        <w:rPr>
          <w:rFonts w:cs="Times New Roman"/>
        </w:rPr>
        <w:t>.</w:t>
      </w:r>
    </w:p>
    <w:p w14:paraId="3F4856EE" w14:textId="77777777" w:rsidR="00894D55" w:rsidRDefault="00B20FC1">
      <w:pPr>
        <w:keepNext/>
        <w:spacing w:before="60" w:after="40"/>
      </w:pPr>
      <w:r>
        <w:rPr>
          <w:rFonts w:cs="Times New Roman"/>
          <w:b/>
        </w:rPr>
        <w:t xml:space="preserve">WP9 - Communication, </w:t>
      </w:r>
      <w:proofErr w:type="spellStart"/>
      <w:r>
        <w:rPr>
          <w:rFonts w:cs="Times New Roman"/>
          <w:b/>
        </w:rPr>
        <w:t>standardisation</w:t>
      </w:r>
      <w:proofErr w:type="spellEnd"/>
      <w:r>
        <w:rPr>
          <w:rFonts w:cs="Times New Roman"/>
          <w:b/>
        </w:rPr>
        <w:t xml:space="preserve"> and post-project transition (M13-M36; 3 PM)</w:t>
      </w:r>
    </w:p>
    <w:p w14:paraId="553BCB37" w14:textId="77777777" w:rsidR="00894D55" w:rsidRDefault="00B20FC1">
      <w:r>
        <w:rPr>
          <w:rFonts w:cs="Times New Roman"/>
        </w:rPr>
        <w:t xml:space="preserve">Objective: convert validated scope into uptake without claim inflation. T9.1 Scientific/public communication and Open Access outputs (1 PM). T9.2 </w:t>
      </w:r>
      <w:proofErr w:type="gramStart"/>
      <w:r>
        <w:rPr>
          <w:rFonts w:cs="Times New Roman"/>
        </w:rPr>
        <w:t>Pre-normative</w:t>
      </w:r>
      <w:proofErr w:type="gramEnd"/>
      <w:r>
        <w:rPr>
          <w:rFonts w:cs="Times New Roman"/>
        </w:rPr>
        <w:t xml:space="preserve"> interoperability/assurance contributions and </w:t>
      </w:r>
      <w:proofErr w:type="spellStart"/>
      <w:r>
        <w:rPr>
          <w:rFonts w:cs="Times New Roman"/>
        </w:rPr>
        <w:t>DeepRAP</w:t>
      </w:r>
      <w:proofErr w:type="spellEnd"/>
      <w:r>
        <w:rPr>
          <w:rFonts w:cs="Times New Roman"/>
        </w:rPr>
        <w:t xml:space="preserve"> dissemination (1 PM). T9.3 Exploitation route selection, adopter engagement and TRL5+ transition package (1 PM). Communication follows the evidence-status vocabulary and publishes negative/boundary results alongside supportive findings.</w:t>
      </w:r>
    </w:p>
    <w:p w14:paraId="71EFE641" w14:textId="77777777" w:rsidR="00894D55" w:rsidRDefault="00B20FC1">
      <w:pPr>
        <w:keepNext/>
        <w:spacing w:before="60" w:after="40"/>
      </w:pPr>
      <w:r>
        <w:rPr>
          <w:rFonts w:cs="Times New Roman"/>
          <w:b/>
        </w:rPr>
        <w:t>Deliverables (Table 3.1c)</w:t>
      </w:r>
    </w:p>
    <w:tbl>
      <w:tblPr>
        <w:tblStyle w:val="Tablaconcuadrcula"/>
        <w:tblW w:w="0" w:type="auto"/>
        <w:jc w:val="center"/>
        <w:tblCellMar>
          <w:top w:w="40" w:type="dxa"/>
          <w:left w:w="60" w:type="dxa"/>
          <w:bottom w:w="40" w:type="dxa"/>
          <w:right w:w="60" w:type="dxa"/>
        </w:tblCellMar>
        <w:tblLook w:val="04A0" w:firstRow="1" w:lastRow="0" w:firstColumn="1" w:lastColumn="0" w:noHBand="0" w:noVBand="1"/>
      </w:tblPr>
      <w:tblGrid>
        <w:gridCol w:w="648"/>
        <w:gridCol w:w="4968"/>
        <w:gridCol w:w="576"/>
        <w:gridCol w:w="587"/>
        <w:gridCol w:w="844"/>
        <w:gridCol w:w="720"/>
        <w:gridCol w:w="648"/>
      </w:tblGrid>
      <w:tr w:rsidR="00894D55" w14:paraId="29B961AE" w14:textId="77777777">
        <w:trPr>
          <w:tblHeader/>
          <w:jc w:val="center"/>
        </w:trPr>
        <w:tc>
          <w:tcPr>
            <w:tcW w:w="648" w:type="dxa"/>
            <w:shd w:val="clear" w:color="auto" w:fill="D9EAF7"/>
            <w:tcMar>
              <w:top w:w="45" w:type="dxa"/>
              <w:left w:w="55" w:type="dxa"/>
              <w:bottom w:w="45" w:type="dxa"/>
              <w:right w:w="55" w:type="dxa"/>
            </w:tcMar>
          </w:tcPr>
          <w:p w14:paraId="1B612D53" w14:textId="77777777" w:rsidR="00894D55" w:rsidRDefault="00B20FC1">
            <w:pPr>
              <w:spacing w:after="0"/>
            </w:pPr>
            <w:r>
              <w:rPr>
                <w:rFonts w:cs="Times New Roman"/>
                <w:b/>
              </w:rPr>
              <w:t>No.</w:t>
            </w:r>
          </w:p>
        </w:tc>
        <w:tc>
          <w:tcPr>
            <w:tcW w:w="4968" w:type="dxa"/>
            <w:shd w:val="clear" w:color="auto" w:fill="D9EAF7"/>
            <w:tcMar>
              <w:top w:w="45" w:type="dxa"/>
              <w:left w:w="55" w:type="dxa"/>
              <w:bottom w:w="45" w:type="dxa"/>
              <w:right w:w="55" w:type="dxa"/>
            </w:tcMar>
          </w:tcPr>
          <w:p w14:paraId="7A14773B" w14:textId="77777777" w:rsidR="00894D55" w:rsidRDefault="00B20FC1">
            <w:pPr>
              <w:spacing w:after="0"/>
            </w:pPr>
            <w:r>
              <w:rPr>
                <w:rFonts w:cs="Times New Roman"/>
                <w:b/>
              </w:rPr>
              <w:t>Deliverable</w:t>
            </w:r>
          </w:p>
        </w:tc>
        <w:tc>
          <w:tcPr>
            <w:tcW w:w="576" w:type="dxa"/>
            <w:shd w:val="clear" w:color="auto" w:fill="D9EAF7"/>
            <w:tcMar>
              <w:top w:w="45" w:type="dxa"/>
              <w:left w:w="55" w:type="dxa"/>
              <w:bottom w:w="45" w:type="dxa"/>
              <w:right w:w="55" w:type="dxa"/>
            </w:tcMar>
          </w:tcPr>
          <w:p w14:paraId="7E2F0778" w14:textId="77777777" w:rsidR="00894D55" w:rsidRDefault="00B20FC1">
            <w:pPr>
              <w:spacing w:after="0"/>
            </w:pPr>
            <w:r>
              <w:rPr>
                <w:rFonts w:cs="Times New Roman"/>
                <w:b/>
              </w:rPr>
              <w:t>WP</w:t>
            </w:r>
          </w:p>
        </w:tc>
        <w:tc>
          <w:tcPr>
            <w:tcW w:w="576" w:type="dxa"/>
            <w:shd w:val="clear" w:color="auto" w:fill="D9EAF7"/>
            <w:tcMar>
              <w:top w:w="45" w:type="dxa"/>
              <w:left w:w="55" w:type="dxa"/>
              <w:bottom w:w="45" w:type="dxa"/>
              <w:right w:w="55" w:type="dxa"/>
            </w:tcMar>
          </w:tcPr>
          <w:p w14:paraId="6D3E7C4E" w14:textId="77777777" w:rsidR="00894D55" w:rsidRDefault="00B20FC1">
            <w:pPr>
              <w:spacing w:after="0"/>
            </w:pPr>
            <w:r>
              <w:rPr>
                <w:rFonts w:cs="Times New Roman"/>
                <w:b/>
              </w:rPr>
              <w:t>Lead</w:t>
            </w:r>
          </w:p>
        </w:tc>
        <w:tc>
          <w:tcPr>
            <w:tcW w:w="792" w:type="dxa"/>
            <w:shd w:val="clear" w:color="auto" w:fill="D9EAF7"/>
            <w:tcMar>
              <w:top w:w="45" w:type="dxa"/>
              <w:left w:w="55" w:type="dxa"/>
              <w:bottom w:w="45" w:type="dxa"/>
              <w:right w:w="55" w:type="dxa"/>
            </w:tcMar>
          </w:tcPr>
          <w:p w14:paraId="1133A3F7" w14:textId="77777777" w:rsidR="00894D55" w:rsidRDefault="00B20FC1">
            <w:pPr>
              <w:spacing w:after="0"/>
            </w:pPr>
            <w:r>
              <w:rPr>
                <w:rFonts w:cs="Times New Roman"/>
                <w:b/>
              </w:rPr>
              <w:t>Type</w:t>
            </w:r>
          </w:p>
        </w:tc>
        <w:tc>
          <w:tcPr>
            <w:tcW w:w="720" w:type="dxa"/>
            <w:shd w:val="clear" w:color="auto" w:fill="D9EAF7"/>
            <w:tcMar>
              <w:top w:w="45" w:type="dxa"/>
              <w:left w:w="55" w:type="dxa"/>
              <w:bottom w:w="45" w:type="dxa"/>
              <w:right w:w="55" w:type="dxa"/>
            </w:tcMar>
          </w:tcPr>
          <w:p w14:paraId="0525F64D" w14:textId="77777777" w:rsidR="00894D55" w:rsidRDefault="00B20FC1">
            <w:pPr>
              <w:spacing w:after="0"/>
            </w:pPr>
            <w:r>
              <w:rPr>
                <w:rFonts w:cs="Times New Roman"/>
                <w:b/>
              </w:rPr>
              <w:t>Level</w:t>
            </w:r>
          </w:p>
        </w:tc>
        <w:tc>
          <w:tcPr>
            <w:tcW w:w="648" w:type="dxa"/>
            <w:shd w:val="clear" w:color="auto" w:fill="D9EAF7"/>
            <w:tcMar>
              <w:top w:w="45" w:type="dxa"/>
              <w:left w:w="55" w:type="dxa"/>
              <w:bottom w:w="45" w:type="dxa"/>
              <w:right w:w="55" w:type="dxa"/>
            </w:tcMar>
          </w:tcPr>
          <w:p w14:paraId="1C66AAF6" w14:textId="77777777" w:rsidR="00894D55" w:rsidRDefault="00B20FC1">
            <w:pPr>
              <w:spacing w:after="0"/>
            </w:pPr>
            <w:r>
              <w:rPr>
                <w:rFonts w:cs="Times New Roman"/>
                <w:b/>
              </w:rPr>
              <w:t>Due</w:t>
            </w:r>
          </w:p>
        </w:tc>
      </w:tr>
      <w:tr w:rsidR="00894D55" w14:paraId="566FDA3D" w14:textId="77777777">
        <w:trPr>
          <w:jc w:val="center"/>
        </w:trPr>
        <w:tc>
          <w:tcPr>
            <w:tcW w:w="648" w:type="dxa"/>
            <w:tcMar>
              <w:top w:w="45" w:type="dxa"/>
              <w:left w:w="55" w:type="dxa"/>
              <w:bottom w:w="45" w:type="dxa"/>
              <w:right w:w="55" w:type="dxa"/>
            </w:tcMar>
          </w:tcPr>
          <w:p w14:paraId="47E52089" w14:textId="77777777" w:rsidR="00894D55" w:rsidRDefault="00B20FC1">
            <w:pPr>
              <w:spacing w:after="0"/>
            </w:pPr>
            <w:r>
              <w:rPr>
                <w:rFonts w:cs="Times New Roman"/>
              </w:rPr>
              <w:t>D1.1</w:t>
            </w:r>
          </w:p>
        </w:tc>
        <w:tc>
          <w:tcPr>
            <w:tcW w:w="4968" w:type="dxa"/>
            <w:tcMar>
              <w:top w:w="45" w:type="dxa"/>
              <w:left w:w="55" w:type="dxa"/>
              <w:bottom w:w="45" w:type="dxa"/>
              <w:right w:w="55" w:type="dxa"/>
            </w:tcMar>
          </w:tcPr>
          <w:p w14:paraId="3C1DF6D2" w14:textId="77777777" w:rsidR="00894D55" w:rsidRDefault="00B20FC1">
            <w:pPr>
              <w:spacing w:after="0"/>
            </w:pPr>
            <w:r>
              <w:rPr>
                <w:rFonts w:cs="Times New Roman"/>
              </w:rPr>
              <w:t>Project governance, quality and risk baseline</w:t>
            </w:r>
          </w:p>
        </w:tc>
        <w:tc>
          <w:tcPr>
            <w:tcW w:w="576" w:type="dxa"/>
            <w:tcMar>
              <w:top w:w="45" w:type="dxa"/>
              <w:left w:w="55" w:type="dxa"/>
              <w:bottom w:w="45" w:type="dxa"/>
              <w:right w:w="55" w:type="dxa"/>
            </w:tcMar>
          </w:tcPr>
          <w:p w14:paraId="6492A1F7" w14:textId="77777777" w:rsidR="00894D55" w:rsidRDefault="00B20FC1">
            <w:pPr>
              <w:spacing w:after="0"/>
            </w:pPr>
            <w:r>
              <w:rPr>
                <w:rFonts w:cs="Times New Roman"/>
              </w:rPr>
              <w:t>WP1</w:t>
            </w:r>
          </w:p>
        </w:tc>
        <w:tc>
          <w:tcPr>
            <w:tcW w:w="576" w:type="dxa"/>
            <w:tcMar>
              <w:top w:w="45" w:type="dxa"/>
              <w:left w:w="55" w:type="dxa"/>
              <w:bottom w:w="45" w:type="dxa"/>
              <w:right w:w="55" w:type="dxa"/>
            </w:tcMar>
          </w:tcPr>
          <w:p w14:paraId="685C6C1A" w14:textId="77777777" w:rsidR="00894D55" w:rsidRDefault="00B20FC1">
            <w:pPr>
              <w:spacing w:after="0"/>
            </w:pPr>
            <w:r>
              <w:rPr>
                <w:rFonts w:cs="Times New Roman"/>
              </w:rPr>
              <w:t>P1</w:t>
            </w:r>
          </w:p>
        </w:tc>
        <w:tc>
          <w:tcPr>
            <w:tcW w:w="792" w:type="dxa"/>
            <w:tcMar>
              <w:top w:w="45" w:type="dxa"/>
              <w:left w:w="55" w:type="dxa"/>
              <w:bottom w:w="45" w:type="dxa"/>
              <w:right w:w="55" w:type="dxa"/>
            </w:tcMar>
          </w:tcPr>
          <w:p w14:paraId="3CAC0673" w14:textId="77777777" w:rsidR="00894D55" w:rsidRDefault="00B20FC1">
            <w:pPr>
              <w:spacing w:after="0"/>
            </w:pPr>
            <w:r>
              <w:rPr>
                <w:rFonts w:cs="Times New Roman"/>
              </w:rPr>
              <w:t>R</w:t>
            </w:r>
          </w:p>
        </w:tc>
        <w:tc>
          <w:tcPr>
            <w:tcW w:w="720" w:type="dxa"/>
            <w:tcMar>
              <w:top w:w="45" w:type="dxa"/>
              <w:left w:w="55" w:type="dxa"/>
              <w:bottom w:w="45" w:type="dxa"/>
              <w:right w:w="55" w:type="dxa"/>
            </w:tcMar>
          </w:tcPr>
          <w:p w14:paraId="2E803DEC" w14:textId="77777777" w:rsidR="00894D55" w:rsidRDefault="00B20FC1">
            <w:pPr>
              <w:spacing w:after="0"/>
            </w:pPr>
            <w:r>
              <w:rPr>
                <w:rFonts w:cs="Times New Roman"/>
              </w:rPr>
              <w:t>SEN</w:t>
            </w:r>
          </w:p>
        </w:tc>
        <w:tc>
          <w:tcPr>
            <w:tcW w:w="648" w:type="dxa"/>
            <w:tcMar>
              <w:top w:w="45" w:type="dxa"/>
              <w:left w:w="55" w:type="dxa"/>
              <w:bottom w:w="45" w:type="dxa"/>
              <w:right w:w="55" w:type="dxa"/>
            </w:tcMar>
          </w:tcPr>
          <w:p w14:paraId="08D45FE7" w14:textId="77777777" w:rsidR="00894D55" w:rsidRDefault="00B20FC1">
            <w:pPr>
              <w:spacing w:after="0"/>
            </w:pPr>
            <w:r>
              <w:rPr>
                <w:rFonts w:cs="Times New Roman"/>
              </w:rPr>
              <w:t>M3</w:t>
            </w:r>
          </w:p>
        </w:tc>
      </w:tr>
      <w:tr w:rsidR="00894D55" w14:paraId="23FF942D" w14:textId="77777777">
        <w:trPr>
          <w:jc w:val="center"/>
        </w:trPr>
        <w:tc>
          <w:tcPr>
            <w:tcW w:w="648" w:type="dxa"/>
            <w:tcMar>
              <w:top w:w="45" w:type="dxa"/>
              <w:left w:w="55" w:type="dxa"/>
              <w:bottom w:w="45" w:type="dxa"/>
              <w:right w:w="55" w:type="dxa"/>
            </w:tcMar>
          </w:tcPr>
          <w:p w14:paraId="1C142E47" w14:textId="77777777" w:rsidR="00894D55" w:rsidRDefault="00B20FC1">
            <w:pPr>
              <w:spacing w:after="0"/>
            </w:pPr>
            <w:r>
              <w:rPr>
                <w:rFonts w:cs="Times New Roman"/>
              </w:rPr>
              <w:t>D2.1</w:t>
            </w:r>
          </w:p>
        </w:tc>
        <w:tc>
          <w:tcPr>
            <w:tcW w:w="4968" w:type="dxa"/>
            <w:tcMar>
              <w:top w:w="45" w:type="dxa"/>
              <w:left w:w="55" w:type="dxa"/>
              <w:bottom w:w="45" w:type="dxa"/>
              <w:right w:w="55" w:type="dxa"/>
            </w:tcMar>
          </w:tcPr>
          <w:p w14:paraId="4D4024A5" w14:textId="77777777" w:rsidR="00894D55" w:rsidRDefault="00B20FC1">
            <w:pPr>
              <w:spacing w:after="0"/>
            </w:pPr>
            <w:r>
              <w:rPr>
                <w:rFonts w:cs="Times New Roman"/>
              </w:rPr>
              <w:t>Formal/metrological specification and conformance suite v1</w:t>
            </w:r>
          </w:p>
        </w:tc>
        <w:tc>
          <w:tcPr>
            <w:tcW w:w="576" w:type="dxa"/>
            <w:tcMar>
              <w:top w:w="45" w:type="dxa"/>
              <w:left w:w="55" w:type="dxa"/>
              <w:bottom w:w="45" w:type="dxa"/>
              <w:right w:w="55" w:type="dxa"/>
            </w:tcMar>
          </w:tcPr>
          <w:p w14:paraId="30CAB964" w14:textId="77777777" w:rsidR="00894D55" w:rsidRDefault="00B20FC1">
            <w:pPr>
              <w:spacing w:after="0"/>
            </w:pPr>
            <w:r>
              <w:rPr>
                <w:rFonts w:cs="Times New Roman"/>
              </w:rPr>
              <w:t>WP2</w:t>
            </w:r>
          </w:p>
        </w:tc>
        <w:tc>
          <w:tcPr>
            <w:tcW w:w="576" w:type="dxa"/>
            <w:tcMar>
              <w:top w:w="45" w:type="dxa"/>
              <w:left w:w="55" w:type="dxa"/>
              <w:bottom w:w="45" w:type="dxa"/>
              <w:right w:w="55" w:type="dxa"/>
            </w:tcMar>
          </w:tcPr>
          <w:p w14:paraId="6C36F6EF" w14:textId="77777777" w:rsidR="00894D55" w:rsidRDefault="00B20FC1">
            <w:pPr>
              <w:spacing w:after="0"/>
            </w:pPr>
            <w:r>
              <w:rPr>
                <w:rFonts w:cs="Times New Roman"/>
              </w:rPr>
              <w:t>P1</w:t>
            </w:r>
          </w:p>
        </w:tc>
        <w:tc>
          <w:tcPr>
            <w:tcW w:w="792" w:type="dxa"/>
            <w:tcMar>
              <w:top w:w="45" w:type="dxa"/>
              <w:left w:w="55" w:type="dxa"/>
              <w:bottom w:w="45" w:type="dxa"/>
              <w:right w:w="55" w:type="dxa"/>
            </w:tcMar>
          </w:tcPr>
          <w:p w14:paraId="13AC2537" w14:textId="77777777" w:rsidR="00894D55" w:rsidRDefault="00B20FC1">
            <w:pPr>
              <w:spacing w:after="0"/>
            </w:pPr>
            <w:r>
              <w:rPr>
                <w:rFonts w:cs="Times New Roman"/>
              </w:rPr>
              <w:t>OTHER</w:t>
            </w:r>
          </w:p>
        </w:tc>
        <w:tc>
          <w:tcPr>
            <w:tcW w:w="720" w:type="dxa"/>
            <w:tcMar>
              <w:top w:w="45" w:type="dxa"/>
              <w:left w:w="55" w:type="dxa"/>
              <w:bottom w:w="45" w:type="dxa"/>
              <w:right w:w="55" w:type="dxa"/>
            </w:tcMar>
          </w:tcPr>
          <w:p w14:paraId="4E1C6228" w14:textId="77777777" w:rsidR="00894D55" w:rsidRDefault="00B20FC1">
            <w:pPr>
              <w:spacing w:after="0"/>
            </w:pPr>
            <w:r>
              <w:rPr>
                <w:rFonts w:cs="Times New Roman"/>
              </w:rPr>
              <w:t>PU</w:t>
            </w:r>
          </w:p>
        </w:tc>
        <w:tc>
          <w:tcPr>
            <w:tcW w:w="648" w:type="dxa"/>
            <w:tcMar>
              <w:top w:w="45" w:type="dxa"/>
              <w:left w:w="55" w:type="dxa"/>
              <w:bottom w:w="45" w:type="dxa"/>
              <w:right w:w="55" w:type="dxa"/>
            </w:tcMar>
          </w:tcPr>
          <w:p w14:paraId="31EE74B2" w14:textId="77777777" w:rsidR="00894D55" w:rsidRDefault="00B20FC1">
            <w:pPr>
              <w:spacing w:after="0"/>
            </w:pPr>
            <w:r>
              <w:rPr>
                <w:rFonts w:cs="Times New Roman"/>
              </w:rPr>
              <w:t>M6</w:t>
            </w:r>
          </w:p>
        </w:tc>
      </w:tr>
      <w:tr w:rsidR="00894D55" w14:paraId="536757CD" w14:textId="77777777">
        <w:trPr>
          <w:jc w:val="center"/>
        </w:trPr>
        <w:tc>
          <w:tcPr>
            <w:tcW w:w="648" w:type="dxa"/>
            <w:tcMar>
              <w:top w:w="45" w:type="dxa"/>
              <w:left w:w="55" w:type="dxa"/>
              <w:bottom w:w="45" w:type="dxa"/>
              <w:right w:w="55" w:type="dxa"/>
            </w:tcMar>
          </w:tcPr>
          <w:p w14:paraId="1EE44F14" w14:textId="77777777" w:rsidR="00894D55" w:rsidRDefault="00B20FC1">
            <w:pPr>
              <w:spacing w:after="0"/>
            </w:pPr>
            <w:r>
              <w:rPr>
                <w:rFonts w:cs="Times New Roman"/>
              </w:rPr>
              <w:lastRenderedPageBreak/>
              <w:t>D4.1</w:t>
            </w:r>
          </w:p>
        </w:tc>
        <w:tc>
          <w:tcPr>
            <w:tcW w:w="4968" w:type="dxa"/>
            <w:tcMar>
              <w:top w:w="45" w:type="dxa"/>
              <w:left w:w="55" w:type="dxa"/>
              <w:bottom w:w="45" w:type="dxa"/>
              <w:right w:w="55" w:type="dxa"/>
            </w:tcMar>
          </w:tcPr>
          <w:p w14:paraId="37BA65BE" w14:textId="77777777" w:rsidR="00894D55" w:rsidRDefault="00B20FC1">
            <w:pPr>
              <w:spacing w:after="0"/>
            </w:pPr>
            <w:r>
              <w:rPr>
                <w:rFonts w:cs="Times New Roman"/>
              </w:rPr>
              <w:t>Data Management Plan</w:t>
            </w:r>
          </w:p>
        </w:tc>
        <w:tc>
          <w:tcPr>
            <w:tcW w:w="576" w:type="dxa"/>
            <w:tcMar>
              <w:top w:w="45" w:type="dxa"/>
              <w:left w:w="55" w:type="dxa"/>
              <w:bottom w:w="45" w:type="dxa"/>
              <w:right w:w="55" w:type="dxa"/>
            </w:tcMar>
          </w:tcPr>
          <w:p w14:paraId="04DDFBB3" w14:textId="77777777" w:rsidR="00894D55" w:rsidRDefault="00B20FC1">
            <w:pPr>
              <w:spacing w:after="0"/>
            </w:pPr>
            <w:r>
              <w:rPr>
                <w:rFonts w:cs="Times New Roman"/>
              </w:rPr>
              <w:t>WP4</w:t>
            </w:r>
          </w:p>
        </w:tc>
        <w:tc>
          <w:tcPr>
            <w:tcW w:w="576" w:type="dxa"/>
            <w:tcMar>
              <w:top w:w="45" w:type="dxa"/>
              <w:left w:w="55" w:type="dxa"/>
              <w:bottom w:w="45" w:type="dxa"/>
              <w:right w:w="55" w:type="dxa"/>
            </w:tcMar>
          </w:tcPr>
          <w:p w14:paraId="530DB50D" w14:textId="77777777" w:rsidR="00894D55" w:rsidRDefault="00B20FC1">
            <w:pPr>
              <w:spacing w:after="0"/>
            </w:pPr>
            <w:r>
              <w:rPr>
                <w:rFonts w:cs="Times New Roman"/>
              </w:rPr>
              <w:t>P1</w:t>
            </w:r>
          </w:p>
        </w:tc>
        <w:tc>
          <w:tcPr>
            <w:tcW w:w="792" w:type="dxa"/>
            <w:tcMar>
              <w:top w:w="45" w:type="dxa"/>
              <w:left w:w="55" w:type="dxa"/>
              <w:bottom w:w="45" w:type="dxa"/>
              <w:right w:w="55" w:type="dxa"/>
            </w:tcMar>
          </w:tcPr>
          <w:p w14:paraId="4FE7A84F" w14:textId="77777777" w:rsidR="00894D55" w:rsidRDefault="00B20FC1">
            <w:pPr>
              <w:spacing w:after="0"/>
            </w:pPr>
            <w:r>
              <w:rPr>
                <w:rFonts w:cs="Times New Roman"/>
              </w:rPr>
              <w:t>DMP</w:t>
            </w:r>
          </w:p>
        </w:tc>
        <w:tc>
          <w:tcPr>
            <w:tcW w:w="720" w:type="dxa"/>
            <w:tcMar>
              <w:top w:w="45" w:type="dxa"/>
              <w:left w:w="55" w:type="dxa"/>
              <w:bottom w:w="45" w:type="dxa"/>
              <w:right w:w="55" w:type="dxa"/>
            </w:tcMar>
          </w:tcPr>
          <w:p w14:paraId="0530D0D2" w14:textId="77777777" w:rsidR="00894D55" w:rsidRDefault="00B20FC1">
            <w:pPr>
              <w:spacing w:after="0"/>
            </w:pPr>
            <w:r>
              <w:rPr>
                <w:rFonts w:cs="Times New Roman"/>
              </w:rPr>
              <w:t>PU</w:t>
            </w:r>
          </w:p>
        </w:tc>
        <w:tc>
          <w:tcPr>
            <w:tcW w:w="648" w:type="dxa"/>
            <w:tcMar>
              <w:top w:w="45" w:type="dxa"/>
              <w:left w:w="55" w:type="dxa"/>
              <w:bottom w:w="45" w:type="dxa"/>
              <w:right w:w="55" w:type="dxa"/>
            </w:tcMar>
          </w:tcPr>
          <w:p w14:paraId="3CC7ADE7" w14:textId="77777777" w:rsidR="00894D55" w:rsidRDefault="00B20FC1">
            <w:pPr>
              <w:spacing w:after="0"/>
            </w:pPr>
            <w:r>
              <w:rPr>
                <w:rFonts w:cs="Times New Roman"/>
              </w:rPr>
              <w:t>M6</w:t>
            </w:r>
          </w:p>
        </w:tc>
      </w:tr>
      <w:tr w:rsidR="00894D55" w14:paraId="11B69F6F" w14:textId="77777777">
        <w:trPr>
          <w:jc w:val="center"/>
        </w:trPr>
        <w:tc>
          <w:tcPr>
            <w:tcW w:w="648" w:type="dxa"/>
            <w:tcMar>
              <w:top w:w="45" w:type="dxa"/>
              <w:left w:w="55" w:type="dxa"/>
              <w:bottom w:w="45" w:type="dxa"/>
              <w:right w:w="55" w:type="dxa"/>
            </w:tcMar>
          </w:tcPr>
          <w:p w14:paraId="3EA027FE" w14:textId="77777777" w:rsidR="00894D55" w:rsidRDefault="00B20FC1">
            <w:pPr>
              <w:spacing w:after="0"/>
            </w:pPr>
            <w:r>
              <w:rPr>
                <w:rFonts w:cs="Times New Roman"/>
              </w:rPr>
              <w:t>D4.2</w:t>
            </w:r>
          </w:p>
        </w:tc>
        <w:tc>
          <w:tcPr>
            <w:tcW w:w="4968" w:type="dxa"/>
            <w:tcMar>
              <w:top w:w="45" w:type="dxa"/>
              <w:left w:w="55" w:type="dxa"/>
              <w:bottom w:w="45" w:type="dxa"/>
              <w:right w:w="55" w:type="dxa"/>
            </w:tcMar>
          </w:tcPr>
          <w:p w14:paraId="212B10EB" w14:textId="77777777" w:rsidR="00894D55" w:rsidRDefault="00B20FC1">
            <w:pPr>
              <w:spacing w:after="0"/>
            </w:pPr>
            <w:r>
              <w:rPr>
                <w:rFonts w:cs="Times New Roman"/>
              </w:rPr>
              <w:t>Plan for Dissemination and Exploitation incl. Communication</w:t>
            </w:r>
          </w:p>
        </w:tc>
        <w:tc>
          <w:tcPr>
            <w:tcW w:w="576" w:type="dxa"/>
            <w:tcMar>
              <w:top w:w="45" w:type="dxa"/>
              <w:left w:w="55" w:type="dxa"/>
              <w:bottom w:w="45" w:type="dxa"/>
              <w:right w:w="55" w:type="dxa"/>
            </w:tcMar>
          </w:tcPr>
          <w:p w14:paraId="0C34D274" w14:textId="77777777" w:rsidR="00894D55" w:rsidRDefault="00B20FC1">
            <w:pPr>
              <w:spacing w:after="0"/>
            </w:pPr>
            <w:r>
              <w:rPr>
                <w:rFonts w:cs="Times New Roman"/>
              </w:rPr>
              <w:t>WP4</w:t>
            </w:r>
          </w:p>
        </w:tc>
        <w:tc>
          <w:tcPr>
            <w:tcW w:w="576" w:type="dxa"/>
            <w:tcMar>
              <w:top w:w="45" w:type="dxa"/>
              <w:left w:w="55" w:type="dxa"/>
              <w:bottom w:w="45" w:type="dxa"/>
              <w:right w:w="55" w:type="dxa"/>
            </w:tcMar>
          </w:tcPr>
          <w:p w14:paraId="617A5FC4" w14:textId="77777777" w:rsidR="00894D55" w:rsidRDefault="00B20FC1">
            <w:pPr>
              <w:spacing w:after="0"/>
            </w:pPr>
            <w:r>
              <w:rPr>
                <w:rFonts w:cs="Times New Roman"/>
              </w:rPr>
              <w:t>P1</w:t>
            </w:r>
          </w:p>
        </w:tc>
        <w:tc>
          <w:tcPr>
            <w:tcW w:w="792" w:type="dxa"/>
            <w:tcMar>
              <w:top w:w="45" w:type="dxa"/>
              <w:left w:w="55" w:type="dxa"/>
              <w:bottom w:w="45" w:type="dxa"/>
              <w:right w:w="55" w:type="dxa"/>
            </w:tcMar>
          </w:tcPr>
          <w:p w14:paraId="2EB8C1D0" w14:textId="77777777" w:rsidR="00894D55" w:rsidRDefault="00B20FC1">
            <w:pPr>
              <w:spacing w:after="0"/>
            </w:pPr>
            <w:r>
              <w:rPr>
                <w:rFonts w:cs="Times New Roman"/>
              </w:rPr>
              <w:t>R</w:t>
            </w:r>
          </w:p>
        </w:tc>
        <w:tc>
          <w:tcPr>
            <w:tcW w:w="720" w:type="dxa"/>
            <w:tcMar>
              <w:top w:w="45" w:type="dxa"/>
              <w:left w:w="55" w:type="dxa"/>
              <w:bottom w:w="45" w:type="dxa"/>
              <w:right w:w="55" w:type="dxa"/>
            </w:tcMar>
          </w:tcPr>
          <w:p w14:paraId="00F019B7" w14:textId="77777777" w:rsidR="00894D55" w:rsidRDefault="00B20FC1">
            <w:pPr>
              <w:spacing w:after="0"/>
            </w:pPr>
            <w:r>
              <w:rPr>
                <w:rFonts w:cs="Times New Roman"/>
              </w:rPr>
              <w:t>PU</w:t>
            </w:r>
          </w:p>
        </w:tc>
        <w:tc>
          <w:tcPr>
            <w:tcW w:w="648" w:type="dxa"/>
            <w:tcMar>
              <w:top w:w="45" w:type="dxa"/>
              <w:left w:w="55" w:type="dxa"/>
              <w:bottom w:w="45" w:type="dxa"/>
              <w:right w:w="55" w:type="dxa"/>
            </w:tcMar>
          </w:tcPr>
          <w:p w14:paraId="16172A18" w14:textId="77777777" w:rsidR="00894D55" w:rsidRDefault="00B20FC1">
            <w:pPr>
              <w:spacing w:after="0"/>
            </w:pPr>
            <w:r>
              <w:rPr>
                <w:rFonts w:cs="Times New Roman"/>
              </w:rPr>
              <w:t>M6</w:t>
            </w:r>
          </w:p>
        </w:tc>
      </w:tr>
      <w:tr w:rsidR="00894D55" w14:paraId="01857F73" w14:textId="77777777">
        <w:trPr>
          <w:jc w:val="center"/>
        </w:trPr>
        <w:tc>
          <w:tcPr>
            <w:tcW w:w="648" w:type="dxa"/>
            <w:tcMar>
              <w:top w:w="45" w:type="dxa"/>
              <w:left w:w="55" w:type="dxa"/>
              <w:bottom w:w="45" w:type="dxa"/>
              <w:right w:w="55" w:type="dxa"/>
            </w:tcMar>
          </w:tcPr>
          <w:p w14:paraId="260F1398" w14:textId="77777777" w:rsidR="00894D55" w:rsidRDefault="00B20FC1">
            <w:pPr>
              <w:spacing w:after="0"/>
            </w:pPr>
            <w:r>
              <w:rPr>
                <w:rFonts w:cs="Times New Roman"/>
              </w:rPr>
              <w:t>D2.2</w:t>
            </w:r>
          </w:p>
        </w:tc>
        <w:tc>
          <w:tcPr>
            <w:tcW w:w="4968" w:type="dxa"/>
            <w:tcMar>
              <w:top w:w="45" w:type="dxa"/>
              <w:left w:w="55" w:type="dxa"/>
              <w:bottom w:w="45" w:type="dxa"/>
              <w:right w:w="55" w:type="dxa"/>
            </w:tcMar>
          </w:tcPr>
          <w:p w14:paraId="2B6F7B22" w14:textId="77777777" w:rsidR="00894D55" w:rsidRDefault="00B20FC1">
            <w:pPr>
              <w:spacing w:after="0"/>
            </w:pPr>
            <w:r>
              <w:rPr>
                <w:rFonts w:cs="Times New Roman"/>
              </w:rPr>
              <w:t>Frozen confirmatory protocol and preregistered endpoints</w:t>
            </w:r>
          </w:p>
        </w:tc>
        <w:tc>
          <w:tcPr>
            <w:tcW w:w="576" w:type="dxa"/>
            <w:tcMar>
              <w:top w:w="45" w:type="dxa"/>
              <w:left w:w="55" w:type="dxa"/>
              <w:bottom w:w="45" w:type="dxa"/>
              <w:right w:w="55" w:type="dxa"/>
            </w:tcMar>
          </w:tcPr>
          <w:p w14:paraId="6ED39F6D" w14:textId="77777777" w:rsidR="00894D55" w:rsidRDefault="00B20FC1">
            <w:pPr>
              <w:spacing w:after="0"/>
            </w:pPr>
            <w:r>
              <w:rPr>
                <w:rFonts w:cs="Times New Roman"/>
              </w:rPr>
              <w:t>WP2</w:t>
            </w:r>
          </w:p>
        </w:tc>
        <w:tc>
          <w:tcPr>
            <w:tcW w:w="576" w:type="dxa"/>
            <w:tcMar>
              <w:top w:w="45" w:type="dxa"/>
              <w:left w:w="55" w:type="dxa"/>
              <w:bottom w:w="45" w:type="dxa"/>
              <w:right w:w="55" w:type="dxa"/>
            </w:tcMar>
          </w:tcPr>
          <w:p w14:paraId="47981983" w14:textId="77777777" w:rsidR="00894D55" w:rsidRDefault="00B20FC1">
            <w:pPr>
              <w:spacing w:after="0"/>
            </w:pPr>
            <w:r>
              <w:rPr>
                <w:rFonts w:cs="Times New Roman"/>
              </w:rPr>
              <w:t>P1</w:t>
            </w:r>
          </w:p>
        </w:tc>
        <w:tc>
          <w:tcPr>
            <w:tcW w:w="792" w:type="dxa"/>
            <w:tcMar>
              <w:top w:w="45" w:type="dxa"/>
              <w:left w:w="55" w:type="dxa"/>
              <w:bottom w:w="45" w:type="dxa"/>
              <w:right w:w="55" w:type="dxa"/>
            </w:tcMar>
          </w:tcPr>
          <w:p w14:paraId="31179108" w14:textId="77777777" w:rsidR="00894D55" w:rsidRDefault="00B20FC1">
            <w:pPr>
              <w:spacing w:after="0"/>
            </w:pPr>
            <w:r>
              <w:rPr>
                <w:rFonts w:cs="Times New Roman"/>
              </w:rPr>
              <w:t>R</w:t>
            </w:r>
          </w:p>
        </w:tc>
        <w:tc>
          <w:tcPr>
            <w:tcW w:w="720" w:type="dxa"/>
            <w:tcMar>
              <w:top w:w="45" w:type="dxa"/>
              <w:left w:w="55" w:type="dxa"/>
              <w:bottom w:w="45" w:type="dxa"/>
              <w:right w:w="55" w:type="dxa"/>
            </w:tcMar>
          </w:tcPr>
          <w:p w14:paraId="70239C98" w14:textId="77777777" w:rsidR="00894D55" w:rsidRDefault="00B20FC1">
            <w:pPr>
              <w:spacing w:after="0"/>
            </w:pPr>
            <w:r>
              <w:rPr>
                <w:rFonts w:cs="Times New Roman"/>
              </w:rPr>
              <w:t>PU</w:t>
            </w:r>
          </w:p>
        </w:tc>
        <w:tc>
          <w:tcPr>
            <w:tcW w:w="648" w:type="dxa"/>
            <w:tcMar>
              <w:top w:w="45" w:type="dxa"/>
              <w:left w:w="55" w:type="dxa"/>
              <w:bottom w:w="45" w:type="dxa"/>
              <w:right w:w="55" w:type="dxa"/>
            </w:tcMar>
          </w:tcPr>
          <w:p w14:paraId="213B785E" w14:textId="77777777" w:rsidR="00894D55" w:rsidRDefault="00B20FC1">
            <w:pPr>
              <w:spacing w:after="0"/>
            </w:pPr>
            <w:r>
              <w:rPr>
                <w:rFonts w:cs="Times New Roman"/>
              </w:rPr>
              <w:t>M12</w:t>
            </w:r>
          </w:p>
        </w:tc>
      </w:tr>
      <w:tr w:rsidR="00894D55" w14:paraId="7443F015" w14:textId="77777777">
        <w:trPr>
          <w:jc w:val="center"/>
        </w:trPr>
        <w:tc>
          <w:tcPr>
            <w:tcW w:w="648" w:type="dxa"/>
            <w:tcMar>
              <w:top w:w="45" w:type="dxa"/>
              <w:left w:w="55" w:type="dxa"/>
              <w:bottom w:w="45" w:type="dxa"/>
              <w:right w:w="55" w:type="dxa"/>
            </w:tcMar>
          </w:tcPr>
          <w:p w14:paraId="79771552" w14:textId="77777777" w:rsidR="00894D55" w:rsidRDefault="00B20FC1">
            <w:pPr>
              <w:spacing w:after="0"/>
            </w:pPr>
            <w:r>
              <w:rPr>
                <w:rFonts w:cs="Times New Roman"/>
              </w:rPr>
              <w:t>D3.1</w:t>
            </w:r>
          </w:p>
        </w:tc>
        <w:tc>
          <w:tcPr>
            <w:tcW w:w="4968" w:type="dxa"/>
            <w:tcMar>
              <w:top w:w="45" w:type="dxa"/>
              <w:left w:w="55" w:type="dxa"/>
              <w:bottom w:w="45" w:type="dxa"/>
              <w:right w:w="55" w:type="dxa"/>
            </w:tcMar>
          </w:tcPr>
          <w:p w14:paraId="6879F3FB" w14:textId="77777777" w:rsidR="00894D55" w:rsidRDefault="00B20FC1">
            <w:pPr>
              <w:spacing w:after="0"/>
            </w:pPr>
            <w:r>
              <w:rPr>
                <w:rFonts w:cs="Times New Roman"/>
              </w:rPr>
              <w:t>M12 Symbolic Structural Domain frozen evidence release</w:t>
            </w:r>
          </w:p>
        </w:tc>
        <w:tc>
          <w:tcPr>
            <w:tcW w:w="576" w:type="dxa"/>
            <w:tcMar>
              <w:top w:w="45" w:type="dxa"/>
              <w:left w:w="55" w:type="dxa"/>
              <w:bottom w:w="45" w:type="dxa"/>
              <w:right w:w="55" w:type="dxa"/>
            </w:tcMar>
          </w:tcPr>
          <w:p w14:paraId="2991E00B" w14:textId="77777777" w:rsidR="00894D55" w:rsidRDefault="00B20FC1">
            <w:pPr>
              <w:spacing w:after="0"/>
            </w:pPr>
            <w:r>
              <w:rPr>
                <w:rFonts w:cs="Times New Roman"/>
              </w:rPr>
              <w:t>WP3</w:t>
            </w:r>
          </w:p>
        </w:tc>
        <w:tc>
          <w:tcPr>
            <w:tcW w:w="576" w:type="dxa"/>
            <w:tcMar>
              <w:top w:w="45" w:type="dxa"/>
              <w:left w:w="55" w:type="dxa"/>
              <w:bottom w:w="45" w:type="dxa"/>
              <w:right w:w="55" w:type="dxa"/>
            </w:tcMar>
          </w:tcPr>
          <w:p w14:paraId="5C4CC323" w14:textId="77777777" w:rsidR="00894D55" w:rsidRDefault="00B20FC1">
            <w:pPr>
              <w:spacing w:after="0"/>
            </w:pPr>
            <w:r>
              <w:rPr>
                <w:rFonts w:cs="Times New Roman"/>
              </w:rPr>
              <w:t>P1</w:t>
            </w:r>
          </w:p>
        </w:tc>
        <w:tc>
          <w:tcPr>
            <w:tcW w:w="792" w:type="dxa"/>
            <w:tcMar>
              <w:top w:w="45" w:type="dxa"/>
              <w:left w:w="55" w:type="dxa"/>
              <w:bottom w:w="45" w:type="dxa"/>
              <w:right w:w="55" w:type="dxa"/>
            </w:tcMar>
          </w:tcPr>
          <w:p w14:paraId="07E6F7F3" w14:textId="77777777" w:rsidR="00894D55" w:rsidRDefault="00B20FC1">
            <w:pPr>
              <w:spacing w:after="0"/>
            </w:pPr>
            <w:r>
              <w:rPr>
                <w:rFonts w:cs="Times New Roman"/>
              </w:rPr>
              <w:t>DATA</w:t>
            </w:r>
          </w:p>
        </w:tc>
        <w:tc>
          <w:tcPr>
            <w:tcW w:w="720" w:type="dxa"/>
            <w:tcMar>
              <w:top w:w="45" w:type="dxa"/>
              <w:left w:w="55" w:type="dxa"/>
              <w:bottom w:w="45" w:type="dxa"/>
              <w:right w:w="55" w:type="dxa"/>
            </w:tcMar>
          </w:tcPr>
          <w:p w14:paraId="42C2DDC6" w14:textId="77777777" w:rsidR="00894D55" w:rsidRDefault="00B20FC1">
            <w:pPr>
              <w:spacing w:after="0"/>
            </w:pPr>
            <w:r>
              <w:rPr>
                <w:rFonts w:cs="Times New Roman"/>
              </w:rPr>
              <w:t>PU</w:t>
            </w:r>
          </w:p>
        </w:tc>
        <w:tc>
          <w:tcPr>
            <w:tcW w:w="648" w:type="dxa"/>
            <w:tcMar>
              <w:top w:w="45" w:type="dxa"/>
              <w:left w:w="55" w:type="dxa"/>
              <w:bottom w:w="45" w:type="dxa"/>
              <w:right w:w="55" w:type="dxa"/>
            </w:tcMar>
          </w:tcPr>
          <w:p w14:paraId="48C2CD1F" w14:textId="77777777" w:rsidR="00894D55" w:rsidRDefault="00B20FC1">
            <w:pPr>
              <w:spacing w:after="0"/>
            </w:pPr>
            <w:r>
              <w:rPr>
                <w:rFonts w:cs="Times New Roman"/>
              </w:rPr>
              <w:t>M12</w:t>
            </w:r>
          </w:p>
        </w:tc>
      </w:tr>
      <w:tr w:rsidR="00894D55" w14:paraId="61D0B38B" w14:textId="77777777">
        <w:trPr>
          <w:jc w:val="center"/>
        </w:trPr>
        <w:tc>
          <w:tcPr>
            <w:tcW w:w="648" w:type="dxa"/>
            <w:tcMar>
              <w:top w:w="45" w:type="dxa"/>
              <w:left w:w="55" w:type="dxa"/>
              <w:bottom w:w="45" w:type="dxa"/>
              <w:right w:w="55" w:type="dxa"/>
            </w:tcMar>
          </w:tcPr>
          <w:p w14:paraId="6D5E3CF4" w14:textId="77777777" w:rsidR="00894D55" w:rsidRDefault="00B20FC1">
            <w:pPr>
              <w:spacing w:after="0"/>
            </w:pPr>
            <w:r>
              <w:rPr>
                <w:rFonts w:cs="Times New Roman"/>
              </w:rPr>
              <w:t>D4.3</w:t>
            </w:r>
          </w:p>
        </w:tc>
        <w:tc>
          <w:tcPr>
            <w:tcW w:w="4968" w:type="dxa"/>
            <w:tcMar>
              <w:top w:w="45" w:type="dxa"/>
              <w:left w:w="55" w:type="dxa"/>
              <w:bottom w:w="45" w:type="dxa"/>
              <w:right w:w="55" w:type="dxa"/>
            </w:tcMar>
          </w:tcPr>
          <w:p w14:paraId="53554910" w14:textId="77777777" w:rsidR="00894D55" w:rsidRDefault="00B20FC1">
            <w:pPr>
              <w:spacing w:after="0"/>
            </w:pPr>
            <w:r>
              <w:rPr>
                <w:rFonts w:cs="Times New Roman"/>
              </w:rPr>
              <w:t>RP1 Background/Foreground, FTO and access-rights update</w:t>
            </w:r>
          </w:p>
        </w:tc>
        <w:tc>
          <w:tcPr>
            <w:tcW w:w="576" w:type="dxa"/>
            <w:tcMar>
              <w:top w:w="45" w:type="dxa"/>
              <w:left w:w="55" w:type="dxa"/>
              <w:bottom w:w="45" w:type="dxa"/>
              <w:right w:w="55" w:type="dxa"/>
            </w:tcMar>
          </w:tcPr>
          <w:p w14:paraId="09E0BE5C" w14:textId="77777777" w:rsidR="00894D55" w:rsidRDefault="00B20FC1">
            <w:pPr>
              <w:spacing w:after="0"/>
            </w:pPr>
            <w:r>
              <w:rPr>
                <w:rFonts w:cs="Times New Roman"/>
              </w:rPr>
              <w:t>WP4</w:t>
            </w:r>
          </w:p>
        </w:tc>
        <w:tc>
          <w:tcPr>
            <w:tcW w:w="576" w:type="dxa"/>
            <w:tcMar>
              <w:top w:w="45" w:type="dxa"/>
              <w:left w:w="55" w:type="dxa"/>
              <w:bottom w:w="45" w:type="dxa"/>
              <w:right w:w="55" w:type="dxa"/>
            </w:tcMar>
          </w:tcPr>
          <w:p w14:paraId="0DF39735" w14:textId="77777777" w:rsidR="00894D55" w:rsidRDefault="00B20FC1">
            <w:pPr>
              <w:spacing w:after="0"/>
            </w:pPr>
            <w:r>
              <w:rPr>
                <w:rFonts w:cs="Times New Roman"/>
              </w:rPr>
              <w:t>P1</w:t>
            </w:r>
          </w:p>
        </w:tc>
        <w:tc>
          <w:tcPr>
            <w:tcW w:w="792" w:type="dxa"/>
            <w:tcMar>
              <w:top w:w="45" w:type="dxa"/>
              <w:left w:w="55" w:type="dxa"/>
              <w:bottom w:w="45" w:type="dxa"/>
              <w:right w:w="55" w:type="dxa"/>
            </w:tcMar>
          </w:tcPr>
          <w:p w14:paraId="54FC802E" w14:textId="77777777" w:rsidR="00894D55" w:rsidRDefault="00B20FC1">
            <w:pPr>
              <w:spacing w:after="0"/>
            </w:pPr>
            <w:r>
              <w:rPr>
                <w:rFonts w:cs="Times New Roman"/>
              </w:rPr>
              <w:t>R</w:t>
            </w:r>
          </w:p>
        </w:tc>
        <w:tc>
          <w:tcPr>
            <w:tcW w:w="720" w:type="dxa"/>
            <w:tcMar>
              <w:top w:w="45" w:type="dxa"/>
              <w:left w:w="55" w:type="dxa"/>
              <w:bottom w:w="45" w:type="dxa"/>
              <w:right w:w="55" w:type="dxa"/>
            </w:tcMar>
          </w:tcPr>
          <w:p w14:paraId="75CE39D4" w14:textId="77777777" w:rsidR="00894D55" w:rsidRDefault="00B20FC1">
            <w:pPr>
              <w:spacing w:after="0"/>
            </w:pPr>
            <w:r>
              <w:rPr>
                <w:rFonts w:cs="Times New Roman"/>
              </w:rPr>
              <w:t>SEN</w:t>
            </w:r>
          </w:p>
        </w:tc>
        <w:tc>
          <w:tcPr>
            <w:tcW w:w="648" w:type="dxa"/>
            <w:tcMar>
              <w:top w:w="45" w:type="dxa"/>
              <w:left w:w="55" w:type="dxa"/>
              <w:bottom w:w="45" w:type="dxa"/>
              <w:right w:w="55" w:type="dxa"/>
            </w:tcMar>
          </w:tcPr>
          <w:p w14:paraId="038D610C" w14:textId="77777777" w:rsidR="00894D55" w:rsidRDefault="00B20FC1">
            <w:pPr>
              <w:spacing w:after="0"/>
            </w:pPr>
            <w:r>
              <w:rPr>
                <w:rFonts w:cs="Times New Roman"/>
              </w:rPr>
              <w:t>M12</w:t>
            </w:r>
          </w:p>
        </w:tc>
      </w:tr>
      <w:tr w:rsidR="00894D55" w14:paraId="550CC814" w14:textId="77777777">
        <w:trPr>
          <w:jc w:val="center"/>
        </w:trPr>
        <w:tc>
          <w:tcPr>
            <w:tcW w:w="648" w:type="dxa"/>
            <w:tcMar>
              <w:top w:w="45" w:type="dxa"/>
              <w:left w:w="55" w:type="dxa"/>
              <w:bottom w:w="45" w:type="dxa"/>
              <w:right w:w="55" w:type="dxa"/>
            </w:tcMar>
          </w:tcPr>
          <w:p w14:paraId="1E84BF74" w14:textId="77777777" w:rsidR="00894D55" w:rsidRDefault="00B20FC1">
            <w:pPr>
              <w:spacing w:after="0"/>
            </w:pPr>
            <w:r>
              <w:rPr>
                <w:rFonts w:cs="Times New Roman"/>
              </w:rPr>
              <w:t>D6.1</w:t>
            </w:r>
          </w:p>
        </w:tc>
        <w:tc>
          <w:tcPr>
            <w:tcW w:w="4968" w:type="dxa"/>
            <w:tcMar>
              <w:top w:w="45" w:type="dxa"/>
              <w:left w:w="55" w:type="dxa"/>
              <w:bottom w:w="45" w:type="dxa"/>
              <w:right w:w="55" w:type="dxa"/>
            </w:tcMar>
          </w:tcPr>
          <w:p w14:paraId="65B18474" w14:textId="77777777" w:rsidR="00894D55" w:rsidRDefault="00B20FC1">
            <w:pPr>
              <w:spacing w:after="0"/>
            </w:pPr>
            <w:r>
              <w:rPr>
                <w:rFonts w:cs="Times New Roman"/>
              </w:rPr>
              <w:t>Cross-system integration protocol and adapter-burden specification</w:t>
            </w:r>
          </w:p>
        </w:tc>
        <w:tc>
          <w:tcPr>
            <w:tcW w:w="576" w:type="dxa"/>
            <w:tcMar>
              <w:top w:w="45" w:type="dxa"/>
              <w:left w:w="55" w:type="dxa"/>
              <w:bottom w:w="45" w:type="dxa"/>
              <w:right w:w="55" w:type="dxa"/>
            </w:tcMar>
          </w:tcPr>
          <w:p w14:paraId="663342A3" w14:textId="77777777" w:rsidR="00894D55" w:rsidRDefault="00B20FC1">
            <w:pPr>
              <w:spacing w:after="0"/>
            </w:pPr>
            <w:r>
              <w:rPr>
                <w:rFonts w:cs="Times New Roman"/>
              </w:rPr>
              <w:t>WP6</w:t>
            </w:r>
          </w:p>
        </w:tc>
        <w:tc>
          <w:tcPr>
            <w:tcW w:w="576" w:type="dxa"/>
            <w:tcMar>
              <w:top w:w="45" w:type="dxa"/>
              <w:left w:w="55" w:type="dxa"/>
              <w:bottom w:w="45" w:type="dxa"/>
              <w:right w:w="55" w:type="dxa"/>
            </w:tcMar>
          </w:tcPr>
          <w:p w14:paraId="579041A7" w14:textId="77777777" w:rsidR="00894D55" w:rsidRDefault="00B20FC1">
            <w:pPr>
              <w:spacing w:after="0"/>
            </w:pPr>
            <w:r>
              <w:rPr>
                <w:rFonts w:cs="Times New Roman"/>
              </w:rPr>
              <w:t>P1</w:t>
            </w:r>
          </w:p>
        </w:tc>
        <w:tc>
          <w:tcPr>
            <w:tcW w:w="792" w:type="dxa"/>
            <w:tcMar>
              <w:top w:w="45" w:type="dxa"/>
              <w:left w:w="55" w:type="dxa"/>
              <w:bottom w:w="45" w:type="dxa"/>
              <w:right w:w="55" w:type="dxa"/>
            </w:tcMar>
          </w:tcPr>
          <w:p w14:paraId="543386B9" w14:textId="77777777" w:rsidR="00894D55" w:rsidRDefault="00B20FC1">
            <w:pPr>
              <w:spacing w:after="0"/>
            </w:pPr>
            <w:r>
              <w:rPr>
                <w:rFonts w:cs="Times New Roman"/>
              </w:rPr>
              <w:t>OTHER</w:t>
            </w:r>
          </w:p>
        </w:tc>
        <w:tc>
          <w:tcPr>
            <w:tcW w:w="720" w:type="dxa"/>
            <w:tcMar>
              <w:top w:w="45" w:type="dxa"/>
              <w:left w:w="55" w:type="dxa"/>
              <w:bottom w:w="45" w:type="dxa"/>
              <w:right w:w="55" w:type="dxa"/>
            </w:tcMar>
          </w:tcPr>
          <w:p w14:paraId="57C445FD" w14:textId="77777777" w:rsidR="00894D55" w:rsidRDefault="00B20FC1">
            <w:pPr>
              <w:spacing w:after="0"/>
            </w:pPr>
            <w:r>
              <w:rPr>
                <w:rFonts w:cs="Times New Roman"/>
              </w:rPr>
              <w:t>PU</w:t>
            </w:r>
          </w:p>
        </w:tc>
        <w:tc>
          <w:tcPr>
            <w:tcW w:w="648" w:type="dxa"/>
            <w:tcMar>
              <w:top w:w="45" w:type="dxa"/>
              <w:left w:w="55" w:type="dxa"/>
              <w:bottom w:w="45" w:type="dxa"/>
              <w:right w:w="55" w:type="dxa"/>
            </w:tcMar>
          </w:tcPr>
          <w:p w14:paraId="1FBDF27F" w14:textId="77777777" w:rsidR="00894D55" w:rsidRDefault="00B20FC1">
            <w:pPr>
              <w:spacing w:after="0"/>
            </w:pPr>
            <w:r>
              <w:rPr>
                <w:rFonts w:cs="Times New Roman"/>
              </w:rPr>
              <w:t>M18</w:t>
            </w:r>
          </w:p>
        </w:tc>
      </w:tr>
      <w:tr w:rsidR="00894D55" w14:paraId="743D4F29" w14:textId="77777777">
        <w:trPr>
          <w:jc w:val="center"/>
        </w:trPr>
        <w:tc>
          <w:tcPr>
            <w:tcW w:w="648" w:type="dxa"/>
            <w:tcMar>
              <w:top w:w="45" w:type="dxa"/>
              <w:left w:w="55" w:type="dxa"/>
              <w:bottom w:w="45" w:type="dxa"/>
              <w:right w:w="55" w:type="dxa"/>
            </w:tcMar>
          </w:tcPr>
          <w:p w14:paraId="66648E37" w14:textId="77777777" w:rsidR="00894D55" w:rsidRDefault="00B20FC1">
            <w:pPr>
              <w:spacing w:after="0"/>
            </w:pPr>
            <w:r>
              <w:rPr>
                <w:rFonts w:cs="Times New Roman"/>
              </w:rPr>
              <w:t>D6.2</w:t>
            </w:r>
          </w:p>
        </w:tc>
        <w:tc>
          <w:tcPr>
            <w:tcW w:w="4968" w:type="dxa"/>
            <w:tcMar>
              <w:top w:w="45" w:type="dxa"/>
              <w:left w:w="55" w:type="dxa"/>
              <w:bottom w:w="45" w:type="dxa"/>
              <w:right w:w="55" w:type="dxa"/>
            </w:tcMar>
          </w:tcPr>
          <w:p w14:paraId="3AB0C3D9" w14:textId="77777777" w:rsidR="00894D55" w:rsidRDefault="00B20FC1">
            <w:pPr>
              <w:spacing w:after="0"/>
            </w:pPr>
            <w:r>
              <w:rPr>
                <w:rFonts w:cs="Times New Roman"/>
              </w:rPr>
              <w:t>M24 Cross-System Independence frozen evidence release</w:t>
            </w:r>
          </w:p>
        </w:tc>
        <w:tc>
          <w:tcPr>
            <w:tcW w:w="576" w:type="dxa"/>
            <w:tcMar>
              <w:top w:w="45" w:type="dxa"/>
              <w:left w:w="55" w:type="dxa"/>
              <w:bottom w:w="45" w:type="dxa"/>
              <w:right w:w="55" w:type="dxa"/>
            </w:tcMar>
          </w:tcPr>
          <w:p w14:paraId="2A563CF1" w14:textId="77777777" w:rsidR="00894D55" w:rsidRDefault="00B20FC1">
            <w:pPr>
              <w:spacing w:after="0"/>
            </w:pPr>
            <w:r>
              <w:rPr>
                <w:rFonts w:cs="Times New Roman"/>
              </w:rPr>
              <w:t>WP6</w:t>
            </w:r>
          </w:p>
        </w:tc>
        <w:tc>
          <w:tcPr>
            <w:tcW w:w="576" w:type="dxa"/>
            <w:tcMar>
              <w:top w:w="45" w:type="dxa"/>
              <w:left w:w="55" w:type="dxa"/>
              <w:bottom w:w="45" w:type="dxa"/>
              <w:right w:w="55" w:type="dxa"/>
            </w:tcMar>
          </w:tcPr>
          <w:p w14:paraId="496CAC9D" w14:textId="77777777" w:rsidR="00894D55" w:rsidRDefault="00B20FC1">
            <w:pPr>
              <w:spacing w:after="0"/>
            </w:pPr>
            <w:r>
              <w:rPr>
                <w:rFonts w:cs="Times New Roman"/>
              </w:rPr>
              <w:t>P1</w:t>
            </w:r>
          </w:p>
        </w:tc>
        <w:tc>
          <w:tcPr>
            <w:tcW w:w="792" w:type="dxa"/>
            <w:tcMar>
              <w:top w:w="45" w:type="dxa"/>
              <w:left w:w="55" w:type="dxa"/>
              <w:bottom w:w="45" w:type="dxa"/>
              <w:right w:w="55" w:type="dxa"/>
            </w:tcMar>
          </w:tcPr>
          <w:p w14:paraId="6926CC50" w14:textId="77777777" w:rsidR="00894D55" w:rsidRDefault="00B20FC1">
            <w:pPr>
              <w:spacing w:after="0"/>
            </w:pPr>
            <w:r>
              <w:rPr>
                <w:rFonts w:cs="Times New Roman"/>
              </w:rPr>
              <w:t>DATA</w:t>
            </w:r>
          </w:p>
        </w:tc>
        <w:tc>
          <w:tcPr>
            <w:tcW w:w="720" w:type="dxa"/>
            <w:tcMar>
              <w:top w:w="45" w:type="dxa"/>
              <w:left w:w="55" w:type="dxa"/>
              <w:bottom w:w="45" w:type="dxa"/>
              <w:right w:w="55" w:type="dxa"/>
            </w:tcMar>
          </w:tcPr>
          <w:p w14:paraId="10790BA2" w14:textId="77777777" w:rsidR="00894D55" w:rsidRDefault="00B20FC1">
            <w:pPr>
              <w:spacing w:after="0"/>
            </w:pPr>
            <w:r>
              <w:rPr>
                <w:rFonts w:cs="Times New Roman"/>
              </w:rPr>
              <w:t>PU</w:t>
            </w:r>
          </w:p>
        </w:tc>
        <w:tc>
          <w:tcPr>
            <w:tcW w:w="648" w:type="dxa"/>
            <w:tcMar>
              <w:top w:w="45" w:type="dxa"/>
              <w:left w:w="55" w:type="dxa"/>
              <w:bottom w:w="45" w:type="dxa"/>
              <w:right w:w="55" w:type="dxa"/>
            </w:tcMar>
          </w:tcPr>
          <w:p w14:paraId="0EBFEEEA" w14:textId="77777777" w:rsidR="00894D55" w:rsidRDefault="00B20FC1">
            <w:pPr>
              <w:spacing w:after="0"/>
            </w:pPr>
            <w:r>
              <w:rPr>
                <w:rFonts w:cs="Times New Roman"/>
              </w:rPr>
              <w:t>M24</w:t>
            </w:r>
          </w:p>
        </w:tc>
      </w:tr>
      <w:tr w:rsidR="00894D55" w14:paraId="0DB8AFD4" w14:textId="77777777">
        <w:trPr>
          <w:jc w:val="center"/>
        </w:trPr>
        <w:tc>
          <w:tcPr>
            <w:tcW w:w="648" w:type="dxa"/>
            <w:tcMar>
              <w:top w:w="45" w:type="dxa"/>
              <w:left w:w="55" w:type="dxa"/>
              <w:bottom w:w="45" w:type="dxa"/>
              <w:right w:w="55" w:type="dxa"/>
            </w:tcMar>
          </w:tcPr>
          <w:p w14:paraId="6F12D506" w14:textId="77777777" w:rsidR="00894D55" w:rsidRDefault="00B20FC1">
            <w:pPr>
              <w:spacing w:after="0"/>
            </w:pPr>
            <w:r>
              <w:rPr>
                <w:rFonts w:cs="Times New Roman"/>
              </w:rPr>
              <w:t>D7.1</w:t>
            </w:r>
          </w:p>
        </w:tc>
        <w:tc>
          <w:tcPr>
            <w:tcW w:w="4968" w:type="dxa"/>
            <w:tcMar>
              <w:top w:w="45" w:type="dxa"/>
              <w:left w:w="55" w:type="dxa"/>
              <w:bottom w:w="45" w:type="dxa"/>
              <w:right w:w="55" w:type="dxa"/>
            </w:tcMar>
          </w:tcPr>
          <w:p w14:paraId="40832E35" w14:textId="77777777" w:rsidR="00894D55" w:rsidRDefault="00B20FC1">
            <w:pPr>
              <w:spacing w:after="0"/>
            </w:pPr>
            <w:r>
              <w:rPr>
                <w:rFonts w:cs="Times New Roman"/>
              </w:rPr>
              <w:t>Embodiment protocol and laboratory validation package</w:t>
            </w:r>
          </w:p>
        </w:tc>
        <w:tc>
          <w:tcPr>
            <w:tcW w:w="576" w:type="dxa"/>
            <w:tcMar>
              <w:top w:w="45" w:type="dxa"/>
              <w:left w:w="55" w:type="dxa"/>
              <w:bottom w:w="45" w:type="dxa"/>
              <w:right w:w="55" w:type="dxa"/>
            </w:tcMar>
          </w:tcPr>
          <w:p w14:paraId="039077CE" w14:textId="77777777" w:rsidR="00894D55" w:rsidRDefault="00B20FC1">
            <w:pPr>
              <w:spacing w:after="0"/>
            </w:pPr>
            <w:r>
              <w:rPr>
                <w:rFonts w:cs="Times New Roman"/>
              </w:rPr>
              <w:t>WP7</w:t>
            </w:r>
          </w:p>
        </w:tc>
        <w:tc>
          <w:tcPr>
            <w:tcW w:w="576" w:type="dxa"/>
            <w:tcMar>
              <w:top w:w="45" w:type="dxa"/>
              <w:left w:w="55" w:type="dxa"/>
              <w:bottom w:w="45" w:type="dxa"/>
              <w:right w:w="55" w:type="dxa"/>
            </w:tcMar>
          </w:tcPr>
          <w:p w14:paraId="5850D76D" w14:textId="77777777" w:rsidR="00894D55" w:rsidRDefault="00B20FC1">
            <w:pPr>
              <w:spacing w:after="0"/>
            </w:pPr>
            <w:r>
              <w:rPr>
                <w:rFonts w:cs="Times New Roman"/>
              </w:rPr>
              <w:t>P1</w:t>
            </w:r>
          </w:p>
        </w:tc>
        <w:tc>
          <w:tcPr>
            <w:tcW w:w="792" w:type="dxa"/>
            <w:tcMar>
              <w:top w:w="45" w:type="dxa"/>
              <w:left w:w="55" w:type="dxa"/>
              <w:bottom w:w="45" w:type="dxa"/>
              <w:right w:w="55" w:type="dxa"/>
            </w:tcMar>
          </w:tcPr>
          <w:p w14:paraId="30655647" w14:textId="77777777" w:rsidR="00894D55" w:rsidRDefault="00B20FC1">
            <w:pPr>
              <w:spacing w:after="0"/>
            </w:pPr>
            <w:r>
              <w:rPr>
                <w:rFonts w:cs="Times New Roman"/>
              </w:rPr>
              <w:t>R</w:t>
            </w:r>
          </w:p>
        </w:tc>
        <w:tc>
          <w:tcPr>
            <w:tcW w:w="720" w:type="dxa"/>
            <w:tcMar>
              <w:top w:w="45" w:type="dxa"/>
              <w:left w:w="55" w:type="dxa"/>
              <w:bottom w:w="45" w:type="dxa"/>
              <w:right w:w="55" w:type="dxa"/>
            </w:tcMar>
          </w:tcPr>
          <w:p w14:paraId="3AABA7ED" w14:textId="77777777" w:rsidR="00894D55" w:rsidRDefault="00B20FC1">
            <w:pPr>
              <w:spacing w:after="0"/>
            </w:pPr>
            <w:r>
              <w:rPr>
                <w:rFonts w:cs="Times New Roman"/>
              </w:rPr>
              <w:t>SEN</w:t>
            </w:r>
          </w:p>
        </w:tc>
        <w:tc>
          <w:tcPr>
            <w:tcW w:w="648" w:type="dxa"/>
            <w:tcMar>
              <w:top w:w="45" w:type="dxa"/>
              <w:left w:w="55" w:type="dxa"/>
              <w:bottom w:w="45" w:type="dxa"/>
              <w:right w:w="55" w:type="dxa"/>
            </w:tcMar>
          </w:tcPr>
          <w:p w14:paraId="66560989" w14:textId="77777777" w:rsidR="00894D55" w:rsidRDefault="00B20FC1">
            <w:pPr>
              <w:spacing w:after="0"/>
            </w:pPr>
            <w:r>
              <w:rPr>
                <w:rFonts w:cs="Times New Roman"/>
              </w:rPr>
              <w:t>M24</w:t>
            </w:r>
          </w:p>
        </w:tc>
      </w:tr>
      <w:tr w:rsidR="00894D55" w14:paraId="56BE4D1F" w14:textId="77777777">
        <w:trPr>
          <w:jc w:val="center"/>
        </w:trPr>
        <w:tc>
          <w:tcPr>
            <w:tcW w:w="648" w:type="dxa"/>
            <w:tcMar>
              <w:top w:w="45" w:type="dxa"/>
              <w:left w:w="55" w:type="dxa"/>
              <w:bottom w:w="45" w:type="dxa"/>
              <w:right w:w="55" w:type="dxa"/>
            </w:tcMar>
          </w:tcPr>
          <w:p w14:paraId="013E1071" w14:textId="77777777" w:rsidR="00894D55" w:rsidRDefault="00B20FC1">
            <w:pPr>
              <w:spacing w:after="0"/>
            </w:pPr>
            <w:r>
              <w:rPr>
                <w:rFonts w:cs="Times New Roman"/>
              </w:rPr>
              <w:t>D8.1</w:t>
            </w:r>
          </w:p>
        </w:tc>
        <w:tc>
          <w:tcPr>
            <w:tcW w:w="4968" w:type="dxa"/>
            <w:tcMar>
              <w:top w:w="45" w:type="dxa"/>
              <w:left w:w="55" w:type="dxa"/>
              <w:bottom w:w="45" w:type="dxa"/>
              <w:right w:w="55" w:type="dxa"/>
            </w:tcMar>
          </w:tcPr>
          <w:p w14:paraId="450969E9" w14:textId="77777777" w:rsidR="00894D55" w:rsidRDefault="00B20FC1">
            <w:pPr>
              <w:spacing w:after="0"/>
            </w:pPr>
            <w:r>
              <w:rPr>
                <w:rFonts w:cs="Times New Roman"/>
              </w:rPr>
              <w:t>Updated DMP, FAIR and reproducibility package</w:t>
            </w:r>
          </w:p>
        </w:tc>
        <w:tc>
          <w:tcPr>
            <w:tcW w:w="576" w:type="dxa"/>
            <w:tcMar>
              <w:top w:w="45" w:type="dxa"/>
              <w:left w:w="55" w:type="dxa"/>
              <w:bottom w:w="45" w:type="dxa"/>
              <w:right w:w="55" w:type="dxa"/>
            </w:tcMar>
          </w:tcPr>
          <w:p w14:paraId="1530E597" w14:textId="77777777" w:rsidR="00894D55" w:rsidRDefault="00B20FC1">
            <w:pPr>
              <w:spacing w:after="0"/>
            </w:pPr>
            <w:r>
              <w:rPr>
                <w:rFonts w:cs="Times New Roman"/>
              </w:rPr>
              <w:t>WP8</w:t>
            </w:r>
          </w:p>
        </w:tc>
        <w:tc>
          <w:tcPr>
            <w:tcW w:w="576" w:type="dxa"/>
            <w:tcMar>
              <w:top w:w="45" w:type="dxa"/>
              <w:left w:w="55" w:type="dxa"/>
              <w:bottom w:w="45" w:type="dxa"/>
              <w:right w:w="55" w:type="dxa"/>
            </w:tcMar>
          </w:tcPr>
          <w:p w14:paraId="0FE49DE9" w14:textId="77777777" w:rsidR="00894D55" w:rsidRDefault="00B20FC1">
            <w:pPr>
              <w:spacing w:after="0"/>
            </w:pPr>
            <w:r>
              <w:rPr>
                <w:rFonts w:cs="Times New Roman"/>
              </w:rPr>
              <w:t>P1</w:t>
            </w:r>
          </w:p>
        </w:tc>
        <w:tc>
          <w:tcPr>
            <w:tcW w:w="792" w:type="dxa"/>
            <w:tcMar>
              <w:top w:w="45" w:type="dxa"/>
              <w:left w:w="55" w:type="dxa"/>
              <w:bottom w:w="45" w:type="dxa"/>
              <w:right w:w="55" w:type="dxa"/>
            </w:tcMar>
          </w:tcPr>
          <w:p w14:paraId="508AB522" w14:textId="77777777" w:rsidR="00894D55" w:rsidRDefault="00B20FC1">
            <w:pPr>
              <w:spacing w:after="0"/>
            </w:pPr>
            <w:r>
              <w:rPr>
                <w:rFonts w:cs="Times New Roman"/>
              </w:rPr>
              <w:t>DMP</w:t>
            </w:r>
          </w:p>
        </w:tc>
        <w:tc>
          <w:tcPr>
            <w:tcW w:w="720" w:type="dxa"/>
            <w:tcMar>
              <w:top w:w="45" w:type="dxa"/>
              <w:left w:w="55" w:type="dxa"/>
              <w:bottom w:w="45" w:type="dxa"/>
              <w:right w:w="55" w:type="dxa"/>
            </w:tcMar>
          </w:tcPr>
          <w:p w14:paraId="7453A9BF" w14:textId="77777777" w:rsidR="00894D55" w:rsidRDefault="00B20FC1">
            <w:pPr>
              <w:spacing w:after="0"/>
            </w:pPr>
            <w:r>
              <w:rPr>
                <w:rFonts w:cs="Times New Roman"/>
              </w:rPr>
              <w:t>PU</w:t>
            </w:r>
          </w:p>
        </w:tc>
        <w:tc>
          <w:tcPr>
            <w:tcW w:w="648" w:type="dxa"/>
            <w:tcMar>
              <w:top w:w="45" w:type="dxa"/>
              <w:left w:w="55" w:type="dxa"/>
              <w:bottom w:w="45" w:type="dxa"/>
              <w:right w:w="55" w:type="dxa"/>
            </w:tcMar>
          </w:tcPr>
          <w:p w14:paraId="48A400C4" w14:textId="77777777" w:rsidR="00894D55" w:rsidRDefault="00B20FC1">
            <w:pPr>
              <w:spacing w:after="0"/>
            </w:pPr>
            <w:r>
              <w:rPr>
                <w:rFonts w:cs="Times New Roman"/>
              </w:rPr>
              <w:t>M24</w:t>
            </w:r>
          </w:p>
        </w:tc>
      </w:tr>
      <w:tr w:rsidR="00894D55" w14:paraId="26E17E2A" w14:textId="77777777">
        <w:trPr>
          <w:jc w:val="center"/>
        </w:trPr>
        <w:tc>
          <w:tcPr>
            <w:tcW w:w="648" w:type="dxa"/>
            <w:tcMar>
              <w:top w:w="45" w:type="dxa"/>
              <w:left w:w="55" w:type="dxa"/>
              <w:bottom w:w="45" w:type="dxa"/>
              <w:right w:w="55" w:type="dxa"/>
            </w:tcMar>
          </w:tcPr>
          <w:p w14:paraId="5DA18A02" w14:textId="77777777" w:rsidR="00894D55" w:rsidRDefault="00B20FC1">
            <w:pPr>
              <w:spacing w:after="0"/>
            </w:pPr>
            <w:r>
              <w:rPr>
                <w:rFonts w:cs="Times New Roman"/>
              </w:rPr>
              <w:t>D7.2</w:t>
            </w:r>
          </w:p>
        </w:tc>
        <w:tc>
          <w:tcPr>
            <w:tcW w:w="4968" w:type="dxa"/>
            <w:tcMar>
              <w:top w:w="45" w:type="dxa"/>
              <w:left w:w="55" w:type="dxa"/>
              <w:bottom w:w="45" w:type="dxa"/>
              <w:right w:w="55" w:type="dxa"/>
            </w:tcMar>
          </w:tcPr>
          <w:p w14:paraId="19385036" w14:textId="77777777" w:rsidR="00894D55" w:rsidRDefault="00B20FC1">
            <w:pPr>
              <w:spacing w:after="0"/>
            </w:pPr>
            <w:r>
              <w:rPr>
                <w:rFonts w:cs="Times New Roman"/>
              </w:rPr>
              <w:t>TRL4 cognitive-AI demonstrator and acceptance-test record</w:t>
            </w:r>
          </w:p>
        </w:tc>
        <w:tc>
          <w:tcPr>
            <w:tcW w:w="576" w:type="dxa"/>
            <w:tcMar>
              <w:top w:w="45" w:type="dxa"/>
              <w:left w:w="55" w:type="dxa"/>
              <w:bottom w:w="45" w:type="dxa"/>
              <w:right w:w="55" w:type="dxa"/>
            </w:tcMar>
          </w:tcPr>
          <w:p w14:paraId="2069E729" w14:textId="77777777" w:rsidR="00894D55" w:rsidRDefault="00B20FC1">
            <w:pPr>
              <w:spacing w:after="0"/>
            </w:pPr>
            <w:r>
              <w:rPr>
                <w:rFonts w:cs="Times New Roman"/>
              </w:rPr>
              <w:t>WP7</w:t>
            </w:r>
          </w:p>
        </w:tc>
        <w:tc>
          <w:tcPr>
            <w:tcW w:w="576" w:type="dxa"/>
            <w:tcMar>
              <w:top w:w="45" w:type="dxa"/>
              <w:left w:w="55" w:type="dxa"/>
              <w:bottom w:w="45" w:type="dxa"/>
              <w:right w:w="55" w:type="dxa"/>
            </w:tcMar>
          </w:tcPr>
          <w:p w14:paraId="19D5C492" w14:textId="77777777" w:rsidR="00894D55" w:rsidRDefault="00B20FC1">
            <w:pPr>
              <w:spacing w:after="0"/>
            </w:pPr>
            <w:r>
              <w:rPr>
                <w:rFonts w:cs="Times New Roman"/>
              </w:rPr>
              <w:t>P1</w:t>
            </w:r>
          </w:p>
        </w:tc>
        <w:tc>
          <w:tcPr>
            <w:tcW w:w="792" w:type="dxa"/>
            <w:tcMar>
              <w:top w:w="45" w:type="dxa"/>
              <w:left w:w="55" w:type="dxa"/>
              <w:bottom w:w="45" w:type="dxa"/>
              <w:right w:w="55" w:type="dxa"/>
            </w:tcMar>
          </w:tcPr>
          <w:p w14:paraId="38E2E31D" w14:textId="77777777" w:rsidR="00894D55" w:rsidRDefault="00B20FC1">
            <w:pPr>
              <w:spacing w:after="0"/>
            </w:pPr>
            <w:r>
              <w:rPr>
                <w:rFonts w:cs="Times New Roman"/>
              </w:rPr>
              <w:t>DEM</w:t>
            </w:r>
          </w:p>
        </w:tc>
        <w:tc>
          <w:tcPr>
            <w:tcW w:w="720" w:type="dxa"/>
            <w:tcMar>
              <w:top w:w="45" w:type="dxa"/>
              <w:left w:w="55" w:type="dxa"/>
              <w:bottom w:w="45" w:type="dxa"/>
              <w:right w:w="55" w:type="dxa"/>
            </w:tcMar>
          </w:tcPr>
          <w:p w14:paraId="732FB3B6" w14:textId="77777777" w:rsidR="00894D55" w:rsidRDefault="00B20FC1">
            <w:pPr>
              <w:spacing w:after="0"/>
            </w:pPr>
            <w:r>
              <w:rPr>
                <w:rFonts w:cs="Times New Roman"/>
              </w:rPr>
              <w:t>SEN</w:t>
            </w:r>
          </w:p>
        </w:tc>
        <w:tc>
          <w:tcPr>
            <w:tcW w:w="648" w:type="dxa"/>
            <w:tcMar>
              <w:top w:w="45" w:type="dxa"/>
              <w:left w:w="55" w:type="dxa"/>
              <w:bottom w:w="45" w:type="dxa"/>
              <w:right w:w="55" w:type="dxa"/>
            </w:tcMar>
          </w:tcPr>
          <w:p w14:paraId="080E47B4" w14:textId="77777777" w:rsidR="00894D55" w:rsidRDefault="00B20FC1">
            <w:pPr>
              <w:spacing w:after="0"/>
            </w:pPr>
            <w:r>
              <w:rPr>
                <w:rFonts w:cs="Times New Roman"/>
              </w:rPr>
              <w:t>M36</w:t>
            </w:r>
          </w:p>
        </w:tc>
      </w:tr>
      <w:tr w:rsidR="00894D55" w14:paraId="0830B1D8" w14:textId="77777777">
        <w:trPr>
          <w:jc w:val="center"/>
        </w:trPr>
        <w:tc>
          <w:tcPr>
            <w:tcW w:w="648" w:type="dxa"/>
            <w:tcMar>
              <w:top w:w="45" w:type="dxa"/>
              <w:left w:w="55" w:type="dxa"/>
              <w:bottom w:w="45" w:type="dxa"/>
              <w:right w:w="55" w:type="dxa"/>
            </w:tcMar>
          </w:tcPr>
          <w:p w14:paraId="33B1C675" w14:textId="77777777" w:rsidR="00894D55" w:rsidRDefault="00B20FC1">
            <w:pPr>
              <w:spacing w:after="0"/>
            </w:pPr>
            <w:r>
              <w:rPr>
                <w:rFonts w:cs="Times New Roman"/>
              </w:rPr>
              <w:t>D7.3</w:t>
            </w:r>
          </w:p>
        </w:tc>
        <w:tc>
          <w:tcPr>
            <w:tcW w:w="4968" w:type="dxa"/>
            <w:tcMar>
              <w:top w:w="45" w:type="dxa"/>
              <w:left w:w="55" w:type="dxa"/>
              <w:bottom w:w="45" w:type="dxa"/>
              <w:right w:w="55" w:type="dxa"/>
            </w:tcMar>
          </w:tcPr>
          <w:p w14:paraId="46174EFF" w14:textId="77777777" w:rsidR="00894D55" w:rsidRDefault="00B20FC1">
            <w:pPr>
              <w:spacing w:after="0"/>
            </w:pPr>
            <w:r>
              <w:rPr>
                <w:rFonts w:cs="Times New Roman"/>
              </w:rPr>
              <w:t>M36 Embodied Domain of Validity report</w:t>
            </w:r>
          </w:p>
        </w:tc>
        <w:tc>
          <w:tcPr>
            <w:tcW w:w="576" w:type="dxa"/>
            <w:tcMar>
              <w:top w:w="45" w:type="dxa"/>
              <w:left w:w="55" w:type="dxa"/>
              <w:bottom w:w="45" w:type="dxa"/>
              <w:right w:w="55" w:type="dxa"/>
            </w:tcMar>
          </w:tcPr>
          <w:p w14:paraId="073E53F9" w14:textId="77777777" w:rsidR="00894D55" w:rsidRDefault="00B20FC1">
            <w:pPr>
              <w:spacing w:after="0"/>
            </w:pPr>
            <w:r>
              <w:rPr>
                <w:rFonts w:cs="Times New Roman"/>
              </w:rPr>
              <w:t>WP7</w:t>
            </w:r>
          </w:p>
        </w:tc>
        <w:tc>
          <w:tcPr>
            <w:tcW w:w="576" w:type="dxa"/>
            <w:tcMar>
              <w:top w:w="45" w:type="dxa"/>
              <w:left w:w="55" w:type="dxa"/>
              <w:bottom w:w="45" w:type="dxa"/>
              <w:right w:w="55" w:type="dxa"/>
            </w:tcMar>
          </w:tcPr>
          <w:p w14:paraId="7D2827EF" w14:textId="77777777" w:rsidR="00894D55" w:rsidRDefault="00B20FC1">
            <w:pPr>
              <w:spacing w:after="0"/>
            </w:pPr>
            <w:r>
              <w:rPr>
                <w:rFonts w:cs="Times New Roman"/>
              </w:rPr>
              <w:t>P1</w:t>
            </w:r>
          </w:p>
        </w:tc>
        <w:tc>
          <w:tcPr>
            <w:tcW w:w="792" w:type="dxa"/>
            <w:tcMar>
              <w:top w:w="45" w:type="dxa"/>
              <w:left w:w="55" w:type="dxa"/>
              <w:bottom w:w="45" w:type="dxa"/>
              <w:right w:w="55" w:type="dxa"/>
            </w:tcMar>
          </w:tcPr>
          <w:p w14:paraId="0890E9AC" w14:textId="77777777" w:rsidR="00894D55" w:rsidRDefault="00B20FC1">
            <w:pPr>
              <w:spacing w:after="0"/>
            </w:pPr>
            <w:r>
              <w:rPr>
                <w:rFonts w:cs="Times New Roman"/>
              </w:rPr>
              <w:t>R</w:t>
            </w:r>
          </w:p>
        </w:tc>
        <w:tc>
          <w:tcPr>
            <w:tcW w:w="720" w:type="dxa"/>
            <w:tcMar>
              <w:top w:w="45" w:type="dxa"/>
              <w:left w:w="55" w:type="dxa"/>
              <w:bottom w:w="45" w:type="dxa"/>
              <w:right w:w="55" w:type="dxa"/>
            </w:tcMar>
          </w:tcPr>
          <w:p w14:paraId="3A612A0D" w14:textId="77777777" w:rsidR="00894D55" w:rsidRDefault="00B20FC1">
            <w:pPr>
              <w:spacing w:after="0"/>
            </w:pPr>
            <w:r>
              <w:rPr>
                <w:rFonts w:cs="Times New Roman"/>
              </w:rPr>
              <w:t>PU</w:t>
            </w:r>
          </w:p>
        </w:tc>
        <w:tc>
          <w:tcPr>
            <w:tcW w:w="648" w:type="dxa"/>
            <w:tcMar>
              <w:top w:w="45" w:type="dxa"/>
              <w:left w:w="55" w:type="dxa"/>
              <w:bottom w:w="45" w:type="dxa"/>
              <w:right w:w="55" w:type="dxa"/>
            </w:tcMar>
          </w:tcPr>
          <w:p w14:paraId="3C9701E6" w14:textId="77777777" w:rsidR="00894D55" w:rsidRDefault="00B20FC1">
            <w:pPr>
              <w:spacing w:after="0"/>
            </w:pPr>
            <w:r>
              <w:rPr>
                <w:rFonts w:cs="Times New Roman"/>
              </w:rPr>
              <w:t>M36</w:t>
            </w:r>
          </w:p>
        </w:tc>
      </w:tr>
      <w:tr w:rsidR="00894D55" w14:paraId="649BF4A4" w14:textId="77777777">
        <w:trPr>
          <w:jc w:val="center"/>
        </w:trPr>
        <w:tc>
          <w:tcPr>
            <w:tcW w:w="648" w:type="dxa"/>
            <w:tcMar>
              <w:top w:w="45" w:type="dxa"/>
              <w:left w:w="55" w:type="dxa"/>
              <w:bottom w:w="45" w:type="dxa"/>
              <w:right w:w="55" w:type="dxa"/>
            </w:tcMar>
          </w:tcPr>
          <w:p w14:paraId="4F23646A" w14:textId="77777777" w:rsidR="00894D55" w:rsidRDefault="00B20FC1">
            <w:pPr>
              <w:spacing w:after="0"/>
            </w:pPr>
            <w:r>
              <w:rPr>
                <w:rFonts w:cs="Times New Roman"/>
              </w:rPr>
              <w:t>D8.2</w:t>
            </w:r>
          </w:p>
        </w:tc>
        <w:tc>
          <w:tcPr>
            <w:tcW w:w="4968" w:type="dxa"/>
            <w:tcMar>
              <w:top w:w="45" w:type="dxa"/>
              <w:left w:w="55" w:type="dxa"/>
              <w:bottom w:w="45" w:type="dxa"/>
              <w:right w:w="55" w:type="dxa"/>
            </w:tcMar>
          </w:tcPr>
          <w:p w14:paraId="1BD01226" w14:textId="77777777" w:rsidR="00894D55" w:rsidRDefault="00B20FC1">
            <w:pPr>
              <w:spacing w:after="0"/>
            </w:pPr>
            <w:r>
              <w:rPr>
                <w:rFonts w:cs="Times New Roman"/>
              </w:rPr>
              <w:t>MDPAR-H Structural Invariance Atlas and final evidence package</w:t>
            </w:r>
          </w:p>
        </w:tc>
        <w:tc>
          <w:tcPr>
            <w:tcW w:w="576" w:type="dxa"/>
            <w:tcMar>
              <w:top w:w="45" w:type="dxa"/>
              <w:left w:w="55" w:type="dxa"/>
              <w:bottom w:w="45" w:type="dxa"/>
              <w:right w:w="55" w:type="dxa"/>
            </w:tcMar>
          </w:tcPr>
          <w:p w14:paraId="1854F4E7" w14:textId="77777777" w:rsidR="00894D55" w:rsidRDefault="00B20FC1">
            <w:pPr>
              <w:spacing w:after="0"/>
            </w:pPr>
            <w:r>
              <w:rPr>
                <w:rFonts w:cs="Times New Roman"/>
              </w:rPr>
              <w:t>WP8</w:t>
            </w:r>
          </w:p>
        </w:tc>
        <w:tc>
          <w:tcPr>
            <w:tcW w:w="576" w:type="dxa"/>
            <w:tcMar>
              <w:top w:w="45" w:type="dxa"/>
              <w:left w:w="55" w:type="dxa"/>
              <w:bottom w:w="45" w:type="dxa"/>
              <w:right w:w="55" w:type="dxa"/>
            </w:tcMar>
          </w:tcPr>
          <w:p w14:paraId="0E440522" w14:textId="77777777" w:rsidR="00894D55" w:rsidRDefault="00B20FC1">
            <w:pPr>
              <w:spacing w:after="0"/>
            </w:pPr>
            <w:r>
              <w:rPr>
                <w:rFonts w:cs="Times New Roman"/>
              </w:rPr>
              <w:t>P1</w:t>
            </w:r>
          </w:p>
        </w:tc>
        <w:tc>
          <w:tcPr>
            <w:tcW w:w="792" w:type="dxa"/>
            <w:tcMar>
              <w:top w:w="45" w:type="dxa"/>
              <w:left w:w="55" w:type="dxa"/>
              <w:bottom w:w="45" w:type="dxa"/>
              <w:right w:w="55" w:type="dxa"/>
            </w:tcMar>
          </w:tcPr>
          <w:p w14:paraId="62859A34" w14:textId="77777777" w:rsidR="00894D55" w:rsidRDefault="00B20FC1">
            <w:pPr>
              <w:spacing w:after="0"/>
            </w:pPr>
            <w:r>
              <w:rPr>
                <w:rFonts w:cs="Times New Roman"/>
              </w:rPr>
              <w:t>DATA</w:t>
            </w:r>
          </w:p>
        </w:tc>
        <w:tc>
          <w:tcPr>
            <w:tcW w:w="720" w:type="dxa"/>
            <w:tcMar>
              <w:top w:w="45" w:type="dxa"/>
              <w:left w:w="55" w:type="dxa"/>
              <w:bottom w:w="45" w:type="dxa"/>
              <w:right w:w="55" w:type="dxa"/>
            </w:tcMar>
          </w:tcPr>
          <w:p w14:paraId="3A79A737" w14:textId="77777777" w:rsidR="00894D55" w:rsidRDefault="00B20FC1">
            <w:pPr>
              <w:spacing w:after="0"/>
            </w:pPr>
            <w:r>
              <w:rPr>
                <w:rFonts w:cs="Times New Roman"/>
              </w:rPr>
              <w:t>PU</w:t>
            </w:r>
          </w:p>
        </w:tc>
        <w:tc>
          <w:tcPr>
            <w:tcW w:w="648" w:type="dxa"/>
            <w:tcMar>
              <w:top w:w="45" w:type="dxa"/>
              <w:left w:w="55" w:type="dxa"/>
              <w:bottom w:w="45" w:type="dxa"/>
              <w:right w:w="55" w:type="dxa"/>
            </w:tcMar>
          </w:tcPr>
          <w:p w14:paraId="6810B927" w14:textId="77777777" w:rsidR="00894D55" w:rsidRDefault="00B20FC1">
            <w:pPr>
              <w:spacing w:after="0"/>
            </w:pPr>
            <w:r>
              <w:rPr>
                <w:rFonts w:cs="Times New Roman"/>
              </w:rPr>
              <w:t>M36</w:t>
            </w:r>
          </w:p>
        </w:tc>
      </w:tr>
      <w:tr w:rsidR="00894D55" w14:paraId="220A6C18" w14:textId="77777777">
        <w:trPr>
          <w:jc w:val="center"/>
        </w:trPr>
        <w:tc>
          <w:tcPr>
            <w:tcW w:w="648" w:type="dxa"/>
            <w:tcMar>
              <w:top w:w="45" w:type="dxa"/>
              <w:left w:w="55" w:type="dxa"/>
              <w:bottom w:w="45" w:type="dxa"/>
              <w:right w:w="55" w:type="dxa"/>
            </w:tcMar>
          </w:tcPr>
          <w:p w14:paraId="4E0531DC" w14:textId="77777777" w:rsidR="00894D55" w:rsidRDefault="00B20FC1">
            <w:pPr>
              <w:spacing w:after="0"/>
            </w:pPr>
            <w:r>
              <w:rPr>
                <w:rFonts w:cs="Times New Roman"/>
              </w:rPr>
              <w:t>D9.1</w:t>
            </w:r>
          </w:p>
        </w:tc>
        <w:tc>
          <w:tcPr>
            <w:tcW w:w="4968" w:type="dxa"/>
            <w:tcMar>
              <w:top w:w="45" w:type="dxa"/>
              <w:left w:w="55" w:type="dxa"/>
              <w:bottom w:w="45" w:type="dxa"/>
              <w:right w:w="55" w:type="dxa"/>
            </w:tcMar>
          </w:tcPr>
          <w:p w14:paraId="3856AF8C" w14:textId="77777777" w:rsidR="00894D55" w:rsidRDefault="00B20FC1">
            <w:pPr>
              <w:spacing w:after="0"/>
            </w:pPr>
            <w:r>
              <w:rPr>
                <w:rFonts w:cs="Times New Roman"/>
              </w:rPr>
              <w:t xml:space="preserve">Exploitation, </w:t>
            </w:r>
            <w:proofErr w:type="spellStart"/>
            <w:r>
              <w:rPr>
                <w:rFonts w:cs="Times New Roman"/>
              </w:rPr>
              <w:t>standardisation</w:t>
            </w:r>
            <w:proofErr w:type="spellEnd"/>
            <w:r>
              <w:rPr>
                <w:rFonts w:cs="Times New Roman"/>
              </w:rPr>
              <w:t xml:space="preserve"> and TRL5+ transition package</w:t>
            </w:r>
          </w:p>
        </w:tc>
        <w:tc>
          <w:tcPr>
            <w:tcW w:w="576" w:type="dxa"/>
            <w:tcMar>
              <w:top w:w="45" w:type="dxa"/>
              <w:left w:w="55" w:type="dxa"/>
              <w:bottom w:w="45" w:type="dxa"/>
              <w:right w:w="55" w:type="dxa"/>
            </w:tcMar>
          </w:tcPr>
          <w:p w14:paraId="7099538A" w14:textId="77777777" w:rsidR="00894D55" w:rsidRDefault="00B20FC1">
            <w:pPr>
              <w:spacing w:after="0"/>
            </w:pPr>
            <w:r>
              <w:rPr>
                <w:rFonts w:cs="Times New Roman"/>
              </w:rPr>
              <w:t>WP9</w:t>
            </w:r>
          </w:p>
        </w:tc>
        <w:tc>
          <w:tcPr>
            <w:tcW w:w="576" w:type="dxa"/>
            <w:tcMar>
              <w:top w:w="45" w:type="dxa"/>
              <w:left w:w="55" w:type="dxa"/>
              <w:bottom w:w="45" w:type="dxa"/>
              <w:right w:w="55" w:type="dxa"/>
            </w:tcMar>
          </w:tcPr>
          <w:p w14:paraId="4526D27D" w14:textId="77777777" w:rsidR="00894D55" w:rsidRDefault="00B20FC1">
            <w:pPr>
              <w:spacing w:after="0"/>
            </w:pPr>
            <w:r>
              <w:rPr>
                <w:rFonts w:cs="Times New Roman"/>
              </w:rPr>
              <w:t>P1</w:t>
            </w:r>
          </w:p>
        </w:tc>
        <w:tc>
          <w:tcPr>
            <w:tcW w:w="792" w:type="dxa"/>
            <w:tcMar>
              <w:top w:w="45" w:type="dxa"/>
              <w:left w:w="55" w:type="dxa"/>
              <w:bottom w:w="45" w:type="dxa"/>
              <w:right w:w="55" w:type="dxa"/>
            </w:tcMar>
          </w:tcPr>
          <w:p w14:paraId="7D65DAE6" w14:textId="77777777" w:rsidR="00894D55" w:rsidRDefault="00B20FC1">
            <w:pPr>
              <w:spacing w:after="0"/>
            </w:pPr>
            <w:r>
              <w:rPr>
                <w:rFonts w:cs="Times New Roman"/>
              </w:rPr>
              <w:t>R</w:t>
            </w:r>
          </w:p>
        </w:tc>
        <w:tc>
          <w:tcPr>
            <w:tcW w:w="720" w:type="dxa"/>
            <w:tcMar>
              <w:top w:w="45" w:type="dxa"/>
              <w:left w:w="55" w:type="dxa"/>
              <w:bottom w:w="45" w:type="dxa"/>
              <w:right w:w="55" w:type="dxa"/>
            </w:tcMar>
          </w:tcPr>
          <w:p w14:paraId="478BB36C" w14:textId="77777777" w:rsidR="00894D55" w:rsidRDefault="00B20FC1">
            <w:pPr>
              <w:spacing w:after="0"/>
            </w:pPr>
            <w:r>
              <w:rPr>
                <w:rFonts w:cs="Times New Roman"/>
              </w:rPr>
              <w:t>SEN</w:t>
            </w:r>
          </w:p>
        </w:tc>
        <w:tc>
          <w:tcPr>
            <w:tcW w:w="648" w:type="dxa"/>
            <w:tcMar>
              <w:top w:w="45" w:type="dxa"/>
              <w:left w:w="55" w:type="dxa"/>
              <w:bottom w:w="45" w:type="dxa"/>
              <w:right w:w="55" w:type="dxa"/>
            </w:tcMar>
          </w:tcPr>
          <w:p w14:paraId="556F1877" w14:textId="77777777" w:rsidR="00894D55" w:rsidRDefault="00B20FC1">
            <w:pPr>
              <w:spacing w:after="0"/>
            </w:pPr>
            <w:r>
              <w:rPr>
                <w:rFonts w:cs="Times New Roman"/>
              </w:rPr>
              <w:t>M36</w:t>
            </w:r>
          </w:p>
        </w:tc>
      </w:tr>
    </w:tbl>
    <w:p w14:paraId="04E1868D" w14:textId="77777777" w:rsidR="00894D55" w:rsidRDefault="00894D55"/>
    <w:p w14:paraId="5AF37AAE" w14:textId="77777777" w:rsidR="00894D55" w:rsidRDefault="00B20FC1">
      <w:pPr>
        <w:keepNext/>
        <w:spacing w:before="60" w:after="40"/>
      </w:pPr>
      <w:r>
        <w:rPr>
          <w:rFonts w:cs="Times New Roman"/>
          <w:b/>
        </w:rPr>
        <w:t>Milestones (Table 3.1d)</w:t>
      </w:r>
    </w:p>
    <w:tbl>
      <w:tblPr>
        <w:tblStyle w:val="Tablaconcuadrcula"/>
        <w:tblW w:w="0" w:type="auto"/>
        <w:jc w:val="center"/>
        <w:tblCellMar>
          <w:top w:w="40" w:type="dxa"/>
          <w:left w:w="60" w:type="dxa"/>
          <w:bottom w:w="40" w:type="dxa"/>
          <w:right w:w="60" w:type="dxa"/>
        </w:tblCellMar>
        <w:tblLook w:val="04A0" w:firstRow="1" w:lastRow="0" w:firstColumn="1" w:lastColumn="0" w:noHBand="0" w:noVBand="1"/>
      </w:tblPr>
      <w:tblGrid>
        <w:gridCol w:w="601"/>
        <w:gridCol w:w="2379"/>
        <w:gridCol w:w="573"/>
        <w:gridCol w:w="1553"/>
        <w:gridCol w:w="5210"/>
      </w:tblGrid>
      <w:tr w:rsidR="00894D55" w14:paraId="6F655516" w14:textId="77777777">
        <w:trPr>
          <w:cantSplit/>
          <w:tblHeader/>
          <w:jc w:val="center"/>
        </w:trPr>
        <w:tc>
          <w:tcPr>
            <w:tcW w:w="605" w:type="dxa"/>
            <w:shd w:val="clear" w:color="auto" w:fill="D9EAF7"/>
            <w:tcMar>
              <w:top w:w="45" w:type="dxa"/>
              <w:left w:w="55" w:type="dxa"/>
              <w:bottom w:w="45" w:type="dxa"/>
              <w:right w:w="55" w:type="dxa"/>
            </w:tcMar>
          </w:tcPr>
          <w:p w14:paraId="49B64C89" w14:textId="77777777" w:rsidR="00894D55" w:rsidRDefault="00B20FC1">
            <w:pPr>
              <w:spacing w:after="0"/>
            </w:pPr>
            <w:r>
              <w:rPr>
                <w:rFonts w:cs="Times New Roman"/>
                <w:b/>
              </w:rPr>
              <w:t>MS</w:t>
            </w:r>
          </w:p>
        </w:tc>
        <w:tc>
          <w:tcPr>
            <w:tcW w:w="2448" w:type="dxa"/>
            <w:shd w:val="clear" w:color="auto" w:fill="D9EAF7"/>
            <w:tcMar>
              <w:top w:w="45" w:type="dxa"/>
              <w:left w:w="55" w:type="dxa"/>
              <w:bottom w:w="45" w:type="dxa"/>
              <w:right w:w="55" w:type="dxa"/>
            </w:tcMar>
          </w:tcPr>
          <w:p w14:paraId="71A3101D" w14:textId="77777777" w:rsidR="00894D55" w:rsidRDefault="00B20FC1">
            <w:pPr>
              <w:spacing w:after="0"/>
            </w:pPr>
            <w:r>
              <w:rPr>
                <w:rFonts w:cs="Times New Roman"/>
                <w:b/>
              </w:rPr>
              <w:t>Title</w:t>
            </w:r>
          </w:p>
        </w:tc>
        <w:tc>
          <w:tcPr>
            <w:tcW w:w="576" w:type="dxa"/>
            <w:shd w:val="clear" w:color="auto" w:fill="D9EAF7"/>
            <w:tcMar>
              <w:top w:w="45" w:type="dxa"/>
              <w:left w:w="55" w:type="dxa"/>
              <w:bottom w:w="45" w:type="dxa"/>
              <w:right w:w="55" w:type="dxa"/>
            </w:tcMar>
          </w:tcPr>
          <w:p w14:paraId="17AE1B67" w14:textId="77777777" w:rsidR="00894D55" w:rsidRDefault="00B20FC1">
            <w:pPr>
              <w:spacing w:after="0"/>
            </w:pPr>
            <w:r>
              <w:rPr>
                <w:rFonts w:cs="Times New Roman"/>
                <w:b/>
              </w:rPr>
              <w:t>Due</w:t>
            </w:r>
          </w:p>
        </w:tc>
        <w:tc>
          <w:tcPr>
            <w:tcW w:w="936" w:type="dxa"/>
            <w:shd w:val="clear" w:color="auto" w:fill="D9EAF7"/>
            <w:tcMar>
              <w:top w:w="45" w:type="dxa"/>
              <w:left w:w="55" w:type="dxa"/>
              <w:bottom w:w="45" w:type="dxa"/>
              <w:right w:w="55" w:type="dxa"/>
            </w:tcMar>
          </w:tcPr>
          <w:p w14:paraId="0D5E036E" w14:textId="77777777" w:rsidR="00894D55" w:rsidRDefault="00B20FC1">
            <w:pPr>
              <w:spacing w:after="0"/>
            </w:pPr>
            <w:r>
              <w:rPr>
                <w:rFonts w:cs="Times New Roman"/>
                <w:b/>
              </w:rPr>
              <w:t>WP</w:t>
            </w:r>
          </w:p>
        </w:tc>
        <w:tc>
          <w:tcPr>
            <w:tcW w:w="5400" w:type="dxa"/>
            <w:shd w:val="clear" w:color="auto" w:fill="D9EAF7"/>
            <w:tcMar>
              <w:top w:w="45" w:type="dxa"/>
              <w:left w:w="55" w:type="dxa"/>
              <w:bottom w:w="45" w:type="dxa"/>
              <w:right w:w="55" w:type="dxa"/>
            </w:tcMar>
          </w:tcPr>
          <w:p w14:paraId="6AB65199" w14:textId="77777777" w:rsidR="00894D55" w:rsidRDefault="00B20FC1">
            <w:pPr>
              <w:spacing w:after="0"/>
            </w:pPr>
            <w:r>
              <w:rPr>
                <w:rFonts w:cs="Times New Roman"/>
                <w:b/>
              </w:rPr>
              <w:t>Means of verification</w:t>
            </w:r>
          </w:p>
        </w:tc>
      </w:tr>
      <w:tr w:rsidR="00894D55" w14:paraId="4004B8BF" w14:textId="77777777">
        <w:trPr>
          <w:cantSplit/>
          <w:jc w:val="center"/>
        </w:trPr>
        <w:tc>
          <w:tcPr>
            <w:tcW w:w="605" w:type="dxa"/>
            <w:tcMar>
              <w:top w:w="45" w:type="dxa"/>
              <w:left w:w="55" w:type="dxa"/>
              <w:bottom w:w="45" w:type="dxa"/>
              <w:right w:w="55" w:type="dxa"/>
            </w:tcMar>
          </w:tcPr>
          <w:p w14:paraId="1D7E2C86" w14:textId="77777777" w:rsidR="00894D55" w:rsidRDefault="00B20FC1">
            <w:pPr>
              <w:spacing w:after="0"/>
            </w:pPr>
            <w:r>
              <w:rPr>
                <w:rFonts w:cs="Times New Roman"/>
              </w:rPr>
              <w:t>MS1</w:t>
            </w:r>
          </w:p>
        </w:tc>
        <w:tc>
          <w:tcPr>
            <w:tcW w:w="2448" w:type="dxa"/>
            <w:tcMar>
              <w:top w:w="45" w:type="dxa"/>
              <w:left w:w="55" w:type="dxa"/>
              <w:bottom w:w="45" w:type="dxa"/>
              <w:right w:w="55" w:type="dxa"/>
            </w:tcMar>
          </w:tcPr>
          <w:p w14:paraId="0C7ECA27" w14:textId="77777777" w:rsidR="00894D55" w:rsidRDefault="00B20FC1">
            <w:pPr>
              <w:spacing w:after="0"/>
            </w:pPr>
            <w:r>
              <w:rPr>
                <w:rFonts w:cs="Times New Roman"/>
              </w:rPr>
              <w:t>Project control baseline operational</w:t>
            </w:r>
          </w:p>
        </w:tc>
        <w:tc>
          <w:tcPr>
            <w:tcW w:w="576" w:type="dxa"/>
            <w:tcMar>
              <w:top w:w="45" w:type="dxa"/>
              <w:left w:w="55" w:type="dxa"/>
              <w:bottom w:w="45" w:type="dxa"/>
              <w:right w:w="55" w:type="dxa"/>
            </w:tcMar>
          </w:tcPr>
          <w:p w14:paraId="771DF9DB" w14:textId="77777777" w:rsidR="00894D55" w:rsidRDefault="00B20FC1">
            <w:pPr>
              <w:spacing w:after="0"/>
            </w:pPr>
            <w:r>
              <w:rPr>
                <w:rFonts w:cs="Times New Roman"/>
              </w:rPr>
              <w:t>M3</w:t>
            </w:r>
          </w:p>
        </w:tc>
        <w:tc>
          <w:tcPr>
            <w:tcW w:w="936" w:type="dxa"/>
            <w:tcMar>
              <w:top w:w="45" w:type="dxa"/>
              <w:left w:w="55" w:type="dxa"/>
              <w:bottom w:w="45" w:type="dxa"/>
              <w:right w:w="55" w:type="dxa"/>
            </w:tcMar>
          </w:tcPr>
          <w:p w14:paraId="54072F88" w14:textId="77777777" w:rsidR="00894D55" w:rsidRDefault="00B20FC1">
            <w:pPr>
              <w:spacing w:after="0"/>
            </w:pPr>
            <w:r>
              <w:rPr>
                <w:rFonts w:cs="Times New Roman"/>
              </w:rPr>
              <w:t>WP1</w:t>
            </w:r>
          </w:p>
        </w:tc>
        <w:tc>
          <w:tcPr>
            <w:tcW w:w="5400" w:type="dxa"/>
            <w:tcMar>
              <w:top w:w="45" w:type="dxa"/>
              <w:left w:w="55" w:type="dxa"/>
              <w:bottom w:w="45" w:type="dxa"/>
              <w:right w:w="55" w:type="dxa"/>
            </w:tcMar>
          </w:tcPr>
          <w:p w14:paraId="32B760AE" w14:textId="77777777" w:rsidR="00894D55" w:rsidRDefault="00B20FC1">
            <w:pPr>
              <w:spacing w:after="0"/>
            </w:pPr>
            <w:r>
              <w:rPr>
                <w:rFonts w:cs="Times New Roman"/>
              </w:rPr>
              <w:t>Governance/risk/change-control baseline approved; resource and access register opened.</w:t>
            </w:r>
          </w:p>
        </w:tc>
      </w:tr>
      <w:tr w:rsidR="00894D55" w14:paraId="6BAF34A8" w14:textId="77777777">
        <w:trPr>
          <w:cantSplit/>
          <w:jc w:val="center"/>
        </w:trPr>
        <w:tc>
          <w:tcPr>
            <w:tcW w:w="605" w:type="dxa"/>
            <w:tcMar>
              <w:top w:w="45" w:type="dxa"/>
              <w:left w:w="55" w:type="dxa"/>
              <w:bottom w:w="45" w:type="dxa"/>
              <w:right w:w="55" w:type="dxa"/>
            </w:tcMar>
          </w:tcPr>
          <w:p w14:paraId="10304072" w14:textId="77777777" w:rsidR="00894D55" w:rsidRDefault="00B20FC1">
            <w:pPr>
              <w:spacing w:after="0"/>
            </w:pPr>
            <w:r>
              <w:rPr>
                <w:rFonts w:cs="Times New Roman"/>
              </w:rPr>
              <w:t>MS2</w:t>
            </w:r>
          </w:p>
        </w:tc>
        <w:tc>
          <w:tcPr>
            <w:tcW w:w="2448" w:type="dxa"/>
            <w:tcMar>
              <w:top w:w="45" w:type="dxa"/>
              <w:left w:w="55" w:type="dxa"/>
              <w:bottom w:w="45" w:type="dxa"/>
              <w:right w:w="55" w:type="dxa"/>
            </w:tcMar>
          </w:tcPr>
          <w:p w14:paraId="26250CB7" w14:textId="77777777" w:rsidR="00894D55" w:rsidRDefault="00B20FC1">
            <w:pPr>
              <w:spacing w:after="0"/>
            </w:pPr>
            <w:r>
              <w:rPr>
                <w:rFonts w:cs="Times New Roman"/>
              </w:rPr>
              <w:t>Confirmatory design ready for freeze</w:t>
            </w:r>
          </w:p>
        </w:tc>
        <w:tc>
          <w:tcPr>
            <w:tcW w:w="576" w:type="dxa"/>
            <w:tcMar>
              <w:top w:w="45" w:type="dxa"/>
              <w:left w:w="55" w:type="dxa"/>
              <w:bottom w:w="45" w:type="dxa"/>
              <w:right w:w="55" w:type="dxa"/>
            </w:tcMar>
          </w:tcPr>
          <w:p w14:paraId="76657DE7" w14:textId="77777777" w:rsidR="00894D55" w:rsidRDefault="00B20FC1">
            <w:pPr>
              <w:spacing w:after="0"/>
            </w:pPr>
            <w:r>
              <w:rPr>
                <w:rFonts w:cs="Times New Roman"/>
              </w:rPr>
              <w:t>M6</w:t>
            </w:r>
          </w:p>
        </w:tc>
        <w:tc>
          <w:tcPr>
            <w:tcW w:w="936" w:type="dxa"/>
            <w:tcMar>
              <w:top w:w="45" w:type="dxa"/>
              <w:left w:w="55" w:type="dxa"/>
              <w:bottom w:w="45" w:type="dxa"/>
              <w:right w:w="55" w:type="dxa"/>
            </w:tcMar>
          </w:tcPr>
          <w:p w14:paraId="2E9BF451" w14:textId="77777777" w:rsidR="00894D55" w:rsidRDefault="00B20FC1">
            <w:pPr>
              <w:spacing w:after="0"/>
            </w:pPr>
            <w:r>
              <w:rPr>
                <w:rFonts w:cs="Times New Roman"/>
              </w:rPr>
              <w:t>WP2/WP4</w:t>
            </w:r>
          </w:p>
        </w:tc>
        <w:tc>
          <w:tcPr>
            <w:tcW w:w="5400" w:type="dxa"/>
            <w:tcMar>
              <w:top w:w="45" w:type="dxa"/>
              <w:left w:w="55" w:type="dxa"/>
              <w:bottom w:w="45" w:type="dxa"/>
              <w:right w:w="55" w:type="dxa"/>
            </w:tcMar>
          </w:tcPr>
          <w:p w14:paraId="2FF88265" w14:textId="77777777" w:rsidR="00894D55" w:rsidRDefault="00B20FC1">
            <w:pPr>
              <w:spacing w:after="0"/>
            </w:pPr>
            <w:r>
              <w:rPr>
                <w:rFonts w:cs="Times New Roman"/>
              </w:rPr>
              <w:t>Specification v1, DMP and PEDR delivered; held-out and anti-leakage design review passed.</w:t>
            </w:r>
          </w:p>
        </w:tc>
      </w:tr>
      <w:tr w:rsidR="00894D55" w14:paraId="427FEF09" w14:textId="77777777">
        <w:trPr>
          <w:cantSplit/>
          <w:jc w:val="center"/>
        </w:trPr>
        <w:tc>
          <w:tcPr>
            <w:tcW w:w="605" w:type="dxa"/>
            <w:tcMar>
              <w:top w:w="45" w:type="dxa"/>
              <w:left w:w="55" w:type="dxa"/>
              <w:bottom w:w="45" w:type="dxa"/>
              <w:right w:w="55" w:type="dxa"/>
            </w:tcMar>
          </w:tcPr>
          <w:p w14:paraId="3B83F450" w14:textId="77777777" w:rsidR="00894D55" w:rsidRDefault="00B20FC1">
            <w:pPr>
              <w:spacing w:after="0"/>
            </w:pPr>
            <w:r>
              <w:rPr>
                <w:rFonts w:cs="Times New Roman"/>
              </w:rPr>
              <w:t>MS3</w:t>
            </w:r>
          </w:p>
        </w:tc>
        <w:tc>
          <w:tcPr>
            <w:tcW w:w="2448" w:type="dxa"/>
            <w:tcMar>
              <w:top w:w="45" w:type="dxa"/>
              <w:left w:w="55" w:type="dxa"/>
              <w:bottom w:w="45" w:type="dxa"/>
              <w:right w:w="55" w:type="dxa"/>
            </w:tcMar>
          </w:tcPr>
          <w:p w14:paraId="50406E76" w14:textId="77777777" w:rsidR="00894D55" w:rsidRDefault="00B20FC1">
            <w:pPr>
              <w:spacing w:after="0"/>
            </w:pPr>
            <w:r>
              <w:rPr>
                <w:rFonts w:cs="Times New Roman"/>
              </w:rPr>
              <w:t>Symbolic Structural Domain gate</w:t>
            </w:r>
          </w:p>
        </w:tc>
        <w:tc>
          <w:tcPr>
            <w:tcW w:w="576" w:type="dxa"/>
            <w:tcMar>
              <w:top w:w="45" w:type="dxa"/>
              <w:left w:w="55" w:type="dxa"/>
              <w:bottom w:w="45" w:type="dxa"/>
              <w:right w:w="55" w:type="dxa"/>
            </w:tcMar>
          </w:tcPr>
          <w:p w14:paraId="52DA970F" w14:textId="77777777" w:rsidR="00894D55" w:rsidRDefault="00B20FC1">
            <w:pPr>
              <w:spacing w:after="0"/>
            </w:pPr>
            <w:r>
              <w:rPr>
                <w:rFonts w:cs="Times New Roman"/>
              </w:rPr>
              <w:t>M12</w:t>
            </w:r>
          </w:p>
        </w:tc>
        <w:tc>
          <w:tcPr>
            <w:tcW w:w="936" w:type="dxa"/>
            <w:tcMar>
              <w:top w:w="45" w:type="dxa"/>
              <w:left w:w="55" w:type="dxa"/>
              <w:bottom w:w="45" w:type="dxa"/>
              <w:right w:w="55" w:type="dxa"/>
            </w:tcMar>
          </w:tcPr>
          <w:p w14:paraId="26E1ED66" w14:textId="77777777" w:rsidR="00894D55" w:rsidRDefault="00B20FC1">
            <w:pPr>
              <w:spacing w:after="0"/>
            </w:pPr>
            <w:r>
              <w:rPr>
                <w:rFonts w:cs="Times New Roman"/>
              </w:rPr>
              <w:t>WP2/WP3</w:t>
            </w:r>
          </w:p>
        </w:tc>
        <w:tc>
          <w:tcPr>
            <w:tcW w:w="5400" w:type="dxa"/>
            <w:tcMar>
              <w:top w:w="45" w:type="dxa"/>
              <w:left w:w="55" w:type="dxa"/>
              <w:bottom w:w="45" w:type="dxa"/>
              <w:right w:w="55" w:type="dxa"/>
            </w:tcMar>
          </w:tcPr>
          <w:p w14:paraId="445D1874" w14:textId="77777777" w:rsidR="00894D55" w:rsidRDefault="00B20FC1">
            <w:pPr>
              <w:spacing w:after="0"/>
            </w:pPr>
            <w:r>
              <w:rPr>
                <w:rFonts w:cs="Times New Roman"/>
              </w:rPr>
              <w:t>Frozen protocol executed; M12 evidence release complete. Decision: proceed, narrow invariant set, or stop unsupported claims.</w:t>
            </w:r>
          </w:p>
        </w:tc>
      </w:tr>
      <w:tr w:rsidR="00894D55" w14:paraId="2A9B4191" w14:textId="77777777">
        <w:trPr>
          <w:cantSplit/>
          <w:jc w:val="center"/>
        </w:trPr>
        <w:tc>
          <w:tcPr>
            <w:tcW w:w="605" w:type="dxa"/>
            <w:tcMar>
              <w:top w:w="45" w:type="dxa"/>
              <w:left w:w="55" w:type="dxa"/>
              <w:bottom w:w="45" w:type="dxa"/>
              <w:right w:w="55" w:type="dxa"/>
            </w:tcMar>
          </w:tcPr>
          <w:p w14:paraId="4101FE64" w14:textId="77777777" w:rsidR="00894D55" w:rsidRDefault="00B20FC1">
            <w:pPr>
              <w:spacing w:after="0"/>
            </w:pPr>
            <w:r>
              <w:rPr>
                <w:rFonts w:cs="Times New Roman"/>
              </w:rPr>
              <w:t>MS4</w:t>
            </w:r>
          </w:p>
        </w:tc>
        <w:tc>
          <w:tcPr>
            <w:tcW w:w="2448" w:type="dxa"/>
            <w:tcMar>
              <w:top w:w="45" w:type="dxa"/>
              <w:left w:w="55" w:type="dxa"/>
              <w:bottom w:w="45" w:type="dxa"/>
              <w:right w:w="55" w:type="dxa"/>
            </w:tcMar>
          </w:tcPr>
          <w:p w14:paraId="04891F2B" w14:textId="77777777" w:rsidR="00894D55" w:rsidRDefault="00B20FC1">
            <w:pPr>
              <w:spacing w:after="0"/>
            </w:pPr>
            <w:r>
              <w:rPr>
                <w:rFonts w:cs="Times New Roman"/>
              </w:rPr>
              <w:t>External-independence and embodiment access gate</w:t>
            </w:r>
          </w:p>
        </w:tc>
        <w:tc>
          <w:tcPr>
            <w:tcW w:w="576" w:type="dxa"/>
            <w:tcMar>
              <w:top w:w="45" w:type="dxa"/>
              <w:left w:w="55" w:type="dxa"/>
              <w:bottom w:w="45" w:type="dxa"/>
              <w:right w:w="55" w:type="dxa"/>
            </w:tcMar>
          </w:tcPr>
          <w:p w14:paraId="1B7D6A1F" w14:textId="77777777" w:rsidR="00894D55" w:rsidRDefault="00B20FC1">
            <w:pPr>
              <w:spacing w:after="0"/>
            </w:pPr>
            <w:r>
              <w:rPr>
                <w:rFonts w:cs="Times New Roman"/>
              </w:rPr>
              <w:t>M15</w:t>
            </w:r>
          </w:p>
        </w:tc>
        <w:tc>
          <w:tcPr>
            <w:tcW w:w="936" w:type="dxa"/>
            <w:tcMar>
              <w:top w:w="45" w:type="dxa"/>
              <w:left w:w="55" w:type="dxa"/>
              <w:bottom w:w="45" w:type="dxa"/>
              <w:right w:w="55" w:type="dxa"/>
            </w:tcMar>
          </w:tcPr>
          <w:p w14:paraId="355CF543" w14:textId="77777777" w:rsidR="00894D55" w:rsidRDefault="00B20FC1">
            <w:pPr>
              <w:spacing w:after="0"/>
            </w:pPr>
            <w:r>
              <w:rPr>
                <w:rFonts w:cs="Times New Roman"/>
              </w:rPr>
              <w:t>WP5/WP6/WP7</w:t>
            </w:r>
          </w:p>
        </w:tc>
        <w:tc>
          <w:tcPr>
            <w:tcW w:w="5400" w:type="dxa"/>
            <w:tcMar>
              <w:top w:w="45" w:type="dxa"/>
              <w:left w:w="55" w:type="dxa"/>
              <w:bottom w:w="45" w:type="dxa"/>
              <w:right w:w="55" w:type="dxa"/>
            </w:tcMar>
          </w:tcPr>
          <w:p w14:paraId="4A39E88D" w14:textId="77777777" w:rsidR="00894D55" w:rsidRDefault="00B20FC1">
            <w:pPr>
              <w:spacing w:after="0"/>
            </w:pPr>
            <w:r>
              <w:rPr>
                <w:rFonts w:cs="Times New Roman"/>
              </w:rPr>
              <w:t xml:space="preserve">At least two independent system routes available for WP6 and a documented, budget-compatible path to physical lab/robotics access for WP7. </w:t>
            </w:r>
            <w:proofErr w:type="spellStart"/>
            <w:r w:rsidRPr="009102B1">
              <w:rPr>
                <w:rFonts w:cs="Times New Roman"/>
                <w:lang w:val="es-ES"/>
              </w:rPr>
              <w:t>Preferred</w:t>
            </w:r>
            <w:proofErr w:type="spellEnd"/>
            <w:r w:rsidRPr="009102B1">
              <w:rPr>
                <w:rFonts w:cs="Times New Roman"/>
                <w:lang w:val="es-ES"/>
              </w:rPr>
              <w:t xml:space="preserve"> </w:t>
            </w:r>
            <w:proofErr w:type="spellStart"/>
            <w:r w:rsidRPr="009102B1">
              <w:rPr>
                <w:rFonts w:cs="Times New Roman"/>
                <w:lang w:val="es-ES"/>
              </w:rPr>
              <w:t>route</w:t>
            </w:r>
            <w:proofErr w:type="spellEnd"/>
            <w:r w:rsidRPr="009102B1">
              <w:rPr>
                <w:rFonts w:cs="Times New Roman"/>
                <w:lang w:val="es-ES"/>
              </w:rPr>
              <w:t xml:space="preserve">: formal USAL </w:t>
            </w:r>
            <w:proofErr w:type="spellStart"/>
            <w:r w:rsidRPr="009102B1">
              <w:rPr>
                <w:rFonts w:cs="Times New Roman"/>
                <w:lang w:val="es-ES"/>
              </w:rPr>
              <w:t>agreement</w:t>
            </w:r>
            <w:proofErr w:type="spellEnd"/>
            <w:r w:rsidRPr="009102B1">
              <w:rPr>
                <w:rFonts w:cs="Times New Roman"/>
                <w:lang w:val="es-ES"/>
              </w:rPr>
              <w:t xml:space="preserve"> </w:t>
            </w:r>
            <w:proofErr w:type="spellStart"/>
            <w:r w:rsidRPr="009102B1">
              <w:rPr>
                <w:rFonts w:cs="Times New Roman"/>
                <w:lang w:val="es-ES"/>
              </w:rPr>
              <w:t>anchored</w:t>
            </w:r>
            <w:proofErr w:type="spellEnd"/>
            <w:r w:rsidRPr="009102B1">
              <w:rPr>
                <w:rFonts w:cs="Times New Roman"/>
                <w:lang w:val="es-ES"/>
              </w:rPr>
              <w:t xml:space="preserve"> in </w:t>
            </w:r>
            <w:proofErr w:type="spellStart"/>
            <w:r w:rsidRPr="009102B1">
              <w:rPr>
                <w:rFonts w:cs="Times New Roman"/>
                <w:lang w:val="es-ES"/>
              </w:rPr>
              <w:t>the</w:t>
            </w:r>
            <w:proofErr w:type="spellEnd"/>
            <w:r w:rsidRPr="009102B1">
              <w:rPr>
                <w:rFonts w:cs="Times New Roman"/>
                <w:lang w:val="es-ES"/>
              </w:rPr>
              <w:t xml:space="preserve"> Departamento de Informática y Automática (Ciencia de la Computación e Inteligencia Artificial + Ingeniería de Sistemas y Automática), </w:t>
            </w:r>
            <w:proofErr w:type="spellStart"/>
            <w:r w:rsidRPr="009102B1">
              <w:rPr>
                <w:rFonts w:cs="Times New Roman"/>
                <w:lang w:val="es-ES"/>
              </w:rPr>
              <w:t>pursued</w:t>
            </w:r>
            <w:proofErr w:type="spellEnd"/>
            <w:r w:rsidRPr="009102B1">
              <w:rPr>
                <w:rFonts w:cs="Times New Roman"/>
                <w:lang w:val="es-ES"/>
              </w:rPr>
              <w:t xml:space="preserve"> </w:t>
            </w:r>
            <w:proofErr w:type="spellStart"/>
            <w:r w:rsidRPr="009102B1">
              <w:rPr>
                <w:rFonts w:cs="Times New Roman"/>
                <w:lang w:val="es-ES"/>
              </w:rPr>
              <w:t>following</w:t>
            </w:r>
            <w:proofErr w:type="spellEnd"/>
            <w:r w:rsidRPr="009102B1">
              <w:rPr>
                <w:rFonts w:cs="Times New Roman"/>
                <w:lang w:val="es-ES"/>
              </w:rPr>
              <w:t xml:space="preserve"> a positive EIC </w:t>
            </w:r>
            <w:proofErr w:type="spellStart"/>
            <w:r w:rsidRPr="009102B1">
              <w:rPr>
                <w:rFonts w:cs="Times New Roman"/>
                <w:lang w:val="es-ES"/>
              </w:rPr>
              <w:t>Pathfinder</w:t>
            </w:r>
            <w:proofErr w:type="spellEnd"/>
            <w:r w:rsidRPr="009102B1">
              <w:rPr>
                <w:rFonts w:cs="Times New Roman"/>
                <w:lang w:val="es-ES"/>
              </w:rPr>
              <w:t xml:space="preserve"> </w:t>
            </w:r>
            <w:proofErr w:type="spellStart"/>
            <w:r w:rsidRPr="009102B1">
              <w:rPr>
                <w:rFonts w:cs="Times New Roman"/>
                <w:lang w:val="es-ES"/>
              </w:rPr>
              <w:t>DeepRAP</w:t>
            </w:r>
            <w:proofErr w:type="spellEnd"/>
            <w:r w:rsidRPr="009102B1">
              <w:rPr>
                <w:rFonts w:cs="Times New Roman"/>
                <w:lang w:val="es-ES"/>
              </w:rPr>
              <w:t xml:space="preserve"> </w:t>
            </w:r>
            <w:proofErr w:type="spellStart"/>
            <w:r w:rsidRPr="009102B1">
              <w:rPr>
                <w:rFonts w:cs="Times New Roman"/>
                <w:lang w:val="es-ES"/>
              </w:rPr>
              <w:t>funding</w:t>
            </w:r>
            <w:proofErr w:type="spellEnd"/>
            <w:r w:rsidRPr="009102B1">
              <w:rPr>
                <w:rFonts w:cs="Times New Roman"/>
                <w:lang w:val="es-ES"/>
              </w:rPr>
              <w:t xml:space="preserve"> </w:t>
            </w:r>
            <w:proofErr w:type="spellStart"/>
            <w:r w:rsidRPr="009102B1">
              <w:rPr>
                <w:rFonts w:cs="Times New Roman"/>
                <w:lang w:val="es-ES"/>
              </w:rPr>
              <w:t>decision</w:t>
            </w:r>
            <w:proofErr w:type="spellEnd"/>
            <w:r w:rsidRPr="009102B1">
              <w:rPr>
                <w:rFonts w:cs="Times New Roman"/>
                <w:lang w:val="es-ES"/>
              </w:rPr>
              <w:t xml:space="preserve">. </w:t>
            </w:r>
            <w:r>
              <w:rPr>
                <w:rFonts w:cs="Times New Roman"/>
              </w:rPr>
              <w:t>If not documented in time, the alternative European host/TEF/purchased-access route is activated immediately.</w:t>
            </w:r>
          </w:p>
        </w:tc>
      </w:tr>
      <w:tr w:rsidR="00894D55" w14:paraId="752A91B7" w14:textId="77777777">
        <w:trPr>
          <w:cantSplit/>
          <w:jc w:val="center"/>
        </w:trPr>
        <w:tc>
          <w:tcPr>
            <w:tcW w:w="605" w:type="dxa"/>
            <w:tcMar>
              <w:top w:w="45" w:type="dxa"/>
              <w:left w:w="55" w:type="dxa"/>
              <w:bottom w:w="45" w:type="dxa"/>
              <w:right w:w="55" w:type="dxa"/>
            </w:tcMar>
          </w:tcPr>
          <w:p w14:paraId="212F1113" w14:textId="77777777" w:rsidR="00894D55" w:rsidRDefault="00B20FC1">
            <w:pPr>
              <w:spacing w:after="0"/>
            </w:pPr>
            <w:r>
              <w:rPr>
                <w:rFonts w:cs="Times New Roman"/>
              </w:rPr>
              <w:t>MS5</w:t>
            </w:r>
          </w:p>
        </w:tc>
        <w:tc>
          <w:tcPr>
            <w:tcW w:w="2448" w:type="dxa"/>
            <w:tcMar>
              <w:top w:w="45" w:type="dxa"/>
              <w:left w:w="55" w:type="dxa"/>
              <w:bottom w:w="45" w:type="dxa"/>
              <w:right w:w="55" w:type="dxa"/>
            </w:tcMar>
          </w:tcPr>
          <w:p w14:paraId="25AEBEA0" w14:textId="77777777" w:rsidR="00894D55" w:rsidRDefault="00B20FC1">
            <w:pPr>
              <w:spacing w:after="0"/>
            </w:pPr>
            <w:r>
              <w:rPr>
                <w:rFonts w:cs="Times New Roman"/>
              </w:rPr>
              <w:t>Cross-System Independence gate</w:t>
            </w:r>
          </w:p>
        </w:tc>
        <w:tc>
          <w:tcPr>
            <w:tcW w:w="576" w:type="dxa"/>
            <w:tcMar>
              <w:top w:w="45" w:type="dxa"/>
              <w:left w:w="55" w:type="dxa"/>
              <w:bottom w:w="45" w:type="dxa"/>
              <w:right w:w="55" w:type="dxa"/>
            </w:tcMar>
          </w:tcPr>
          <w:p w14:paraId="3BD3C6DC" w14:textId="77777777" w:rsidR="00894D55" w:rsidRDefault="00B20FC1">
            <w:pPr>
              <w:spacing w:after="0"/>
            </w:pPr>
            <w:r>
              <w:rPr>
                <w:rFonts w:cs="Times New Roman"/>
              </w:rPr>
              <w:t>M24</w:t>
            </w:r>
          </w:p>
        </w:tc>
        <w:tc>
          <w:tcPr>
            <w:tcW w:w="936" w:type="dxa"/>
            <w:tcMar>
              <w:top w:w="45" w:type="dxa"/>
              <w:left w:w="55" w:type="dxa"/>
              <w:bottom w:w="45" w:type="dxa"/>
              <w:right w:w="55" w:type="dxa"/>
            </w:tcMar>
          </w:tcPr>
          <w:p w14:paraId="4680AB61" w14:textId="77777777" w:rsidR="00894D55" w:rsidRDefault="00B20FC1">
            <w:pPr>
              <w:spacing w:after="0"/>
            </w:pPr>
            <w:r>
              <w:rPr>
                <w:rFonts w:cs="Times New Roman"/>
              </w:rPr>
              <w:t>WP6</w:t>
            </w:r>
          </w:p>
        </w:tc>
        <w:tc>
          <w:tcPr>
            <w:tcW w:w="5400" w:type="dxa"/>
            <w:tcMar>
              <w:top w:w="45" w:type="dxa"/>
              <w:left w:w="55" w:type="dxa"/>
              <w:bottom w:w="45" w:type="dxa"/>
              <w:right w:w="55" w:type="dxa"/>
            </w:tcMar>
          </w:tcPr>
          <w:p w14:paraId="513B90B0" w14:textId="77777777" w:rsidR="00894D55" w:rsidRDefault="00B20FC1">
            <w:pPr>
              <w:spacing w:after="0"/>
            </w:pPr>
            <w:r>
              <w:rPr>
                <w:rFonts w:cs="Times New Roman"/>
              </w:rPr>
              <w:t>Frozen external-system evidence released; Year-3 invariant set and adapter limits fixed.</w:t>
            </w:r>
          </w:p>
        </w:tc>
      </w:tr>
      <w:tr w:rsidR="00894D55" w14:paraId="4F330D41" w14:textId="77777777">
        <w:trPr>
          <w:cantSplit/>
          <w:jc w:val="center"/>
        </w:trPr>
        <w:tc>
          <w:tcPr>
            <w:tcW w:w="605" w:type="dxa"/>
            <w:tcMar>
              <w:top w:w="45" w:type="dxa"/>
              <w:left w:w="55" w:type="dxa"/>
              <w:bottom w:w="45" w:type="dxa"/>
              <w:right w:w="55" w:type="dxa"/>
            </w:tcMar>
          </w:tcPr>
          <w:p w14:paraId="7D251B41" w14:textId="77777777" w:rsidR="00894D55" w:rsidRDefault="00B20FC1">
            <w:pPr>
              <w:spacing w:after="0"/>
            </w:pPr>
            <w:r>
              <w:rPr>
                <w:rFonts w:cs="Times New Roman"/>
              </w:rPr>
              <w:t>MS6</w:t>
            </w:r>
          </w:p>
        </w:tc>
        <w:tc>
          <w:tcPr>
            <w:tcW w:w="2448" w:type="dxa"/>
            <w:tcMar>
              <w:top w:w="45" w:type="dxa"/>
              <w:left w:w="55" w:type="dxa"/>
              <w:bottom w:w="45" w:type="dxa"/>
              <w:right w:w="55" w:type="dxa"/>
            </w:tcMar>
          </w:tcPr>
          <w:p w14:paraId="13937D89" w14:textId="77777777" w:rsidR="00894D55" w:rsidRDefault="00B20FC1">
            <w:pPr>
              <w:spacing w:after="0"/>
            </w:pPr>
            <w:r>
              <w:rPr>
                <w:rFonts w:cs="Times New Roman"/>
              </w:rPr>
              <w:t>Physical campaign readiness</w:t>
            </w:r>
          </w:p>
        </w:tc>
        <w:tc>
          <w:tcPr>
            <w:tcW w:w="576" w:type="dxa"/>
            <w:tcMar>
              <w:top w:w="45" w:type="dxa"/>
              <w:left w:w="55" w:type="dxa"/>
              <w:bottom w:w="45" w:type="dxa"/>
              <w:right w:w="55" w:type="dxa"/>
            </w:tcMar>
          </w:tcPr>
          <w:p w14:paraId="1C439A0F" w14:textId="77777777" w:rsidR="00894D55" w:rsidRDefault="00B20FC1">
            <w:pPr>
              <w:spacing w:after="0"/>
            </w:pPr>
            <w:r>
              <w:rPr>
                <w:rFonts w:cs="Times New Roman"/>
              </w:rPr>
              <w:t>M24</w:t>
            </w:r>
          </w:p>
        </w:tc>
        <w:tc>
          <w:tcPr>
            <w:tcW w:w="936" w:type="dxa"/>
            <w:tcMar>
              <w:top w:w="45" w:type="dxa"/>
              <w:left w:w="55" w:type="dxa"/>
              <w:bottom w:w="45" w:type="dxa"/>
              <w:right w:w="55" w:type="dxa"/>
            </w:tcMar>
          </w:tcPr>
          <w:p w14:paraId="6879E825" w14:textId="77777777" w:rsidR="00894D55" w:rsidRDefault="00B20FC1">
            <w:pPr>
              <w:spacing w:after="0"/>
            </w:pPr>
            <w:r>
              <w:rPr>
                <w:rFonts w:cs="Times New Roman"/>
              </w:rPr>
              <w:t>WP7</w:t>
            </w:r>
          </w:p>
        </w:tc>
        <w:tc>
          <w:tcPr>
            <w:tcW w:w="5400" w:type="dxa"/>
            <w:tcMar>
              <w:top w:w="45" w:type="dxa"/>
              <w:left w:w="55" w:type="dxa"/>
              <w:bottom w:w="45" w:type="dxa"/>
              <w:right w:w="55" w:type="dxa"/>
            </w:tcMar>
          </w:tcPr>
          <w:p w14:paraId="27CBC436" w14:textId="77777777" w:rsidR="00894D55" w:rsidRDefault="00B20FC1">
            <w:pPr>
              <w:spacing w:after="0"/>
            </w:pPr>
            <w:r>
              <w:rPr>
                <w:rFonts w:cs="Times New Roman"/>
              </w:rPr>
              <w:t>Embodiment protocol, safety/access conditions and perception-action stack validated in simulation and ready for laboratory execution.</w:t>
            </w:r>
          </w:p>
        </w:tc>
      </w:tr>
      <w:tr w:rsidR="00894D55" w14:paraId="6373EF2F" w14:textId="77777777">
        <w:trPr>
          <w:cantSplit/>
          <w:jc w:val="center"/>
        </w:trPr>
        <w:tc>
          <w:tcPr>
            <w:tcW w:w="605" w:type="dxa"/>
            <w:tcMar>
              <w:top w:w="45" w:type="dxa"/>
              <w:left w:w="55" w:type="dxa"/>
              <w:bottom w:w="45" w:type="dxa"/>
              <w:right w:w="55" w:type="dxa"/>
            </w:tcMar>
          </w:tcPr>
          <w:p w14:paraId="749054F2" w14:textId="77777777" w:rsidR="00894D55" w:rsidRDefault="00B20FC1">
            <w:pPr>
              <w:spacing w:after="0"/>
            </w:pPr>
            <w:r>
              <w:rPr>
                <w:rFonts w:cs="Times New Roman"/>
              </w:rPr>
              <w:lastRenderedPageBreak/>
              <w:t>MS7</w:t>
            </w:r>
          </w:p>
        </w:tc>
        <w:tc>
          <w:tcPr>
            <w:tcW w:w="2448" w:type="dxa"/>
            <w:tcMar>
              <w:top w:w="45" w:type="dxa"/>
              <w:left w:w="55" w:type="dxa"/>
              <w:bottom w:w="45" w:type="dxa"/>
              <w:right w:w="55" w:type="dxa"/>
            </w:tcMar>
          </w:tcPr>
          <w:p w14:paraId="6017BC0D" w14:textId="77777777" w:rsidR="00894D55" w:rsidRDefault="00B20FC1">
            <w:pPr>
              <w:spacing w:after="0"/>
            </w:pPr>
            <w:r>
              <w:rPr>
                <w:rFonts w:cs="Times New Roman"/>
              </w:rPr>
              <w:t>Final domain-of-validity and TRL4 gate</w:t>
            </w:r>
          </w:p>
        </w:tc>
        <w:tc>
          <w:tcPr>
            <w:tcW w:w="576" w:type="dxa"/>
            <w:tcMar>
              <w:top w:w="45" w:type="dxa"/>
              <w:left w:w="55" w:type="dxa"/>
              <w:bottom w:w="45" w:type="dxa"/>
              <w:right w:w="55" w:type="dxa"/>
            </w:tcMar>
          </w:tcPr>
          <w:p w14:paraId="09962D8C" w14:textId="77777777" w:rsidR="00894D55" w:rsidRDefault="00B20FC1">
            <w:pPr>
              <w:spacing w:after="0"/>
            </w:pPr>
            <w:r>
              <w:rPr>
                <w:rFonts w:cs="Times New Roman"/>
              </w:rPr>
              <w:t>M36</w:t>
            </w:r>
          </w:p>
        </w:tc>
        <w:tc>
          <w:tcPr>
            <w:tcW w:w="936" w:type="dxa"/>
            <w:tcMar>
              <w:top w:w="45" w:type="dxa"/>
              <w:left w:w="55" w:type="dxa"/>
              <w:bottom w:w="45" w:type="dxa"/>
              <w:right w:w="55" w:type="dxa"/>
            </w:tcMar>
          </w:tcPr>
          <w:p w14:paraId="615DF9C5" w14:textId="77777777" w:rsidR="00894D55" w:rsidRDefault="00B20FC1">
            <w:pPr>
              <w:spacing w:after="0"/>
            </w:pPr>
            <w:r>
              <w:rPr>
                <w:rFonts w:cs="Times New Roman"/>
              </w:rPr>
              <w:t>WP7/WP8/WP9</w:t>
            </w:r>
          </w:p>
        </w:tc>
        <w:tc>
          <w:tcPr>
            <w:tcW w:w="5400" w:type="dxa"/>
            <w:tcMar>
              <w:top w:w="45" w:type="dxa"/>
              <w:left w:w="55" w:type="dxa"/>
              <w:bottom w:w="45" w:type="dxa"/>
              <w:right w:w="55" w:type="dxa"/>
            </w:tcMar>
          </w:tcPr>
          <w:p w14:paraId="6D43F752" w14:textId="77777777" w:rsidR="00894D55" w:rsidRDefault="00B20FC1">
            <w:pPr>
              <w:spacing w:after="0"/>
            </w:pPr>
            <w:r>
              <w:rPr>
                <w:rFonts w:cs="Times New Roman"/>
              </w:rPr>
              <w:t>TRL4 acceptance tests completed; Atlas and embodied domain-of-validity released; exploitation route selected from validated scope.</w:t>
            </w:r>
          </w:p>
        </w:tc>
      </w:tr>
    </w:tbl>
    <w:p w14:paraId="71ABDB94" w14:textId="77777777" w:rsidR="00894D55" w:rsidRDefault="00894D55"/>
    <w:p w14:paraId="6913A01E" w14:textId="77777777" w:rsidR="00894D55" w:rsidRDefault="00B20FC1">
      <w:pPr>
        <w:keepNext/>
        <w:spacing w:before="60" w:after="40"/>
      </w:pPr>
      <w:r>
        <w:rPr>
          <w:rFonts w:cs="Times New Roman"/>
          <w:b/>
        </w:rPr>
        <w:t>Critical implementation risks and mitigation (Table 3.1e)</w:t>
      </w:r>
    </w:p>
    <w:tbl>
      <w:tblPr>
        <w:tblStyle w:val="Tablaconcuadrcula"/>
        <w:tblW w:w="0" w:type="auto"/>
        <w:jc w:val="center"/>
        <w:tblCellMar>
          <w:top w:w="40" w:type="dxa"/>
          <w:left w:w="60" w:type="dxa"/>
          <w:bottom w:w="40" w:type="dxa"/>
          <w:right w:w="60" w:type="dxa"/>
        </w:tblCellMar>
        <w:tblLook w:val="04A0" w:firstRow="1" w:lastRow="0" w:firstColumn="1" w:lastColumn="0" w:noHBand="0" w:noVBand="1"/>
      </w:tblPr>
      <w:tblGrid>
        <w:gridCol w:w="576"/>
        <w:gridCol w:w="2952"/>
        <w:gridCol w:w="648"/>
        <w:gridCol w:w="5760"/>
      </w:tblGrid>
      <w:tr w:rsidR="00894D55" w14:paraId="376F165C" w14:textId="77777777">
        <w:trPr>
          <w:cantSplit/>
          <w:tblHeader/>
          <w:jc w:val="center"/>
        </w:trPr>
        <w:tc>
          <w:tcPr>
            <w:tcW w:w="576" w:type="dxa"/>
            <w:shd w:val="clear" w:color="auto" w:fill="D9EAF7"/>
            <w:tcMar>
              <w:top w:w="45" w:type="dxa"/>
              <w:left w:w="55" w:type="dxa"/>
              <w:bottom w:w="45" w:type="dxa"/>
              <w:right w:w="55" w:type="dxa"/>
            </w:tcMar>
          </w:tcPr>
          <w:p w14:paraId="30F299B5" w14:textId="77777777" w:rsidR="00894D55" w:rsidRDefault="00B20FC1">
            <w:pPr>
              <w:spacing w:after="0"/>
            </w:pPr>
            <w:r>
              <w:rPr>
                <w:rFonts w:cs="Times New Roman"/>
                <w:b/>
              </w:rPr>
              <w:t>Risk</w:t>
            </w:r>
          </w:p>
        </w:tc>
        <w:tc>
          <w:tcPr>
            <w:tcW w:w="2952" w:type="dxa"/>
            <w:shd w:val="clear" w:color="auto" w:fill="D9EAF7"/>
            <w:tcMar>
              <w:top w:w="45" w:type="dxa"/>
              <w:left w:w="55" w:type="dxa"/>
              <w:bottom w:w="45" w:type="dxa"/>
              <w:right w:w="55" w:type="dxa"/>
            </w:tcMar>
          </w:tcPr>
          <w:p w14:paraId="65FF836D" w14:textId="77777777" w:rsidR="00894D55" w:rsidRDefault="00B20FC1">
            <w:pPr>
              <w:spacing w:after="0"/>
            </w:pPr>
            <w:r>
              <w:rPr>
                <w:rFonts w:cs="Times New Roman"/>
                <w:b/>
              </w:rPr>
              <w:t>Description</w:t>
            </w:r>
          </w:p>
        </w:tc>
        <w:tc>
          <w:tcPr>
            <w:tcW w:w="648" w:type="dxa"/>
            <w:shd w:val="clear" w:color="auto" w:fill="D9EAF7"/>
            <w:tcMar>
              <w:top w:w="45" w:type="dxa"/>
              <w:left w:w="55" w:type="dxa"/>
              <w:bottom w:w="45" w:type="dxa"/>
              <w:right w:w="55" w:type="dxa"/>
            </w:tcMar>
          </w:tcPr>
          <w:p w14:paraId="1661E22A" w14:textId="77777777" w:rsidR="00894D55" w:rsidRDefault="00B20FC1">
            <w:pPr>
              <w:spacing w:after="0"/>
            </w:pPr>
            <w:r>
              <w:rPr>
                <w:rFonts w:cs="Times New Roman"/>
                <w:b/>
              </w:rPr>
              <w:t>P/I</w:t>
            </w:r>
          </w:p>
        </w:tc>
        <w:tc>
          <w:tcPr>
            <w:tcW w:w="5760" w:type="dxa"/>
            <w:shd w:val="clear" w:color="auto" w:fill="D9EAF7"/>
            <w:tcMar>
              <w:top w:w="45" w:type="dxa"/>
              <w:left w:w="55" w:type="dxa"/>
              <w:bottom w:w="45" w:type="dxa"/>
              <w:right w:w="55" w:type="dxa"/>
            </w:tcMar>
          </w:tcPr>
          <w:p w14:paraId="442E1882" w14:textId="77777777" w:rsidR="00894D55" w:rsidRDefault="00B20FC1">
            <w:pPr>
              <w:spacing w:after="0"/>
            </w:pPr>
            <w:r>
              <w:rPr>
                <w:rFonts w:cs="Times New Roman"/>
                <w:b/>
              </w:rPr>
              <w:t>Mitigation</w:t>
            </w:r>
          </w:p>
        </w:tc>
      </w:tr>
      <w:tr w:rsidR="00894D55" w14:paraId="00D9F225" w14:textId="77777777">
        <w:trPr>
          <w:cantSplit/>
          <w:jc w:val="center"/>
        </w:trPr>
        <w:tc>
          <w:tcPr>
            <w:tcW w:w="576" w:type="dxa"/>
            <w:tcMar>
              <w:top w:w="45" w:type="dxa"/>
              <w:left w:w="55" w:type="dxa"/>
              <w:bottom w:w="45" w:type="dxa"/>
              <w:right w:w="55" w:type="dxa"/>
            </w:tcMar>
          </w:tcPr>
          <w:p w14:paraId="3BB986D0" w14:textId="77777777" w:rsidR="00894D55" w:rsidRDefault="00B20FC1">
            <w:pPr>
              <w:spacing w:after="0"/>
            </w:pPr>
            <w:r>
              <w:rPr>
                <w:rFonts w:cs="Times New Roman"/>
              </w:rPr>
              <w:t>IR1</w:t>
            </w:r>
          </w:p>
        </w:tc>
        <w:tc>
          <w:tcPr>
            <w:tcW w:w="2952" w:type="dxa"/>
            <w:tcMar>
              <w:top w:w="45" w:type="dxa"/>
              <w:left w:w="55" w:type="dxa"/>
              <w:bottom w:w="45" w:type="dxa"/>
              <w:right w:w="55" w:type="dxa"/>
            </w:tcMar>
          </w:tcPr>
          <w:p w14:paraId="5775A6AA" w14:textId="77777777" w:rsidR="00894D55" w:rsidRDefault="00B20FC1">
            <w:pPr>
              <w:spacing w:after="0"/>
            </w:pPr>
            <w:r>
              <w:rPr>
                <w:rFonts w:cs="Times New Roman"/>
              </w:rPr>
              <w:t>Physical embodied infrastructure is not secured in time for WP7.</w:t>
            </w:r>
          </w:p>
        </w:tc>
        <w:tc>
          <w:tcPr>
            <w:tcW w:w="648" w:type="dxa"/>
            <w:tcMar>
              <w:top w:w="45" w:type="dxa"/>
              <w:left w:w="55" w:type="dxa"/>
              <w:bottom w:w="45" w:type="dxa"/>
              <w:right w:w="55" w:type="dxa"/>
            </w:tcMar>
          </w:tcPr>
          <w:p w14:paraId="57879E13" w14:textId="77777777" w:rsidR="00894D55" w:rsidRDefault="00B20FC1">
            <w:pPr>
              <w:spacing w:after="0"/>
            </w:pPr>
            <w:r>
              <w:rPr>
                <w:rFonts w:cs="Times New Roman"/>
              </w:rPr>
              <w:t>M/H</w:t>
            </w:r>
          </w:p>
        </w:tc>
        <w:tc>
          <w:tcPr>
            <w:tcW w:w="5760" w:type="dxa"/>
            <w:tcMar>
              <w:top w:w="45" w:type="dxa"/>
              <w:left w:w="55" w:type="dxa"/>
              <w:bottom w:w="45" w:type="dxa"/>
              <w:right w:w="55" w:type="dxa"/>
            </w:tcMar>
          </w:tcPr>
          <w:p w14:paraId="08C82256" w14:textId="77777777" w:rsidR="00894D55" w:rsidRDefault="00B20FC1">
            <w:pPr>
              <w:spacing w:after="0"/>
            </w:pPr>
            <w:r>
              <w:rPr>
                <w:rFonts w:cs="Times New Roman"/>
              </w:rPr>
              <w:t xml:space="preserve">Preferred post-selection route: negotiate a formal USAL agreement through the </w:t>
            </w:r>
            <w:proofErr w:type="spellStart"/>
            <w:r>
              <w:rPr>
                <w:rFonts w:cs="Times New Roman"/>
              </w:rPr>
              <w:t>Departamento</w:t>
            </w:r>
            <w:proofErr w:type="spellEnd"/>
            <w:r>
              <w:rPr>
                <w:rFonts w:cs="Times New Roman"/>
              </w:rPr>
              <w:t xml:space="preserve"> de </w:t>
            </w:r>
            <w:proofErr w:type="spellStart"/>
            <w:r>
              <w:rPr>
                <w:rFonts w:cs="Times New Roman"/>
              </w:rPr>
              <w:t>Informática</w:t>
            </w:r>
            <w:proofErr w:type="spellEnd"/>
            <w:r>
              <w:rPr>
                <w:rFonts w:cs="Times New Roman"/>
              </w:rPr>
              <w:t xml:space="preserve"> y </w:t>
            </w:r>
            <w:proofErr w:type="spellStart"/>
            <w:r>
              <w:rPr>
                <w:rFonts w:cs="Times New Roman"/>
              </w:rPr>
              <w:t>Automática</w:t>
            </w:r>
            <w:proofErr w:type="spellEnd"/>
            <w:r>
              <w:rPr>
                <w:rFonts w:cs="Times New Roman"/>
              </w:rPr>
              <w:t xml:space="preserve">, combining </w:t>
            </w:r>
            <w:proofErr w:type="spellStart"/>
            <w:r>
              <w:rPr>
                <w:rFonts w:cs="Times New Roman"/>
              </w:rPr>
              <w:t>Ciencia</w:t>
            </w:r>
            <w:proofErr w:type="spellEnd"/>
            <w:r>
              <w:rPr>
                <w:rFonts w:cs="Times New Roman"/>
              </w:rPr>
              <w:t xml:space="preserve"> de la </w:t>
            </w:r>
            <w:proofErr w:type="spellStart"/>
            <w:r>
              <w:rPr>
                <w:rFonts w:cs="Times New Roman"/>
              </w:rPr>
              <w:t>Computación</w:t>
            </w:r>
            <w:proofErr w:type="spellEnd"/>
            <w:r>
              <w:rPr>
                <w:rFonts w:cs="Times New Roman"/>
              </w:rPr>
              <w:t xml:space="preserve"> e </w:t>
            </w:r>
            <w:proofErr w:type="spellStart"/>
            <w:r>
              <w:rPr>
                <w:rFonts w:cs="Times New Roman"/>
              </w:rPr>
              <w:t>Inteligencia</w:t>
            </w:r>
            <w:proofErr w:type="spellEnd"/>
            <w:r>
              <w:rPr>
                <w:rFonts w:cs="Times New Roman"/>
              </w:rPr>
              <w:t xml:space="preserve"> Artificial with </w:t>
            </w:r>
            <w:proofErr w:type="spellStart"/>
            <w:r>
              <w:rPr>
                <w:rFonts w:cs="Times New Roman"/>
              </w:rPr>
              <w:t>Ingeniería</w:t>
            </w:r>
            <w:proofErr w:type="spellEnd"/>
            <w:r>
              <w:rPr>
                <w:rFonts w:cs="Times New Roman"/>
              </w:rPr>
              <w:t xml:space="preserve"> de </w:t>
            </w:r>
            <w:proofErr w:type="spellStart"/>
            <w:r>
              <w:rPr>
                <w:rFonts w:cs="Times New Roman"/>
              </w:rPr>
              <w:t>Sistemas</w:t>
            </w:r>
            <w:proofErr w:type="spellEnd"/>
            <w:r>
              <w:rPr>
                <w:rFonts w:cs="Times New Roman"/>
              </w:rPr>
              <w:t xml:space="preserve"> y </w:t>
            </w:r>
            <w:proofErr w:type="spellStart"/>
            <w:r>
              <w:rPr>
                <w:rFonts w:cs="Times New Roman"/>
              </w:rPr>
              <w:t>Automática</w:t>
            </w:r>
            <w:proofErr w:type="spellEnd"/>
            <w:r>
              <w:rPr>
                <w:rFonts w:cs="Times New Roman"/>
              </w:rPr>
              <w:t xml:space="preserve"> for the WP7 embodied campaign. EIC selection is the negotiation trigger, not evidence of USAL commitment. Maintain </w:t>
            </w:r>
            <w:proofErr w:type="spellStart"/>
            <w:r>
              <w:rPr>
                <w:rFonts w:cs="Times New Roman"/>
              </w:rPr>
              <w:t>DeepRAP</w:t>
            </w:r>
            <w:proofErr w:type="spellEnd"/>
            <w:r>
              <w:rPr>
                <w:rFonts w:cs="Times New Roman"/>
              </w:rPr>
              <w:t xml:space="preserve"> common pilots, alternative European university/robotics hosts, TEFs/equivalent facilities and eligible purchased laboratory access in parallel. Formal M15 access gate; fallback activated immediately if the preferred route is not documented.</w:t>
            </w:r>
          </w:p>
        </w:tc>
      </w:tr>
      <w:tr w:rsidR="00894D55" w14:paraId="50A32FD7" w14:textId="77777777">
        <w:trPr>
          <w:cantSplit/>
          <w:jc w:val="center"/>
        </w:trPr>
        <w:tc>
          <w:tcPr>
            <w:tcW w:w="576" w:type="dxa"/>
            <w:tcMar>
              <w:top w:w="45" w:type="dxa"/>
              <w:left w:w="55" w:type="dxa"/>
              <w:bottom w:w="45" w:type="dxa"/>
              <w:right w:w="55" w:type="dxa"/>
            </w:tcMar>
          </w:tcPr>
          <w:p w14:paraId="442B320F" w14:textId="77777777" w:rsidR="00894D55" w:rsidRDefault="00B20FC1">
            <w:pPr>
              <w:spacing w:after="0"/>
            </w:pPr>
            <w:r>
              <w:rPr>
                <w:rFonts w:cs="Times New Roman"/>
              </w:rPr>
              <w:t>IR2</w:t>
            </w:r>
          </w:p>
        </w:tc>
        <w:tc>
          <w:tcPr>
            <w:tcW w:w="2952" w:type="dxa"/>
            <w:tcMar>
              <w:top w:w="45" w:type="dxa"/>
              <w:left w:w="55" w:type="dxa"/>
              <w:bottom w:w="45" w:type="dxa"/>
              <w:right w:w="55" w:type="dxa"/>
            </w:tcMar>
          </w:tcPr>
          <w:p w14:paraId="482C4144" w14:textId="77777777" w:rsidR="00894D55" w:rsidRDefault="00B20FC1">
            <w:pPr>
              <w:spacing w:after="0"/>
            </w:pPr>
            <w:r>
              <w:rPr>
                <w:rFonts w:cs="Times New Roman"/>
              </w:rPr>
              <w:t>Insufficient independent systems expose native observables needed for WP6.</w:t>
            </w:r>
          </w:p>
        </w:tc>
        <w:tc>
          <w:tcPr>
            <w:tcW w:w="648" w:type="dxa"/>
            <w:tcMar>
              <w:top w:w="45" w:type="dxa"/>
              <w:left w:w="55" w:type="dxa"/>
              <w:bottom w:w="45" w:type="dxa"/>
              <w:right w:w="55" w:type="dxa"/>
            </w:tcMar>
          </w:tcPr>
          <w:p w14:paraId="64D0AE82" w14:textId="77777777" w:rsidR="00894D55" w:rsidRDefault="00B20FC1">
            <w:pPr>
              <w:spacing w:after="0"/>
            </w:pPr>
            <w:r>
              <w:rPr>
                <w:rFonts w:cs="Times New Roman"/>
              </w:rPr>
              <w:t>M/H</w:t>
            </w:r>
          </w:p>
        </w:tc>
        <w:tc>
          <w:tcPr>
            <w:tcW w:w="5760" w:type="dxa"/>
            <w:tcMar>
              <w:top w:w="45" w:type="dxa"/>
              <w:left w:w="55" w:type="dxa"/>
              <w:bottom w:w="45" w:type="dxa"/>
              <w:right w:w="55" w:type="dxa"/>
            </w:tcMar>
          </w:tcPr>
          <w:p w14:paraId="34C3A524" w14:textId="77777777" w:rsidR="00894D55" w:rsidRDefault="00B20FC1">
            <w:pPr>
              <w:spacing w:after="0"/>
            </w:pPr>
            <w:r>
              <w:rPr>
                <w:rFonts w:cs="Times New Roman"/>
              </w:rPr>
              <w:t xml:space="preserve">Use portfolio systems as preferred route but not sole dependency; maintain open/licensed/API-accessible fallback set. Define minimum observable interface classes in WP2 and permit black-box </w:t>
            </w:r>
            <w:proofErr w:type="spellStart"/>
            <w:r>
              <w:rPr>
                <w:rFonts w:cs="Times New Roman"/>
              </w:rPr>
              <w:t>behavioural</w:t>
            </w:r>
            <w:proofErr w:type="spellEnd"/>
            <w:r>
              <w:rPr>
                <w:rFonts w:cs="Times New Roman"/>
              </w:rPr>
              <w:t xml:space="preserve"> artefacts where native internals are unavailable, while reporting the resulting evidence level.</w:t>
            </w:r>
          </w:p>
        </w:tc>
      </w:tr>
      <w:tr w:rsidR="00894D55" w14:paraId="4FF3A2A8" w14:textId="77777777">
        <w:trPr>
          <w:cantSplit/>
          <w:jc w:val="center"/>
        </w:trPr>
        <w:tc>
          <w:tcPr>
            <w:tcW w:w="576" w:type="dxa"/>
            <w:tcMar>
              <w:top w:w="45" w:type="dxa"/>
              <w:left w:w="55" w:type="dxa"/>
              <w:bottom w:w="45" w:type="dxa"/>
              <w:right w:w="55" w:type="dxa"/>
            </w:tcMar>
          </w:tcPr>
          <w:p w14:paraId="1F6F3C2D" w14:textId="77777777" w:rsidR="00894D55" w:rsidRDefault="00B20FC1">
            <w:pPr>
              <w:spacing w:after="0"/>
            </w:pPr>
            <w:r>
              <w:rPr>
                <w:rFonts w:cs="Times New Roman"/>
              </w:rPr>
              <w:t>IR3</w:t>
            </w:r>
          </w:p>
        </w:tc>
        <w:tc>
          <w:tcPr>
            <w:tcW w:w="2952" w:type="dxa"/>
            <w:tcMar>
              <w:top w:w="45" w:type="dxa"/>
              <w:left w:w="55" w:type="dxa"/>
              <w:bottom w:w="45" w:type="dxa"/>
              <w:right w:w="55" w:type="dxa"/>
            </w:tcMar>
          </w:tcPr>
          <w:p w14:paraId="09644180" w14:textId="77777777" w:rsidR="00894D55" w:rsidRDefault="00B20FC1">
            <w:pPr>
              <w:spacing w:after="0"/>
            </w:pPr>
            <w:r>
              <w:rPr>
                <w:rFonts w:cs="Times New Roman"/>
              </w:rPr>
              <w:t>Recruitment or specialist capacity lags the scientific schedule.</w:t>
            </w:r>
          </w:p>
        </w:tc>
        <w:tc>
          <w:tcPr>
            <w:tcW w:w="648" w:type="dxa"/>
            <w:tcMar>
              <w:top w:w="45" w:type="dxa"/>
              <w:left w:w="55" w:type="dxa"/>
              <w:bottom w:w="45" w:type="dxa"/>
              <w:right w:w="55" w:type="dxa"/>
            </w:tcMar>
          </w:tcPr>
          <w:p w14:paraId="663172FC" w14:textId="77777777" w:rsidR="00894D55" w:rsidRDefault="00B20FC1">
            <w:pPr>
              <w:spacing w:after="0"/>
            </w:pPr>
            <w:r>
              <w:rPr>
                <w:rFonts w:cs="Times New Roman"/>
              </w:rPr>
              <w:t>M/H</w:t>
            </w:r>
          </w:p>
        </w:tc>
        <w:tc>
          <w:tcPr>
            <w:tcW w:w="5760" w:type="dxa"/>
            <w:tcMar>
              <w:top w:w="45" w:type="dxa"/>
              <w:left w:w="55" w:type="dxa"/>
              <w:bottom w:w="45" w:type="dxa"/>
              <w:right w:w="55" w:type="dxa"/>
            </w:tcMar>
          </w:tcPr>
          <w:p w14:paraId="12152330" w14:textId="77777777" w:rsidR="00894D55" w:rsidRDefault="00B20FC1">
            <w:pPr>
              <w:spacing w:after="0"/>
            </w:pPr>
            <w:r>
              <w:rPr>
                <w:rFonts w:cs="Times New Roman"/>
              </w:rPr>
              <w:t>Front-load applicant-controlled WP2-WP3; recruit by role against frozen task profiles; use eligible external expertise/services for non-core support; stage-gate tasks so unavailable expertise cannot silently lower scientific criteria.</w:t>
            </w:r>
          </w:p>
        </w:tc>
      </w:tr>
      <w:tr w:rsidR="00894D55" w14:paraId="1F62AA38" w14:textId="77777777">
        <w:trPr>
          <w:cantSplit/>
          <w:jc w:val="center"/>
        </w:trPr>
        <w:tc>
          <w:tcPr>
            <w:tcW w:w="576" w:type="dxa"/>
            <w:tcMar>
              <w:top w:w="45" w:type="dxa"/>
              <w:left w:w="55" w:type="dxa"/>
              <w:bottom w:w="45" w:type="dxa"/>
              <w:right w:w="55" w:type="dxa"/>
            </w:tcMar>
          </w:tcPr>
          <w:p w14:paraId="50B3E60A" w14:textId="77777777" w:rsidR="00894D55" w:rsidRDefault="00B20FC1">
            <w:pPr>
              <w:spacing w:after="0"/>
            </w:pPr>
            <w:r>
              <w:rPr>
                <w:rFonts w:cs="Times New Roman"/>
              </w:rPr>
              <w:t>IR4</w:t>
            </w:r>
          </w:p>
        </w:tc>
        <w:tc>
          <w:tcPr>
            <w:tcW w:w="2952" w:type="dxa"/>
            <w:tcMar>
              <w:top w:w="45" w:type="dxa"/>
              <w:left w:w="55" w:type="dxa"/>
              <w:bottom w:w="45" w:type="dxa"/>
              <w:right w:w="55" w:type="dxa"/>
            </w:tcMar>
          </w:tcPr>
          <w:p w14:paraId="208CF3C3" w14:textId="77777777" w:rsidR="00894D55" w:rsidRDefault="00B20FC1">
            <w:pPr>
              <w:spacing w:after="0"/>
            </w:pPr>
            <w:r>
              <w:rPr>
                <w:rFonts w:cs="Times New Roman"/>
              </w:rPr>
              <w:t>Cloud/API/provider volatility or cost increase disrupts campaigns.</w:t>
            </w:r>
          </w:p>
        </w:tc>
        <w:tc>
          <w:tcPr>
            <w:tcW w:w="648" w:type="dxa"/>
            <w:tcMar>
              <w:top w:w="45" w:type="dxa"/>
              <w:left w:w="55" w:type="dxa"/>
              <w:bottom w:w="45" w:type="dxa"/>
              <w:right w:w="55" w:type="dxa"/>
            </w:tcMar>
          </w:tcPr>
          <w:p w14:paraId="5A70496B" w14:textId="77777777" w:rsidR="00894D55" w:rsidRDefault="00B20FC1">
            <w:pPr>
              <w:spacing w:after="0"/>
            </w:pPr>
            <w:r>
              <w:rPr>
                <w:rFonts w:cs="Times New Roman"/>
              </w:rPr>
              <w:t>M/M</w:t>
            </w:r>
          </w:p>
        </w:tc>
        <w:tc>
          <w:tcPr>
            <w:tcW w:w="5760" w:type="dxa"/>
            <w:tcMar>
              <w:top w:w="45" w:type="dxa"/>
              <w:left w:w="55" w:type="dxa"/>
              <w:bottom w:w="45" w:type="dxa"/>
              <w:right w:w="55" w:type="dxa"/>
            </w:tcMar>
          </w:tcPr>
          <w:p w14:paraId="20BD75F3" w14:textId="77777777" w:rsidR="00894D55" w:rsidRDefault="00B20FC1">
            <w:pPr>
              <w:spacing w:after="0"/>
            </w:pPr>
            <w:r>
              <w:rPr>
                <w:rFonts w:cs="Times New Roman"/>
              </w:rPr>
              <w:t>Multi-provider design, local constrained models, cached task artefacts where permitted, version-bound manifests and budget reserve. Provider substitution is recorded as an experimental factor, not hidden.</w:t>
            </w:r>
          </w:p>
        </w:tc>
      </w:tr>
      <w:tr w:rsidR="00894D55" w14:paraId="058AA65F" w14:textId="77777777">
        <w:trPr>
          <w:cantSplit/>
          <w:jc w:val="center"/>
        </w:trPr>
        <w:tc>
          <w:tcPr>
            <w:tcW w:w="576" w:type="dxa"/>
            <w:tcMar>
              <w:top w:w="45" w:type="dxa"/>
              <w:left w:w="55" w:type="dxa"/>
              <w:bottom w:w="45" w:type="dxa"/>
              <w:right w:w="55" w:type="dxa"/>
            </w:tcMar>
          </w:tcPr>
          <w:p w14:paraId="2728F000" w14:textId="77777777" w:rsidR="00894D55" w:rsidRDefault="00B20FC1">
            <w:pPr>
              <w:spacing w:after="0"/>
            </w:pPr>
            <w:r>
              <w:rPr>
                <w:rFonts w:cs="Times New Roman"/>
              </w:rPr>
              <w:t>IR5</w:t>
            </w:r>
          </w:p>
        </w:tc>
        <w:tc>
          <w:tcPr>
            <w:tcW w:w="2952" w:type="dxa"/>
            <w:tcMar>
              <w:top w:w="45" w:type="dxa"/>
              <w:left w:w="55" w:type="dxa"/>
              <w:bottom w:w="45" w:type="dxa"/>
              <w:right w:w="55" w:type="dxa"/>
            </w:tcMar>
          </w:tcPr>
          <w:p w14:paraId="688BF8AE" w14:textId="77777777" w:rsidR="00894D55" w:rsidRDefault="00B20FC1">
            <w:pPr>
              <w:spacing w:after="0"/>
            </w:pPr>
            <w:r>
              <w:rPr>
                <w:rFonts w:cs="Times New Roman"/>
              </w:rPr>
              <w:t>Adapter work expands and consumes disproportionate resources.</w:t>
            </w:r>
          </w:p>
        </w:tc>
        <w:tc>
          <w:tcPr>
            <w:tcW w:w="648" w:type="dxa"/>
            <w:tcMar>
              <w:top w:w="45" w:type="dxa"/>
              <w:left w:w="55" w:type="dxa"/>
              <w:bottom w:w="45" w:type="dxa"/>
              <w:right w:w="55" w:type="dxa"/>
            </w:tcMar>
          </w:tcPr>
          <w:p w14:paraId="5CD00C64" w14:textId="77777777" w:rsidR="00894D55" w:rsidRDefault="00B20FC1">
            <w:pPr>
              <w:spacing w:after="0"/>
            </w:pPr>
            <w:r>
              <w:rPr>
                <w:rFonts w:cs="Times New Roman"/>
              </w:rPr>
              <w:t>M/H</w:t>
            </w:r>
          </w:p>
        </w:tc>
        <w:tc>
          <w:tcPr>
            <w:tcW w:w="5760" w:type="dxa"/>
            <w:tcMar>
              <w:top w:w="45" w:type="dxa"/>
              <w:left w:w="55" w:type="dxa"/>
              <w:bottom w:w="45" w:type="dxa"/>
              <w:right w:w="55" w:type="dxa"/>
            </w:tcMar>
          </w:tcPr>
          <w:p w14:paraId="347848B9" w14:textId="77777777" w:rsidR="00894D55" w:rsidRDefault="00B20FC1">
            <w:pPr>
              <w:spacing w:after="0"/>
            </w:pPr>
            <w:r>
              <w:rPr>
                <w:rFonts w:cs="Times New Roman"/>
              </w:rPr>
              <w:t>Prospective adapter-minimality thresholds; complexity and semantic burden measured as endpoints; stop integration when thresholds are exceeded and classify the case as evidence against ontology-light portability rather than engineering indefinitely.</w:t>
            </w:r>
          </w:p>
        </w:tc>
      </w:tr>
      <w:tr w:rsidR="00894D55" w14:paraId="000FE3F0" w14:textId="77777777">
        <w:trPr>
          <w:cantSplit/>
          <w:jc w:val="center"/>
        </w:trPr>
        <w:tc>
          <w:tcPr>
            <w:tcW w:w="576" w:type="dxa"/>
            <w:tcMar>
              <w:top w:w="45" w:type="dxa"/>
              <w:left w:w="55" w:type="dxa"/>
              <w:bottom w:w="45" w:type="dxa"/>
              <w:right w:w="55" w:type="dxa"/>
            </w:tcMar>
          </w:tcPr>
          <w:p w14:paraId="331D30BA" w14:textId="77777777" w:rsidR="00894D55" w:rsidRDefault="00B20FC1">
            <w:pPr>
              <w:spacing w:after="0"/>
            </w:pPr>
            <w:r>
              <w:rPr>
                <w:rFonts w:cs="Times New Roman"/>
              </w:rPr>
              <w:t>IR6</w:t>
            </w:r>
          </w:p>
        </w:tc>
        <w:tc>
          <w:tcPr>
            <w:tcW w:w="2952" w:type="dxa"/>
            <w:tcMar>
              <w:top w:w="45" w:type="dxa"/>
              <w:left w:w="55" w:type="dxa"/>
              <w:bottom w:w="45" w:type="dxa"/>
              <w:right w:w="55" w:type="dxa"/>
            </w:tcMar>
          </w:tcPr>
          <w:p w14:paraId="01E31B7A" w14:textId="77777777" w:rsidR="00894D55" w:rsidRDefault="00B20FC1">
            <w:pPr>
              <w:spacing w:after="0"/>
            </w:pPr>
            <w:r>
              <w:rPr>
                <w:rFonts w:cs="Times New Roman"/>
              </w:rPr>
              <w:t>Portfolio timing does not align with MDPAR-H Year-2/Year-3 needs.</w:t>
            </w:r>
          </w:p>
        </w:tc>
        <w:tc>
          <w:tcPr>
            <w:tcW w:w="648" w:type="dxa"/>
            <w:tcMar>
              <w:top w:w="45" w:type="dxa"/>
              <w:left w:w="55" w:type="dxa"/>
              <w:bottom w:w="45" w:type="dxa"/>
              <w:right w:w="55" w:type="dxa"/>
            </w:tcMar>
          </w:tcPr>
          <w:p w14:paraId="00A1CAE0" w14:textId="77777777" w:rsidR="00894D55" w:rsidRDefault="00B20FC1">
            <w:pPr>
              <w:spacing w:after="0"/>
            </w:pPr>
            <w:r>
              <w:rPr>
                <w:rFonts w:cs="Times New Roman"/>
              </w:rPr>
              <w:t>M/M</w:t>
            </w:r>
          </w:p>
        </w:tc>
        <w:tc>
          <w:tcPr>
            <w:tcW w:w="5760" w:type="dxa"/>
            <w:tcMar>
              <w:top w:w="45" w:type="dxa"/>
              <w:left w:w="55" w:type="dxa"/>
              <w:bottom w:w="45" w:type="dxa"/>
              <w:right w:w="55" w:type="dxa"/>
            </w:tcMar>
          </w:tcPr>
          <w:p w14:paraId="59F0A5A7" w14:textId="77777777" w:rsidR="00894D55" w:rsidRDefault="00B20FC1">
            <w:pPr>
              <w:spacing w:after="0"/>
            </w:pPr>
            <w:r>
              <w:rPr>
                <w:rFonts w:cs="Times New Roman"/>
              </w:rPr>
              <w:t>Treat portfolio collaboration as scientific leverage, not single-point dependency. Use asynchronous frozen interfaces/benchmarks and fallback independent systems/facilities. Joint pilots are added where schedules align.</w:t>
            </w:r>
          </w:p>
        </w:tc>
      </w:tr>
      <w:tr w:rsidR="00894D55" w14:paraId="6B338533" w14:textId="77777777">
        <w:trPr>
          <w:cantSplit/>
          <w:jc w:val="center"/>
        </w:trPr>
        <w:tc>
          <w:tcPr>
            <w:tcW w:w="576" w:type="dxa"/>
            <w:tcMar>
              <w:top w:w="45" w:type="dxa"/>
              <w:left w:w="55" w:type="dxa"/>
              <w:bottom w:w="45" w:type="dxa"/>
              <w:right w:w="55" w:type="dxa"/>
            </w:tcMar>
          </w:tcPr>
          <w:p w14:paraId="7CA8209C" w14:textId="77777777" w:rsidR="00894D55" w:rsidRDefault="00B20FC1">
            <w:pPr>
              <w:spacing w:after="0"/>
            </w:pPr>
            <w:r>
              <w:rPr>
                <w:rFonts w:cs="Times New Roman"/>
              </w:rPr>
              <w:t>IR7</w:t>
            </w:r>
          </w:p>
        </w:tc>
        <w:tc>
          <w:tcPr>
            <w:tcW w:w="2952" w:type="dxa"/>
            <w:tcMar>
              <w:top w:w="45" w:type="dxa"/>
              <w:left w:w="55" w:type="dxa"/>
              <w:bottom w:w="45" w:type="dxa"/>
              <w:right w:w="55" w:type="dxa"/>
            </w:tcMar>
          </w:tcPr>
          <w:p w14:paraId="58F80A3E" w14:textId="77777777" w:rsidR="00894D55" w:rsidRDefault="00B20FC1">
            <w:pPr>
              <w:spacing w:after="0"/>
            </w:pPr>
            <w:r>
              <w:rPr>
                <w:rFonts w:cs="Times New Roman"/>
              </w:rPr>
              <w:t>Strong negative scientific results reduce the planned demonstrator scope.</w:t>
            </w:r>
          </w:p>
        </w:tc>
        <w:tc>
          <w:tcPr>
            <w:tcW w:w="648" w:type="dxa"/>
            <w:tcMar>
              <w:top w:w="45" w:type="dxa"/>
              <w:left w:w="55" w:type="dxa"/>
              <w:bottom w:w="45" w:type="dxa"/>
              <w:right w:w="55" w:type="dxa"/>
            </w:tcMar>
          </w:tcPr>
          <w:p w14:paraId="3EADC0AB" w14:textId="77777777" w:rsidR="00894D55" w:rsidRDefault="00B20FC1">
            <w:pPr>
              <w:spacing w:after="0"/>
            </w:pPr>
            <w:r>
              <w:rPr>
                <w:rFonts w:cs="Times New Roman"/>
              </w:rPr>
              <w:t>M/M</w:t>
            </w:r>
          </w:p>
        </w:tc>
        <w:tc>
          <w:tcPr>
            <w:tcW w:w="5760" w:type="dxa"/>
            <w:tcMar>
              <w:top w:w="45" w:type="dxa"/>
              <w:left w:w="55" w:type="dxa"/>
              <w:bottom w:w="45" w:type="dxa"/>
              <w:right w:w="55" w:type="dxa"/>
            </w:tcMar>
          </w:tcPr>
          <w:p w14:paraId="2AC5394A" w14:textId="77777777" w:rsidR="00894D55" w:rsidRDefault="00B20FC1">
            <w:pPr>
              <w:spacing w:after="0"/>
            </w:pPr>
            <w:r>
              <w:rPr>
                <w:rFonts w:cs="Times New Roman"/>
              </w:rPr>
              <w:t>TRL4 and universality are separate endpoints. Integrate only mechanisms that pass gates; preserve narrower but valid symbolic/interoperability demonstrator and publish falsification/domain boundaries as project results.</w:t>
            </w:r>
          </w:p>
        </w:tc>
      </w:tr>
      <w:tr w:rsidR="00894D55" w14:paraId="69468FB1" w14:textId="77777777">
        <w:trPr>
          <w:cantSplit/>
          <w:jc w:val="center"/>
        </w:trPr>
        <w:tc>
          <w:tcPr>
            <w:tcW w:w="576" w:type="dxa"/>
            <w:tcMar>
              <w:top w:w="45" w:type="dxa"/>
              <w:left w:w="55" w:type="dxa"/>
              <w:bottom w:w="45" w:type="dxa"/>
              <w:right w:w="55" w:type="dxa"/>
            </w:tcMar>
          </w:tcPr>
          <w:p w14:paraId="3289F402" w14:textId="77777777" w:rsidR="00894D55" w:rsidRDefault="00B20FC1">
            <w:pPr>
              <w:spacing w:after="0"/>
            </w:pPr>
            <w:r>
              <w:rPr>
                <w:rFonts w:cs="Times New Roman"/>
              </w:rPr>
              <w:t>IR8</w:t>
            </w:r>
          </w:p>
        </w:tc>
        <w:tc>
          <w:tcPr>
            <w:tcW w:w="2952" w:type="dxa"/>
            <w:tcMar>
              <w:top w:w="45" w:type="dxa"/>
              <w:left w:w="55" w:type="dxa"/>
              <w:bottom w:w="45" w:type="dxa"/>
              <w:right w:w="55" w:type="dxa"/>
            </w:tcMar>
          </w:tcPr>
          <w:p w14:paraId="7162BB94" w14:textId="77777777" w:rsidR="00894D55" w:rsidRDefault="00B20FC1">
            <w:pPr>
              <w:spacing w:after="0"/>
            </w:pPr>
            <w:r>
              <w:rPr>
                <w:rFonts w:cs="Times New Roman"/>
              </w:rPr>
              <w:t>IP/open-science tension blocks independent scrutiny.</w:t>
            </w:r>
          </w:p>
        </w:tc>
        <w:tc>
          <w:tcPr>
            <w:tcW w:w="648" w:type="dxa"/>
            <w:tcMar>
              <w:top w:w="45" w:type="dxa"/>
              <w:left w:w="55" w:type="dxa"/>
              <w:bottom w:w="45" w:type="dxa"/>
              <w:right w:w="55" w:type="dxa"/>
            </w:tcMar>
          </w:tcPr>
          <w:p w14:paraId="73C30836" w14:textId="77777777" w:rsidR="00894D55" w:rsidRDefault="00B20FC1">
            <w:pPr>
              <w:spacing w:after="0"/>
            </w:pPr>
            <w:r>
              <w:rPr>
                <w:rFonts w:cs="Times New Roman"/>
              </w:rPr>
              <w:t>L/M</w:t>
            </w:r>
          </w:p>
        </w:tc>
        <w:tc>
          <w:tcPr>
            <w:tcW w:w="5760" w:type="dxa"/>
            <w:tcMar>
              <w:top w:w="45" w:type="dxa"/>
              <w:left w:w="55" w:type="dxa"/>
              <w:bottom w:w="45" w:type="dxa"/>
              <w:right w:w="55" w:type="dxa"/>
            </w:tcMar>
          </w:tcPr>
          <w:p w14:paraId="1C1EEBBE" w14:textId="77777777" w:rsidR="00894D55" w:rsidRDefault="00B20FC1">
            <w:pPr>
              <w:spacing w:after="0"/>
            </w:pPr>
            <w:r>
              <w:rPr>
                <w:rFonts w:cs="Times New Roman"/>
              </w:rPr>
              <w:t>Publish hypotheses, metrics, interfaces, benchmarks, frozen outputs and sufficient run metadata; use controlled verification for protected runtime. Maintain access-rights register and protection review before disclosure.</w:t>
            </w:r>
          </w:p>
        </w:tc>
      </w:tr>
    </w:tbl>
    <w:p w14:paraId="530377EE" w14:textId="77777777" w:rsidR="00894D55" w:rsidRDefault="00894D55"/>
    <w:p w14:paraId="471CBE40" w14:textId="77777777" w:rsidR="00894D55" w:rsidRDefault="00B20FC1">
      <w:pPr>
        <w:keepNext/>
        <w:spacing w:before="60" w:after="40"/>
      </w:pPr>
      <w:r>
        <w:rPr>
          <w:rFonts w:cs="Times New Roman"/>
          <w:b/>
        </w:rPr>
        <w:t>Person-months and staffing model (Table 3.1f)</w:t>
      </w:r>
    </w:p>
    <w:p w14:paraId="34BB8075" w14:textId="77777777" w:rsidR="00894D55" w:rsidRDefault="00B20FC1">
      <w:r>
        <w:rPr>
          <w:rFonts w:cs="Times New Roman"/>
        </w:rPr>
        <w:t xml:space="preserve">The resource plan is deliberately role-based because the action may be submitted as a mono-beneficiary project and specialist profiles may be recruited or </w:t>
      </w:r>
      <w:proofErr w:type="spellStart"/>
      <w:r>
        <w:rPr>
          <w:rFonts w:cs="Times New Roman"/>
        </w:rPr>
        <w:t>formalised</w:t>
      </w:r>
      <w:proofErr w:type="spellEnd"/>
      <w:r>
        <w:rPr>
          <w:rFonts w:cs="Times New Roman"/>
        </w:rPr>
        <w:t xml:space="preserve"> before grant start. The 108 PM envelope corresponds to an </w:t>
      </w:r>
      <w:r>
        <w:rPr>
          <w:rFonts w:cs="Times New Roman"/>
        </w:rPr>
        <w:lastRenderedPageBreak/>
        <w:t>average of 3.0 FTE over 36 months. It is a planning baseline for Part B and must be reconciled exactly with Part A and the final legal participant structure. It does not imply that every specialist is already employed at submission.</w:t>
      </w:r>
    </w:p>
    <w:tbl>
      <w:tblPr>
        <w:tblStyle w:val="Tablaconcuadrcula"/>
        <w:tblW w:w="0" w:type="auto"/>
        <w:jc w:val="center"/>
        <w:tblCellMar>
          <w:top w:w="40" w:type="dxa"/>
          <w:left w:w="60" w:type="dxa"/>
          <w:bottom w:w="40" w:type="dxa"/>
          <w:right w:w="60" w:type="dxa"/>
        </w:tblCellMar>
        <w:tblLook w:val="04A0" w:firstRow="1" w:lastRow="0" w:firstColumn="1" w:lastColumn="0" w:noHBand="0" w:noVBand="1"/>
      </w:tblPr>
      <w:tblGrid>
        <w:gridCol w:w="1656"/>
        <w:gridCol w:w="648"/>
        <w:gridCol w:w="648"/>
        <w:gridCol w:w="648"/>
        <w:gridCol w:w="648"/>
        <w:gridCol w:w="648"/>
        <w:gridCol w:w="648"/>
        <w:gridCol w:w="648"/>
        <w:gridCol w:w="648"/>
        <w:gridCol w:w="648"/>
        <w:gridCol w:w="792"/>
      </w:tblGrid>
      <w:tr w:rsidR="00894D55" w14:paraId="1E0DD603" w14:textId="77777777">
        <w:trPr>
          <w:tblHeader/>
          <w:jc w:val="center"/>
        </w:trPr>
        <w:tc>
          <w:tcPr>
            <w:tcW w:w="1656" w:type="dxa"/>
            <w:shd w:val="clear" w:color="auto" w:fill="D9EAF7"/>
            <w:tcMar>
              <w:top w:w="45" w:type="dxa"/>
              <w:left w:w="55" w:type="dxa"/>
              <w:bottom w:w="45" w:type="dxa"/>
              <w:right w:w="55" w:type="dxa"/>
            </w:tcMar>
          </w:tcPr>
          <w:p w14:paraId="183BCEDD" w14:textId="77777777" w:rsidR="00894D55" w:rsidRDefault="00B20FC1">
            <w:pPr>
              <w:spacing w:after="0"/>
            </w:pPr>
            <w:r>
              <w:rPr>
                <w:rFonts w:cs="Times New Roman"/>
                <w:b/>
              </w:rPr>
              <w:t>Participant</w:t>
            </w:r>
          </w:p>
        </w:tc>
        <w:tc>
          <w:tcPr>
            <w:tcW w:w="648" w:type="dxa"/>
            <w:shd w:val="clear" w:color="auto" w:fill="D9EAF7"/>
            <w:tcMar>
              <w:top w:w="45" w:type="dxa"/>
              <w:left w:w="55" w:type="dxa"/>
              <w:bottom w:w="45" w:type="dxa"/>
              <w:right w:w="55" w:type="dxa"/>
            </w:tcMar>
          </w:tcPr>
          <w:p w14:paraId="497BBD44" w14:textId="77777777" w:rsidR="00894D55" w:rsidRDefault="00B20FC1">
            <w:pPr>
              <w:spacing w:after="0"/>
            </w:pPr>
            <w:r>
              <w:rPr>
                <w:rFonts w:cs="Times New Roman"/>
                <w:b/>
              </w:rPr>
              <w:t>WP1</w:t>
            </w:r>
          </w:p>
        </w:tc>
        <w:tc>
          <w:tcPr>
            <w:tcW w:w="648" w:type="dxa"/>
            <w:shd w:val="clear" w:color="auto" w:fill="D9EAF7"/>
            <w:tcMar>
              <w:top w:w="45" w:type="dxa"/>
              <w:left w:w="55" w:type="dxa"/>
              <w:bottom w:w="45" w:type="dxa"/>
              <w:right w:w="55" w:type="dxa"/>
            </w:tcMar>
          </w:tcPr>
          <w:p w14:paraId="2B18B066" w14:textId="77777777" w:rsidR="00894D55" w:rsidRDefault="00B20FC1">
            <w:pPr>
              <w:spacing w:after="0"/>
            </w:pPr>
            <w:r>
              <w:rPr>
                <w:rFonts w:cs="Times New Roman"/>
                <w:b/>
              </w:rPr>
              <w:t>WP2</w:t>
            </w:r>
          </w:p>
        </w:tc>
        <w:tc>
          <w:tcPr>
            <w:tcW w:w="648" w:type="dxa"/>
            <w:shd w:val="clear" w:color="auto" w:fill="D9EAF7"/>
            <w:tcMar>
              <w:top w:w="45" w:type="dxa"/>
              <w:left w:w="55" w:type="dxa"/>
              <w:bottom w:w="45" w:type="dxa"/>
              <w:right w:w="55" w:type="dxa"/>
            </w:tcMar>
          </w:tcPr>
          <w:p w14:paraId="6D33F299" w14:textId="77777777" w:rsidR="00894D55" w:rsidRDefault="00B20FC1">
            <w:pPr>
              <w:spacing w:after="0"/>
            </w:pPr>
            <w:r>
              <w:rPr>
                <w:rFonts w:cs="Times New Roman"/>
                <w:b/>
              </w:rPr>
              <w:t>WP3</w:t>
            </w:r>
          </w:p>
        </w:tc>
        <w:tc>
          <w:tcPr>
            <w:tcW w:w="648" w:type="dxa"/>
            <w:shd w:val="clear" w:color="auto" w:fill="D9EAF7"/>
            <w:tcMar>
              <w:top w:w="45" w:type="dxa"/>
              <w:left w:w="55" w:type="dxa"/>
              <w:bottom w:w="45" w:type="dxa"/>
              <w:right w:w="55" w:type="dxa"/>
            </w:tcMar>
          </w:tcPr>
          <w:p w14:paraId="7CEEC499" w14:textId="77777777" w:rsidR="00894D55" w:rsidRDefault="00B20FC1">
            <w:pPr>
              <w:spacing w:after="0"/>
            </w:pPr>
            <w:r>
              <w:rPr>
                <w:rFonts w:cs="Times New Roman"/>
                <w:b/>
              </w:rPr>
              <w:t>WP4</w:t>
            </w:r>
          </w:p>
        </w:tc>
        <w:tc>
          <w:tcPr>
            <w:tcW w:w="648" w:type="dxa"/>
            <w:shd w:val="clear" w:color="auto" w:fill="D9EAF7"/>
            <w:tcMar>
              <w:top w:w="45" w:type="dxa"/>
              <w:left w:w="55" w:type="dxa"/>
              <w:bottom w:w="45" w:type="dxa"/>
              <w:right w:w="55" w:type="dxa"/>
            </w:tcMar>
          </w:tcPr>
          <w:p w14:paraId="6EF92CDF" w14:textId="77777777" w:rsidR="00894D55" w:rsidRDefault="00B20FC1">
            <w:pPr>
              <w:spacing w:after="0"/>
            </w:pPr>
            <w:r>
              <w:rPr>
                <w:rFonts w:cs="Times New Roman"/>
                <w:b/>
              </w:rPr>
              <w:t>WP5</w:t>
            </w:r>
          </w:p>
        </w:tc>
        <w:tc>
          <w:tcPr>
            <w:tcW w:w="648" w:type="dxa"/>
            <w:shd w:val="clear" w:color="auto" w:fill="D9EAF7"/>
            <w:tcMar>
              <w:top w:w="45" w:type="dxa"/>
              <w:left w:w="55" w:type="dxa"/>
              <w:bottom w:w="45" w:type="dxa"/>
              <w:right w:w="55" w:type="dxa"/>
            </w:tcMar>
          </w:tcPr>
          <w:p w14:paraId="683B5AA0" w14:textId="77777777" w:rsidR="00894D55" w:rsidRDefault="00B20FC1">
            <w:pPr>
              <w:spacing w:after="0"/>
            </w:pPr>
            <w:r>
              <w:rPr>
                <w:rFonts w:cs="Times New Roman"/>
                <w:b/>
              </w:rPr>
              <w:t>WP6</w:t>
            </w:r>
          </w:p>
        </w:tc>
        <w:tc>
          <w:tcPr>
            <w:tcW w:w="648" w:type="dxa"/>
            <w:shd w:val="clear" w:color="auto" w:fill="D9EAF7"/>
            <w:tcMar>
              <w:top w:w="45" w:type="dxa"/>
              <w:left w:w="55" w:type="dxa"/>
              <w:bottom w:w="45" w:type="dxa"/>
              <w:right w:w="55" w:type="dxa"/>
            </w:tcMar>
          </w:tcPr>
          <w:p w14:paraId="48109074" w14:textId="77777777" w:rsidR="00894D55" w:rsidRDefault="00B20FC1">
            <w:pPr>
              <w:spacing w:after="0"/>
            </w:pPr>
            <w:r>
              <w:rPr>
                <w:rFonts w:cs="Times New Roman"/>
                <w:b/>
              </w:rPr>
              <w:t>WP7</w:t>
            </w:r>
          </w:p>
        </w:tc>
        <w:tc>
          <w:tcPr>
            <w:tcW w:w="648" w:type="dxa"/>
            <w:shd w:val="clear" w:color="auto" w:fill="D9EAF7"/>
            <w:tcMar>
              <w:top w:w="45" w:type="dxa"/>
              <w:left w:w="55" w:type="dxa"/>
              <w:bottom w:w="45" w:type="dxa"/>
              <w:right w:w="55" w:type="dxa"/>
            </w:tcMar>
          </w:tcPr>
          <w:p w14:paraId="3E82944C" w14:textId="77777777" w:rsidR="00894D55" w:rsidRDefault="00B20FC1">
            <w:pPr>
              <w:spacing w:after="0"/>
            </w:pPr>
            <w:r>
              <w:rPr>
                <w:rFonts w:cs="Times New Roman"/>
                <w:b/>
              </w:rPr>
              <w:t>WP8</w:t>
            </w:r>
          </w:p>
        </w:tc>
        <w:tc>
          <w:tcPr>
            <w:tcW w:w="648" w:type="dxa"/>
            <w:shd w:val="clear" w:color="auto" w:fill="D9EAF7"/>
            <w:tcMar>
              <w:top w:w="45" w:type="dxa"/>
              <w:left w:w="55" w:type="dxa"/>
              <w:bottom w:w="45" w:type="dxa"/>
              <w:right w:w="55" w:type="dxa"/>
            </w:tcMar>
          </w:tcPr>
          <w:p w14:paraId="327FFF80" w14:textId="77777777" w:rsidR="00894D55" w:rsidRDefault="00B20FC1">
            <w:pPr>
              <w:spacing w:after="0"/>
            </w:pPr>
            <w:r>
              <w:rPr>
                <w:rFonts w:cs="Times New Roman"/>
                <w:b/>
              </w:rPr>
              <w:t>WP9</w:t>
            </w:r>
          </w:p>
        </w:tc>
        <w:tc>
          <w:tcPr>
            <w:tcW w:w="792" w:type="dxa"/>
            <w:shd w:val="clear" w:color="auto" w:fill="D9EAF7"/>
            <w:tcMar>
              <w:top w:w="45" w:type="dxa"/>
              <w:left w:w="55" w:type="dxa"/>
              <w:bottom w:w="45" w:type="dxa"/>
              <w:right w:w="55" w:type="dxa"/>
            </w:tcMar>
          </w:tcPr>
          <w:p w14:paraId="7379ADCF" w14:textId="77777777" w:rsidR="00894D55" w:rsidRDefault="00B20FC1">
            <w:pPr>
              <w:spacing w:after="0"/>
            </w:pPr>
            <w:r>
              <w:rPr>
                <w:rFonts w:cs="Times New Roman"/>
                <w:b/>
              </w:rPr>
              <w:t>Total</w:t>
            </w:r>
          </w:p>
        </w:tc>
      </w:tr>
      <w:tr w:rsidR="00894D55" w14:paraId="45B78D1B" w14:textId="77777777">
        <w:trPr>
          <w:jc w:val="center"/>
        </w:trPr>
        <w:tc>
          <w:tcPr>
            <w:tcW w:w="1656" w:type="dxa"/>
            <w:tcMar>
              <w:top w:w="45" w:type="dxa"/>
              <w:left w:w="55" w:type="dxa"/>
              <w:bottom w:w="45" w:type="dxa"/>
              <w:right w:w="55" w:type="dxa"/>
            </w:tcMar>
          </w:tcPr>
          <w:p w14:paraId="13D7F5A7" w14:textId="77777777" w:rsidR="00894D55" w:rsidRDefault="00B20FC1">
            <w:pPr>
              <w:spacing w:after="0"/>
            </w:pPr>
            <w:r>
              <w:rPr>
                <w:rFonts w:cs="Times New Roman"/>
              </w:rPr>
              <w:t>P1 Applicant</w:t>
            </w:r>
          </w:p>
        </w:tc>
        <w:tc>
          <w:tcPr>
            <w:tcW w:w="648" w:type="dxa"/>
            <w:tcMar>
              <w:top w:w="45" w:type="dxa"/>
              <w:left w:w="55" w:type="dxa"/>
              <w:bottom w:w="45" w:type="dxa"/>
              <w:right w:w="55" w:type="dxa"/>
            </w:tcMar>
          </w:tcPr>
          <w:p w14:paraId="5EF7C2DC" w14:textId="77777777" w:rsidR="00894D55" w:rsidRDefault="00B20FC1">
            <w:pPr>
              <w:spacing w:after="0"/>
            </w:pPr>
            <w:r>
              <w:rPr>
                <w:rFonts w:cs="Times New Roman"/>
              </w:rPr>
              <w:t>8</w:t>
            </w:r>
          </w:p>
        </w:tc>
        <w:tc>
          <w:tcPr>
            <w:tcW w:w="648" w:type="dxa"/>
            <w:tcMar>
              <w:top w:w="45" w:type="dxa"/>
              <w:left w:w="55" w:type="dxa"/>
              <w:bottom w:w="45" w:type="dxa"/>
              <w:right w:w="55" w:type="dxa"/>
            </w:tcMar>
          </w:tcPr>
          <w:p w14:paraId="61FB5ECA" w14:textId="77777777" w:rsidR="00894D55" w:rsidRDefault="00B20FC1">
            <w:pPr>
              <w:spacing w:after="0"/>
            </w:pPr>
            <w:r>
              <w:rPr>
                <w:rFonts w:cs="Times New Roman"/>
              </w:rPr>
              <w:t>20</w:t>
            </w:r>
          </w:p>
        </w:tc>
        <w:tc>
          <w:tcPr>
            <w:tcW w:w="648" w:type="dxa"/>
            <w:tcMar>
              <w:top w:w="45" w:type="dxa"/>
              <w:left w:w="55" w:type="dxa"/>
              <w:bottom w:w="45" w:type="dxa"/>
              <w:right w:w="55" w:type="dxa"/>
            </w:tcMar>
          </w:tcPr>
          <w:p w14:paraId="037068AB" w14:textId="77777777" w:rsidR="00894D55" w:rsidRDefault="00B20FC1">
            <w:pPr>
              <w:spacing w:after="0"/>
            </w:pPr>
            <w:r>
              <w:rPr>
                <w:rFonts w:cs="Times New Roman"/>
              </w:rPr>
              <w:t>18</w:t>
            </w:r>
          </w:p>
        </w:tc>
        <w:tc>
          <w:tcPr>
            <w:tcW w:w="648" w:type="dxa"/>
            <w:tcMar>
              <w:top w:w="45" w:type="dxa"/>
              <w:left w:w="55" w:type="dxa"/>
              <w:bottom w:w="45" w:type="dxa"/>
              <w:right w:w="55" w:type="dxa"/>
            </w:tcMar>
          </w:tcPr>
          <w:p w14:paraId="0A6C1036" w14:textId="77777777" w:rsidR="00894D55" w:rsidRDefault="00B20FC1">
            <w:pPr>
              <w:spacing w:after="0"/>
            </w:pPr>
            <w:r>
              <w:rPr>
                <w:rFonts w:cs="Times New Roman"/>
              </w:rPr>
              <w:t>5</w:t>
            </w:r>
          </w:p>
        </w:tc>
        <w:tc>
          <w:tcPr>
            <w:tcW w:w="648" w:type="dxa"/>
            <w:tcMar>
              <w:top w:w="45" w:type="dxa"/>
              <w:left w:w="55" w:type="dxa"/>
              <w:bottom w:w="45" w:type="dxa"/>
              <w:right w:w="55" w:type="dxa"/>
            </w:tcMar>
          </w:tcPr>
          <w:p w14:paraId="6EB6A1E9" w14:textId="77777777" w:rsidR="00894D55" w:rsidRDefault="00B20FC1">
            <w:pPr>
              <w:spacing w:after="0"/>
            </w:pPr>
            <w:r>
              <w:rPr>
                <w:rFonts w:cs="Times New Roman"/>
              </w:rPr>
              <w:t>8</w:t>
            </w:r>
          </w:p>
        </w:tc>
        <w:tc>
          <w:tcPr>
            <w:tcW w:w="648" w:type="dxa"/>
            <w:tcMar>
              <w:top w:w="45" w:type="dxa"/>
              <w:left w:w="55" w:type="dxa"/>
              <w:bottom w:w="45" w:type="dxa"/>
              <w:right w:w="55" w:type="dxa"/>
            </w:tcMar>
          </w:tcPr>
          <w:p w14:paraId="6F6E4D9F" w14:textId="77777777" w:rsidR="00894D55" w:rsidRDefault="00B20FC1">
            <w:pPr>
              <w:spacing w:after="0"/>
            </w:pPr>
            <w:r>
              <w:rPr>
                <w:rFonts w:cs="Times New Roman"/>
              </w:rPr>
              <w:t>20</w:t>
            </w:r>
          </w:p>
        </w:tc>
        <w:tc>
          <w:tcPr>
            <w:tcW w:w="648" w:type="dxa"/>
            <w:tcMar>
              <w:top w:w="45" w:type="dxa"/>
              <w:left w:w="55" w:type="dxa"/>
              <w:bottom w:w="45" w:type="dxa"/>
              <w:right w:w="55" w:type="dxa"/>
            </w:tcMar>
          </w:tcPr>
          <w:p w14:paraId="75A4AED7" w14:textId="77777777" w:rsidR="00894D55" w:rsidRDefault="00B20FC1">
            <w:pPr>
              <w:spacing w:after="0"/>
            </w:pPr>
            <w:r>
              <w:rPr>
                <w:rFonts w:cs="Times New Roman"/>
              </w:rPr>
              <w:t>22</w:t>
            </w:r>
          </w:p>
        </w:tc>
        <w:tc>
          <w:tcPr>
            <w:tcW w:w="648" w:type="dxa"/>
            <w:tcMar>
              <w:top w:w="45" w:type="dxa"/>
              <w:left w:w="55" w:type="dxa"/>
              <w:bottom w:w="45" w:type="dxa"/>
              <w:right w:w="55" w:type="dxa"/>
            </w:tcMar>
          </w:tcPr>
          <w:p w14:paraId="49D46577" w14:textId="77777777" w:rsidR="00894D55" w:rsidRDefault="00B20FC1">
            <w:pPr>
              <w:spacing w:after="0"/>
            </w:pPr>
            <w:r>
              <w:rPr>
                <w:rFonts w:cs="Times New Roman"/>
              </w:rPr>
              <w:t>4</w:t>
            </w:r>
          </w:p>
        </w:tc>
        <w:tc>
          <w:tcPr>
            <w:tcW w:w="648" w:type="dxa"/>
            <w:tcMar>
              <w:top w:w="45" w:type="dxa"/>
              <w:left w:w="55" w:type="dxa"/>
              <w:bottom w:w="45" w:type="dxa"/>
              <w:right w:w="55" w:type="dxa"/>
            </w:tcMar>
          </w:tcPr>
          <w:p w14:paraId="74456DB4" w14:textId="77777777" w:rsidR="00894D55" w:rsidRDefault="00B20FC1">
            <w:pPr>
              <w:spacing w:after="0"/>
            </w:pPr>
            <w:r>
              <w:rPr>
                <w:rFonts w:cs="Times New Roman"/>
              </w:rPr>
              <w:t>3</w:t>
            </w:r>
          </w:p>
        </w:tc>
        <w:tc>
          <w:tcPr>
            <w:tcW w:w="792" w:type="dxa"/>
            <w:tcMar>
              <w:top w:w="45" w:type="dxa"/>
              <w:left w:w="55" w:type="dxa"/>
              <w:bottom w:w="45" w:type="dxa"/>
              <w:right w:w="55" w:type="dxa"/>
            </w:tcMar>
          </w:tcPr>
          <w:p w14:paraId="268E8CAD" w14:textId="77777777" w:rsidR="00894D55" w:rsidRDefault="00B20FC1">
            <w:pPr>
              <w:spacing w:after="0"/>
            </w:pPr>
            <w:r>
              <w:rPr>
                <w:rFonts w:cs="Times New Roman"/>
              </w:rPr>
              <w:t>108</w:t>
            </w:r>
          </w:p>
        </w:tc>
      </w:tr>
    </w:tbl>
    <w:p w14:paraId="2DAD30DB" w14:textId="77777777" w:rsidR="00894D55" w:rsidRDefault="00894D55"/>
    <w:tbl>
      <w:tblPr>
        <w:tblStyle w:val="Tablaconcuadrcula"/>
        <w:tblW w:w="0" w:type="auto"/>
        <w:jc w:val="center"/>
        <w:tblCellMar>
          <w:top w:w="40" w:type="dxa"/>
          <w:left w:w="60" w:type="dxa"/>
          <w:bottom w:w="40" w:type="dxa"/>
          <w:right w:w="60" w:type="dxa"/>
        </w:tblCellMar>
        <w:tblLook w:val="04A0" w:firstRow="1" w:lastRow="0" w:firstColumn="1" w:lastColumn="0" w:noHBand="0" w:noVBand="1"/>
      </w:tblPr>
      <w:tblGrid>
        <w:gridCol w:w="2880"/>
        <w:gridCol w:w="792"/>
        <w:gridCol w:w="6408"/>
      </w:tblGrid>
      <w:tr w:rsidR="00894D55" w14:paraId="146B8CE4" w14:textId="77777777">
        <w:trPr>
          <w:cantSplit/>
          <w:tblHeader/>
          <w:jc w:val="center"/>
        </w:trPr>
        <w:tc>
          <w:tcPr>
            <w:tcW w:w="2880" w:type="dxa"/>
            <w:shd w:val="clear" w:color="auto" w:fill="D9EAF7"/>
            <w:tcMar>
              <w:top w:w="45" w:type="dxa"/>
              <w:left w:w="55" w:type="dxa"/>
              <w:bottom w:w="45" w:type="dxa"/>
              <w:right w:w="55" w:type="dxa"/>
            </w:tcMar>
          </w:tcPr>
          <w:p w14:paraId="6838188C" w14:textId="77777777" w:rsidR="00894D55" w:rsidRDefault="00B20FC1">
            <w:pPr>
              <w:spacing w:after="0"/>
            </w:pPr>
            <w:r>
              <w:rPr>
                <w:rFonts w:cs="Times New Roman"/>
                <w:b/>
              </w:rPr>
              <w:t>Role</w:t>
            </w:r>
          </w:p>
        </w:tc>
        <w:tc>
          <w:tcPr>
            <w:tcW w:w="792" w:type="dxa"/>
            <w:shd w:val="clear" w:color="auto" w:fill="D9EAF7"/>
            <w:tcMar>
              <w:top w:w="45" w:type="dxa"/>
              <w:left w:w="55" w:type="dxa"/>
              <w:bottom w:w="45" w:type="dxa"/>
              <w:right w:w="55" w:type="dxa"/>
            </w:tcMar>
          </w:tcPr>
          <w:p w14:paraId="4B12AEA4" w14:textId="77777777" w:rsidR="00894D55" w:rsidRDefault="00B20FC1">
            <w:pPr>
              <w:spacing w:after="0"/>
            </w:pPr>
            <w:r>
              <w:rPr>
                <w:rFonts w:cs="Times New Roman"/>
                <w:b/>
              </w:rPr>
              <w:t>PM</w:t>
            </w:r>
          </w:p>
        </w:tc>
        <w:tc>
          <w:tcPr>
            <w:tcW w:w="6408" w:type="dxa"/>
            <w:shd w:val="clear" w:color="auto" w:fill="D9EAF7"/>
            <w:tcMar>
              <w:top w:w="45" w:type="dxa"/>
              <w:left w:w="55" w:type="dxa"/>
              <w:bottom w:w="45" w:type="dxa"/>
              <w:right w:w="55" w:type="dxa"/>
            </w:tcMar>
          </w:tcPr>
          <w:p w14:paraId="26C2A61E" w14:textId="77777777" w:rsidR="00894D55" w:rsidRDefault="00B20FC1">
            <w:pPr>
              <w:spacing w:after="0"/>
            </w:pPr>
            <w:r>
              <w:rPr>
                <w:rFonts w:cs="Times New Roman"/>
                <w:b/>
              </w:rPr>
              <w:t>Primary contribution</w:t>
            </w:r>
          </w:p>
        </w:tc>
      </w:tr>
      <w:tr w:rsidR="00894D55" w14:paraId="1BAB3BB3" w14:textId="77777777">
        <w:trPr>
          <w:cantSplit/>
          <w:jc w:val="center"/>
        </w:trPr>
        <w:tc>
          <w:tcPr>
            <w:tcW w:w="2880" w:type="dxa"/>
            <w:tcMar>
              <w:top w:w="45" w:type="dxa"/>
              <w:left w:w="55" w:type="dxa"/>
              <w:bottom w:w="45" w:type="dxa"/>
              <w:right w:w="55" w:type="dxa"/>
            </w:tcMar>
          </w:tcPr>
          <w:p w14:paraId="7D08BEF2" w14:textId="77777777" w:rsidR="00894D55" w:rsidRDefault="00B20FC1">
            <w:pPr>
              <w:spacing w:after="0"/>
            </w:pPr>
            <w:r>
              <w:rPr>
                <w:rFonts w:cs="Times New Roman"/>
              </w:rPr>
              <w:t>Scientific/Technical Lead</w:t>
            </w:r>
          </w:p>
        </w:tc>
        <w:tc>
          <w:tcPr>
            <w:tcW w:w="792" w:type="dxa"/>
            <w:tcMar>
              <w:top w:w="45" w:type="dxa"/>
              <w:left w:w="55" w:type="dxa"/>
              <w:bottom w:w="45" w:type="dxa"/>
              <w:right w:w="55" w:type="dxa"/>
            </w:tcMar>
          </w:tcPr>
          <w:p w14:paraId="53924BFD" w14:textId="77777777" w:rsidR="00894D55" w:rsidRDefault="00B20FC1">
            <w:pPr>
              <w:spacing w:after="0"/>
            </w:pPr>
            <w:r>
              <w:rPr>
                <w:rFonts w:cs="Times New Roman"/>
              </w:rPr>
              <w:t>30</w:t>
            </w:r>
          </w:p>
        </w:tc>
        <w:tc>
          <w:tcPr>
            <w:tcW w:w="6408" w:type="dxa"/>
            <w:tcMar>
              <w:top w:w="45" w:type="dxa"/>
              <w:left w:w="55" w:type="dxa"/>
              <w:bottom w:w="45" w:type="dxa"/>
              <w:right w:w="55" w:type="dxa"/>
            </w:tcMar>
          </w:tcPr>
          <w:p w14:paraId="2E7A0F57" w14:textId="77777777" w:rsidR="00894D55" w:rsidRDefault="00B20FC1">
            <w:pPr>
              <w:spacing w:after="0"/>
            </w:pPr>
            <w:r>
              <w:rPr>
                <w:rFonts w:cs="Times New Roman"/>
              </w:rPr>
              <w:t>Scientific direction, SCC/MDPAR formal ownership, experimental decisions, governance and cross-WP integration.</w:t>
            </w:r>
          </w:p>
        </w:tc>
      </w:tr>
      <w:tr w:rsidR="00894D55" w14:paraId="1FF1691D" w14:textId="77777777">
        <w:trPr>
          <w:cantSplit/>
          <w:jc w:val="center"/>
        </w:trPr>
        <w:tc>
          <w:tcPr>
            <w:tcW w:w="2880" w:type="dxa"/>
            <w:tcMar>
              <w:top w:w="45" w:type="dxa"/>
              <w:left w:w="55" w:type="dxa"/>
              <w:bottom w:w="45" w:type="dxa"/>
              <w:right w:w="55" w:type="dxa"/>
            </w:tcMar>
          </w:tcPr>
          <w:p w14:paraId="131DF342" w14:textId="77777777" w:rsidR="00894D55" w:rsidRDefault="00B20FC1">
            <w:pPr>
              <w:spacing w:after="0"/>
            </w:pPr>
            <w:r>
              <w:rPr>
                <w:rFonts w:cs="Times New Roman"/>
              </w:rPr>
              <w:t>Formal Methods / KR researcher</w:t>
            </w:r>
          </w:p>
        </w:tc>
        <w:tc>
          <w:tcPr>
            <w:tcW w:w="792" w:type="dxa"/>
            <w:tcMar>
              <w:top w:w="45" w:type="dxa"/>
              <w:left w:w="55" w:type="dxa"/>
              <w:bottom w:w="45" w:type="dxa"/>
              <w:right w:w="55" w:type="dxa"/>
            </w:tcMar>
          </w:tcPr>
          <w:p w14:paraId="7F09EB69" w14:textId="77777777" w:rsidR="00894D55" w:rsidRDefault="00B20FC1">
            <w:pPr>
              <w:spacing w:after="0"/>
            </w:pPr>
            <w:r>
              <w:rPr>
                <w:rFonts w:cs="Times New Roman"/>
              </w:rPr>
              <w:t>20</w:t>
            </w:r>
          </w:p>
        </w:tc>
        <w:tc>
          <w:tcPr>
            <w:tcW w:w="6408" w:type="dxa"/>
            <w:tcMar>
              <w:top w:w="45" w:type="dxa"/>
              <w:left w:w="55" w:type="dxa"/>
              <w:bottom w:w="45" w:type="dxa"/>
              <w:right w:w="55" w:type="dxa"/>
            </w:tcMar>
          </w:tcPr>
          <w:p w14:paraId="3A992371" w14:textId="77777777" w:rsidR="00894D55" w:rsidRDefault="00B20FC1">
            <w:pPr>
              <w:spacing w:after="0"/>
            </w:pPr>
            <w:r>
              <w:rPr>
                <w:rFonts w:cs="Times New Roman"/>
              </w:rPr>
              <w:t>Formal specification, conformance tests, invariants, anti-leakage criteria and cross-system representation analysis.</w:t>
            </w:r>
          </w:p>
        </w:tc>
      </w:tr>
      <w:tr w:rsidR="00894D55" w14:paraId="4E72B3AA" w14:textId="77777777">
        <w:trPr>
          <w:cantSplit/>
          <w:jc w:val="center"/>
        </w:trPr>
        <w:tc>
          <w:tcPr>
            <w:tcW w:w="2880" w:type="dxa"/>
            <w:tcMar>
              <w:top w:w="45" w:type="dxa"/>
              <w:left w:w="55" w:type="dxa"/>
              <w:bottom w:w="45" w:type="dxa"/>
              <w:right w:w="55" w:type="dxa"/>
            </w:tcMar>
          </w:tcPr>
          <w:p w14:paraId="0B5A46D2" w14:textId="77777777" w:rsidR="00894D55" w:rsidRDefault="00B20FC1">
            <w:pPr>
              <w:spacing w:after="0"/>
            </w:pPr>
            <w:r>
              <w:rPr>
                <w:rFonts w:cs="Times New Roman"/>
              </w:rPr>
              <w:t>Experimental AI / Software engineer</w:t>
            </w:r>
          </w:p>
        </w:tc>
        <w:tc>
          <w:tcPr>
            <w:tcW w:w="792" w:type="dxa"/>
            <w:tcMar>
              <w:top w:w="45" w:type="dxa"/>
              <w:left w:w="55" w:type="dxa"/>
              <w:bottom w:w="45" w:type="dxa"/>
              <w:right w:w="55" w:type="dxa"/>
            </w:tcMar>
          </w:tcPr>
          <w:p w14:paraId="215B8C21" w14:textId="77777777" w:rsidR="00894D55" w:rsidRDefault="00B20FC1">
            <w:pPr>
              <w:spacing w:after="0"/>
            </w:pPr>
            <w:r>
              <w:rPr>
                <w:rFonts w:cs="Times New Roman"/>
              </w:rPr>
              <w:t>24</w:t>
            </w:r>
          </w:p>
        </w:tc>
        <w:tc>
          <w:tcPr>
            <w:tcW w:w="6408" w:type="dxa"/>
            <w:tcMar>
              <w:top w:w="45" w:type="dxa"/>
              <w:left w:w="55" w:type="dxa"/>
              <w:bottom w:w="45" w:type="dxa"/>
              <w:right w:w="55" w:type="dxa"/>
            </w:tcMar>
          </w:tcPr>
          <w:p w14:paraId="501B9D69" w14:textId="77777777" w:rsidR="00894D55" w:rsidRDefault="00B20FC1">
            <w:pPr>
              <w:spacing w:after="0"/>
            </w:pPr>
            <w:r>
              <w:rPr>
                <w:rFonts w:cs="Times New Roman"/>
              </w:rPr>
              <w:t>Campaign automation, adapters, APIs, system integration, instrumentation and reproducible execution.</w:t>
            </w:r>
          </w:p>
        </w:tc>
      </w:tr>
      <w:tr w:rsidR="00894D55" w14:paraId="6CC7B046" w14:textId="77777777">
        <w:trPr>
          <w:cantSplit/>
          <w:jc w:val="center"/>
        </w:trPr>
        <w:tc>
          <w:tcPr>
            <w:tcW w:w="2880" w:type="dxa"/>
            <w:tcMar>
              <w:top w:w="45" w:type="dxa"/>
              <w:left w:w="55" w:type="dxa"/>
              <w:bottom w:w="45" w:type="dxa"/>
              <w:right w:w="55" w:type="dxa"/>
            </w:tcMar>
          </w:tcPr>
          <w:p w14:paraId="21635787" w14:textId="77777777" w:rsidR="00894D55" w:rsidRDefault="00B20FC1">
            <w:pPr>
              <w:spacing w:after="0"/>
            </w:pPr>
            <w:r>
              <w:rPr>
                <w:rFonts w:cs="Times New Roman"/>
              </w:rPr>
              <w:t>Quantitative / Open Science researcher</w:t>
            </w:r>
          </w:p>
        </w:tc>
        <w:tc>
          <w:tcPr>
            <w:tcW w:w="792" w:type="dxa"/>
            <w:tcMar>
              <w:top w:w="45" w:type="dxa"/>
              <w:left w:w="55" w:type="dxa"/>
              <w:bottom w:w="45" w:type="dxa"/>
              <w:right w:w="55" w:type="dxa"/>
            </w:tcMar>
          </w:tcPr>
          <w:p w14:paraId="7B21968E" w14:textId="77777777" w:rsidR="00894D55" w:rsidRDefault="00B20FC1">
            <w:pPr>
              <w:spacing w:after="0"/>
            </w:pPr>
            <w:r>
              <w:rPr>
                <w:rFonts w:cs="Times New Roman"/>
              </w:rPr>
              <w:t>12</w:t>
            </w:r>
          </w:p>
        </w:tc>
        <w:tc>
          <w:tcPr>
            <w:tcW w:w="6408" w:type="dxa"/>
            <w:tcMar>
              <w:top w:w="45" w:type="dxa"/>
              <w:left w:w="55" w:type="dxa"/>
              <w:bottom w:w="45" w:type="dxa"/>
              <w:right w:w="55" w:type="dxa"/>
            </w:tcMar>
          </w:tcPr>
          <w:p w14:paraId="5299AE7C" w14:textId="77777777" w:rsidR="00894D55" w:rsidRDefault="00B20FC1">
            <w:pPr>
              <w:spacing w:after="0"/>
            </w:pPr>
            <w:r>
              <w:rPr>
                <w:rFonts w:cs="Times New Roman"/>
              </w:rPr>
              <w:t>Experimental design, uncertainty/statistical analysis, FAIR/DMP, evidence manifests and reproducibility packages.</w:t>
            </w:r>
          </w:p>
        </w:tc>
      </w:tr>
      <w:tr w:rsidR="00894D55" w14:paraId="6495F4E4" w14:textId="77777777">
        <w:trPr>
          <w:cantSplit/>
          <w:jc w:val="center"/>
        </w:trPr>
        <w:tc>
          <w:tcPr>
            <w:tcW w:w="2880" w:type="dxa"/>
            <w:tcMar>
              <w:top w:w="45" w:type="dxa"/>
              <w:left w:w="55" w:type="dxa"/>
              <w:bottom w:w="45" w:type="dxa"/>
              <w:right w:w="55" w:type="dxa"/>
            </w:tcMar>
          </w:tcPr>
          <w:p w14:paraId="43C2567B" w14:textId="77777777" w:rsidR="00894D55" w:rsidRDefault="00B20FC1">
            <w:pPr>
              <w:spacing w:after="0"/>
            </w:pPr>
            <w:r>
              <w:rPr>
                <w:rFonts w:cs="Times New Roman"/>
              </w:rPr>
              <w:t>Embodied AI / robotics researcher</w:t>
            </w:r>
          </w:p>
        </w:tc>
        <w:tc>
          <w:tcPr>
            <w:tcW w:w="792" w:type="dxa"/>
            <w:tcMar>
              <w:top w:w="45" w:type="dxa"/>
              <w:left w:w="55" w:type="dxa"/>
              <w:bottom w:w="45" w:type="dxa"/>
              <w:right w:w="55" w:type="dxa"/>
            </w:tcMar>
          </w:tcPr>
          <w:p w14:paraId="117C79A3" w14:textId="77777777" w:rsidR="00894D55" w:rsidRDefault="00B20FC1">
            <w:pPr>
              <w:spacing w:after="0"/>
            </w:pPr>
            <w:r>
              <w:rPr>
                <w:rFonts w:cs="Times New Roman"/>
              </w:rPr>
              <w:t>16</w:t>
            </w:r>
          </w:p>
        </w:tc>
        <w:tc>
          <w:tcPr>
            <w:tcW w:w="6408" w:type="dxa"/>
            <w:tcMar>
              <w:top w:w="45" w:type="dxa"/>
              <w:left w:w="55" w:type="dxa"/>
              <w:bottom w:w="45" w:type="dxa"/>
              <w:right w:w="55" w:type="dxa"/>
            </w:tcMar>
          </w:tcPr>
          <w:p w14:paraId="6F532A98" w14:textId="77777777" w:rsidR="00894D55" w:rsidRDefault="00B20FC1">
            <w:pPr>
              <w:spacing w:after="0"/>
            </w:pPr>
            <w:r>
              <w:rPr>
                <w:rFonts w:cs="Times New Roman"/>
              </w:rPr>
              <w:t>Simulation-to-lab protocol, perception-action integration, perturbation campaign, safety-aware TRL4 validation.</w:t>
            </w:r>
          </w:p>
        </w:tc>
      </w:tr>
      <w:tr w:rsidR="00894D55" w14:paraId="0B4240F9" w14:textId="77777777">
        <w:trPr>
          <w:cantSplit/>
          <w:jc w:val="center"/>
        </w:trPr>
        <w:tc>
          <w:tcPr>
            <w:tcW w:w="2880" w:type="dxa"/>
            <w:tcMar>
              <w:top w:w="45" w:type="dxa"/>
              <w:left w:w="55" w:type="dxa"/>
              <w:bottom w:w="45" w:type="dxa"/>
              <w:right w:w="55" w:type="dxa"/>
            </w:tcMar>
          </w:tcPr>
          <w:p w14:paraId="67E0A96A" w14:textId="77777777" w:rsidR="00894D55" w:rsidRDefault="00B20FC1">
            <w:pPr>
              <w:spacing w:after="0"/>
            </w:pPr>
            <w:r>
              <w:rPr>
                <w:rFonts w:cs="Times New Roman"/>
              </w:rPr>
              <w:t>Project / innovation / communication support</w:t>
            </w:r>
          </w:p>
        </w:tc>
        <w:tc>
          <w:tcPr>
            <w:tcW w:w="792" w:type="dxa"/>
            <w:tcMar>
              <w:top w:w="45" w:type="dxa"/>
              <w:left w:w="55" w:type="dxa"/>
              <w:bottom w:w="45" w:type="dxa"/>
              <w:right w:w="55" w:type="dxa"/>
            </w:tcMar>
          </w:tcPr>
          <w:p w14:paraId="30D03880" w14:textId="77777777" w:rsidR="00894D55" w:rsidRDefault="00B20FC1">
            <w:pPr>
              <w:spacing w:after="0"/>
            </w:pPr>
            <w:r>
              <w:rPr>
                <w:rFonts w:cs="Times New Roman"/>
              </w:rPr>
              <w:t>6</w:t>
            </w:r>
          </w:p>
        </w:tc>
        <w:tc>
          <w:tcPr>
            <w:tcW w:w="6408" w:type="dxa"/>
            <w:tcMar>
              <w:top w:w="45" w:type="dxa"/>
              <w:left w:w="55" w:type="dxa"/>
              <w:bottom w:w="45" w:type="dxa"/>
              <w:right w:w="55" w:type="dxa"/>
            </w:tcMar>
          </w:tcPr>
          <w:p w14:paraId="3F145D0B" w14:textId="77777777" w:rsidR="00894D55" w:rsidRDefault="00B20FC1">
            <w:pPr>
              <w:spacing w:after="0"/>
            </w:pPr>
            <w:r>
              <w:rPr>
                <w:rFonts w:cs="Times New Roman"/>
              </w:rPr>
              <w:t>Grant administration, exploitation/FTO coordination, stakeholder/portfolio communication and reporting support.</w:t>
            </w:r>
          </w:p>
        </w:tc>
      </w:tr>
    </w:tbl>
    <w:p w14:paraId="07C338FF" w14:textId="77777777" w:rsidR="00894D55" w:rsidRDefault="00894D55"/>
    <w:p w14:paraId="676E4C60" w14:textId="77777777" w:rsidR="00894D55" w:rsidRDefault="00B20FC1">
      <w:pPr>
        <w:keepNext/>
        <w:spacing w:before="60" w:after="40"/>
      </w:pPr>
      <w:r>
        <w:rPr>
          <w:rFonts w:cs="Times New Roman"/>
          <w:b/>
        </w:rPr>
        <w:t>Other resource categories and cost logic</w:t>
      </w:r>
    </w:p>
    <w:p w14:paraId="0D74F27E" w14:textId="77777777" w:rsidR="00894D55" w:rsidRDefault="00B20FC1">
      <w:r>
        <w:rPr>
          <w:rFonts w:cs="Times New Roman"/>
        </w:rPr>
        <w:t>Personnel is the principal resource category. Non-personnel costs are expected to concentrate on: (</w:t>
      </w:r>
      <w:proofErr w:type="spellStart"/>
      <w:r>
        <w:rPr>
          <w:rFonts w:cs="Times New Roman"/>
        </w:rPr>
        <w:t>i</w:t>
      </w:r>
      <w:proofErr w:type="spellEnd"/>
      <w:r>
        <w:rPr>
          <w:rFonts w:cs="Times New Roman"/>
        </w:rPr>
        <w:t xml:space="preserve">) model/API and cloud/HPC compute required for controlled multi-provider experiments; (ii) secure storage, repositories and software/developer tooling; (iii) Year-3 robotics/laboratory/testing-facility access and, where needed, sensors or interface hardware; (iv) travel and meetings for </w:t>
      </w:r>
      <w:proofErr w:type="spellStart"/>
      <w:r>
        <w:rPr>
          <w:rFonts w:cs="Times New Roman"/>
        </w:rPr>
        <w:t>DeepRAP</w:t>
      </w:r>
      <w:proofErr w:type="spellEnd"/>
      <w:r>
        <w:rPr>
          <w:rFonts w:cs="Times New Roman"/>
        </w:rPr>
        <w:t xml:space="preserve"> portfolio benchmarking, interoperability, common pilots and dissemination; and (v) Open Access/publication and repository costs where not covered by institutional arrangements. All purchases will be selected for best value and directly tied to a task/deliverable. No cost-saving claim will be allowed to reduce the capability, authority or safety floor defined in Section 1.</w:t>
      </w:r>
    </w:p>
    <w:p w14:paraId="5A8789AA" w14:textId="77777777" w:rsidR="00894D55" w:rsidRDefault="00B20FC1">
      <w:r>
        <w:rPr>
          <w:rFonts w:cs="Times New Roman"/>
        </w:rPr>
        <w:t xml:space="preserve">Subcontracting (Table 3.1g): no subcontracting of core scientific responsibility is assumed in the baseline plan. Specialist services may be introduced only where they are non-core, necessary and compliant with Horizon Europe rules, and would then be reconciled with Part A before submission. Access to compute, APIs, testing facilities or laboratory equipment is intended primarily as eligible purchased access/services rather than transfer of scientific responsibility. Purchase-cost justification (Table 3.1h): the baseline assumes purchases remain proportionate to personnel costs; if the Part A budget places any participant above the applicable threshold, the final submission will include the corresponding </w:t>
      </w:r>
      <w:proofErr w:type="spellStart"/>
      <w:r>
        <w:rPr>
          <w:rFonts w:cs="Times New Roman"/>
        </w:rPr>
        <w:t>itemised</w:t>
      </w:r>
      <w:proofErr w:type="spellEnd"/>
      <w:r>
        <w:rPr>
          <w:rFonts w:cs="Times New Roman"/>
        </w:rPr>
        <w:t xml:space="preserve"> justification without changing the scientific work plan.</w:t>
      </w:r>
    </w:p>
    <w:p w14:paraId="1CB919F3" w14:textId="77777777" w:rsidR="00894D55" w:rsidRDefault="00B20FC1">
      <w:pPr>
        <w:keepNext/>
        <w:spacing w:before="60" w:after="40"/>
      </w:pPr>
      <w:r>
        <w:rPr>
          <w:rFonts w:cs="Times New Roman"/>
          <w:b/>
        </w:rPr>
        <w:t>Reporting periods and completion logic</w:t>
      </w:r>
    </w:p>
    <w:p w14:paraId="042534EE" w14:textId="77777777" w:rsidR="00894D55" w:rsidRDefault="00B20FC1">
      <w:r>
        <w:rPr>
          <w:rFonts w:cs="Times New Roman"/>
        </w:rPr>
        <w:t>For the 36-month action, RP1 covers M1-M12 and RP2 covers M13-M36. WP1-WP4 are designed to close in RP1, producing a complete symbolic/metrological baseline rather than an unfinished fraction of later work. WP5-WP9 close in RP2. WP6 starts at M10 only to prepare external interfaces and access, but its scientific completion is intentionally in RP2. This structure supports lump-sum completion logic while preserving the scientific sequence.</w:t>
      </w:r>
    </w:p>
    <w:p w14:paraId="226C4409" w14:textId="77777777" w:rsidR="00894D55" w:rsidRDefault="00B20FC1">
      <w:pPr>
        <w:keepNext/>
        <w:spacing w:before="120"/>
      </w:pPr>
      <w:r>
        <w:rPr>
          <w:rFonts w:cs="Times New Roman"/>
          <w:b/>
        </w:rPr>
        <w:t>3.2 Quality of the applicant / consortium</w:t>
      </w:r>
    </w:p>
    <w:p w14:paraId="2E7AE23D" w14:textId="77777777" w:rsidR="00894D55" w:rsidRDefault="00B20FC1">
      <w:pPr>
        <w:keepNext/>
        <w:spacing w:before="60" w:after="40"/>
      </w:pPr>
      <w:r>
        <w:rPr>
          <w:rFonts w:cs="Times New Roman"/>
          <w:b/>
        </w:rPr>
        <w:t>Capacity model and applicant contribution</w:t>
      </w:r>
    </w:p>
    <w:p w14:paraId="3B461740" w14:textId="77777777" w:rsidR="00894D55" w:rsidRDefault="00B20FC1">
      <w:r>
        <w:rPr>
          <w:rFonts w:cs="Times New Roman"/>
        </w:rPr>
        <w:t>MDPAR-H can be submitted as a mono-beneficiary Pathfinder Challenge action provided the applicant is the eligible legal entity identified in Part A. The proposal does not equate a single beneficiary with a single person performing every task. The beneficiary's distinctive contribution is the pre-existing MDPAR v2.2.0 Background: the SCC formalism, runtime/parser/engine/routing architecture, OPEN/CLOSED and longitudinal mechanisms, C0-C12 evidence infrastructure, Swagger assessment surface and the associated formal, software and experimental know-how. This materially reduces implementation risk because the project begins from an executable and already instrumented research object rather than from a concept that still has to be engineered.</w:t>
      </w:r>
    </w:p>
    <w:p w14:paraId="0AF6CAF8" w14:textId="77777777" w:rsidR="00894D55" w:rsidRDefault="00B20FC1">
      <w:r>
        <w:rPr>
          <w:rFonts w:cs="Times New Roman"/>
        </w:rPr>
        <w:t xml:space="preserve">The applicant's strongest demonstrated capacity is therefore concentrated exactly where the project must remain scientifically coherent: ownership of the MDPAR formal/architectural object; end-to-end implementation; versioned experimental campaigns; failure and provenance semantics; model/provider routing; and conversion of those mechanisms into a falsifiable hypothesis. The project plan deliberately does not claim that this pre-project </w:t>
      </w:r>
      <w:r>
        <w:rPr>
          <w:rFonts w:cs="Times New Roman"/>
        </w:rPr>
        <w:lastRenderedPageBreak/>
        <w:t>capacity already supplies independent replication, formal-methods peer validation, quantitative methodology at consortium scale, or embodied-AI infrastructure. Those are treated as complementary capacities to be recruited, partnered, purchased as access, or obtained through portfolio/facility collaboration before the dependent work begins.</w:t>
      </w:r>
    </w:p>
    <w:p w14:paraId="38D541F8" w14:textId="59202038" w:rsidR="00894D55" w:rsidRDefault="00B20FC1">
      <w:r>
        <w:rPr>
          <w:rFonts w:cs="Times New Roman"/>
        </w:rPr>
        <w:t xml:space="preserve">This capacity is materially evidenced rather than asserted only in narrative form. The Background is accompanied by the persistent Zenodo record and MDPAR-docs repository, which together expose the </w:t>
      </w:r>
      <w:proofErr w:type="spellStart"/>
      <w:r>
        <w:rPr>
          <w:rFonts w:cs="Times New Roman"/>
        </w:rPr>
        <w:t>formalisation</w:t>
      </w:r>
      <w:proofErr w:type="spellEnd"/>
      <w:r>
        <w:rPr>
          <w:rFonts w:cs="Times New Roman"/>
        </w:rPr>
        <w:t xml:space="preserve"> manuscript, historical run evidence, benchmark documentation and falsification/reproducibility commands. They do not substitute for institutional capacity that has not yet been secured, but they make the applicant-controlled scientific and technical baseline independently identifiable before grant start.</w:t>
      </w:r>
    </w:p>
    <w:p w14:paraId="68509192" w14:textId="77777777" w:rsidR="00894D55" w:rsidRDefault="00B20FC1">
      <w:pPr>
        <w:keepNext/>
        <w:spacing w:before="60" w:after="40"/>
      </w:pPr>
      <w:r>
        <w:rPr>
          <w:rFonts w:cs="Times New Roman"/>
          <w:b/>
        </w:rPr>
        <w:t>Interdisciplinary expertise and role coverage</w:t>
      </w:r>
    </w:p>
    <w:tbl>
      <w:tblPr>
        <w:tblStyle w:val="Tablaconcuadrcula"/>
        <w:tblW w:w="0" w:type="auto"/>
        <w:jc w:val="center"/>
        <w:tblCellMar>
          <w:top w:w="40" w:type="dxa"/>
          <w:left w:w="60" w:type="dxa"/>
          <w:bottom w:w="40" w:type="dxa"/>
          <w:right w:w="60" w:type="dxa"/>
        </w:tblCellMar>
        <w:tblLook w:val="04A0" w:firstRow="1" w:lastRow="0" w:firstColumn="1" w:lastColumn="0" w:noHBand="0" w:noVBand="1"/>
      </w:tblPr>
      <w:tblGrid>
        <w:gridCol w:w="2750"/>
        <w:gridCol w:w="3336"/>
        <w:gridCol w:w="4230"/>
      </w:tblGrid>
      <w:tr w:rsidR="00894D55" w14:paraId="697B642C" w14:textId="77777777">
        <w:trPr>
          <w:cantSplit/>
          <w:tblHeader/>
          <w:jc w:val="center"/>
        </w:trPr>
        <w:tc>
          <w:tcPr>
            <w:tcW w:w="2232" w:type="dxa"/>
            <w:shd w:val="clear" w:color="auto" w:fill="D9EAF7"/>
            <w:tcMar>
              <w:top w:w="45" w:type="dxa"/>
              <w:left w:w="55" w:type="dxa"/>
              <w:bottom w:w="45" w:type="dxa"/>
              <w:right w:w="55" w:type="dxa"/>
            </w:tcMar>
          </w:tcPr>
          <w:p w14:paraId="75ED7D01" w14:textId="77777777" w:rsidR="00894D55" w:rsidRDefault="00B20FC1">
            <w:pPr>
              <w:spacing w:after="0"/>
            </w:pPr>
            <w:r>
              <w:rPr>
                <w:rFonts w:cs="Times New Roman"/>
                <w:b/>
              </w:rPr>
              <w:t>Capability required</w:t>
            </w:r>
          </w:p>
        </w:tc>
        <w:tc>
          <w:tcPr>
            <w:tcW w:w="3456" w:type="dxa"/>
            <w:shd w:val="clear" w:color="auto" w:fill="D9EAF7"/>
            <w:tcMar>
              <w:top w:w="45" w:type="dxa"/>
              <w:left w:w="55" w:type="dxa"/>
              <w:bottom w:w="45" w:type="dxa"/>
              <w:right w:w="55" w:type="dxa"/>
            </w:tcMar>
          </w:tcPr>
          <w:p w14:paraId="32E18FF1" w14:textId="77777777" w:rsidR="00894D55" w:rsidRDefault="00B20FC1">
            <w:pPr>
              <w:spacing w:after="0"/>
            </w:pPr>
            <w:r>
              <w:rPr>
                <w:rFonts w:cs="Times New Roman"/>
                <w:b/>
              </w:rPr>
              <w:t>Why it is necessary</w:t>
            </w:r>
          </w:p>
        </w:tc>
        <w:tc>
          <w:tcPr>
            <w:tcW w:w="4392" w:type="dxa"/>
            <w:shd w:val="clear" w:color="auto" w:fill="D9EAF7"/>
            <w:tcMar>
              <w:top w:w="45" w:type="dxa"/>
              <w:left w:w="55" w:type="dxa"/>
              <w:bottom w:w="45" w:type="dxa"/>
              <w:right w:w="55" w:type="dxa"/>
            </w:tcMar>
          </w:tcPr>
          <w:p w14:paraId="125BDEB4" w14:textId="77777777" w:rsidR="00894D55" w:rsidRDefault="00B20FC1">
            <w:pPr>
              <w:spacing w:after="0"/>
            </w:pPr>
            <w:r>
              <w:rPr>
                <w:rFonts w:cs="Times New Roman"/>
                <w:b/>
              </w:rPr>
              <w:t>How the project covers it</w:t>
            </w:r>
          </w:p>
        </w:tc>
      </w:tr>
      <w:tr w:rsidR="00894D55" w14:paraId="723C9E2D" w14:textId="77777777">
        <w:trPr>
          <w:cantSplit/>
          <w:jc w:val="center"/>
        </w:trPr>
        <w:tc>
          <w:tcPr>
            <w:tcW w:w="2232" w:type="dxa"/>
            <w:tcMar>
              <w:top w:w="45" w:type="dxa"/>
              <w:left w:w="55" w:type="dxa"/>
              <w:bottom w:w="45" w:type="dxa"/>
              <w:right w:w="55" w:type="dxa"/>
            </w:tcMar>
          </w:tcPr>
          <w:p w14:paraId="3DBEE272" w14:textId="77777777" w:rsidR="00894D55" w:rsidRDefault="00B20FC1">
            <w:pPr>
              <w:spacing w:after="0"/>
            </w:pPr>
            <w:r>
              <w:rPr>
                <w:rFonts w:cs="Times New Roman"/>
              </w:rPr>
              <w:t>MDPAR/SCC architecture and software</w:t>
            </w:r>
          </w:p>
        </w:tc>
        <w:tc>
          <w:tcPr>
            <w:tcW w:w="3456" w:type="dxa"/>
            <w:tcMar>
              <w:top w:w="45" w:type="dxa"/>
              <w:left w:w="55" w:type="dxa"/>
              <w:bottom w:w="45" w:type="dxa"/>
              <w:right w:w="55" w:type="dxa"/>
            </w:tcMar>
          </w:tcPr>
          <w:p w14:paraId="5F020FEC" w14:textId="77777777" w:rsidR="00894D55" w:rsidRDefault="00B20FC1">
            <w:pPr>
              <w:spacing w:after="0"/>
            </w:pPr>
            <w:r>
              <w:rPr>
                <w:rFonts w:cs="Times New Roman"/>
              </w:rPr>
              <w:t>Scientific object, formal semantics, instrumentation, runtime and Background integration.</w:t>
            </w:r>
          </w:p>
        </w:tc>
        <w:tc>
          <w:tcPr>
            <w:tcW w:w="4392" w:type="dxa"/>
            <w:tcMar>
              <w:top w:w="45" w:type="dxa"/>
              <w:left w:w="55" w:type="dxa"/>
              <w:bottom w:w="45" w:type="dxa"/>
              <w:right w:w="55" w:type="dxa"/>
            </w:tcMar>
          </w:tcPr>
          <w:p w14:paraId="6D29A8C6" w14:textId="77777777" w:rsidR="00894D55" w:rsidRDefault="00B20FC1">
            <w:pPr>
              <w:spacing w:after="0"/>
            </w:pPr>
            <w:r>
              <w:rPr>
                <w:rFonts w:cs="Times New Roman"/>
              </w:rPr>
              <w:t>Directly demonstrated by the pre-existing v2.2.0 codebase, C0-C12 evidence and operational surface; retained under the Scientific/Technical Lead.</w:t>
            </w:r>
          </w:p>
        </w:tc>
      </w:tr>
      <w:tr w:rsidR="00894D55" w14:paraId="746597A2" w14:textId="77777777">
        <w:trPr>
          <w:cantSplit/>
          <w:jc w:val="center"/>
        </w:trPr>
        <w:tc>
          <w:tcPr>
            <w:tcW w:w="2232" w:type="dxa"/>
            <w:tcMar>
              <w:top w:w="45" w:type="dxa"/>
              <w:left w:w="55" w:type="dxa"/>
              <w:bottom w:w="45" w:type="dxa"/>
              <w:right w:w="55" w:type="dxa"/>
            </w:tcMar>
          </w:tcPr>
          <w:p w14:paraId="1A8D1411" w14:textId="77777777" w:rsidR="00894D55" w:rsidRDefault="00B20FC1">
            <w:pPr>
              <w:spacing w:after="0"/>
            </w:pPr>
            <w:r>
              <w:rPr>
                <w:rFonts w:cs="Times New Roman"/>
              </w:rPr>
              <w:t>Formal methods / knowledge representation</w:t>
            </w:r>
          </w:p>
        </w:tc>
        <w:tc>
          <w:tcPr>
            <w:tcW w:w="3456" w:type="dxa"/>
            <w:tcMar>
              <w:top w:w="45" w:type="dxa"/>
              <w:left w:w="55" w:type="dxa"/>
              <w:bottom w:w="45" w:type="dxa"/>
              <w:right w:w="55" w:type="dxa"/>
            </w:tcMar>
          </w:tcPr>
          <w:p w14:paraId="3147A36C" w14:textId="77777777" w:rsidR="00894D55" w:rsidRDefault="00B20FC1">
            <w:pPr>
              <w:spacing w:after="0"/>
            </w:pPr>
            <w:r>
              <w:rPr>
                <w:rFonts w:cs="Times New Roman"/>
              </w:rPr>
              <w:t>Independent scrutiny of identity, transformations, invariants, equivalence and counterexamples.</w:t>
            </w:r>
          </w:p>
        </w:tc>
        <w:tc>
          <w:tcPr>
            <w:tcW w:w="4392" w:type="dxa"/>
            <w:tcMar>
              <w:top w:w="45" w:type="dxa"/>
              <w:left w:w="55" w:type="dxa"/>
              <w:bottom w:w="45" w:type="dxa"/>
              <w:right w:w="55" w:type="dxa"/>
            </w:tcMar>
          </w:tcPr>
          <w:p w14:paraId="24553882" w14:textId="77777777" w:rsidR="00894D55" w:rsidRDefault="00B20FC1">
            <w:pPr>
              <w:spacing w:after="0"/>
            </w:pPr>
            <w:r>
              <w:rPr>
                <w:rFonts w:cs="Times New Roman"/>
              </w:rPr>
              <w:t>Dedicated role in the staffing plan; external/independent review is preferred before confirmatory freeze.</w:t>
            </w:r>
          </w:p>
        </w:tc>
      </w:tr>
      <w:tr w:rsidR="00894D55" w14:paraId="6AEAB4EA" w14:textId="77777777">
        <w:trPr>
          <w:cantSplit/>
          <w:jc w:val="center"/>
        </w:trPr>
        <w:tc>
          <w:tcPr>
            <w:tcW w:w="2232" w:type="dxa"/>
            <w:tcMar>
              <w:top w:w="45" w:type="dxa"/>
              <w:left w:w="55" w:type="dxa"/>
              <w:bottom w:w="45" w:type="dxa"/>
              <w:right w:w="55" w:type="dxa"/>
            </w:tcMar>
          </w:tcPr>
          <w:p w14:paraId="78771BD5" w14:textId="77777777" w:rsidR="00894D55" w:rsidRDefault="00B20FC1">
            <w:pPr>
              <w:spacing w:after="0"/>
            </w:pPr>
            <w:r>
              <w:rPr>
                <w:rFonts w:cs="Times New Roman"/>
              </w:rPr>
              <w:t>Experimental AI / systems integration</w:t>
            </w:r>
          </w:p>
        </w:tc>
        <w:tc>
          <w:tcPr>
            <w:tcW w:w="3456" w:type="dxa"/>
            <w:tcMar>
              <w:top w:w="45" w:type="dxa"/>
              <w:left w:w="55" w:type="dxa"/>
              <w:bottom w:w="45" w:type="dxa"/>
              <w:right w:w="55" w:type="dxa"/>
            </w:tcMar>
          </w:tcPr>
          <w:p w14:paraId="0C73AF7F" w14:textId="77777777" w:rsidR="00894D55" w:rsidRDefault="00B20FC1">
            <w:pPr>
              <w:spacing w:after="0"/>
            </w:pPr>
            <w:r>
              <w:rPr>
                <w:rFonts w:cs="Times New Roman"/>
              </w:rPr>
              <w:t>Cross-model campaigns, adapters, interoperability and controlled provider substitution.</w:t>
            </w:r>
          </w:p>
        </w:tc>
        <w:tc>
          <w:tcPr>
            <w:tcW w:w="4392" w:type="dxa"/>
            <w:tcMar>
              <w:top w:w="45" w:type="dxa"/>
              <w:left w:w="55" w:type="dxa"/>
              <w:bottom w:w="45" w:type="dxa"/>
              <w:right w:w="55" w:type="dxa"/>
            </w:tcMar>
          </w:tcPr>
          <w:p w14:paraId="4D204B04" w14:textId="77777777" w:rsidR="00894D55" w:rsidRDefault="00B20FC1">
            <w:pPr>
              <w:spacing w:after="0"/>
            </w:pPr>
            <w:r>
              <w:rPr>
                <w:rFonts w:cs="Times New Roman"/>
              </w:rPr>
              <w:t xml:space="preserve">Dedicated engineering/research role; </w:t>
            </w:r>
            <w:proofErr w:type="spellStart"/>
            <w:r>
              <w:rPr>
                <w:rFonts w:cs="Times New Roman"/>
              </w:rPr>
              <w:t>DeepRAP</w:t>
            </w:r>
            <w:proofErr w:type="spellEnd"/>
            <w:r>
              <w:rPr>
                <w:rFonts w:cs="Times New Roman"/>
              </w:rPr>
              <w:t xml:space="preserve"> portfolio systems provide preferred independent targets, with accessible non-portfolio systems as fallback.</w:t>
            </w:r>
          </w:p>
        </w:tc>
      </w:tr>
      <w:tr w:rsidR="00894D55" w14:paraId="24CFE6BC" w14:textId="77777777">
        <w:trPr>
          <w:cantSplit/>
          <w:jc w:val="center"/>
        </w:trPr>
        <w:tc>
          <w:tcPr>
            <w:tcW w:w="2232" w:type="dxa"/>
            <w:tcMar>
              <w:top w:w="45" w:type="dxa"/>
              <w:left w:w="55" w:type="dxa"/>
              <w:bottom w:w="45" w:type="dxa"/>
              <w:right w:w="55" w:type="dxa"/>
            </w:tcMar>
          </w:tcPr>
          <w:p w14:paraId="492B5464" w14:textId="77777777" w:rsidR="00894D55" w:rsidRDefault="00B20FC1">
            <w:pPr>
              <w:spacing w:after="0"/>
            </w:pPr>
            <w:r>
              <w:rPr>
                <w:rFonts w:cs="Times New Roman"/>
              </w:rPr>
              <w:t>Quantitative methodology / Open Science</w:t>
            </w:r>
          </w:p>
        </w:tc>
        <w:tc>
          <w:tcPr>
            <w:tcW w:w="3456" w:type="dxa"/>
            <w:tcMar>
              <w:top w:w="45" w:type="dxa"/>
              <w:left w:w="55" w:type="dxa"/>
              <w:bottom w:w="45" w:type="dxa"/>
              <w:right w:w="55" w:type="dxa"/>
            </w:tcMar>
          </w:tcPr>
          <w:p w14:paraId="1E516303" w14:textId="77777777" w:rsidR="00894D55" w:rsidRDefault="00B20FC1">
            <w:pPr>
              <w:spacing w:after="0"/>
            </w:pPr>
            <w:r>
              <w:rPr>
                <w:rFonts w:cs="Times New Roman"/>
              </w:rPr>
              <w:t>Power/precision, nested designs, uncertainty, reproducibility and FAIR evidence.</w:t>
            </w:r>
          </w:p>
        </w:tc>
        <w:tc>
          <w:tcPr>
            <w:tcW w:w="4392" w:type="dxa"/>
            <w:tcMar>
              <w:top w:w="45" w:type="dxa"/>
              <w:left w:w="55" w:type="dxa"/>
              <w:bottom w:w="45" w:type="dxa"/>
              <w:right w:w="55" w:type="dxa"/>
            </w:tcMar>
          </w:tcPr>
          <w:p w14:paraId="33502609" w14:textId="77777777" w:rsidR="00894D55" w:rsidRDefault="00B20FC1">
            <w:pPr>
              <w:spacing w:after="0"/>
            </w:pPr>
            <w:r>
              <w:rPr>
                <w:rFonts w:cs="Times New Roman"/>
              </w:rPr>
              <w:t>Dedicated quantitative/Open Science role and separate evidence WPs.</w:t>
            </w:r>
          </w:p>
        </w:tc>
      </w:tr>
      <w:tr w:rsidR="00894D55" w14:paraId="12EF58AC" w14:textId="77777777">
        <w:trPr>
          <w:cantSplit/>
          <w:jc w:val="center"/>
        </w:trPr>
        <w:tc>
          <w:tcPr>
            <w:tcW w:w="2232" w:type="dxa"/>
            <w:tcMar>
              <w:top w:w="45" w:type="dxa"/>
              <w:left w:w="55" w:type="dxa"/>
              <w:bottom w:w="45" w:type="dxa"/>
              <w:right w:w="55" w:type="dxa"/>
            </w:tcMar>
          </w:tcPr>
          <w:p w14:paraId="56D38E5E" w14:textId="77777777" w:rsidR="00894D55" w:rsidRDefault="00B20FC1">
            <w:pPr>
              <w:spacing w:after="0"/>
            </w:pPr>
            <w:r>
              <w:rPr>
                <w:rFonts w:cs="Times New Roman"/>
              </w:rPr>
              <w:t>Cognitive science / experimental psychology</w:t>
            </w:r>
          </w:p>
        </w:tc>
        <w:tc>
          <w:tcPr>
            <w:tcW w:w="3456" w:type="dxa"/>
            <w:tcMar>
              <w:top w:w="45" w:type="dxa"/>
              <w:left w:w="55" w:type="dxa"/>
              <w:bottom w:w="45" w:type="dxa"/>
              <w:right w:w="55" w:type="dxa"/>
            </w:tcMar>
          </w:tcPr>
          <w:p w14:paraId="0D097E59" w14:textId="77777777" w:rsidR="00894D55" w:rsidRDefault="00B20FC1">
            <w:pPr>
              <w:spacing w:after="0"/>
            </w:pPr>
            <w:r>
              <w:rPr>
                <w:rFonts w:cs="Times New Roman"/>
              </w:rPr>
              <w:t>Construct validity and protection against equating task performance with the target inferential phenomenon.</w:t>
            </w:r>
          </w:p>
        </w:tc>
        <w:tc>
          <w:tcPr>
            <w:tcW w:w="4392" w:type="dxa"/>
            <w:tcMar>
              <w:top w:w="45" w:type="dxa"/>
              <w:left w:w="55" w:type="dxa"/>
              <w:bottom w:w="45" w:type="dxa"/>
              <w:right w:w="55" w:type="dxa"/>
            </w:tcMar>
          </w:tcPr>
          <w:p w14:paraId="4040D9C6" w14:textId="77777777" w:rsidR="00894D55" w:rsidRDefault="00B20FC1">
            <w:pPr>
              <w:spacing w:after="0"/>
            </w:pPr>
            <w:r>
              <w:rPr>
                <w:rFonts w:cs="Times New Roman"/>
              </w:rPr>
              <w:t xml:space="preserve">Methodological contribution built into the design; additional advisory/partner expertise can be </w:t>
            </w:r>
            <w:proofErr w:type="spellStart"/>
            <w:r>
              <w:rPr>
                <w:rFonts w:cs="Times New Roman"/>
              </w:rPr>
              <w:t>formalised</w:t>
            </w:r>
            <w:proofErr w:type="spellEnd"/>
            <w:r>
              <w:rPr>
                <w:rFonts w:cs="Times New Roman"/>
              </w:rPr>
              <w:t xml:space="preserve"> without changing the hypothesis.</w:t>
            </w:r>
          </w:p>
        </w:tc>
      </w:tr>
      <w:tr w:rsidR="00894D55" w14:paraId="5CCB3546" w14:textId="77777777">
        <w:trPr>
          <w:cantSplit/>
          <w:jc w:val="center"/>
        </w:trPr>
        <w:tc>
          <w:tcPr>
            <w:tcW w:w="2232" w:type="dxa"/>
            <w:tcMar>
              <w:top w:w="45" w:type="dxa"/>
              <w:left w:w="55" w:type="dxa"/>
              <w:bottom w:w="45" w:type="dxa"/>
              <w:right w:w="55" w:type="dxa"/>
            </w:tcMar>
          </w:tcPr>
          <w:p w14:paraId="03298CDD" w14:textId="77777777" w:rsidR="00894D55" w:rsidRDefault="00B20FC1">
            <w:pPr>
              <w:spacing w:after="0"/>
            </w:pPr>
            <w:r>
              <w:rPr>
                <w:rFonts w:cs="Times New Roman"/>
              </w:rPr>
              <w:t>Embodied AI / robotics</w:t>
            </w:r>
          </w:p>
        </w:tc>
        <w:tc>
          <w:tcPr>
            <w:tcW w:w="3456" w:type="dxa"/>
            <w:tcMar>
              <w:top w:w="45" w:type="dxa"/>
              <w:left w:w="55" w:type="dxa"/>
              <w:bottom w:w="45" w:type="dxa"/>
              <w:right w:w="55" w:type="dxa"/>
            </w:tcMar>
          </w:tcPr>
          <w:p w14:paraId="6C0DAD9C" w14:textId="77777777" w:rsidR="00894D55" w:rsidRDefault="00B20FC1">
            <w:pPr>
              <w:spacing w:after="0"/>
            </w:pPr>
            <w:r>
              <w:rPr>
                <w:rFonts w:cs="Times New Roman"/>
              </w:rPr>
              <w:t>Physical perception-action coupling, partial observability, real-time constraints and TRL4 lab validation.</w:t>
            </w:r>
          </w:p>
        </w:tc>
        <w:tc>
          <w:tcPr>
            <w:tcW w:w="4392" w:type="dxa"/>
            <w:tcMar>
              <w:top w:w="45" w:type="dxa"/>
              <w:left w:w="55" w:type="dxa"/>
              <w:bottom w:w="45" w:type="dxa"/>
              <w:right w:w="55" w:type="dxa"/>
            </w:tcMar>
          </w:tcPr>
          <w:p w14:paraId="63CA23C5" w14:textId="77777777" w:rsidR="00894D55" w:rsidRDefault="00B20FC1">
            <w:pPr>
              <w:spacing w:after="0"/>
            </w:pPr>
            <w:r>
              <w:rPr>
                <w:rFonts w:cs="Times New Roman"/>
              </w:rPr>
              <w:t xml:space="preserve">Not claimed as currently available infrastructure. Dedicated role plus a formal M15 access gate. Preferred post-selection route: USAL </w:t>
            </w:r>
            <w:proofErr w:type="spellStart"/>
            <w:r>
              <w:rPr>
                <w:rFonts w:cs="Times New Roman"/>
              </w:rPr>
              <w:t>Departamento</w:t>
            </w:r>
            <w:proofErr w:type="spellEnd"/>
            <w:r>
              <w:rPr>
                <w:rFonts w:cs="Times New Roman"/>
              </w:rPr>
              <w:t xml:space="preserve"> de </w:t>
            </w:r>
            <w:proofErr w:type="spellStart"/>
            <w:r>
              <w:rPr>
                <w:rFonts w:cs="Times New Roman"/>
              </w:rPr>
              <w:t>Informática</w:t>
            </w:r>
            <w:proofErr w:type="spellEnd"/>
            <w:r>
              <w:rPr>
                <w:rFonts w:cs="Times New Roman"/>
              </w:rPr>
              <w:t xml:space="preserve"> y </w:t>
            </w:r>
            <w:proofErr w:type="spellStart"/>
            <w:r>
              <w:rPr>
                <w:rFonts w:cs="Times New Roman"/>
              </w:rPr>
              <w:t>Automática</w:t>
            </w:r>
            <w:proofErr w:type="spellEnd"/>
            <w:r>
              <w:rPr>
                <w:rFonts w:cs="Times New Roman"/>
              </w:rPr>
              <w:t xml:space="preserve">, linking </w:t>
            </w:r>
            <w:proofErr w:type="spellStart"/>
            <w:r>
              <w:rPr>
                <w:rFonts w:cs="Times New Roman"/>
              </w:rPr>
              <w:t>Ciencia</w:t>
            </w:r>
            <w:proofErr w:type="spellEnd"/>
            <w:r>
              <w:rPr>
                <w:rFonts w:cs="Times New Roman"/>
              </w:rPr>
              <w:t xml:space="preserve"> de la </w:t>
            </w:r>
            <w:proofErr w:type="spellStart"/>
            <w:r>
              <w:rPr>
                <w:rFonts w:cs="Times New Roman"/>
              </w:rPr>
              <w:t>Computación</w:t>
            </w:r>
            <w:proofErr w:type="spellEnd"/>
            <w:r>
              <w:rPr>
                <w:rFonts w:cs="Times New Roman"/>
              </w:rPr>
              <w:t xml:space="preserve"> e </w:t>
            </w:r>
            <w:proofErr w:type="spellStart"/>
            <w:r>
              <w:rPr>
                <w:rFonts w:cs="Times New Roman"/>
              </w:rPr>
              <w:t>Inteligencia</w:t>
            </w:r>
            <w:proofErr w:type="spellEnd"/>
            <w:r>
              <w:rPr>
                <w:rFonts w:cs="Times New Roman"/>
              </w:rPr>
              <w:t xml:space="preserve"> Artificial with </w:t>
            </w:r>
            <w:proofErr w:type="spellStart"/>
            <w:r>
              <w:rPr>
                <w:rFonts w:cs="Times New Roman"/>
              </w:rPr>
              <w:t>Ingeniería</w:t>
            </w:r>
            <w:proofErr w:type="spellEnd"/>
            <w:r>
              <w:rPr>
                <w:rFonts w:cs="Times New Roman"/>
              </w:rPr>
              <w:t xml:space="preserve"> de </w:t>
            </w:r>
            <w:proofErr w:type="spellStart"/>
            <w:r>
              <w:rPr>
                <w:rFonts w:cs="Times New Roman"/>
              </w:rPr>
              <w:t>Sistemas</w:t>
            </w:r>
            <w:proofErr w:type="spellEnd"/>
            <w:r>
              <w:rPr>
                <w:rFonts w:cs="Times New Roman"/>
              </w:rPr>
              <w:t xml:space="preserve"> y </w:t>
            </w:r>
            <w:proofErr w:type="spellStart"/>
            <w:r>
              <w:rPr>
                <w:rFonts w:cs="Times New Roman"/>
              </w:rPr>
              <w:t>Automática</w:t>
            </w:r>
            <w:proofErr w:type="spellEnd"/>
            <w:r>
              <w:rPr>
                <w:rFonts w:cs="Times New Roman"/>
              </w:rPr>
              <w:t>; alternative European host/TEF/facility routes remain active until written access is secured.</w:t>
            </w:r>
          </w:p>
        </w:tc>
      </w:tr>
      <w:tr w:rsidR="00894D55" w14:paraId="0402ED81" w14:textId="77777777">
        <w:trPr>
          <w:cantSplit/>
          <w:jc w:val="center"/>
        </w:trPr>
        <w:tc>
          <w:tcPr>
            <w:tcW w:w="2232" w:type="dxa"/>
            <w:tcMar>
              <w:top w:w="45" w:type="dxa"/>
              <w:left w:w="55" w:type="dxa"/>
              <w:bottom w:w="45" w:type="dxa"/>
              <w:right w:w="55" w:type="dxa"/>
            </w:tcMar>
          </w:tcPr>
          <w:p w14:paraId="7AC7B02B" w14:textId="77777777" w:rsidR="00894D55" w:rsidRDefault="00B20FC1">
            <w:pPr>
              <w:spacing w:after="0"/>
            </w:pPr>
            <w:r>
              <w:rPr>
                <w:rFonts w:cs="Times New Roman"/>
              </w:rPr>
              <w:t>Innovation/IP/communication</w:t>
            </w:r>
          </w:p>
        </w:tc>
        <w:tc>
          <w:tcPr>
            <w:tcW w:w="3456" w:type="dxa"/>
            <w:tcMar>
              <w:top w:w="45" w:type="dxa"/>
              <w:left w:w="55" w:type="dxa"/>
              <w:bottom w:w="45" w:type="dxa"/>
              <w:right w:w="55" w:type="dxa"/>
            </w:tcMar>
          </w:tcPr>
          <w:p w14:paraId="59BE577B" w14:textId="77777777" w:rsidR="00894D55" w:rsidRDefault="00B20FC1">
            <w:pPr>
              <w:spacing w:after="0"/>
            </w:pPr>
            <w:r>
              <w:rPr>
                <w:rFonts w:cs="Times New Roman"/>
              </w:rPr>
              <w:t xml:space="preserve">Protection, exploitation, </w:t>
            </w:r>
            <w:proofErr w:type="spellStart"/>
            <w:r>
              <w:rPr>
                <w:rFonts w:cs="Times New Roman"/>
              </w:rPr>
              <w:t>standardisation</w:t>
            </w:r>
            <w:proofErr w:type="spellEnd"/>
            <w:r>
              <w:rPr>
                <w:rFonts w:cs="Times New Roman"/>
              </w:rPr>
              <w:t xml:space="preserve"> and evidence-bounded communication.</w:t>
            </w:r>
          </w:p>
        </w:tc>
        <w:tc>
          <w:tcPr>
            <w:tcW w:w="4392" w:type="dxa"/>
            <w:tcMar>
              <w:top w:w="45" w:type="dxa"/>
              <w:left w:w="55" w:type="dxa"/>
              <w:bottom w:w="45" w:type="dxa"/>
              <w:right w:w="55" w:type="dxa"/>
            </w:tcMar>
          </w:tcPr>
          <w:p w14:paraId="762EFF3E" w14:textId="77777777" w:rsidR="00894D55" w:rsidRDefault="00B20FC1">
            <w:pPr>
              <w:spacing w:after="0"/>
            </w:pPr>
            <w:r>
              <w:rPr>
                <w:rFonts w:cs="Times New Roman"/>
              </w:rPr>
              <w:t>Dedicated support PM plus EIC/</w:t>
            </w:r>
            <w:proofErr w:type="spellStart"/>
            <w:r>
              <w:rPr>
                <w:rFonts w:cs="Times New Roman"/>
              </w:rPr>
              <w:t>DeepRAP</w:t>
            </w:r>
            <w:proofErr w:type="spellEnd"/>
            <w:r>
              <w:rPr>
                <w:rFonts w:cs="Times New Roman"/>
              </w:rPr>
              <w:t xml:space="preserve"> portfolio and Business Acceleration opportunities where applicable.</w:t>
            </w:r>
          </w:p>
        </w:tc>
      </w:tr>
    </w:tbl>
    <w:p w14:paraId="7F5E2AA0" w14:textId="77777777" w:rsidR="00894D55" w:rsidRDefault="00894D55"/>
    <w:p w14:paraId="5A96483D" w14:textId="77777777" w:rsidR="00894D55" w:rsidRDefault="00B20FC1">
      <w:pPr>
        <w:keepNext/>
        <w:spacing w:before="60" w:after="40"/>
      </w:pPr>
      <w:r>
        <w:rPr>
          <w:rFonts w:cs="Times New Roman"/>
          <w:b/>
        </w:rPr>
        <w:t>Access to critical infrastructure</w:t>
      </w:r>
    </w:p>
    <w:p w14:paraId="525E3FC6" w14:textId="77777777" w:rsidR="00894D55" w:rsidRDefault="00B20FC1">
      <w:r>
        <w:rPr>
          <w:rFonts w:cs="Times New Roman"/>
        </w:rPr>
        <w:t xml:space="preserve">Infrastructure is separated by scientific necessity rather than presented as a single institutional asset. Tier 1 (M1-M12) is software/compute infrastructure: MDPAR v2.2.0, source/binary artefacts, local development environment, controlled local models and budgeted external compute/API services. No dedicated university laboratory is required to complete WP2-WP3. Tier 2 (M10-M24) is access to independently engineered cognitive systems. </w:t>
      </w:r>
      <w:proofErr w:type="spellStart"/>
      <w:r>
        <w:rPr>
          <w:rFonts w:cs="Times New Roman"/>
        </w:rPr>
        <w:t>DeepRAP</w:t>
      </w:r>
      <w:proofErr w:type="spellEnd"/>
      <w:r>
        <w:rPr>
          <w:rFonts w:cs="Times New Roman"/>
        </w:rPr>
        <w:t xml:space="preserve"> portfolio collaboration is the preferred route because portfolio heterogeneity directly strengthens O3; however, the work plan also permits open-source, licensed, API-accessible and other independent systems so that no single project controls the critical path. Tier 3 (M19-M36) is physical multimodal/robotics infrastructure. This is the only material infrastructure gap at submission unless a host is </w:t>
      </w:r>
      <w:proofErr w:type="spellStart"/>
      <w:r>
        <w:rPr>
          <w:rFonts w:cs="Times New Roman"/>
        </w:rPr>
        <w:t>formalised</w:t>
      </w:r>
      <w:proofErr w:type="spellEnd"/>
      <w:r>
        <w:rPr>
          <w:rFonts w:cs="Times New Roman"/>
        </w:rPr>
        <w:t xml:space="preserve"> beforehand.</w:t>
      </w:r>
    </w:p>
    <w:p w14:paraId="04C17330" w14:textId="77777777" w:rsidR="00894D55" w:rsidRDefault="00B20FC1">
      <w:r>
        <w:rPr>
          <w:rFonts w:cs="Times New Roman"/>
        </w:rPr>
        <w:t xml:space="preserve">The project therefore treats Year-3 infrastructure as an explicit acquisition obligation, not as an implied asset. Its preferred institutional route is specific rather than generic. Following a positive EIC Pathfinder </w:t>
      </w:r>
      <w:proofErr w:type="spellStart"/>
      <w:r>
        <w:rPr>
          <w:rFonts w:cs="Times New Roman"/>
        </w:rPr>
        <w:t>DeepRAP</w:t>
      </w:r>
      <w:proofErr w:type="spellEnd"/>
      <w:r>
        <w:rPr>
          <w:rFonts w:cs="Times New Roman"/>
        </w:rPr>
        <w:t xml:space="preserve"> funding decision, the applicant will seek a formal agreement with the University of Salamanca (USAL), where the applicant </w:t>
      </w:r>
      <w:r>
        <w:rPr>
          <w:rFonts w:cs="Times New Roman"/>
        </w:rPr>
        <w:lastRenderedPageBreak/>
        <w:t xml:space="preserve">plans to pursue doctoral research in the Doctoral </w:t>
      </w:r>
      <w:proofErr w:type="spellStart"/>
      <w:r>
        <w:rPr>
          <w:rFonts w:cs="Times New Roman"/>
        </w:rPr>
        <w:t>Programme</w:t>
      </w:r>
      <w:proofErr w:type="spellEnd"/>
      <w:r>
        <w:rPr>
          <w:rFonts w:cs="Times New Roman"/>
        </w:rPr>
        <w:t xml:space="preserve"> in Applied Artificial Intelligence (</w:t>
      </w:r>
      <w:proofErr w:type="spellStart"/>
      <w:r>
        <w:rPr>
          <w:rFonts w:cs="Times New Roman"/>
        </w:rPr>
        <w:t>Programa</w:t>
      </w:r>
      <w:proofErr w:type="spellEnd"/>
      <w:r>
        <w:rPr>
          <w:rFonts w:cs="Times New Roman"/>
        </w:rPr>
        <w:t xml:space="preserve"> de </w:t>
      </w:r>
      <w:proofErr w:type="spellStart"/>
      <w:r>
        <w:rPr>
          <w:rFonts w:cs="Times New Roman"/>
        </w:rPr>
        <w:t>Doctorado</w:t>
      </w:r>
      <w:proofErr w:type="spellEnd"/>
      <w:r>
        <w:rPr>
          <w:rFonts w:cs="Times New Roman"/>
        </w:rPr>
        <w:t xml:space="preserve"> </w:t>
      </w:r>
      <w:proofErr w:type="spellStart"/>
      <w:r>
        <w:rPr>
          <w:rFonts w:cs="Times New Roman"/>
        </w:rPr>
        <w:t>en</w:t>
      </w:r>
      <w:proofErr w:type="spellEnd"/>
      <w:r>
        <w:rPr>
          <w:rFonts w:cs="Times New Roman"/>
        </w:rPr>
        <w:t xml:space="preserve"> </w:t>
      </w:r>
      <w:proofErr w:type="spellStart"/>
      <w:r>
        <w:rPr>
          <w:rFonts w:cs="Times New Roman"/>
        </w:rPr>
        <w:t>Inteligencia</w:t>
      </w:r>
      <w:proofErr w:type="spellEnd"/>
      <w:r>
        <w:rPr>
          <w:rFonts w:cs="Times New Roman"/>
        </w:rPr>
        <w:t xml:space="preserve"> Artificial </w:t>
      </w:r>
      <w:proofErr w:type="spellStart"/>
      <w:r>
        <w:rPr>
          <w:rFonts w:cs="Times New Roman"/>
        </w:rPr>
        <w:t>Aplicada</w:t>
      </w:r>
      <w:proofErr w:type="spellEnd"/>
      <w:r>
        <w:rPr>
          <w:rFonts w:cs="Times New Roman"/>
        </w:rPr>
        <w:t xml:space="preserve">), subject to USAL admission, supervision and institutional decisions. The intended scientific anchor is the </w:t>
      </w:r>
      <w:proofErr w:type="spellStart"/>
      <w:r>
        <w:rPr>
          <w:rFonts w:cs="Times New Roman"/>
        </w:rPr>
        <w:t>Departamento</w:t>
      </w:r>
      <w:proofErr w:type="spellEnd"/>
      <w:r>
        <w:rPr>
          <w:rFonts w:cs="Times New Roman"/>
        </w:rPr>
        <w:t xml:space="preserve"> de </w:t>
      </w:r>
      <w:proofErr w:type="spellStart"/>
      <w:r>
        <w:rPr>
          <w:rFonts w:cs="Times New Roman"/>
        </w:rPr>
        <w:t>Informática</w:t>
      </w:r>
      <w:proofErr w:type="spellEnd"/>
      <w:r>
        <w:rPr>
          <w:rFonts w:cs="Times New Roman"/>
        </w:rPr>
        <w:t xml:space="preserve"> y </w:t>
      </w:r>
      <w:proofErr w:type="spellStart"/>
      <w:r>
        <w:rPr>
          <w:rFonts w:cs="Times New Roman"/>
        </w:rPr>
        <w:t>Automática</w:t>
      </w:r>
      <w:proofErr w:type="spellEnd"/>
      <w:r>
        <w:rPr>
          <w:rFonts w:cs="Times New Roman"/>
        </w:rPr>
        <w:t xml:space="preserve">, combining </w:t>
      </w:r>
      <w:proofErr w:type="spellStart"/>
      <w:r>
        <w:rPr>
          <w:rFonts w:cs="Times New Roman"/>
        </w:rPr>
        <w:t>Ciencia</w:t>
      </w:r>
      <w:proofErr w:type="spellEnd"/>
      <w:r>
        <w:rPr>
          <w:rFonts w:cs="Times New Roman"/>
        </w:rPr>
        <w:t xml:space="preserve"> de la </w:t>
      </w:r>
      <w:proofErr w:type="spellStart"/>
      <w:r>
        <w:rPr>
          <w:rFonts w:cs="Times New Roman"/>
        </w:rPr>
        <w:t>Computación</w:t>
      </w:r>
      <w:proofErr w:type="spellEnd"/>
      <w:r>
        <w:rPr>
          <w:rFonts w:cs="Times New Roman"/>
        </w:rPr>
        <w:t xml:space="preserve"> e </w:t>
      </w:r>
      <w:proofErr w:type="spellStart"/>
      <w:r>
        <w:rPr>
          <w:rFonts w:cs="Times New Roman"/>
        </w:rPr>
        <w:t>Inteligencia</w:t>
      </w:r>
      <w:proofErr w:type="spellEnd"/>
      <w:r>
        <w:rPr>
          <w:rFonts w:cs="Times New Roman"/>
        </w:rPr>
        <w:t xml:space="preserve"> Artificial with </w:t>
      </w:r>
      <w:proofErr w:type="spellStart"/>
      <w:r>
        <w:rPr>
          <w:rFonts w:cs="Times New Roman"/>
        </w:rPr>
        <w:t>Ingeniería</w:t>
      </w:r>
      <w:proofErr w:type="spellEnd"/>
      <w:r>
        <w:rPr>
          <w:rFonts w:cs="Times New Roman"/>
        </w:rPr>
        <w:t xml:space="preserve"> de </w:t>
      </w:r>
      <w:proofErr w:type="spellStart"/>
      <w:r>
        <w:rPr>
          <w:rFonts w:cs="Times New Roman"/>
        </w:rPr>
        <w:t>Sistemas</w:t>
      </w:r>
      <w:proofErr w:type="spellEnd"/>
      <w:r>
        <w:rPr>
          <w:rFonts w:cs="Times New Roman"/>
        </w:rPr>
        <w:t xml:space="preserve"> y </w:t>
      </w:r>
      <w:proofErr w:type="spellStart"/>
      <w:r>
        <w:rPr>
          <w:rFonts w:cs="Times New Roman"/>
        </w:rPr>
        <w:t>Automática</w:t>
      </w:r>
      <w:proofErr w:type="spellEnd"/>
      <w:r>
        <w:rPr>
          <w:rFonts w:cs="Times New Roman"/>
        </w:rPr>
        <w:t xml:space="preserve">: the former aligns with the cognitive-AI/formal research object, while the latter provides the disciplinary route required for robotics, control and physical perception-action validation. The negotiation target is documented access to suitable simulated and physical robotics infrastructure, technical supervision/support and, where scientifically appropriate, participation in the embodied validation work. Selection by EIC would not itself grant access or constitute USAL endorsement; it would provide an externally evaluated European project, defined WP7 requirements, budget and timetable around which that agreement can be negotiated. MS4 at M15 requires a documented, budget-compatible physical access route before the laboratory campaign becomes critical. </w:t>
      </w:r>
      <w:proofErr w:type="spellStart"/>
      <w:r>
        <w:rPr>
          <w:rFonts w:cs="Times New Roman"/>
        </w:rPr>
        <w:t>DeepRAP</w:t>
      </w:r>
      <w:proofErr w:type="spellEnd"/>
      <w:r>
        <w:rPr>
          <w:rFonts w:cs="Times New Roman"/>
        </w:rPr>
        <w:t xml:space="preserve"> common pilots, other European university/robotics hosts, relevant Testing and Experimentation Facilities and eligible purchased laboratory/testing access remain parallel fallbacks, so no single institution defines the critical path.</w:t>
      </w:r>
    </w:p>
    <w:p w14:paraId="0C6CAD44" w14:textId="77777777" w:rsidR="00894D55" w:rsidRDefault="00B20FC1">
      <w:pPr>
        <w:keepNext/>
        <w:spacing w:before="60" w:after="40"/>
      </w:pPr>
      <w:proofErr w:type="spellStart"/>
      <w:r>
        <w:rPr>
          <w:rFonts w:cs="Times New Roman"/>
          <w:b/>
        </w:rPr>
        <w:t>Institutionalisation</w:t>
      </w:r>
      <w:proofErr w:type="spellEnd"/>
      <w:r>
        <w:rPr>
          <w:rFonts w:cs="Times New Roman"/>
          <w:b/>
        </w:rPr>
        <w:t xml:space="preserve"> and doctoral pathway</w:t>
      </w:r>
    </w:p>
    <w:p w14:paraId="403FBF5A" w14:textId="77777777" w:rsidR="00894D55" w:rsidRDefault="00B20FC1">
      <w:r>
        <w:rPr>
          <w:rFonts w:cs="Times New Roman"/>
        </w:rPr>
        <w:t>The prospective USAL doctoral pathway and the Year-3 infrastructure strategy are deliberately linked without being conflated. Doctoral enrolment is not a condition for Years 1-2, and USAL is not counted as a beneficiary, host, committed infrastructure provider, co-</w:t>
      </w:r>
      <w:proofErr w:type="spellStart"/>
      <w:r>
        <w:rPr>
          <w:rFonts w:cs="Times New Roman"/>
        </w:rPr>
        <w:t>funder</w:t>
      </w:r>
      <w:proofErr w:type="spellEnd"/>
      <w:r>
        <w:rPr>
          <w:rFonts w:cs="Times New Roman"/>
        </w:rPr>
        <w:t xml:space="preserve"> or current affiliation at submission. The pathway instead provides a credible institutional continuity mechanism: if MDPAR-H is selected for funding, the applicant will seek to align doctoral supervision in Applied Artificial Intelligence with the same Department of Computer Science and Automation environment targeted for the embodied validation agreement. Any role, access right or contribution will enter the project record only when documented in writing and, where required, reflected through the appropriate Horizon Europe contractual or implementation mechanism. The same evidence rule applies to every prospective institutional or </w:t>
      </w:r>
      <w:proofErr w:type="spellStart"/>
      <w:r>
        <w:rPr>
          <w:rFonts w:cs="Times New Roman"/>
        </w:rPr>
        <w:t>DeepRAP</w:t>
      </w:r>
      <w:proofErr w:type="spellEnd"/>
      <w:r>
        <w:rPr>
          <w:rFonts w:cs="Times New Roman"/>
        </w:rPr>
        <w:t xml:space="preserve"> collaboration.</w:t>
      </w:r>
    </w:p>
    <w:p w14:paraId="689CBBA1" w14:textId="77777777" w:rsidR="00894D55" w:rsidRDefault="00B20FC1">
      <w:pPr>
        <w:keepNext/>
        <w:spacing w:before="60" w:after="40"/>
      </w:pPr>
      <w:proofErr w:type="spellStart"/>
      <w:r>
        <w:rPr>
          <w:rFonts w:cs="Times New Roman"/>
          <w:b/>
        </w:rPr>
        <w:t>DeepRAP</w:t>
      </w:r>
      <w:proofErr w:type="spellEnd"/>
      <w:r>
        <w:rPr>
          <w:rFonts w:cs="Times New Roman"/>
          <w:b/>
        </w:rPr>
        <w:t xml:space="preserve"> portfolio as experimental infrastructure, not dependency</w:t>
      </w:r>
    </w:p>
    <w:p w14:paraId="5FD70AD2" w14:textId="77777777" w:rsidR="00894D55" w:rsidRDefault="00B20FC1">
      <w:r>
        <w:rPr>
          <w:rFonts w:cs="Times New Roman"/>
        </w:rPr>
        <w:t>MDPAR-H is unusually well matched to the portfolio model because external projects are scientifically useful precisely when they are different. Benchmark Development supplies shared tasks and evaluation protocols; Interoperability supplies heterogeneous interfaces; Common Pilots and, where feasible, multiagent integration supply jointly situated tests. MDPAR-H contributes structural schemas, provenance/authority conventions, match/non-match metrics, adapter-burden measures and a service-level integration contract, while other projects contribute independently engineered cognitive systems. This reciprocal design turns portfolio collaboration into adversarial external validation rather than simple resource sharing. Crucially, engineering every comparison system inside MDPAR-H would weaken O3 by increasing common-design dependence; independent systems are therefore part of the control structure of the experiment. Nevertheless, no specific portfolio project is placed on the critical path at submission: each dependency retains an independent-system or facility fallback route.</w:t>
      </w:r>
    </w:p>
    <w:p w14:paraId="57C6F361" w14:textId="77777777" w:rsidR="00894D55" w:rsidRDefault="00B20FC1">
      <w:pPr>
        <w:keepNext/>
        <w:spacing w:before="60" w:after="40"/>
      </w:pPr>
      <w:r>
        <w:rPr>
          <w:rFonts w:cs="Times New Roman"/>
          <w:b/>
        </w:rPr>
        <w:t>Commercial/industrial and exploitation capacity</w:t>
      </w:r>
    </w:p>
    <w:p w14:paraId="0673A8F5" w14:textId="77777777" w:rsidR="00894D55" w:rsidRDefault="00B20FC1">
      <w:r>
        <w:rPr>
          <w:rFonts w:cs="Times New Roman"/>
        </w:rPr>
        <w:t xml:space="preserve">Industrial involvement is not artificially inserted merely to strengthen the consortium narrative. The pre-project Swagger surface already supplies a product-facing boundary, while Section 2 identifies professional/institutional assessment, enterprise/on-premise cognitive infrastructure, runtime/API/SDK licensing, assurance tooling and, conditionally, embodied/OEM integration as exploitation routes. During RP2, WP5/WP9 will involve AI SMEs, integrators, assurance/testing actors, professional-service </w:t>
      </w:r>
      <w:proofErr w:type="spellStart"/>
      <w:r>
        <w:rPr>
          <w:rFonts w:cs="Times New Roman"/>
        </w:rPr>
        <w:t>organisations</w:t>
      </w:r>
      <w:proofErr w:type="spellEnd"/>
      <w:r>
        <w:rPr>
          <w:rFonts w:cs="Times New Roman"/>
        </w:rPr>
        <w:t xml:space="preserve"> and prospective public/industrial adopters according to the scientific domain of validity actually established. Any industrial participant added before submission must have a specific technical or exploitation role and adequate resources; </w:t>
      </w:r>
      <w:proofErr w:type="gramStart"/>
      <w:r>
        <w:rPr>
          <w:rFonts w:cs="Times New Roman"/>
        </w:rPr>
        <w:t>otherwise</w:t>
      </w:r>
      <w:proofErr w:type="gramEnd"/>
      <w:r>
        <w:rPr>
          <w:rFonts w:cs="Times New Roman"/>
        </w:rPr>
        <w:t xml:space="preserve"> it remains a stakeholder rather than a nominal consortium member.</w:t>
      </w:r>
    </w:p>
    <w:p w14:paraId="1E2574E1" w14:textId="77777777" w:rsidR="00894D55" w:rsidRDefault="00B20FC1">
      <w:pPr>
        <w:keepNext/>
        <w:spacing w:before="60" w:after="40"/>
      </w:pPr>
      <w:r>
        <w:rPr>
          <w:rFonts w:cs="Times New Roman"/>
          <w:b/>
        </w:rPr>
        <w:t>Capacity limitation and credibility statement</w:t>
      </w:r>
    </w:p>
    <w:p w14:paraId="1E01A638" w14:textId="77777777" w:rsidR="00894D55" w:rsidRDefault="00B20FC1">
      <w:r>
        <w:rPr>
          <w:rFonts w:cs="Times New Roman"/>
        </w:rPr>
        <w:t xml:space="preserve">At submission, the principal implementation risk is not the absence of a working MDPAR instrument, formal object, evidence infrastructure or Year-1 execution environment; it is the absence of a written commitment for the independent embodied infrastructure needed by the strongest Year-3 test. The proposal states this limitation explicitly because hiding it would undermine the same provenance and authority discipline that MDPAR-H proposes scientifically. The risk is </w:t>
      </w:r>
      <w:proofErr w:type="spellStart"/>
      <w:r>
        <w:rPr>
          <w:rFonts w:cs="Times New Roman"/>
        </w:rPr>
        <w:t>localised</w:t>
      </w:r>
      <w:proofErr w:type="spellEnd"/>
      <w:r>
        <w:rPr>
          <w:rFonts w:cs="Times New Roman"/>
        </w:rPr>
        <w:t xml:space="preserve"> rather than diffuse: Year 1 is applicant-controlled; Year 2 has multiple independent-system routes; and Year 3 has a named preferred institutional route, a defined acquisition trigger, an M15 access gate and parallel European fallbacks. The preferred route is USAL's </w:t>
      </w:r>
      <w:proofErr w:type="spellStart"/>
      <w:r>
        <w:rPr>
          <w:rFonts w:cs="Times New Roman"/>
        </w:rPr>
        <w:t>Departamento</w:t>
      </w:r>
      <w:proofErr w:type="spellEnd"/>
      <w:r>
        <w:rPr>
          <w:rFonts w:cs="Times New Roman"/>
        </w:rPr>
        <w:t xml:space="preserve"> de </w:t>
      </w:r>
      <w:proofErr w:type="spellStart"/>
      <w:r>
        <w:rPr>
          <w:rFonts w:cs="Times New Roman"/>
        </w:rPr>
        <w:t>Informática</w:t>
      </w:r>
      <w:proofErr w:type="spellEnd"/>
      <w:r>
        <w:rPr>
          <w:rFonts w:cs="Times New Roman"/>
        </w:rPr>
        <w:t xml:space="preserve"> y </w:t>
      </w:r>
      <w:proofErr w:type="spellStart"/>
      <w:r>
        <w:rPr>
          <w:rFonts w:cs="Times New Roman"/>
        </w:rPr>
        <w:t>Automática</w:t>
      </w:r>
      <w:proofErr w:type="spellEnd"/>
      <w:r>
        <w:rPr>
          <w:rFonts w:cs="Times New Roman"/>
        </w:rPr>
        <w:t xml:space="preserve">, through the complementary areas of </w:t>
      </w:r>
      <w:proofErr w:type="spellStart"/>
      <w:r>
        <w:rPr>
          <w:rFonts w:cs="Times New Roman"/>
        </w:rPr>
        <w:t>Ciencia</w:t>
      </w:r>
      <w:proofErr w:type="spellEnd"/>
      <w:r>
        <w:rPr>
          <w:rFonts w:cs="Times New Roman"/>
        </w:rPr>
        <w:t xml:space="preserve"> de la </w:t>
      </w:r>
      <w:proofErr w:type="spellStart"/>
      <w:r>
        <w:rPr>
          <w:rFonts w:cs="Times New Roman"/>
        </w:rPr>
        <w:t>Computación</w:t>
      </w:r>
      <w:proofErr w:type="spellEnd"/>
      <w:r>
        <w:rPr>
          <w:rFonts w:cs="Times New Roman"/>
        </w:rPr>
        <w:t xml:space="preserve"> e </w:t>
      </w:r>
      <w:proofErr w:type="spellStart"/>
      <w:r>
        <w:rPr>
          <w:rFonts w:cs="Times New Roman"/>
        </w:rPr>
        <w:t>Inteligencia</w:t>
      </w:r>
      <w:proofErr w:type="spellEnd"/>
      <w:r>
        <w:rPr>
          <w:rFonts w:cs="Times New Roman"/>
        </w:rPr>
        <w:t xml:space="preserve"> Artificial and </w:t>
      </w:r>
      <w:proofErr w:type="spellStart"/>
      <w:r>
        <w:rPr>
          <w:rFonts w:cs="Times New Roman"/>
        </w:rPr>
        <w:t>Ingeniería</w:t>
      </w:r>
      <w:proofErr w:type="spellEnd"/>
      <w:r>
        <w:rPr>
          <w:rFonts w:cs="Times New Roman"/>
        </w:rPr>
        <w:t xml:space="preserve"> de </w:t>
      </w:r>
      <w:proofErr w:type="spellStart"/>
      <w:r>
        <w:rPr>
          <w:rFonts w:cs="Times New Roman"/>
        </w:rPr>
        <w:t>Sistemas</w:t>
      </w:r>
      <w:proofErr w:type="spellEnd"/>
      <w:r>
        <w:rPr>
          <w:rFonts w:cs="Times New Roman"/>
        </w:rPr>
        <w:t xml:space="preserve"> y </w:t>
      </w:r>
      <w:proofErr w:type="spellStart"/>
      <w:r>
        <w:rPr>
          <w:rFonts w:cs="Times New Roman"/>
        </w:rPr>
        <w:t>Automática</w:t>
      </w:r>
      <w:proofErr w:type="spellEnd"/>
      <w:r>
        <w:rPr>
          <w:rFonts w:cs="Times New Roman"/>
        </w:rPr>
        <w:t xml:space="preserve">, opened for formal negotiation following a positive EIC Pathfinder </w:t>
      </w:r>
      <w:proofErr w:type="spellStart"/>
      <w:r>
        <w:rPr>
          <w:rFonts w:cs="Times New Roman"/>
        </w:rPr>
        <w:t>DeepRAP</w:t>
      </w:r>
      <w:proofErr w:type="spellEnd"/>
      <w:r>
        <w:rPr>
          <w:rFonts w:cs="Times New Roman"/>
        </w:rPr>
        <w:t xml:space="preserve"> funding decision. This does not convert prospective access into present capacity. It does, however, replace an unspecified future infrastructure need with a concrete acquisition strategy whose scientific requirements remain platform-agnostic and whose failure does not force redesign of Years 1-2. The only claim made at submission is therefore </w:t>
      </w:r>
      <w:r>
        <w:rPr>
          <w:rFonts w:cs="Times New Roman"/>
        </w:rPr>
        <w:lastRenderedPageBreak/>
        <w:t>the one that can be evidenced: a mature applicant-controlled core and a precisely specified external infrastructure layer that must be contractually closed before physical execution.</w:t>
      </w:r>
    </w:p>
    <w:sectPr w:rsidR="00894D55" w:rsidSect="00034616">
      <w:headerReference w:type="default" r:id="rId8"/>
      <w:footerReference w:type="default" r:id="rId9"/>
      <w:pgSz w:w="11906" w:h="16838"/>
      <w:pgMar w:top="850" w:right="850" w:bottom="850" w:left="850"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F49A3" w14:textId="77777777" w:rsidR="000F0209" w:rsidRDefault="000F0209">
      <w:pPr>
        <w:spacing w:after="0"/>
      </w:pPr>
      <w:r>
        <w:separator/>
      </w:r>
    </w:p>
  </w:endnote>
  <w:endnote w:type="continuationSeparator" w:id="0">
    <w:p w14:paraId="13FD42B6" w14:textId="77777777" w:rsidR="000F0209" w:rsidRDefault="000F02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CE8D8" w14:textId="77777777" w:rsidR="00286897" w:rsidRDefault="00286897">
    <w:pPr>
      <w:pStyle w:val="Piedepgina"/>
    </w:pPr>
  </w:p>
  <w:tbl>
    <w:tblPr>
      <w:tblW w:w="0" w:type="auto"/>
      <w:jc w:val="center"/>
      <w:tblLook w:val="04A0" w:firstRow="1" w:lastRow="0" w:firstColumn="1" w:lastColumn="0" w:noHBand="0" w:noVBand="1"/>
    </w:tblPr>
    <w:tblGrid>
      <w:gridCol w:w="10205"/>
    </w:tblGrid>
    <w:tr w:rsidR="00286897" w14:paraId="126C9010" w14:textId="77777777">
      <w:trPr>
        <w:jc w:val="center"/>
      </w:trPr>
      <w:tc>
        <w:tcPr>
          <w:tcW w:w="10205" w:type="dxa"/>
          <w:tcBorders>
            <w:top w:val="single" w:sz="8" w:space="0" w:color="000000"/>
            <w:left w:val="single" w:sz="8" w:space="0" w:color="000000"/>
            <w:bottom w:val="single" w:sz="8" w:space="0" w:color="000000"/>
            <w:right w:val="single" w:sz="8" w:space="0" w:color="000000"/>
          </w:tcBorders>
          <w:shd w:val="clear" w:color="auto" w:fill="D9D9D9"/>
        </w:tcPr>
        <w:p w14:paraId="179D8E66" w14:textId="77777777" w:rsidR="00286897" w:rsidRDefault="00B31A46">
          <w:pPr>
            <w:spacing w:after="0"/>
            <w:jc w:val="center"/>
          </w:pPr>
          <w:r>
            <w:rPr>
              <w:rFonts w:cs="Times New Roman"/>
              <w:sz w:val="16"/>
            </w:rPr>
            <w:t xml:space="preserve">Part B - Page </w:t>
          </w:r>
          <w:r>
            <w:rPr>
              <w:rFonts w:cs="Times New Roman"/>
              <w:sz w:val="16"/>
            </w:rPr>
            <w:fldChar w:fldCharType="begin"/>
          </w:r>
          <w:r>
            <w:rPr>
              <w:rFonts w:cs="Times New Roman"/>
              <w:sz w:val="16"/>
            </w:rPr>
            <w:instrText xml:space="preserve"> PAGE </w:instrText>
          </w:r>
          <w:r>
            <w:rPr>
              <w:rFonts w:cs="Times New Roman"/>
              <w:sz w:val="16"/>
            </w:rPr>
            <w:fldChar w:fldCharType="separate"/>
          </w:r>
          <w:r w:rsidR="003A094B">
            <w:rPr>
              <w:rFonts w:cs="Times New Roman"/>
              <w:noProof/>
              <w:sz w:val="16"/>
            </w:rPr>
            <w:t>1</w:t>
          </w:r>
          <w:r>
            <w:rPr>
              <w:rFonts w:cs="Times New Roman"/>
              <w:sz w:val="16"/>
            </w:rPr>
            <w:fldChar w:fldCharType="end"/>
          </w:r>
          <w:r>
            <w:rPr>
              <w:rFonts w:cs="Times New Roman"/>
              <w:sz w:val="16"/>
            </w:rPr>
            <w:t xml:space="preserve"> of 30</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B800D" w14:textId="77777777" w:rsidR="000F0209" w:rsidRDefault="000F0209">
      <w:pPr>
        <w:spacing w:after="0"/>
      </w:pPr>
      <w:r>
        <w:separator/>
      </w:r>
    </w:p>
  </w:footnote>
  <w:footnote w:type="continuationSeparator" w:id="0">
    <w:p w14:paraId="7E23CE70" w14:textId="77777777" w:rsidR="000F0209" w:rsidRDefault="000F02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D207C" w14:textId="77777777" w:rsidR="00286897" w:rsidRDefault="00286897">
    <w:pPr>
      <w:pStyle w:val="Encabezado"/>
    </w:pPr>
  </w:p>
  <w:tbl>
    <w:tblPr>
      <w:tblW w:w="0" w:type="auto"/>
      <w:jc w:val="center"/>
      <w:tblLook w:val="04A0" w:firstRow="1" w:lastRow="0" w:firstColumn="1" w:lastColumn="0" w:noHBand="0" w:noVBand="1"/>
    </w:tblPr>
    <w:tblGrid>
      <w:gridCol w:w="5102"/>
      <w:gridCol w:w="5102"/>
    </w:tblGrid>
    <w:tr w:rsidR="00286897" w14:paraId="06AB142E" w14:textId="77777777">
      <w:trPr>
        <w:jc w:val="center"/>
      </w:trPr>
      <w:tc>
        <w:tcPr>
          <w:tcW w:w="5102" w:type="dxa"/>
          <w:tcBorders>
            <w:top w:val="nil"/>
            <w:left w:val="nil"/>
            <w:bottom w:val="nil"/>
            <w:right w:val="nil"/>
          </w:tcBorders>
          <w:vAlign w:val="center"/>
        </w:tcPr>
        <w:p w14:paraId="0273FA49" w14:textId="77777777" w:rsidR="00286897" w:rsidRDefault="00B31A46">
          <w:pPr>
            <w:spacing w:after="0"/>
          </w:pPr>
          <w:r>
            <w:rPr>
              <w:rFonts w:cs="Times New Roman"/>
              <w:sz w:val="16"/>
            </w:rPr>
            <w:t xml:space="preserve">Call: HORIZON-EIC-2026-PATHFINDERCHALLENGES-01-03 - </w:t>
          </w:r>
          <w:proofErr w:type="spellStart"/>
          <w:r>
            <w:rPr>
              <w:rFonts w:cs="Times New Roman"/>
              <w:sz w:val="16"/>
            </w:rPr>
            <w:t>DeepRAP</w:t>
          </w:r>
          <w:proofErr w:type="spellEnd"/>
        </w:p>
      </w:tc>
      <w:tc>
        <w:tcPr>
          <w:tcW w:w="5102" w:type="dxa"/>
          <w:tcBorders>
            <w:top w:val="nil"/>
            <w:left w:val="nil"/>
            <w:bottom w:val="nil"/>
            <w:right w:val="nil"/>
          </w:tcBorders>
          <w:vAlign w:val="center"/>
        </w:tcPr>
        <w:p w14:paraId="36556FB4" w14:textId="77777777" w:rsidR="00286897" w:rsidRDefault="00B31A46">
          <w:pPr>
            <w:spacing w:after="0"/>
            <w:jc w:val="right"/>
          </w:pPr>
          <w:r>
            <w:rPr>
              <w:rFonts w:cs="Times New Roman"/>
              <w:sz w:val="16"/>
            </w:rPr>
            <w:t>EU Grants: Application form (HE EIC Pathfinder Challenges): V4.2 - 17.06.2026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209"/>
    <w:rsid w:val="0015074B"/>
    <w:rsid w:val="00286897"/>
    <w:rsid w:val="0029639D"/>
    <w:rsid w:val="00326F90"/>
    <w:rsid w:val="003A094B"/>
    <w:rsid w:val="00894D55"/>
    <w:rsid w:val="009102B1"/>
    <w:rsid w:val="009F76C5"/>
    <w:rsid w:val="00AA1D8D"/>
    <w:rsid w:val="00B20FC1"/>
    <w:rsid w:val="00B31A4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0E48D"/>
  <w14:defaultImageDpi w14:val="300"/>
  <w15:docId w15:val="{F44BEDE1-56A4-408F-B616-A744569E7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166568">
      <w:bodyDiv w:val="1"/>
      <w:marLeft w:val="0"/>
      <w:marRight w:val="0"/>
      <w:marTop w:val="0"/>
      <w:marBottom w:val="0"/>
      <w:divBdr>
        <w:top w:val="none" w:sz="0" w:space="0" w:color="auto"/>
        <w:left w:val="none" w:sz="0" w:space="0" w:color="auto"/>
        <w:bottom w:val="none" w:sz="0" w:space="0" w:color="auto"/>
        <w:right w:val="none" w:sz="0" w:space="0" w:color="auto"/>
      </w:divBdr>
      <w:divsChild>
        <w:div w:id="2025668987">
          <w:marLeft w:val="0"/>
          <w:marRight w:val="0"/>
          <w:marTop w:val="0"/>
          <w:marBottom w:val="0"/>
          <w:divBdr>
            <w:top w:val="none" w:sz="0" w:space="0" w:color="auto"/>
            <w:left w:val="none" w:sz="0" w:space="0" w:color="auto"/>
            <w:bottom w:val="none" w:sz="0" w:space="0" w:color="auto"/>
            <w:right w:val="none" w:sz="0" w:space="0" w:color="auto"/>
          </w:divBdr>
        </w:div>
      </w:divsChild>
    </w:div>
    <w:div w:id="1200168876">
      <w:bodyDiv w:val="1"/>
      <w:marLeft w:val="0"/>
      <w:marRight w:val="0"/>
      <w:marTop w:val="0"/>
      <w:marBottom w:val="0"/>
      <w:divBdr>
        <w:top w:val="none" w:sz="0" w:space="0" w:color="auto"/>
        <w:left w:val="none" w:sz="0" w:space="0" w:color="auto"/>
        <w:bottom w:val="none" w:sz="0" w:space="0" w:color="auto"/>
        <w:right w:val="none" w:sz="0" w:space="0" w:color="auto"/>
      </w:divBdr>
      <w:divsChild>
        <w:div w:id="161428646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27</Pages>
  <Words>17629</Words>
  <Characters>96965</Characters>
  <Application>Microsoft Office Word</Application>
  <DocSecurity>0</DocSecurity>
  <Lines>808</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MDPAR-H Part B - Sections 1 and 2 iterated for MDPAR v2.2.0</dc:title>
  <dc:subject>MDPAR-H EIC Pathfinder DeepRAP 2026 — submission candidate</dc:subject>
  <dc:creator>Andrés Pérez Galán</dc:creator>
  <cp:keywords/>
  <dc:description>generated by python-docx</dc:description>
  <cp:lastModifiedBy>Andres</cp:lastModifiedBy>
  <cp:revision>4</cp:revision>
  <dcterms:created xsi:type="dcterms:W3CDTF">2013-12-23T23:15:00Z</dcterms:created>
  <dcterms:modified xsi:type="dcterms:W3CDTF">2026-09-17T18:49:00Z</dcterms:modified>
  <cp:category/>
</cp:coreProperties>
</file>