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D6DE0" w14:textId="77777777" w:rsidR="00286897" w:rsidRDefault="00B31A46">
      <w:pPr>
        <w:keepNext/>
        <w:spacing w:after="120"/>
        <w:jc w:val="center"/>
      </w:pPr>
      <w:r>
        <w:rPr>
          <w:rFonts w:cs="Times New Roman"/>
          <w:b/>
        </w:rPr>
        <w:t>Proposal template Part B: technical description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10206"/>
      </w:tblGrid>
      <w:tr w:rsidR="00286897" w14:paraId="41447846" w14:textId="77777777">
        <w:trPr>
          <w:jc w:val="center"/>
        </w:trPr>
        <w:tc>
          <w:tcPr>
            <w:tcW w:w="1020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6D0ACF" w14:textId="77777777" w:rsidR="00617ED1" w:rsidRDefault="003016E0">
            <w:pPr>
              <w:spacing w:after="0"/>
            </w:pPr>
            <w:r>
              <w:rPr>
                <w:rFonts w:cs="Times New Roman"/>
                <w:b/>
              </w:rPr>
              <w:t>MDPAR-H: MAPPING THE EXTERNAL VALIDITY BOUNDARY OF STRUCTURAL INVARIANCE ACROSS HETEROGENEOUS COGNITIVE AI SYSTEMS</w:t>
            </w:r>
          </w:p>
        </w:tc>
      </w:tr>
    </w:tbl>
    <w:p w14:paraId="7AC6DD6F" w14:textId="77777777" w:rsidR="00286897" w:rsidRDefault="00B31A46">
      <w:pPr>
        <w:keepNext/>
        <w:tabs>
          <w:tab w:val="left" w:pos="794"/>
        </w:tabs>
        <w:spacing w:before="120"/>
      </w:pPr>
      <w:r>
        <w:rPr>
          <w:rFonts w:cs="Times New Roman"/>
          <w:b/>
        </w:rPr>
        <w:t>1.</w:t>
      </w:r>
      <w:r>
        <w:rPr>
          <w:rFonts w:cs="Times New Roman"/>
          <w:b/>
        </w:rPr>
        <w:tab/>
        <w:t>Excellence</w:t>
      </w:r>
    </w:p>
    <w:p w14:paraId="3A29DA85" w14:textId="77777777" w:rsidR="00894D55" w:rsidRDefault="00B20FC1">
      <w:pPr>
        <w:keepNext/>
        <w:spacing w:before="120"/>
      </w:pPr>
      <w:r>
        <w:rPr>
          <w:rFonts w:cs="Times New Roman"/>
          <w:b/>
        </w:rPr>
        <w:t>1.1</w:t>
      </w:r>
      <w:r>
        <w:rPr>
          <w:rFonts w:cs="Times New Roman"/>
          <w:b/>
        </w:rPr>
        <w:tab/>
        <w:t>Objectives and relevance to the Challenge</w:t>
      </w:r>
    </w:p>
    <w:p w14:paraId="72B0E912" w14:textId="77777777" w:rsidR="00894D55" w:rsidRDefault="00B20FC1">
      <w:r>
        <w:rPr>
          <w:rFonts w:cs="Times New Roman"/>
        </w:rPr>
        <w:t>Cognitive AI systems can differ radically in model family, semantic representation, language, modality, internal state and implementation while still performing comparable acts of reasoning, abstraction and planning. MDPAR-H starts from a result already established inside the MDPAR research object: a non-trivial part of inferential organisation can be represented, calculated, preserved and compared independently of the component that supplies semantic content. The unresolved Pathfinder question is not whether MDPAR works. It is where that regularity stops when independence from the originating architecture is progressively increased.</w:t>
      </w:r>
    </w:p>
    <w:p w14:paraId="07EA3FB1" w14:textId="77777777" w:rsidR="00894D55" w:rsidRDefault="00B20FC1">
      <w:r>
        <w:rPr>
          <w:rFonts w:cs="Times New Roman"/>
          <w:b/>
        </w:rPr>
        <w:t>MDPAR-H — Foundational hypothesis. There exists an inferential structure sufficiently general to admit structurally comparable representations across heterogeneous domains, profiles and modalities without requiring those domains to share a global semantic ontology.</w:t>
      </w:r>
    </w:p>
    <w:p w14:paraId="409A2F5C" w14:textId="77777777" w:rsidR="00894D55" w:rsidRDefault="00B20FC1">
      <w:r>
        <w:rPr>
          <w:rFonts w:cs="Times New Roman"/>
        </w:rPr>
        <w:t>MDPAR v2.2.0 is the definitive pre-project experimental instrument through which MDPAR-H has acquired formal, computational, internal-experimental and operational content. SCC defines discrete inferential trajectories and calculable properties of direction, recurrence, closure, correspondence, transformation, equivalence and invariance. MDPAR realises those properties while separating semantic observation, structural calculation, longitudinal continuity, routing, provenance, certification and authority. C0-C12 provide stratified internal evidence across reproducibility, identification, metrology, calculation, transformation, cooperation, longitudinality, concurrency, temporal authority, degradation and recovery. The Swagger surface demonstrates an end-to-end evidence-first operational realisation. These are results, not objectives of the funded action.</w:t>
      </w:r>
    </w:p>
    <w:p w14:paraId="7617AFE4" w14:textId="77777777" w:rsidR="00894D55" w:rsidRDefault="00B20FC1">
      <w:r>
        <w:rPr>
          <w:rFonts w:cs="Times New Roman"/>
        </w:rPr>
        <w:t>The remaining scientific variable is external scope. Formal closure establishes what follows inside SCC; executable realisation establishes that MDPAR implements those responsibilities; C0-C12 establish behaviour under the tested internal contracts; operational evidence establishes that the architecture survives an end-to-end evidence workflow. DeepRAP therefore starts at the next epistemic boundary: determining the externally supported domain of validity across domains, languages, independently engineered cognitive systems and embodied environments, without importing a global semantic ontology. External validity delimits the territory of an established property; it does not substitute for establishing that the property exists.</w:t>
      </w:r>
    </w:p>
    <w:p w14:paraId="05C3A502" w14:textId="77777777" w:rsidR="00894D55" w:rsidRDefault="00B20FC1">
      <w:pPr>
        <w:spacing w:after="0"/>
      </w:pPr>
      <w:r>
        <w:t>Pre-project evidence and reproducibility. The pre-existing research object is independently citable and versioned through Zenodo (10.5281/zenodo.22818421). Its scientific documentation, formalisation manuscript, C0-C12 evidence catalogue, benchmark specifications, reproducibility procedures and executable falsification commands are maintained in MDPAR-docs (https://github.com/ndrspgalan/MDPAR-docs). These resources are Background evidence, not project-generated results. Their role is to establish provenance, timestamped maturity and a reproducible boundary between work completed before submission and the prospective research funded by MDPAR-H; evaluation of the proposal does not depend on external inspection of the repository.</w:t>
      </w:r>
    </w:p>
    <w:p w14:paraId="3D9DF5D9" w14:textId="77777777" w:rsidR="00894D55" w:rsidRDefault="00B20FC1">
      <w:pPr>
        <w:keepNext/>
        <w:spacing w:before="60" w:after="40"/>
      </w:pPr>
      <w:r>
        <w:rPr>
          <w:rFonts w:cs="Times New Roman"/>
          <w:b/>
        </w:rPr>
        <w:t>Overall objective</w:t>
      </w:r>
    </w:p>
    <w:p w14:paraId="6FED618B" w14:textId="77777777" w:rsidR="00894D55" w:rsidRDefault="00B20FC1">
      <w:r>
        <w:t>Over 36 months, MDPAR-H will map the external domain of validity of an already formalised, executable and internally validated structural-cognitive architecture. The funded action starts from a stronger grant-start baseline than the submission baseline: the independently ongoing first human-grounded CONVERGENT/DIVERGENT study will be scientifically concluded and frozen as Background by 15 March 2027, irrespective of the EIC funding outcome, while the double-involution problem remains a Year-1 scientific closure problem whose precise solution is informed by the prospective symbolic evidence accumulated during the action. Following a positive funding decision, the remaining critical pre-start dependency is institutional/facility access for the controlled Year-2 bridge and later Year-3 embodied programme. The beneficiary therefore applies a self-imposed pre-signature feasibility gate: a documented USAL route or qualified European fallback must exist before grant signature; otherwise the beneficiary will not enter a grant agreement whose stated Year-2/Year-3 commitments it cannot credibly execute. The programme then increases independence in three stages: Year 1 maps the symbolic boundary and resolves the double-involution problem to a scientifically usable class or restriction; Year 2 first tests that closure in a controlled cross-domain environment and then removes common-design dependence through evidence-selected independent systems; Year 3 introduces multimodal and physical coupling. The output is a progressively sharper boundary map: where MDPAR-H transfers, where it requires restriction, and where a counterexample terminates a claimed class of applicability.</w:t>
      </w:r>
    </w:p>
    <w:p w14:paraId="00C3F7ED" w14:textId="77777777" w:rsidR="00894D55" w:rsidRDefault="00B20FC1">
      <w:r w:rsidRPr="00F94C44">
        <w:rPr>
          <w:b/>
          <w:bCs/>
        </w:rPr>
        <w:t>O1 - Freeze the established MDPAR-H object for prospective external testing without prematurely freezing the Year-1 mathematical answer. By Month 6, version-freeze the SCC/MDPAR definitions, invariant families, admissible transformation vocabulary, equivalence/correspondence rules, provenance requirements, semantic-leakage constraints, adapter-minimality criteria and falsification conditions already derived from v2.2.0. The independently ongoing pre-project human-grounded study is concluded and frozen by 15 March 2027 and registered as Background at M1; its supportive, conditional or null outcome is accepted without reinterpretation as a funded-project success criterion. For the double-involution problem, M3-M6 evidence may refine candidate realisation classes only as DEVELOPMENT evidence. Before confirmatory exposure, the resulting formulation must specify the admissible realisation class, the transformation/intertwining relation, the properties predicted to be preserved, explicit failure/counterexample conditions and the rule for projection into Year 2. The post-M6 held-out symbolic campaign then evaluates that frozen formulation. This separates mathematical construction from confirmatory evaluation and prevents moving goalposts.</w:t>
      </w:r>
      <w:r/>
      <w:r/>
    </w:p>
    <w:p w14:paraId="790AFE42" w14:textId="77777777" w:rsidR="00894D55" w:rsidRDefault="00B20FC1">
      <w:r w:rsidRPr="00F94C44">
        <w:rPr>
          <w:b/>
          <w:bCs/>
        </w:rPr>
        <w:t xml:space="preserve">O2 </w:t>
      </w:r>
      <w:r>
        <w:t>- Delimit the symbolic external-validity boundary and close the Year-1 double-involution problem. During Year 1, expose the frozen structural object to prespecified cross-domain, cross-language, cross-model and cross-representation conditions, including positive controls, designed non-matches, transformations and ablations. Development evidence may narrow candidate realisation classes before the M6 freeze; held-out confirmatory evidence after M6 cannot redefine the frozen formulation. By the Year-1 gate, the project will deliver both a Symbolic Domain Map and a double-involution status sufficient for progression: a non-trivial positive class, a bounded/partial solution with explicit conditions, or a negative/counterexample-based restriction, each specifying its admissible class, predicted preservation, failure conditions and Year-2 projection rule. These outputs jointly determine the scientifically informative transition into Year 2.</w:t>
      </w:r>
    </w:p>
    <w:p w14:paraId="35C92EE7" w14:textId="77777777" w:rsidR="00894D55" w:rsidRDefault="00B20FC1">
      <w:r w:rsidRPr="00F94C44">
        <w:rPr>
          <w:b/>
          <w:bCs/>
        </w:rPr>
        <w:t>O3 - Delimit the controlled cross-domain and independent intersystem boundaries. 'Controlled cross-domain' means that the application domain changes while SCC definitions, metrology, observability rules, failure semantics and experimental authority remain fixed; this isolates domain transfer before architectural independence is introduced. Year 2 begins with this Phase-A transfer, preferably in the USAL environment secured before grant signature under the beneficiary's pre-signature feasibility gate. Prospectively governed calibration may refine only the operational mapping, observable interface or representational transformation required by genuinely new cross-domain conditions; it may not alter SCC state meaning, historical evidence, frozen success/falsification criteria or failure semantics. Each calibrated version is frozen before evaluation. Phase B then tests that frozen output on independently engineered systems: systems not designed or modified to satisfy SCC/MDPAR criteria and not using MDPAR's internal representation as their native reasoning state. A Phase-B system that contributes evidence to a new calibration cannot also serve as confirmatory evidence for that calibrated version unless a new held-out condition is used. External systems are selected by architectural independence, relevance to surviving invariant classes, native observability, adapter/ontology burden and ability to provide discriminative matches and non-matches, rather than by calendar. The endpoint is the class of MDPAR-H properties recoverable without common-design dependence.</w:t>
      </w:r>
      <w:r/>
    </w:p>
    <w:p w14:paraId="02191BC7" w14:textId="77777777" w:rsidR="00894D55" w:rsidRDefault="00B20FC1">
      <w:r w:rsidRPr="00F94C44">
        <w:rPr>
          <w:b/>
          <w:bCs/>
        </w:rPr>
        <w:t>O4 - Delimit the multimodal and embodied boundary. During Year 3, test invariant classes that met their frozen Year-2 confirmatory criterion within the declared M24 support matrix under perception-action coupling, partial observability, sensor disagreement, delay, replanning, actuator constraints, outages, fallback and recovery. Embodied preservation requires both competent task execution at the predefined capability/safety floor and preservation of the specific frozen structural or authority property under the designated perturbations; task completion alone is insufficient. Following a positive DeepRAP funding decision, the post-selection/grant-preparation window is used as the maximum-priority period to document the critical controlled infrastructure route, with USAL preferred and an equivalent European host/facility as fallback. This is a beneficiary-imposed pre-signature feasibility condition: at least one route must provide written access sufficient to make the controlled Year-2 bridge and later Year-3 simulated/physical programme realistically executable before the grant is signed. Experiment-specific robotics readiness remains a later M24 gate. The same institutional route supports the controlled Year-2 bridge and later simulated/physical environment.</w:t>
      </w:r>
      <w:r/>
    </w:p>
    <w:p w14:paraId="184B5C30" w14:textId="77777777" w:rsidR="00894D55" w:rsidRDefault="00B20FC1">
      <w:r>
        <w:rPr>
          <w:rFonts w:cs="Times New Roman"/>
          <w:b/>
        </w:rPr>
        <w:t xml:space="preserve">O5 - </w:t>
      </w:r>
      <w:r w:rsidRPr="00F94C44">
        <w:rPr>
          <w:rFonts w:cs="Times New Roman"/>
          <w:bCs/>
        </w:rPr>
        <w:t>Integrate the externally delimited result in a trustworthy TRL4 demonstrator and Structural Invariance Atlas.</w:t>
      </w:r>
      <w:r>
        <w:rPr>
          <w:rFonts w:cs="Times New Roman"/>
          <w:b/>
        </w:rPr>
        <w:t xml:space="preserve"> </w:t>
      </w:r>
      <w:r w:rsidRPr="002A4F36">
        <w:rPr>
          <w:rFonts w:cs="Times New Roman"/>
          <w:bCs/>
        </w:rPr>
        <w:t>The demonstrator will expose reasoning, abstraction, planning, provenance, uncertainty, structural state and action authority as auditable components. Its scientific role is to materialise the domain map obtained by O2-O4: established MDPAR capabilities remain established, while the Atlas records the external classes in which they transfer, narrow or cease to be informative.</w:t>
      </w:r>
    </w:p>
    <w:p w14:paraId="1E1C6E71" w14:textId="77777777" w:rsidR="00894D55" w:rsidRDefault="00B20FC1">
      <w:pPr>
        <w:keepNext/>
        <w:spacing w:before="60" w:after="40"/>
      </w:pPr>
      <w:r>
        <w:rPr>
          <w:rFonts w:cs="Times New Roman"/>
          <w:b/>
        </w:rPr>
        <w:t xml:space="preserve">Relevance to the </w:t>
      </w:r>
      <w:proofErr w:type="spellStart"/>
      <w:r>
        <w:rPr>
          <w:rFonts w:cs="Times New Roman"/>
          <w:b/>
        </w:rPr>
        <w:t>DeepRAP</w:t>
      </w:r>
      <w:proofErr w:type="spellEnd"/>
      <w:r>
        <w:rPr>
          <w:rFonts w:cs="Times New Roman"/>
          <w:b/>
        </w:rPr>
        <w:t xml:space="preserve"> Challenge</w:t>
      </w:r>
    </w:p>
    <w:p w14:paraId="43C596BA" w14:textId="77777777" w:rsidR="00894D55" w:rsidRDefault="00B20FC1">
      <w:r>
        <w:rPr>
          <w:rFonts w:cs="Times New Roman"/>
        </w:rPr>
        <w:t>MDPAR-H directly addresses DeepRAP's objective of trustworthy cognitive AI with stronger Reasoning, Abstraction and Planning capabilities. Its contribution is not another stand-alone foundation model. Within the demonstrated MDPAR domain, structural state, continuity, provenance and authority are already calculated and governed outside the semantic model; DeepRAP tests how far that separation remains recoverable when domains, systems and environments become externally independent.</w:t>
      </w:r>
    </w:p>
    <w:p w14:paraId="0E3447D2" w14:textId="77777777" w:rsidR="00894D55" w:rsidRDefault="00B20FC1">
      <w:r>
        <w:rPr>
          <w:rFonts w:cs="Times New Roman"/>
        </w:rPr>
        <w:t>The project is primarily Multi-Capability (MC). Deep Abstraction is central because MDPAR-H concerns transport and comparability of inferential organisation across domains, representations and modalities. Deep Reasoning is co-primary because SCC makes trajectory structure, uncertainty, provenance, compatibility and transformation explicit. Deep Planning enters through longitudinal continuity, routing, contingency, replanning, temporal authority and embodiment. The research question is therefore not whether MDPAR spans these responsibilities internally — it already does — but how far that separation remains recoverable across independent cognitive systems.</w:t>
      </w:r>
    </w:p>
    <w:p w14:paraId="06B40C7F" w14:textId="77777777" w:rsidR="00894D55" w:rsidRDefault="00B20FC1">
      <w:r>
        <w:rPr>
          <w:rFonts w:cs="Times New Roman"/>
        </w:rPr>
        <w:t>The technological approach is centred on Cognitive Architectures (CA) and Formal Methods Integration (FMI), with Novel Interdisciplinary Frameworks (NIF), Trustworthiness Mechanisms (TM) and later Multimodal Integration (MMI). The foundational consequence of MDPAR-H is already realised architecturally: semantic capability, inferential structure, longitudinal continuity, provenance, routing, certification and operational authority need not be owned by one component. DeepRAP tests the external portability of that separation.</w:t>
      </w:r>
    </w:p>
    <w:p w14:paraId="4450295F" w14:textId="77777777" w:rsidR="00894D55" w:rsidRDefault="00B20FC1">
      <w:r>
        <w:rPr>
          <w:rFonts w:cs="Times New Roman"/>
        </w:rPr>
        <w:lastRenderedPageBreak/>
        <w:t>The action contributes methods and metrics for reasoning/trustworthiness evaluation, explicit provenance and authority semantics, constrained-compute experiments, FAIR evidence packages, interoperability protocols and a TRL4 demonstrator. The pre-existing v2.2.0 instrument is the scientific starting point. Funded work is reserved for boundary testing, independent replication, cross-system transfer and embodiment — not for rebuilding capabilities already demonstrated.</w:t>
      </w:r>
    </w:p>
    <w:p w14:paraId="524FF50E" w14:textId="77777777" w:rsidR="00894D55" w:rsidRDefault="00B20FC1">
      <w:pPr>
        <w:keepNext/>
        <w:spacing w:before="60" w:after="40"/>
      </w:pPr>
      <w:r>
        <w:rPr>
          <w:rFonts w:cs="Times New Roman"/>
          <w:b/>
        </w:rPr>
        <w:t>Portfolio positioning (max. 1 page)</w:t>
      </w:r>
    </w:p>
    <w:p w14:paraId="6079083B" w14:textId="77777777" w:rsidR="00894D55" w:rsidRDefault="00B20FC1">
      <w:r>
        <w:rPr>
          <w:rFonts w:cs="Times New Roman"/>
        </w:rPr>
        <w:t>MDPAR-H contributes an established structural-cognitive object, its metrology and an interoperability surface whose strongest external-validity tests require systems developed independently by other DeepRAP projects. Portfolio heterogeneity is therefore experimental leverage: it removes common-design dependence from the Year-2 test.</w:t>
      </w:r>
    </w:p>
    <w:p w14:paraId="1E3D99B9" w14:textId="77777777" w:rsidR="00894D55" w:rsidRDefault="00B20FC1">
      <w:r>
        <w:rPr>
          <w:rFonts w:cs="Times New Roman"/>
          <w:b/>
        </w:rPr>
        <w:t>Experimental independence by design.</w:t>
      </w:r>
      <w:r>
        <w:rPr>
          <w:rFonts w:cs="Times New Roman"/>
        </w:rPr>
        <w:t xml:space="preserve"> MDPAR-H deliberately avoids treating internally engineered heterogeneity as sufficient evidence of generality. If the applicant controlled every validation architecture, representation and embodiment stack, apparent cross-system invariance could remain an artefact of common design assumptions. Independently developed </w:t>
      </w:r>
      <w:proofErr w:type="spellStart"/>
      <w:r>
        <w:rPr>
          <w:rFonts w:cs="Times New Roman"/>
        </w:rPr>
        <w:t>DeepRAP</w:t>
      </w:r>
      <w:proofErr w:type="spellEnd"/>
      <w:r>
        <w:rPr>
          <w:rFonts w:cs="Times New Roman"/>
        </w:rPr>
        <w:t xml:space="preserve"> systems are therefore not merely convenient resources: they are a methodological control against MDPAR-specific encoding. Portfolio dependence is converted into experimental independence, while fallbacks preserve executability if any particular collaboration does not </w:t>
      </w:r>
      <w:proofErr w:type="spellStart"/>
      <w:r>
        <w:rPr>
          <w:rFonts w:cs="Times New Roman"/>
        </w:rPr>
        <w:t>materialise</w:t>
      </w:r>
      <w:proofErr w:type="spellEnd"/>
      <w:r>
        <w:rPr>
          <w:rFonts w:cs="Times New Roman"/>
        </w:rPr>
        <w:t>.</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2551"/>
        <w:gridCol w:w="2551"/>
        <w:gridCol w:w="2551"/>
        <w:gridCol w:w="2551"/>
      </w:tblGrid>
      <w:tr w:rsidR="00894D55" w14:paraId="3EEBD440" w14:textId="77777777">
        <w:trPr>
          <w:cantSplit/>
          <w:jc w:val="center"/>
        </w:trPr>
        <w:tc>
          <w:tcPr>
            <w:tcW w:w="2551" w:type="dxa"/>
            <w:shd w:val="clear" w:color="auto" w:fill="E7E6E6"/>
            <w:vAlign w:val="center"/>
          </w:tcPr>
          <w:p w14:paraId="3C3F2353" w14:textId="77777777" w:rsidR="00894D55" w:rsidRDefault="00B20FC1">
            <w:pPr>
              <w:spacing w:after="0"/>
            </w:pPr>
            <w:r>
              <w:rPr>
                <w:rFonts w:cs="Times New Roman"/>
                <w:b/>
              </w:rPr>
              <w:t>Category</w:t>
            </w:r>
          </w:p>
        </w:tc>
        <w:tc>
          <w:tcPr>
            <w:tcW w:w="2551" w:type="dxa"/>
            <w:shd w:val="clear" w:color="auto" w:fill="E7E6E6"/>
            <w:vAlign w:val="center"/>
          </w:tcPr>
          <w:p w14:paraId="5D3B0E2D" w14:textId="77777777" w:rsidR="00894D55" w:rsidRDefault="00B20FC1">
            <w:pPr>
              <w:spacing w:after="0"/>
            </w:pPr>
            <w:r>
              <w:rPr>
                <w:rFonts w:cs="Times New Roman"/>
                <w:b/>
              </w:rPr>
              <w:t>Primary focus</w:t>
            </w:r>
          </w:p>
        </w:tc>
        <w:tc>
          <w:tcPr>
            <w:tcW w:w="2551" w:type="dxa"/>
            <w:shd w:val="clear" w:color="auto" w:fill="E7E6E6"/>
            <w:vAlign w:val="center"/>
          </w:tcPr>
          <w:p w14:paraId="3D9BCB2F" w14:textId="77777777" w:rsidR="00894D55" w:rsidRDefault="00B20FC1">
            <w:pPr>
              <w:spacing w:after="0"/>
            </w:pPr>
            <w:r>
              <w:rPr>
                <w:rFonts w:cs="Times New Roman"/>
                <w:b/>
              </w:rPr>
              <w:t>Secondary focus</w:t>
            </w:r>
          </w:p>
        </w:tc>
        <w:tc>
          <w:tcPr>
            <w:tcW w:w="2551" w:type="dxa"/>
            <w:shd w:val="clear" w:color="auto" w:fill="E7E6E6"/>
            <w:vAlign w:val="center"/>
          </w:tcPr>
          <w:p w14:paraId="1CCEA710" w14:textId="77777777" w:rsidR="00894D55" w:rsidRDefault="00B20FC1">
            <w:pPr>
              <w:spacing w:after="0"/>
            </w:pPr>
            <w:r>
              <w:rPr>
                <w:rFonts w:cs="Times New Roman"/>
                <w:b/>
              </w:rPr>
              <w:t>Evidence / justification</w:t>
            </w:r>
          </w:p>
        </w:tc>
      </w:tr>
      <w:tr w:rsidR="00894D55" w14:paraId="0FB8643D" w14:textId="77777777">
        <w:trPr>
          <w:cantSplit/>
          <w:jc w:val="center"/>
        </w:trPr>
        <w:tc>
          <w:tcPr>
            <w:tcW w:w="2551" w:type="dxa"/>
            <w:shd w:val="clear" w:color="auto" w:fill="FFFFFF"/>
            <w:vAlign w:val="center"/>
          </w:tcPr>
          <w:p w14:paraId="783A6101" w14:textId="77777777" w:rsidR="00894D55" w:rsidRDefault="00B20FC1">
            <w:pPr>
              <w:spacing w:after="0"/>
            </w:pPr>
            <w:r>
              <w:rPr>
                <w:rFonts w:cs="Times New Roman"/>
              </w:rPr>
              <w:t>Cognitive capability</w:t>
            </w:r>
          </w:p>
        </w:tc>
        <w:tc>
          <w:tcPr>
            <w:tcW w:w="2551" w:type="dxa"/>
            <w:shd w:val="clear" w:color="auto" w:fill="FFFFFF"/>
            <w:vAlign w:val="center"/>
          </w:tcPr>
          <w:p w14:paraId="72A867AF" w14:textId="77777777" w:rsidR="00894D55" w:rsidRDefault="00B20FC1">
            <w:pPr>
              <w:spacing w:after="0"/>
            </w:pPr>
            <w:r>
              <w:rPr>
                <w:rFonts w:cs="Times New Roman"/>
              </w:rPr>
              <w:t>MC</w:t>
            </w:r>
          </w:p>
        </w:tc>
        <w:tc>
          <w:tcPr>
            <w:tcW w:w="2551" w:type="dxa"/>
            <w:shd w:val="clear" w:color="auto" w:fill="FFFFFF"/>
            <w:vAlign w:val="center"/>
          </w:tcPr>
          <w:p w14:paraId="419E9C63" w14:textId="77777777" w:rsidR="00894D55" w:rsidRDefault="00B20FC1">
            <w:pPr>
              <w:spacing w:after="0"/>
            </w:pPr>
            <w:r>
              <w:rPr>
                <w:rFonts w:cs="Times New Roman"/>
              </w:rPr>
              <w:t>DA; DR; DP</w:t>
            </w:r>
          </w:p>
        </w:tc>
        <w:tc>
          <w:tcPr>
            <w:tcW w:w="2551" w:type="dxa"/>
            <w:shd w:val="clear" w:color="auto" w:fill="FFFFFF"/>
            <w:vAlign w:val="center"/>
          </w:tcPr>
          <w:p w14:paraId="7CE24685" w14:textId="77777777" w:rsidR="00894D55" w:rsidRDefault="00B20FC1">
            <w:pPr>
              <w:spacing w:after="0"/>
            </w:pPr>
            <w:r>
              <w:rPr>
                <w:rFonts w:cs="Times New Roman"/>
              </w:rPr>
              <w:t xml:space="preserve">DA </w:t>
            </w:r>
            <w:proofErr w:type="gramStart"/>
            <w:r>
              <w:rPr>
                <w:rFonts w:cs="Times New Roman"/>
              </w:rPr>
              <w:t>tests</w:t>
            </w:r>
            <w:proofErr w:type="gramEnd"/>
            <w:r>
              <w:rPr>
                <w:rFonts w:cs="Times New Roman"/>
              </w:rPr>
              <w:t xml:space="preserve"> transferable structure; DR tests inferential trajectories; DP enters through continuity, timing, contingency and embodiment.</w:t>
            </w:r>
          </w:p>
        </w:tc>
      </w:tr>
      <w:tr w:rsidR="00894D55" w14:paraId="24C7E23D" w14:textId="77777777">
        <w:trPr>
          <w:cantSplit/>
          <w:jc w:val="center"/>
        </w:trPr>
        <w:tc>
          <w:tcPr>
            <w:tcW w:w="2551" w:type="dxa"/>
            <w:shd w:val="clear" w:color="auto" w:fill="FFFFFF"/>
            <w:vAlign w:val="center"/>
          </w:tcPr>
          <w:p w14:paraId="2FEA3ED2" w14:textId="77777777" w:rsidR="00894D55" w:rsidRDefault="00B20FC1">
            <w:pPr>
              <w:spacing w:after="0"/>
            </w:pPr>
            <w:r>
              <w:rPr>
                <w:rFonts w:cs="Times New Roman"/>
              </w:rPr>
              <w:t>Technological approach</w:t>
            </w:r>
          </w:p>
        </w:tc>
        <w:tc>
          <w:tcPr>
            <w:tcW w:w="2551" w:type="dxa"/>
            <w:shd w:val="clear" w:color="auto" w:fill="FFFFFF"/>
            <w:vAlign w:val="center"/>
          </w:tcPr>
          <w:p w14:paraId="4878BCC7" w14:textId="77777777" w:rsidR="00894D55" w:rsidRDefault="00B20FC1">
            <w:pPr>
              <w:spacing w:after="0"/>
            </w:pPr>
            <w:r>
              <w:rPr>
                <w:rFonts w:cs="Times New Roman"/>
              </w:rPr>
              <w:t>CA; FMI</w:t>
            </w:r>
          </w:p>
        </w:tc>
        <w:tc>
          <w:tcPr>
            <w:tcW w:w="2551" w:type="dxa"/>
            <w:shd w:val="clear" w:color="auto" w:fill="FFFFFF"/>
            <w:vAlign w:val="center"/>
          </w:tcPr>
          <w:p w14:paraId="5AEF0ADD" w14:textId="77777777" w:rsidR="00894D55" w:rsidRDefault="00B20FC1">
            <w:pPr>
              <w:spacing w:after="0"/>
            </w:pPr>
            <w:r>
              <w:rPr>
                <w:rFonts w:cs="Times New Roman"/>
              </w:rPr>
              <w:t>NIF; TM; MMI</w:t>
            </w:r>
          </w:p>
        </w:tc>
        <w:tc>
          <w:tcPr>
            <w:tcW w:w="2551" w:type="dxa"/>
            <w:shd w:val="clear" w:color="auto" w:fill="FFFFFF"/>
            <w:vAlign w:val="center"/>
          </w:tcPr>
          <w:p w14:paraId="1F80A1B2" w14:textId="77777777" w:rsidR="00894D55" w:rsidRDefault="00B20FC1">
            <w:pPr>
              <w:spacing w:after="0"/>
            </w:pPr>
            <w:r>
              <w:rPr>
                <w:rFonts w:cs="Times New Roman"/>
              </w:rPr>
              <w:t>External cognitive architecture with explicit contracts, formal comparison and authority boundaries; MMI becomes central in Year 3.</w:t>
            </w:r>
          </w:p>
        </w:tc>
      </w:tr>
      <w:tr w:rsidR="00894D55" w14:paraId="5E6BE4F8" w14:textId="77777777">
        <w:trPr>
          <w:cantSplit/>
          <w:jc w:val="center"/>
        </w:trPr>
        <w:tc>
          <w:tcPr>
            <w:tcW w:w="2551" w:type="dxa"/>
            <w:shd w:val="clear" w:color="auto" w:fill="FFFFFF"/>
            <w:vAlign w:val="center"/>
          </w:tcPr>
          <w:p w14:paraId="233EF6F5" w14:textId="77777777" w:rsidR="00894D55" w:rsidRDefault="00B20FC1">
            <w:pPr>
              <w:spacing w:after="0"/>
            </w:pPr>
            <w:r>
              <w:rPr>
                <w:rFonts w:cs="Times New Roman"/>
              </w:rPr>
              <w:t>Application domain</w:t>
            </w:r>
          </w:p>
        </w:tc>
        <w:tc>
          <w:tcPr>
            <w:tcW w:w="2551" w:type="dxa"/>
            <w:shd w:val="clear" w:color="auto" w:fill="FFFFFF"/>
            <w:vAlign w:val="center"/>
          </w:tcPr>
          <w:p w14:paraId="4194E2B4" w14:textId="77777777" w:rsidR="00894D55" w:rsidRDefault="00B20FC1">
            <w:pPr>
              <w:spacing w:after="0"/>
            </w:pPr>
            <w:r>
              <w:rPr>
                <w:rFonts w:cs="Times New Roman"/>
              </w:rPr>
              <w:t>HAIC / AS*</w:t>
            </w:r>
          </w:p>
        </w:tc>
        <w:tc>
          <w:tcPr>
            <w:tcW w:w="2551" w:type="dxa"/>
            <w:shd w:val="clear" w:color="auto" w:fill="FFFFFF"/>
            <w:vAlign w:val="center"/>
          </w:tcPr>
          <w:p w14:paraId="07C9FB18" w14:textId="77777777" w:rsidR="00894D55" w:rsidRDefault="00B20FC1">
            <w:pPr>
              <w:spacing w:after="0"/>
            </w:pPr>
            <w:r>
              <w:rPr>
                <w:rFonts w:cs="Times New Roman"/>
              </w:rPr>
              <w:t>SD / DSS*</w:t>
            </w:r>
          </w:p>
        </w:tc>
        <w:tc>
          <w:tcPr>
            <w:tcW w:w="2551" w:type="dxa"/>
            <w:shd w:val="clear" w:color="auto" w:fill="FFFFFF"/>
            <w:vAlign w:val="center"/>
          </w:tcPr>
          <w:p w14:paraId="6AB28A2E" w14:textId="77777777" w:rsidR="00894D55" w:rsidRDefault="00B20FC1">
            <w:pPr>
              <w:spacing w:after="0"/>
            </w:pPr>
            <w:r>
              <w:rPr>
                <w:rFonts w:cs="Times New Roman"/>
              </w:rPr>
              <w:t>The hypothesis is cross-domain; the final laboratory demonstrator provides a concrete use case selected with the consortium/robotics partner.</w:t>
            </w:r>
          </w:p>
        </w:tc>
      </w:tr>
      <w:tr w:rsidR="00894D55" w14:paraId="1C89CF06" w14:textId="77777777">
        <w:trPr>
          <w:cantSplit/>
          <w:jc w:val="center"/>
        </w:trPr>
        <w:tc>
          <w:tcPr>
            <w:tcW w:w="2551" w:type="dxa"/>
            <w:shd w:val="clear" w:color="auto" w:fill="FFFFFF"/>
            <w:vAlign w:val="center"/>
          </w:tcPr>
          <w:p w14:paraId="6C3BEB43" w14:textId="77777777" w:rsidR="00894D55" w:rsidRDefault="00B20FC1">
            <w:pPr>
              <w:spacing w:after="0"/>
            </w:pPr>
            <w:r>
              <w:rPr>
                <w:rFonts w:cs="Times New Roman"/>
              </w:rPr>
              <w:t>Synergies</w:t>
            </w:r>
          </w:p>
        </w:tc>
        <w:tc>
          <w:tcPr>
            <w:tcW w:w="2551" w:type="dxa"/>
            <w:shd w:val="clear" w:color="auto" w:fill="FFFFFF"/>
            <w:vAlign w:val="center"/>
          </w:tcPr>
          <w:p w14:paraId="51BD5C21" w14:textId="77777777" w:rsidR="00894D55" w:rsidRDefault="00B20FC1">
            <w:pPr>
              <w:spacing w:after="0"/>
            </w:pPr>
            <w:r>
              <w:rPr>
                <w:rFonts w:cs="Times New Roman"/>
              </w:rPr>
              <w:t>Ben; Int; JPD</w:t>
            </w:r>
          </w:p>
        </w:tc>
        <w:tc>
          <w:tcPr>
            <w:tcW w:w="2551" w:type="dxa"/>
            <w:shd w:val="clear" w:color="auto" w:fill="FFFFFF"/>
            <w:vAlign w:val="center"/>
          </w:tcPr>
          <w:p w14:paraId="68844251" w14:textId="77777777" w:rsidR="00894D55" w:rsidRDefault="00B20FC1">
            <w:pPr>
              <w:spacing w:after="0"/>
            </w:pPr>
            <w:r>
              <w:rPr>
                <w:rFonts w:cs="Times New Roman"/>
              </w:rPr>
              <w:t>—</w:t>
            </w:r>
          </w:p>
        </w:tc>
        <w:tc>
          <w:tcPr>
            <w:tcW w:w="2551" w:type="dxa"/>
            <w:shd w:val="clear" w:color="auto" w:fill="FFFFFF"/>
            <w:vAlign w:val="center"/>
          </w:tcPr>
          <w:p w14:paraId="34F0FF95" w14:textId="77777777" w:rsidR="00894D55" w:rsidRDefault="00B20FC1">
            <w:pPr>
              <w:spacing w:after="0"/>
            </w:pPr>
            <w:r>
              <w:rPr>
                <w:rFonts w:cs="Times New Roman"/>
              </w:rPr>
              <w:t>Year 1 contributes benchmark/metrology; Year 2 interoperability and cross-validation; Year 3 joint multimodal/embodied pilots.</w:t>
            </w:r>
          </w:p>
        </w:tc>
      </w:tr>
    </w:tbl>
    <w:p w14:paraId="6DD7CF20" w14:textId="77777777" w:rsidR="00894D55" w:rsidRPr="00F94C44" w:rsidRDefault="00B20FC1">
      <w:pPr>
        <w:spacing w:after="0"/>
        <w:rPr>
          <w:i/>
          <w:iCs/>
        </w:rPr>
      </w:pPr>
      <w:r w:rsidRPr="00F94C44">
        <w:rPr>
          <w:i/>
          <w:iCs/>
        </w:rPr>
        <w:t>* Application-domain classification will be finalised against the selected demonstrator and available project/portfolio cooperation routes; it will not be used to redefine the scientific hypothesis.</w:t>
      </w:r>
    </w:p>
    <w:p w14:paraId="0B31F670" w14:textId="77777777" w:rsidR="00894D55" w:rsidRDefault="00B20FC1">
      <w:r>
        <w:rPr>
          <w:rFonts w:cs="Times New Roman"/>
          <w:b/>
        </w:rPr>
        <w:t xml:space="preserve">Technical synergies. </w:t>
      </w:r>
      <w:r>
        <w:rPr>
          <w:rFonts w:cs="Times New Roman"/>
        </w:rPr>
        <w:t xml:space="preserve">Other </w:t>
      </w:r>
      <w:proofErr w:type="spellStart"/>
      <w:r>
        <w:rPr>
          <w:rFonts w:cs="Times New Roman"/>
        </w:rPr>
        <w:t>DeepRAP</w:t>
      </w:r>
      <w:proofErr w:type="spellEnd"/>
      <w:r>
        <w:rPr>
          <w:rFonts w:cs="Times New Roman"/>
        </w:rPr>
        <w:t xml:space="preserve"> projects can use MDPAR-H structural schemas, provenance conventions, benchmark tasks, match/non-match metrics, adapter-burden measures and interoperability protocols. Conversely, their independently engineered systems provide precisely the external evidence needed to test whether an observed invariant </w:t>
      </w:r>
      <w:proofErr w:type="spellStart"/>
      <w:r>
        <w:rPr>
          <w:rFonts w:cs="Times New Roman"/>
        </w:rPr>
        <w:t>generalises</w:t>
      </w:r>
      <w:proofErr w:type="spellEnd"/>
      <w:r>
        <w:rPr>
          <w:rFonts w:cs="Times New Roman"/>
        </w:rPr>
        <w:t xml:space="preserve"> beyond MDPAR.</w:t>
      </w:r>
    </w:p>
    <w:p w14:paraId="16C7EB40" w14:textId="77777777" w:rsidR="00894D55" w:rsidRDefault="00B20FC1">
      <w:r>
        <w:rPr>
          <w:rFonts w:cs="Times New Roman"/>
          <w:b/>
        </w:rPr>
        <w:t xml:space="preserve">Resource sharing. </w:t>
      </w:r>
      <w:r>
        <w:rPr>
          <w:rFonts w:cs="Times New Roman"/>
        </w:rPr>
        <w:t>The project will contribute benchmark specifications, test protocols, structural schemas, evaluation software, reproducibility assets, selected datasets and APIs suitable for cross-project validation, subject to the project's Open Science and IP strategy. The existing Swagger contract provides a concrete starting point for service-level integration without making the proprietary runtime itself the scientific result.</w:t>
      </w:r>
    </w:p>
    <w:p w14:paraId="0E98B172" w14:textId="77777777" w:rsidR="00894D55" w:rsidRDefault="00B20FC1">
      <w:r>
        <w:rPr>
          <w:rFonts w:cs="Times New Roman"/>
          <w:b/>
        </w:rPr>
        <w:t xml:space="preserve">Collaborative innovation. </w:t>
      </w:r>
      <w:r>
        <w:rPr>
          <w:rFonts w:cs="Times New Roman"/>
        </w:rPr>
        <w:t>MDPAR-H will seek joint benchmark development, cross-project validation and common pilots in which independently developed systems are compared without imposing a common global semantic ontology. The more heterogeneous the external systems, the stronger the test of the hypothesis.</w:t>
      </w:r>
    </w:p>
    <w:p w14:paraId="12DC28ED" w14:textId="77777777" w:rsidR="00894D55" w:rsidRDefault="00B20FC1">
      <w:pPr>
        <w:keepNext/>
        <w:spacing w:before="120"/>
      </w:pPr>
      <w:r>
        <w:rPr>
          <w:rFonts w:cs="Times New Roman"/>
          <w:b/>
        </w:rPr>
        <w:lastRenderedPageBreak/>
        <w:t>1.2</w:t>
      </w:r>
      <w:r>
        <w:rPr>
          <w:rFonts w:cs="Times New Roman"/>
          <w:b/>
        </w:rPr>
        <w:tab/>
        <w:t>Novelty</w:t>
      </w:r>
    </w:p>
    <w:p w14:paraId="231ABCA7" w14:textId="77777777" w:rsidR="00894D55" w:rsidRDefault="00B20FC1">
      <w:pPr>
        <w:keepNext/>
        <w:spacing w:before="60" w:after="40"/>
      </w:pPr>
      <w:r>
        <w:rPr>
          <w:rFonts w:cs="Times New Roman"/>
          <w:b/>
        </w:rPr>
        <w:t>State of the art and unresolved architectural gap</w:t>
      </w:r>
    </w:p>
    <w:p w14:paraId="53C4211E" w14:textId="77777777" w:rsidR="00894D55" w:rsidRDefault="00B20FC1">
      <w:r>
        <w:rPr>
          <w:rFonts w:cs="Times New Roman"/>
        </w:rPr>
        <w:t xml:space="preserve">MDPAR-H does not claim novelty for external reasoning structures, knowledge/inference separation, graph representations, cognitive architectures, model routing, provenance, runtime verification, memory, planning or execution authority individually. Each has substantial prior art. The novelty claim is deliberately conjunctive: whether a persistent and calculable inferential object can be structurally owned outside the semantic models that </w:t>
      </w:r>
      <w:proofErr w:type="spellStart"/>
      <w:r>
        <w:rPr>
          <w:rFonts w:cs="Times New Roman"/>
        </w:rPr>
        <w:t>realise</w:t>
      </w:r>
      <w:proofErr w:type="spellEnd"/>
      <w:r>
        <w:rPr>
          <w:rFonts w:cs="Times New Roman"/>
        </w:rPr>
        <w:t xml:space="preserve"> it, compared across heterogeneous systems without requiring a shared global semantic ontology, and remain operationally authoritative across model, compute, time and eventually embodiment.</w:t>
      </w:r>
    </w:p>
    <w:p w14:paraId="26375C8F" w14:textId="77777777" w:rsidR="00894D55" w:rsidRDefault="00B20FC1">
      <w:r>
        <w:rPr>
          <w:rFonts w:cs="Times New Roman"/>
        </w:rPr>
        <w:t xml:space="preserve">Classical work already shows that relational structure can support cross-domain comparison. Structure-Mapping Theory maps relations rather than object attributes and separates mapping rules from domain content [1]. </w:t>
      </w:r>
      <w:proofErr w:type="spellStart"/>
      <w:r>
        <w:rPr>
          <w:rFonts w:cs="Times New Roman"/>
        </w:rPr>
        <w:t>CommonKADS</w:t>
      </w:r>
      <w:proofErr w:type="spellEnd"/>
      <w:r>
        <w:rPr>
          <w:rFonts w:cs="Times New Roman"/>
        </w:rPr>
        <w:t xml:space="preserve"> and reusable Problem-Solving Methods separate domain knowledge, tasks and inference methods to promote reuse [2,3]. Cognitive architectures seek common computational </w:t>
      </w:r>
      <w:proofErr w:type="spellStart"/>
      <w:r>
        <w:rPr>
          <w:rFonts w:cs="Times New Roman"/>
        </w:rPr>
        <w:t>organisations</w:t>
      </w:r>
      <w:proofErr w:type="spellEnd"/>
      <w:r>
        <w:rPr>
          <w:rFonts w:cs="Times New Roman"/>
        </w:rPr>
        <w:t xml:space="preserve"> of mind [4]. These are direct intellectual predecessors. Their typical reuse or comparison, however, is defined inside an agreed representation, task ontology, architecture or method vocabulary. MDPAR-H instead asks whether selected inferential properties remain comparable when independently engineered systems do not share one global semantic ontology.</w:t>
      </w:r>
    </w:p>
    <w:p w14:paraId="34E69990" w14:textId="77777777" w:rsidR="00894D55" w:rsidRDefault="00B20FC1">
      <w:r>
        <w:rPr>
          <w:rFonts w:cs="Times New Roman"/>
        </w:rPr>
        <w:t>Representation standards and knowledge graphs provide a second strong baseline. AMR represents sentence meaning as a structured semantic graph [5]; Universal Dependencies pursues cross-linguistically consistent annotation through a shared inventory [6]; knowledge graphs encode entities, relations and ontological/background knowledge [7]. These approaches demonstrate the power of common representational schemes. MDPAR-H asks whether useful structural comparability can be obtained with a thinner shared commitment: domain/language semantics remain an observer and provenance responsibility, while the structural core is prohibited from silently absorbing domain-specific ontology. If adapters must reconstruct most semantics to recover a match, the ontology-light claim is weakened or falsified.</w:t>
      </w:r>
    </w:p>
    <w:p w14:paraId="0D9E0B52" w14:textId="77777777" w:rsidR="00894D55" w:rsidRDefault="00B20FC1">
      <w:r>
        <w:rPr>
          <w:rFonts w:cs="Times New Roman"/>
        </w:rPr>
        <w:t xml:space="preserve">Contemporary neural and neuro-symbolic work narrows the gap further. Neuro-symbolic AI integrates learning and symbolic reasoning to improve interpretability, robustness and </w:t>
      </w:r>
      <w:proofErr w:type="spellStart"/>
      <w:r>
        <w:rPr>
          <w:rFonts w:cs="Times New Roman"/>
        </w:rPr>
        <w:t>generalisation</w:t>
      </w:r>
      <w:proofErr w:type="spellEnd"/>
      <w:r>
        <w:rPr>
          <w:rFonts w:cs="Times New Roman"/>
        </w:rPr>
        <w:t xml:space="preserve"> [8]. Tree of Thoughts and Graph of Thoughts </w:t>
      </w:r>
      <w:proofErr w:type="spellStart"/>
      <w:r>
        <w:rPr>
          <w:rFonts w:cs="Times New Roman"/>
        </w:rPr>
        <w:t>externalise</w:t>
      </w:r>
      <w:proofErr w:type="spellEnd"/>
      <w:r>
        <w:rPr>
          <w:rFonts w:cs="Times New Roman"/>
        </w:rPr>
        <w:t xml:space="preserve"> LLM-generated intermediate reasoning into search trees or graphs [9,10], while </w:t>
      </w:r>
      <w:proofErr w:type="spellStart"/>
      <w:r>
        <w:rPr>
          <w:rFonts w:cs="Times New Roman"/>
        </w:rPr>
        <w:t>ReAct</w:t>
      </w:r>
      <w:proofErr w:type="spellEnd"/>
      <w:r>
        <w:rPr>
          <w:rFonts w:cs="Times New Roman"/>
        </w:rPr>
        <w:t xml:space="preserve"> interleaves reasoning traces and actions [11]. Recent work proposes reusable reasoning prototypes in formal languages [12] and investigates transferable algorithmic primitives in latent activation space [13]. These results support the possibility of reusable reasoning structure, but either remain tied to specified formal languages or measure structure inside model representations. Neither establishes a persistent external inferential object that owns continuity and authority across independently engineered cognitive systems.</w:t>
      </w:r>
    </w:p>
    <w:p w14:paraId="032512BF" w14:textId="77777777" w:rsidR="00894D55" w:rsidRDefault="00B20FC1">
      <w:r>
        <w:rPr>
          <w:rFonts w:cs="Times New Roman"/>
        </w:rPr>
        <w:t>Runtime verification can monitor executions and enforce contracts [14], while LLM cascades can route requests among heterogeneous models for efficiency [15]. MDPAR-H does not claim either mechanism as new. Its proposed step beyond them is to bind structural comparison, verification, routing, longitudinal epistemic state and action authority to the same explicit trajectory object while keeping semantic competence, structural ownership and operational authority separable roles.</w:t>
      </w:r>
    </w:p>
    <w:p w14:paraId="404CE794" w14:textId="77777777" w:rsidR="00894D55" w:rsidRDefault="00B20FC1">
      <w:pPr>
        <w:keepNext/>
        <w:spacing w:before="60" w:after="40"/>
      </w:pPr>
      <w:r>
        <w:rPr>
          <w:rFonts w:cs="Times New Roman"/>
          <w:b/>
        </w:rPr>
        <w:t>What v2.2.0 changes in the pre-project baseline</w:t>
      </w:r>
    </w:p>
    <w:p w14:paraId="615CE977" w14:textId="77777777" w:rsidR="00894D55" w:rsidRDefault="00B20FC1">
      <w:r>
        <w:rPr>
          <w:rFonts w:cs="Times New Roman"/>
        </w:rPr>
        <w:t>MDPAR v2.2.0 makes four epistemic layers explicit: (1) SCC, the formal language in which trajectory properties are defined; (2) MDPAR, the executable architecture that realises and governs them; (3) the Swagger assessment surface, which exposes the architecture operationally; and (4) MDPAR-H, the foundational proposition that gives those results their common theoretical meaning. The first three establish the property inside the current formal, computational and tested operational domain. DeepRAP does not fund a transition from 'unproven hypothesis' to 'working system'; it funds the cartography of the fourth layer's external boundary.</w:t>
      </w:r>
    </w:p>
    <w:p w14:paraId="44755CC3" w14:textId="77777777" w:rsidR="00894D55" w:rsidRDefault="00B20FC1">
      <w:r>
        <w:rPr>
          <w:rFonts w:cs="Times New Roman"/>
        </w:rPr>
        <w:t>This reframing sharpens the novelty claim. MDPAR-H is not a separate speculative claim sitting beside a collection of unrelated MDPAR capabilities. The separation of semantic capability, structural ownership, longitudinal continuity, provenance, routing, certification and authority; the preservation of UNKNOWN and negative evidence; adaptive compute acquisition; degradation/recovery; and contestable operational reporting are consequences realised under one foundational architecture. The Pathfinder question is whether those consequences remain recoverable as domain, provider, architecture and embodiment become independent of MDPAR.</w:t>
      </w:r>
    </w:p>
    <w:p w14:paraId="65747935" w14:textId="77777777" w:rsidR="00894D55" w:rsidRDefault="00B20FC1">
      <w:r>
        <w:rPr>
          <w:rFonts w:cs="Times New Roman"/>
        </w:rPr>
        <w:t xml:space="preserve">The resulting research question is stronger than model interoperability alone. It asks whether semantic capability, inferential structure, longitudinal continuity, provenance, routing, certification and operational authority are necessarily properties of one cognitive provider or can be assigned to different components while preserving a </w:t>
      </w:r>
      <w:proofErr w:type="spellStart"/>
      <w:r>
        <w:rPr>
          <w:rFonts w:cs="Times New Roman"/>
        </w:rPr>
        <w:t>recognisable</w:t>
      </w:r>
      <w:proofErr w:type="spellEnd"/>
      <w:r>
        <w:rPr>
          <w:rFonts w:cs="Times New Roman"/>
        </w:rPr>
        <w:t xml:space="preserve"> inferential process. In MDPAR v2.2.0 those responsibilities are already functionally separated. </w:t>
      </w:r>
      <w:proofErr w:type="spellStart"/>
      <w:r>
        <w:rPr>
          <w:rFonts w:cs="Times New Roman"/>
        </w:rPr>
        <w:t>DeepRAP</w:t>
      </w:r>
      <w:proofErr w:type="spellEnd"/>
      <w:r>
        <w:rPr>
          <w:rFonts w:cs="Times New Roman"/>
        </w:rPr>
        <w:t xml:space="preserve"> tests the portability of that separation beyond the architecture that first </w:t>
      </w:r>
      <w:proofErr w:type="spellStart"/>
      <w:r>
        <w:rPr>
          <w:rFonts w:cs="Times New Roman"/>
        </w:rPr>
        <w:t>realised</w:t>
      </w:r>
      <w:proofErr w:type="spellEnd"/>
      <w:r>
        <w:rPr>
          <w:rFonts w:cs="Times New Roman"/>
        </w:rPr>
        <w:t xml:space="preserve"> it.</w:t>
      </w:r>
    </w:p>
    <w:p w14:paraId="405AD453" w14:textId="77777777" w:rsidR="00894D55" w:rsidRDefault="00B20FC1">
      <w:pPr>
        <w:keepNext/>
        <w:spacing w:before="60" w:after="40"/>
      </w:pPr>
      <w:r>
        <w:rPr>
          <w:rFonts w:cs="Times New Roman"/>
          <w:b/>
        </w:rPr>
        <w:lastRenderedPageBreak/>
        <w:t>Proposed technological breakthroughs</w:t>
      </w:r>
    </w:p>
    <w:p w14:paraId="77904778" w14:textId="77777777" w:rsidR="00894D55" w:rsidRDefault="00B20FC1">
      <w:r>
        <w:rPr>
          <w:rFonts w:cs="Times New Roman"/>
          <w:b/>
        </w:rPr>
        <w:t xml:space="preserve">BT1 - </w:t>
      </w:r>
      <w:r>
        <w:rPr>
          <w:rFonts w:cs="Times New Roman"/>
        </w:rPr>
        <w:t xml:space="preserve">External calculable inferential structure with discriminative invariants. MDPAR v2.2.0 already provides an explicit occurrence-based trajectory projected onto the SCC, with typed relations, ordering, radial/orbital descriptors, recurrence/closure semantics, correspondence, exact structural comparison and transformation machinery. The breakthrough to be established is not the existence of this formal object but whether non-trivial properties extracted from it remain reproducible under controlled semantic, representational and system changes. Crucially, failure to recover exact identity where it should not exist is evidence of discrimination, not a defect to be </w:t>
      </w:r>
      <w:proofErr w:type="spellStart"/>
      <w:r>
        <w:rPr>
          <w:rFonts w:cs="Times New Roman"/>
        </w:rPr>
        <w:t>normalised</w:t>
      </w:r>
      <w:proofErr w:type="spellEnd"/>
      <w:r>
        <w:rPr>
          <w:rFonts w:cs="Times New Roman"/>
        </w:rPr>
        <w:t xml:space="preserve"> away.</w:t>
      </w:r>
    </w:p>
    <w:p w14:paraId="7512C632" w14:textId="77777777" w:rsidR="00894D55" w:rsidRDefault="00B20FC1">
      <w:r>
        <w:rPr>
          <w:rFonts w:cs="Times New Roman"/>
          <w:b/>
        </w:rPr>
        <w:t xml:space="preserve">BT2 - </w:t>
      </w:r>
      <w:r>
        <w:rPr>
          <w:rFonts w:cs="Times New Roman"/>
        </w:rPr>
        <w:t xml:space="preserve">Ontology-light comparability with explicit anti-leakage boundaries. The v2.2.0 architecture keeps domain/profile semantics outside the structural core, treats language as provenance rather than an SCC coordinate, and separates neural observation from structural authority. MDPAR-H turns that design rule into an empirical criterion: independently </w:t>
      </w:r>
      <w:proofErr w:type="spellStart"/>
      <w:r>
        <w:rPr>
          <w:rFonts w:cs="Times New Roman"/>
        </w:rPr>
        <w:t>realised</w:t>
      </w:r>
      <w:proofErr w:type="spellEnd"/>
      <w:r>
        <w:rPr>
          <w:rFonts w:cs="Times New Roman"/>
        </w:rPr>
        <w:t xml:space="preserve"> semantics must be projectable with bounded adapter complexity, bounded semantic burden and audited ontology import. If cross-system adapters recreate a hidden common ontology, BT2 fails even if task interoperability is high.</w:t>
      </w:r>
    </w:p>
    <w:p w14:paraId="6C4A52E3" w14:textId="77777777" w:rsidR="00894D55" w:rsidRDefault="00B20FC1">
      <w:r w:rsidRPr="008D36B5">
        <w:rPr>
          <w:rFonts w:cs="Times New Roman"/>
          <w:b/>
          <w:bCs/>
        </w:rPr>
        <w:t>BT3</w:t>
      </w:r>
      <w:r>
        <w:rPr>
          <w:rFonts w:cs="Times New Roman"/>
        </w:rPr>
        <w:t xml:space="preserve"> - Persistent cognitive ownership and authority outside the semantic provider. MDPAR v2.2.0 demonstrates architecturally that semantic capability and cognitive ownership need not be identical responsibilities: a provider may observe, interpret or propose without thereby owning the trajectory, structural memory, routing policy, provenance, epistemic status or global action authority. The Pathfinder breakthrough to be established is portability of that separation across independently engineered systems. If supported, model capacity and system capacity become distinct engineering variables: semantic capability may be substituted, combined, degraded or recovered while the surrounding cognitive process remains </w:t>
      </w:r>
      <w:proofErr w:type="spellStart"/>
      <w:r>
        <w:rPr>
          <w:rFonts w:cs="Times New Roman"/>
        </w:rPr>
        <w:t>organisation</w:t>
      </w:r>
      <w:proofErr w:type="spellEnd"/>
      <w:r>
        <w:rPr>
          <w:rFonts w:cs="Times New Roman"/>
        </w:rPr>
        <w:t>-controlled and longitudinally identifiable. If external systems require provider-owned state or authority to preserve function, the claim is correspondingly narrowed.</w:t>
      </w:r>
    </w:p>
    <w:p w14:paraId="7A5ACFDD" w14:textId="77777777" w:rsidR="00894D55" w:rsidRDefault="00B20FC1">
      <w:r>
        <w:rPr>
          <w:rFonts w:cs="Times New Roman"/>
          <w:b/>
        </w:rPr>
        <w:t xml:space="preserve">BT4 - </w:t>
      </w:r>
      <w:r>
        <w:rPr>
          <w:rFonts w:cs="Times New Roman"/>
        </w:rPr>
        <w:t>Structural invariance across situated and embodied cognition. The current system contains an explicit embodiment boundary and integrated tests of degradation, fallback, debt, recovery and temporal authority, but it does not establish physical embodiment or multimodal universality. Year 3 deliberately attacks the hypothesis where symbolic regularities are most likely to break: perception, state estimation, planning, action and feedback become physically coupled. Failure will delimit the hypothesis rather than be converted into task-success evidence.</w:t>
      </w:r>
    </w:p>
    <w:p w14:paraId="08E545CD" w14:textId="77777777" w:rsidR="00894D55" w:rsidRDefault="00B20FC1">
      <w:pPr>
        <w:keepNext/>
        <w:spacing w:before="60" w:after="40"/>
      </w:pPr>
      <w:r>
        <w:rPr>
          <w:rFonts w:cs="Times New Roman"/>
          <w:b/>
        </w:rPr>
        <w:t>Pre-existing evidence and remaining Pathfinder uncertainty</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3402"/>
        <w:gridCol w:w="3402"/>
        <w:gridCol w:w="3402"/>
      </w:tblGrid>
      <w:tr w:rsidR="00894D55" w14:paraId="46BE3363" w14:textId="77777777">
        <w:trPr>
          <w:cantSplit/>
          <w:jc w:val="center"/>
        </w:trPr>
        <w:tc>
          <w:tcPr>
            <w:tcW w:w="3402" w:type="dxa"/>
            <w:shd w:val="clear" w:color="auto" w:fill="E7E6E6"/>
            <w:vAlign w:val="center"/>
          </w:tcPr>
          <w:p w14:paraId="5EB38E55" w14:textId="77777777" w:rsidR="00894D55" w:rsidRDefault="00B20FC1">
            <w:pPr>
              <w:spacing w:after="0"/>
            </w:pPr>
            <w:r>
              <w:rPr>
                <w:rFonts w:cs="Times New Roman"/>
                <w:b/>
              </w:rPr>
              <w:t>Area</w:t>
            </w:r>
          </w:p>
        </w:tc>
        <w:tc>
          <w:tcPr>
            <w:tcW w:w="3402" w:type="dxa"/>
            <w:shd w:val="clear" w:color="auto" w:fill="E7E6E6"/>
            <w:vAlign w:val="center"/>
          </w:tcPr>
          <w:p w14:paraId="296829F3" w14:textId="77777777" w:rsidR="00617ED1" w:rsidRDefault="003016E0">
            <w:pPr>
              <w:spacing w:after="0"/>
            </w:pPr>
            <w:r>
              <w:rPr>
                <w:rFonts w:cs="Times New Roman"/>
                <w:b/>
              </w:rPr>
              <w:t>Established pre-project result</w:t>
            </w:r>
          </w:p>
        </w:tc>
        <w:tc>
          <w:tcPr>
            <w:tcW w:w="3402" w:type="dxa"/>
            <w:shd w:val="clear" w:color="auto" w:fill="E7E6E6"/>
            <w:vAlign w:val="center"/>
          </w:tcPr>
          <w:p w14:paraId="1C1E054E" w14:textId="77777777" w:rsidR="00617ED1" w:rsidRDefault="003016E0">
            <w:pPr>
              <w:spacing w:after="0"/>
            </w:pPr>
            <w:r>
              <w:rPr>
                <w:rFonts w:cs="Times New Roman"/>
                <w:b/>
              </w:rPr>
              <w:t>DeepRAP external-boundary test</w:t>
            </w:r>
          </w:p>
        </w:tc>
      </w:tr>
      <w:tr w:rsidR="00894D55" w14:paraId="6CED207F" w14:textId="77777777">
        <w:trPr>
          <w:cantSplit/>
          <w:jc w:val="center"/>
        </w:trPr>
        <w:tc>
          <w:tcPr>
            <w:tcW w:w="3402" w:type="dxa"/>
            <w:shd w:val="clear" w:color="auto" w:fill="FFFFFF"/>
            <w:vAlign w:val="center"/>
          </w:tcPr>
          <w:p w14:paraId="09C643B2" w14:textId="77777777" w:rsidR="00894D55" w:rsidRDefault="00B20FC1">
            <w:pPr>
              <w:spacing w:after="0"/>
            </w:pPr>
            <w:r>
              <w:rPr>
                <w:rFonts w:cs="Times New Roman"/>
              </w:rPr>
              <w:t>Formal / structural discrimination</w:t>
            </w:r>
          </w:p>
        </w:tc>
        <w:tc>
          <w:tcPr>
            <w:tcW w:w="3402" w:type="dxa"/>
            <w:shd w:val="clear" w:color="auto" w:fill="FFFFFF"/>
            <w:vAlign w:val="center"/>
          </w:tcPr>
          <w:p w14:paraId="161FB844" w14:textId="77777777" w:rsidR="00894D55" w:rsidRDefault="00B20FC1">
            <w:pPr>
              <w:spacing w:after="0"/>
            </w:pPr>
            <w:r>
              <w:rPr>
                <w:rFonts w:cs="Times New Roman"/>
              </w:rPr>
              <w:t>C0: 19/19 contractual checks. C3: 9/9 Structural Calculus cases and 16/16 Directional Continuity steps exact with 0 neural calls for the formal result. C4 preserves measurable correspondence/transport while exact target identity remains 0.</w:t>
            </w:r>
          </w:p>
        </w:tc>
        <w:tc>
          <w:tcPr>
            <w:tcW w:w="3402" w:type="dxa"/>
            <w:shd w:val="clear" w:color="auto" w:fill="FFFFFF"/>
            <w:vAlign w:val="center"/>
          </w:tcPr>
          <w:p w14:paraId="59ECCFCF" w14:textId="77777777" w:rsidR="00894D55" w:rsidRDefault="00B20FC1">
            <w:pPr>
              <w:spacing w:after="0"/>
            </w:pPr>
            <w:r>
              <w:rPr>
                <w:rFonts w:cs="Times New Roman"/>
              </w:rPr>
              <w:t xml:space="preserve">Which candidate invariants </w:t>
            </w:r>
            <w:proofErr w:type="spellStart"/>
            <w:r>
              <w:rPr>
                <w:rFonts w:cs="Times New Roman"/>
              </w:rPr>
              <w:t>generalise</w:t>
            </w:r>
            <w:proofErr w:type="spellEnd"/>
            <w:r>
              <w:rPr>
                <w:rFonts w:cs="Times New Roman"/>
              </w:rPr>
              <w:t xml:space="preserve"> across domains, languages, models and independent native representations; which are properties only of the MDPAR encoding.</w:t>
            </w:r>
          </w:p>
        </w:tc>
      </w:tr>
      <w:tr w:rsidR="00894D55" w14:paraId="13EAD6F9" w14:textId="77777777">
        <w:trPr>
          <w:cantSplit/>
          <w:jc w:val="center"/>
        </w:trPr>
        <w:tc>
          <w:tcPr>
            <w:tcW w:w="3402" w:type="dxa"/>
            <w:shd w:val="clear" w:color="auto" w:fill="FFFFFF"/>
            <w:vAlign w:val="center"/>
          </w:tcPr>
          <w:p w14:paraId="6004A258" w14:textId="77777777" w:rsidR="00894D55" w:rsidRDefault="00B20FC1">
            <w:pPr>
              <w:spacing w:after="0"/>
            </w:pPr>
            <w:r>
              <w:rPr>
                <w:rFonts w:cs="Times New Roman"/>
              </w:rPr>
              <w:t>Semantic boundary / ontology-light projection</w:t>
            </w:r>
          </w:p>
        </w:tc>
        <w:tc>
          <w:tcPr>
            <w:tcW w:w="3402" w:type="dxa"/>
            <w:shd w:val="clear" w:color="auto" w:fill="FFFFFF"/>
            <w:vAlign w:val="center"/>
          </w:tcPr>
          <w:p w14:paraId="2CD4EDB3" w14:textId="77777777" w:rsidR="00894D55" w:rsidRDefault="00B20FC1">
            <w:pPr>
              <w:spacing w:after="0"/>
            </w:pPr>
            <w:r>
              <w:rPr>
                <w:rFonts w:cs="Times New Roman"/>
              </w:rPr>
              <w:t>C1-C2 expose observer-specific error, ambiguity and grounding failure instead of converting them into structural success. C7 is deterministic/CLOSED and exposes reproducible policy-gold boundaries. C8: 10/10 status, 3/3 OPEN valid, routing authority MDPAR_ONLY, with ownership discrepancy retained.</w:t>
            </w:r>
          </w:p>
        </w:tc>
        <w:tc>
          <w:tcPr>
            <w:tcW w:w="3402" w:type="dxa"/>
            <w:shd w:val="clear" w:color="auto" w:fill="FFFFFF"/>
            <w:vAlign w:val="center"/>
          </w:tcPr>
          <w:p w14:paraId="7FAFBCCC" w14:textId="77777777" w:rsidR="00894D55" w:rsidRDefault="00B20FC1">
            <w:pPr>
              <w:spacing w:after="0"/>
            </w:pPr>
            <w:r>
              <w:rPr>
                <w:rFonts w:cs="Times New Roman"/>
              </w:rPr>
              <w:t>Whether independently engineered systems can be projected with bounded semantic burden and without reconstructing a de facto shared ontology.</w:t>
            </w:r>
          </w:p>
        </w:tc>
      </w:tr>
      <w:tr w:rsidR="00894D55" w14:paraId="4E3FDC0D" w14:textId="77777777">
        <w:trPr>
          <w:cantSplit/>
          <w:jc w:val="center"/>
        </w:trPr>
        <w:tc>
          <w:tcPr>
            <w:tcW w:w="3402" w:type="dxa"/>
            <w:shd w:val="clear" w:color="auto" w:fill="FFFFFF"/>
            <w:vAlign w:val="center"/>
          </w:tcPr>
          <w:p w14:paraId="3345C17C" w14:textId="77777777" w:rsidR="00894D55" w:rsidRDefault="00B20FC1">
            <w:pPr>
              <w:spacing w:after="0"/>
            </w:pPr>
            <w:r>
              <w:rPr>
                <w:rFonts w:cs="Times New Roman"/>
              </w:rPr>
              <w:t>Longitudinal ownership / compute / authority</w:t>
            </w:r>
          </w:p>
        </w:tc>
        <w:tc>
          <w:tcPr>
            <w:tcW w:w="3402" w:type="dxa"/>
            <w:shd w:val="clear" w:color="auto" w:fill="FFFFFF"/>
            <w:vAlign w:val="center"/>
          </w:tcPr>
          <w:p w14:paraId="161C8046" w14:textId="77777777" w:rsidR="00894D55" w:rsidRDefault="00B20FC1">
            <w:pPr>
              <w:spacing w:after="0"/>
            </w:pPr>
            <w:r>
              <w:rPr>
                <w:rFonts w:cs="Times New Roman"/>
              </w:rPr>
              <w:t>C6: 77/77 segments, 784 requests, 1 HIGH and explicit unresolved-at-end states. C9: adaptive acquisition reduces reasoning (-42.3%) and wall time (-25.3%) while total tokens increase (+27.1%), showing governed rather than monotonic compute. C10: 11/11 temporal contracts exact.</w:t>
            </w:r>
          </w:p>
        </w:tc>
        <w:tc>
          <w:tcPr>
            <w:tcW w:w="3402" w:type="dxa"/>
            <w:shd w:val="clear" w:color="auto" w:fill="FFFFFF"/>
            <w:vAlign w:val="center"/>
          </w:tcPr>
          <w:p w14:paraId="5E71C92E" w14:textId="77777777" w:rsidR="00894D55" w:rsidRDefault="00B20FC1">
            <w:pPr>
              <w:spacing w:after="0"/>
            </w:pPr>
            <w:r>
              <w:rPr>
                <w:rFonts w:cs="Times New Roman"/>
              </w:rPr>
              <w:t>Whether structural, epistemic and operational authority remains provider-independent across systems with different internal representations, timing and control assumptions.</w:t>
            </w:r>
          </w:p>
        </w:tc>
      </w:tr>
      <w:tr w:rsidR="00894D55" w14:paraId="11A3E07B" w14:textId="77777777">
        <w:trPr>
          <w:cantSplit/>
          <w:jc w:val="center"/>
        </w:trPr>
        <w:tc>
          <w:tcPr>
            <w:tcW w:w="3402" w:type="dxa"/>
            <w:shd w:val="clear" w:color="auto" w:fill="FFFFFF"/>
            <w:vAlign w:val="center"/>
          </w:tcPr>
          <w:p w14:paraId="02E9BF9C" w14:textId="77777777" w:rsidR="00894D55" w:rsidRDefault="00B20FC1">
            <w:pPr>
              <w:spacing w:after="0"/>
            </w:pPr>
            <w:r>
              <w:rPr>
                <w:rFonts w:cs="Times New Roman"/>
              </w:rPr>
              <w:lastRenderedPageBreak/>
              <w:t>Degradation and recovery</w:t>
            </w:r>
          </w:p>
        </w:tc>
        <w:tc>
          <w:tcPr>
            <w:tcW w:w="3402" w:type="dxa"/>
            <w:shd w:val="clear" w:color="auto" w:fill="FFFFFF"/>
            <w:vAlign w:val="center"/>
          </w:tcPr>
          <w:p w14:paraId="5C6871D4" w14:textId="77777777" w:rsidR="00894D55" w:rsidRDefault="00B20FC1">
            <w:pPr>
              <w:spacing w:after="0"/>
            </w:pPr>
            <w:r>
              <w:rPr>
                <w:rFonts w:cs="Times New Roman"/>
              </w:rPr>
              <w:t xml:space="preserve">C11 preserves CLOSED continuity, creates/reissues 3/3 cognitive debts, makes 0 local OPEN attempts when the local profile is uncertified, and records 0 stale </w:t>
            </w:r>
            <w:proofErr w:type="spellStart"/>
            <w:r>
              <w:rPr>
                <w:rFonts w:cs="Times New Roman"/>
              </w:rPr>
              <w:t>authorisations</w:t>
            </w:r>
            <w:proofErr w:type="spellEnd"/>
            <w:r>
              <w:rPr>
                <w:rFonts w:cs="Times New Roman"/>
              </w:rPr>
              <w:t xml:space="preserve"> / 0 committed rewrites. C12 capstone PASS recovers 3/3 debt with 0 stale / 0 rewrites.</w:t>
            </w:r>
          </w:p>
        </w:tc>
        <w:tc>
          <w:tcPr>
            <w:tcW w:w="3402" w:type="dxa"/>
            <w:shd w:val="clear" w:color="auto" w:fill="FFFFFF"/>
            <w:vAlign w:val="center"/>
          </w:tcPr>
          <w:p w14:paraId="2DE3A7AA" w14:textId="77777777" w:rsidR="00894D55" w:rsidRDefault="00B20FC1">
            <w:pPr>
              <w:spacing w:after="0"/>
            </w:pPr>
            <w:r>
              <w:rPr>
                <w:rFonts w:cs="Times New Roman"/>
              </w:rPr>
              <w:t>Whether these properties survive true multimodal observation, partial observability, sensor disagreement, physical action constraints and closed-loop consequences.</w:t>
            </w:r>
          </w:p>
        </w:tc>
      </w:tr>
      <w:tr w:rsidR="00894D55" w14:paraId="11B48646" w14:textId="77777777">
        <w:trPr>
          <w:cantSplit/>
          <w:jc w:val="center"/>
        </w:trPr>
        <w:tc>
          <w:tcPr>
            <w:tcW w:w="3402" w:type="dxa"/>
            <w:shd w:val="clear" w:color="auto" w:fill="FFFFFF"/>
            <w:vAlign w:val="center"/>
          </w:tcPr>
          <w:p w14:paraId="56E7793E" w14:textId="77777777" w:rsidR="00894D55" w:rsidRDefault="00B20FC1">
            <w:pPr>
              <w:spacing w:after="0"/>
            </w:pPr>
            <w:r>
              <w:rPr>
                <w:rFonts w:cs="Times New Roman"/>
              </w:rPr>
              <w:t>Operational surface</w:t>
            </w:r>
          </w:p>
        </w:tc>
        <w:tc>
          <w:tcPr>
            <w:tcW w:w="3402" w:type="dxa"/>
            <w:shd w:val="clear" w:color="auto" w:fill="FFFFFF"/>
            <w:vAlign w:val="center"/>
          </w:tcPr>
          <w:p w14:paraId="09231FF6" w14:textId="77777777" w:rsidR="00894D55" w:rsidRDefault="00B20FC1">
            <w:pPr>
              <w:spacing w:after="0"/>
            </w:pPr>
            <w:r>
              <w:rPr>
                <w:rFonts w:cs="Times New Roman"/>
              </w:rPr>
              <w:t>The v2.2.0 Swagger probe executes evidence -&gt; canonical analysis -&gt; derived report with explicit provenance and a deterministic-core/neural-boundary contract. One vertical run observed OPEN variation rather than exact reproducibility.</w:t>
            </w:r>
          </w:p>
        </w:tc>
        <w:tc>
          <w:tcPr>
            <w:tcW w:w="3402" w:type="dxa"/>
            <w:shd w:val="clear" w:color="auto" w:fill="FFFFFF"/>
            <w:vAlign w:val="center"/>
          </w:tcPr>
          <w:p w14:paraId="238DCB14" w14:textId="77777777" w:rsidR="00894D55" w:rsidRDefault="00B20FC1">
            <w:pPr>
              <w:spacing w:after="0"/>
            </w:pPr>
            <w:r>
              <w:rPr>
                <w:rFonts w:cs="Times New Roman"/>
              </w:rPr>
              <w:t>Whether the service contract and metrology remain valid across independent systems and repeated external workloads; n=1 product operation is not domain-</w:t>
            </w:r>
            <w:proofErr w:type="spellStart"/>
            <w:r>
              <w:rPr>
                <w:rFonts w:cs="Times New Roman"/>
              </w:rPr>
              <w:t>generalisation</w:t>
            </w:r>
            <w:proofErr w:type="spellEnd"/>
            <w:r>
              <w:rPr>
                <w:rFonts w:cs="Times New Roman"/>
              </w:rPr>
              <w:t xml:space="preserve"> evidence.</w:t>
            </w:r>
          </w:p>
        </w:tc>
      </w:tr>
    </w:tbl>
    <w:p w14:paraId="558FF442" w14:textId="77777777" w:rsidR="00894D55" w:rsidRDefault="00B20FC1">
      <w:r>
        <w:rPr>
          <w:rFonts w:cs="Times New Roman"/>
        </w:rPr>
        <w:t xml:space="preserve">The v2.2.0 evidence is intentionally not presented as a sequence of perfect scores. </w:t>
      </w:r>
      <w:proofErr w:type="spellStart"/>
      <w:r>
        <w:rPr>
          <w:rFonts w:cs="Times New Roman"/>
        </w:rPr>
        <w:t>Qwen</w:t>
      </w:r>
      <w:proofErr w:type="spellEnd"/>
      <w:r>
        <w:rPr>
          <w:rFonts w:cs="Times New Roman"/>
        </w:rPr>
        <w:t xml:space="preserve"> can become UNEVALUABLE under stricter grounding rather than being assigned a misleading zero; C4 can preserve transport while exact identity remains absent; C7-C8 retain reproducible policy/gold mismatches; C9 can reduce reasoning and wall time while increasing total token work; and the Swagger probe records stochastic OPEN variation. These negative and boundary results are central to the Pathfinder case because they show that the instrument can preserve failure semantics instead of tuning the representation until every case appears supportive.</w:t>
      </w:r>
    </w:p>
    <w:p w14:paraId="0E9A7719" w14:textId="77777777" w:rsidR="00894D55" w:rsidRDefault="00B20FC1">
      <w:r>
        <w:rPr>
          <w:rFonts w:cs="Times New Roman"/>
        </w:rPr>
        <w:t>Evidence is therefore classified by the kind of proposition being justified rather than compressed into one confidence score. Formal theorems and definitions establish what follows inside the SCC representation; executable conformance establishes whether software realises the specified contracts; internal campaigns test those mechanisms under controlled perturbation; operational probes test whether the same separation survives an end-to-end evidence workflow; and external validity asks for the externally supported class of independent systems, domains and modalities over which the properties remain informative. DeepRAP is primarily the transition from the first four layers to the fifth. Statistical inference is used for population-level preservation and transfer; it does not replace exact formal comparison where the endpoint is mathematical or deterministic.</w:t>
      </w:r>
    </w:p>
    <w:p w14:paraId="56D7BBDE" w14:textId="77777777" w:rsidR="00894D55" w:rsidRDefault="00B20FC1">
      <w:r>
        <w:rPr>
          <w:rFonts w:cs="Times New Roman"/>
        </w:rPr>
        <w:t>The operational Swagger surface is part of the demonstrated baseline. It materialises the same authority separation as a coherent service: evidence enters under provenance, canonical analysis remains the source of truth, neural variation is bounded at the OPEN interface, and human-readable reports are derived from rather than authoritative over the canonical result. For DeepRAP this reduces integration risk and supplies a ready service-level boundary for external systems.</w:t>
      </w:r>
    </w:p>
    <w:p w14:paraId="2D4F1FEC" w14:textId="77777777" w:rsidR="00894D55" w:rsidRDefault="00B20FC1">
      <w:pPr>
        <w:keepNext/>
        <w:spacing w:before="60" w:after="40"/>
      </w:pPr>
      <w:r>
        <w:rPr>
          <w:rFonts w:cs="Times New Roman"/>
          <w:b/>
        </w:rPr>
        <w:t>Ambition beyond the state of the art</w:t>
      </w:r>
    </w:p>
    <w:p w14:paraId="4F886644" w14:textId="77777777" w:rsidR="00894D55" w:rsidRDefault="00B20FC1">
      <w:r>
        <w:rPr>
          <w:rFonts w:cs="Times New Roman"/>
        </w:rPr>
        <w:t xml:space="preserve">The project's ambition is architectural rather than additive. Current systems can reason inside neural models, execute symbolic inference, encode common representations, </w:t>
      </w:r>
      <w:proofErr w:type="spellStart"/>
      <w:r>
        <w:rPr>
          <w:rFonts w:cs="Times New Roman"/>
        </w:rPr>
        <w:t>externalise</w:t>
      </w:r>
      <w:proofErr w:type="spellEnd"/>
      <w:r>
        <w:rPr>
          <w:rFonts w:cs="Times New Roman"/>
        </w:rPr>
        <w:t xml:space="preserve"> model-generated thought graphs, combine neural and symbolic components, route requests among models and monitor executions. MDPAR-H tests whether a further layer is possible: an external inferential structure whose calculable properties remain discriminatively comparable across heterogeneous systems without first forcing them into one global semantic ontology, while continuity, provenance and authority remain inspectable outside the semantic provider.</w:t>
      </w:r>
    </w:p>
    <w:p w14:paraId="3EC82E1F" w14:textId="77777777" w:rsidR="00894D55" w:rsidRDefault="00B20FC1">
      <w:r>
        <w:rPr>
          <w:rFonts w:cs="Times New Roman"/>
        </w:rPr>
        <w:t>Three outcomes remain scientifically legitimate. Strong support would identify a class of invariants independently reproducible across heterogeneous symbolic systems and at least partially preserved under embodiment. Partial support would establish narrower domains of validity or different invariant classes for symbolic and situated cognition. Falsification would show that apparent invariance depends on MDPAR-specific encoding, hidden semantic reconstruction, model family or modality. Each outcome yields useful formal boundaries, counterexamples, benchmarks and metrology.</w:t>
      </w:r>
    </w:p>
    <w:p w14:paraId="209E38ED" w14:textId="77777777" w:rsidR="00894D55" w:rsidRDefault="00B20FC1">
      <w:r>
        <w:rPr>
          <w:rFonts w:cs="Times New Roman"/>
        </w:rPr>
        <w:t>The high-gain implication is therefore not conditional on MDPAR first becoming functional: part of the organisation of reasoning has already been externalised into reusable, auditable infrastructure within the demonstrated domain. DeepRAP asks how far that result travels. Year 1 maps symbolic transfer and closes the double-involution question; Year 2 first isolates cross-domain transfer under controlled conditions and then removes common-design dependence; Year 3 attacks the surviving classes under multimodal and physical coupling. Restrictions narrow the mapped domain without erasing the formal and architectural baseline.</w:t>
      </w:r>
    </w:p>
    <w:p w14:paraId="70FA9185" w14:textId="77777777" w:rsidR="00894D55" w:rsidRDefault="00B20FC1">
      <w:pPr>
        <w:keepNext/>
        <w:spacing w:before="60" w:after="40"/>
      </w:pPr>
      <w:r>
        <w:rPr>
          <w:rFonts w:cs="Times New Roman"/>
          <w:b/>
        </w:rPr>
        <w:lastRenderedPageBreak/>
        <w:t>References cited in Section 1.2</w:t>
      </w:r>
    </w:p>
    <w:p w14:paraId="57AD88B6" w14:textId="77777777" w:rsidR="00894D55" w:rsidRDefault="00B20FC1">
      <w:r>
        <w:rPr>
          <w:rFonts w:cs="Times New Roman"/>
        </w:rPr>
        <w:t xml:space="preserve">[1] </w:t>
      </w:r>
      <w:proofErr w:type="spellStart"/>
      <w:r>
        <w:rPr>
          <w:rFonts w:cs="Times New Roman"/>
        </w:rPr>
        <w:t>Gentner</w:t>
      </w:r>
      <w:proofErr w:type="spellEnd"/>
      <w:r>
        <w:rPr>
          <w:rFonts w:cs="Times New Roman"/>
        </w:rPr>
        <w:t xml:space="preserve">, D. (1983). Structure-mapping: A theoretical framework for analogy. </w:t>
      </w:r>
      <w:r w:rsidRPr="008D36B5">
        <w:rPr>
          <w:rFonts w:cs="Times New Roman"/>
          <w:i/>
          <w:iCs/>
        </w:rPr>
        <w:t>Cognitive Science, 7</w:t>
      </w:r>
      <w:r>
        <w:rPr>
          <w:rFonts w:cs="Times New Roman"/>
        </w:rPr>
        <w:t>(2), 155-170. doi:10.1207/s15516709cog0702_3.</w:t>
      </w:r>
    </w:p>
    <w:p w14:paraId="37628F73" w14:textId="77777777" w:rsidR="00894D55" w:rsidRDefault="00B20FC1">
      <w:r>
        <w:rPr>
          <w:rFonts w:cs="Times New Roman"/>
        </w:rPr>
        <w:t xml:space="preserve">[2] Schreiber, G., </w:t>
      </w:r>
      <w:proofErr w:type="spellStart"/>
      <w:r>
        <w:rPr>
          <w:rFonts w:cs="Times New Roman"/>
        </w:rPr>
        <w:t>Akkermans</w:t>
      </w:r>
      <w:proofErr w:type="spellEnd"/>
      <w:r>
        <w:rPr>
          <w:rFonts w:cs="Times New Roman"/>
        </w:rPr>
        <w:t xml:space="preserve">, H., </w:t>
      </w:r>
      <w:proofErr w:type="spellStart"/>
      <w:r>
        <w:rPr>
          <w:rFonts w:cs="Times New Roman"/>
        </w:rPr>
        <w:t>Anjewierden</w:t>
      </w:r>
      <w:proofErr w:type="spellEnd"/>
      <w:r>
        <w:rPr>
          <w:rFonts w:cs="Times New Roman"/>
        </w:rPr>
        <w:t xml:space="preserve">, A., de Hoog, R., Shadbolt, N., Van de Velde, W., &amp; </w:t>
      </w:r>
      <w:proofErr w:type="spellStart"/>
      <w:r>
        <w:rPr>
          <w:rFonts w:cs="Times New Roman"/>
        </w:rPr>
        <w:t>Wielinga</w:t>
      </w:r>
      <w:proofErr w:type="spellEnd"/>
      <w:r>
        <w:rPr>
          <w:rFonts w:cs="Times New Roman"/>
        </w:rPr>
        <w:t xml:space="preserve">, B. (2000). </w:t>
      </w:r>
      <w:r w:rsidRPr="008D36B5">
        <w:rPr>
          <w:rFonts w:cs="Times New Roman"/>
          <w:i/>
          <w:iCs/>
        </w:rPr>
        <w:t xml:space="preserve">Knowledge Engineering and Management: The </w:t>
      </w:r>
      <w:proofErr w:type="spellStart"/>
      <w:r w:rsidRPr="008D36B5">
        <w:rPr>
          <w:rFonts w:cs="Times New Roman"/>
          <w:i/>
          <w:iCs/>
        </w:rPr>
        <w:t>CommonKADS</w:t>
      </w:r>
      <w:proofErr w:type="spellEnd"/>
      <w:r w:rsidRPr="008D36B5">
        <w:rPr>
          <w:rFonts w:cs="Times New Roman"/>
          <w:i/>
          <w:iCs/>
        </w:rPr>
        <w:t xml:space="preserve"> Methodology.</w:t>
      </w:r>
      <w:r>
        <w:rPr>
          <w:rFonts w:cs="Times New Roman"/>
        </w:rPr>
        <w:t xml:space="preserve"> MIT Press.</w:t>
      </w:r>
    </w:p>
    <w:p w14:paraId="5B2606BE" w14:textId="77777777" w:rsidR="00894D55" w:rsidRDefault="00B20FC1">
      <w:r>
        <w:rPr>
          <w:rFonts w:cs="Times New Roman"/>
        </w:rPr>
        <w:t xml:space="preserve">[3] Motta, E., &amp; </w:t>
      </w:r>
      <w:proofErr w:type="spellStart"/>
      <w:r>
        <w:rPr>
          <w:rFonts w:cs="Times New Roman"/>
        </w:rPr>
        <w:t>Zdrahal</w:t>
      </w:r>
      <w:proofErr w:type="spellEnd"/>
      <w:r>
        <w:rPr>
          <w:rFonts w:cs="Times New Roman"/>
        </w:rPr>
        <w:t xml:space="preserve">, Z. (1998). A library of problem-solving components based on the integration of the search paradigm with task and method ontologies. </w:t>
      </w:r>
      <w:r w:rsidRPr="008D36B5">
        <w:rPr>
          <w:rFonts w:cs="Times New Roman"/>
          <w:i/>
          <w:iCs/>
        </w:rPr>
        <w:t>International Journal of Human-Computer Studies, 49</w:t>
      </w:r>
      <w:r>
        <w:rPr>
          <w:rFonts w:cs="Times New Roman"/>
        </w:rPr>
        <w:t>(4), 437-470. doi:10.1006/ijhc.1998.0214.</w:t>
      </w:r>
    </w:p>
    <w:p w14:paraId="5CDD8A4D" w14:textId="77777777" w:rsidR="00894D55" w:rsidRDefault="00B20FC1">
      <w:r>
        <w:rPr>
          <w:rFonts w:cs="Times New Roman"/>
        </w:rPr>
        <w:t xml:space="preserve">[4] Laird, J. E., </w:t>
      </w:r>
      <w:proofErr w:type="spellStart"/>
      <w:r>
        <w:rPr>
          <w:rFonts w:cs="Times New Roman"/>
        </w:rPr>
        <w:t>Lebiere</w:t>
      </w:r>
      <w:proofErr w:type="spellEnd"/>
      <w:r>
        <w:rPr>
          <w:rFonts w:cs="Times New Roman"/>
        </w:rPr>
        <w:t xml:space="preserve">, C., &amp; Rosenbloom, P. S. (2017). A Standard Model of the Mind: Toward a Common Computational Framework across Artificial Intelligence, Cognitive Science, Neuroscience, and Robotics. </w:t>
      </w:r>
      <w:r w:rsidRPr="008D36B5">
        <w:rPr>
          <w:rFonts w:cs="Times New Roman"/>
          <w:i/>
          <w:iCs/>
        </w:rPr>
        <w:t>AI Magazine, 38</w:t>
      </w:r>
      <w:r>
        <w:rPr>
          <w:rFonts w:cs="Times New Roman"/>
        </w:rPr>
        <w:t>(4), 13-26. doi:10.1609/</w:t>
      </w:r>
      <w:proofErr w:type="gramStart"/>
      <w:r>
        <w:rPr>
          <w:rFonts w:cs="Times New Roman"/>
        </w:rPr>
        <w:t>aimag.v</w:t>
      </w:r>
      <w:proofErr w:type="gramEnd"/>
      <w:r>
        <w:rPr>
          <w:rFonts w:cs="Times New Roman"/>
        </w:rPr>
        <w:t>38i4.2744.</w:t>
      </w:r>
    </w:p>
    <w:p w14:paraId="3A0F9FAA" w14:textId="77777777" w:rsidR="00894D55" w:rsidRDefault="00B20FC1">
      <w:r>
        <w:rPr>
          <w:rFonts w:cs="Times New Roman"/>
        </w:rPr>
        <w:t xml:space="preserve">[5] </w:t>
      </w:r>
      <w:proofErr w:type="spellStart"/>
      <w:r>
        <w:rPr>
          <w:rFonts w:cs="Times New Roman"/>
        </w:rPr>
        <w:t>Banarescu</w:t>
      </w:r>
      <w:proofErr w:type="spellEnd"/>
      <w:r>
        <w:rPr>
          <w:rFonts w:cs="Times New Roman"/>
        </w:rPr>
        <w:t xml:space="preserve">, L., et al. (2013). Abstract Meaning Representation for </w:t>
      </w:r>
      <w:proofErr w:type="spellStart"/>
      <w:r>
        <w:rPr>
          <w:rFonts w:cs="Times New Roman"/>
        </w:rPr>
        <w:t>Sembanking</w:t>
      </w:r>
      <w:proofErr w:type="spellEnd"/>
      <w:r>
        <w:rPr>
          <w:rFonts w:cs="Times New Roman"/>
        </w:rPr>
        <w:t xml:space="preserve">. </w:t>
      </w:r>
      <w:r w:rsidRPr="008D36B5">
        <w:rPr>
          <w:rFonts w:cs="Times New Roman"/>
          <w:i/>
          <w:iCs/>
        </w:rPr>
        <w:t xml:space="preserve">Proceedings of the 7th Linguistic Annotation Workshop and Interoperability with Discourse, </w:t>
      </w:r>
      <w:r>
        <w:rPr>
          <w:rFonts w:cs="Times New Roman"/>
        </w:rPr>
        <w:t>178-186.</w:t>
      </w:r>
    </w:p>
    <w:p w14:paraId="046D019F" w14:textId="77777777" w:rsidR="00894D55" w:rsidRDefault="00B20FC1">
      <w:r>
        <w:rPr>
          <w:rFonts w:cs="Times New Roman"/>
        </w:rPr>
        <w:t xml:space="preserve">[6] </w:t>
      </w:r>
      <w:proofErr w:type="spellStart"/>
      <w:r>
        <w:rPr>
          <w:rFonts w:cs="Times New Roman"/>
        </w:rPr>
        <w:t>Nivre</w:t>
      </w:r>
      <w:proofErr w:type="spellEnd"/>
      <w:r>
        <w:rPr>
          <w:rFonts w:cs="Times New Roman"/>
        </w:rPr>
        <w:t xml:space="preserve">, J., et al. (2016). Universal Dependencies v1: A Multilingual Treebank Collection. </w:t>
      </w:r>
      <w:r w:rsidRPr="008D36B5">
        <w:rPr>
          <w:rFonts w:cs="Times New Roman"/>
          <w:i/>
          <w:iCs/>
        </w:rPr>
        <w:t xml:space="preserve">Proceedings of LREC 2016, </w:t>
      </w:r>
      <w:r>
        <w:rPr>
          <w:rFonts w:cs="Times New Roman"/>
        </w:rPr>
        <w:t>1659-1666.</w:t>
      </w:r>
    </w:p>
    <w:p w14:paraId="64E3E177" w14:textId="77777777" w:rsidR="00894D55" w:rsidRDefault="00B20FC1">
      <w:r>
        <w:rPr>
          <w:rFonts w:cs="Times New Roman"/>
        </w:rPr>
        <w:t xml:space="preserve">[7] Hogan, A., et al. (2021). Knowledge Graphs. </w:t>
      </w:r>
      <w:r w:rsidRPr="008D36B5">
        <w:rPr>
          <w:rFonts w:cs="Times New Roman"/>
          <w:i/>
          <w:iCs/>
        </w:rPr>
        <w:t>ACM Computing Surveys, 54</w:t>
      </w:r>
      <w:r>
        <w:rPr>
          <w:rFonts w:cs="Times New Roman"/>
        </w:rPr>
        <w:t>(4), Article 71. doi:10.1145/3447772.</w:t>
      </w:r>
    </w:p>
    <w:p w14:paraId="154D6E9F" w14:textId="77777777" w:rsidR="00894D55" w:rsidRDefault="00B20FC1">
      <w:r w:rsidRPr="009102B1">
        <w:rPr>
          <w:rFonts w:cs="Times New Roman"/>
          <w:lang w:val="es-ES"/>
        </w:rPr>
        <w:t xml:space="preserve">[8] Marra, G., </w:t>
      </w:r>
      <w:proofErr w:type="spellStart"/>
      <w:r w:rsidRPr="009102B1">
        <w:rPr>
          <w:rFonts w:cs="Times New Roman"/>
          <w:lang w:val="es-ES"/>
        </w:rPr>
        <w:t>Dumancic</w:t>
      </w:r>
      <w:proofErr w:type="spellEnd"/>
      <w:r w:rsidRPr="009102B1">
        <w:rPr>
          <w:rFonts w:cs="Times New Roman"/>
          <w:lang w:val="es-ES"/>
        </w:rPr>
        <w:t xml:space="preserve">, S., </w:t>
      </w:r>
      <w:proofErr w:type="spellStart"/>
      <w:r w:rsidRPr="009102B1">
        <w:rPr>
          <w:rFonts w:cs="Times New Roman"/>
          <w:lang w:val="es-ES"/>
        </w:rPr>
        <w:t>Manhaeve</w:t>
      </w:r>
      <w:proofErr w:type="spellEnd"/>
      <w:r w:rsidRPr="009102B1">
        <w:rPr>
          <w:rFonts w:cs="Times New Roman"/>
          <w:lang w:val="es-ES"/>
        </w:rPr>
        <w:t xml:space="preserve">, R., &amp; De </w:t>
      </w:r>
      <w:proofErr w:type="spellStart"/>
      <w:r w:rsidRPr="009102B1">
        <w:rPr>
          <w:rFonts w:cs="Times New Roman"/>
          <w:lang w:val="es-ES"/>
        </w:rPr>
        <w:t>Raedt</w:t>
      </w:r>
      <w:proofErr w:type="spellEnd"/>
      <w:r w:rsidRPr="009102B1">
        <w:rPr>
          <w:rFonts w:cs="Times New Roman"/>
          <w:lang w:val="es-ES"/>
        </w:rPr>
        <w:t xml:space="preserve">, L. (2024). </w:t>
      </w:r>
      <w:r>
        <w:rPr>
          <w:rFonts w:cs="Times New Roman"/>
        </w:rPr>
        <w:t xml:space="preserve">From statistical relational to </w:t>
      </w:r>
      <w:proofErr w:type="spellStart"/>
      <w:r>
        <w:rPr>
          <w:rFonts w:cs="Times New Roman"/>
        </w:rPr>
        <w:t>neurosymbolic</w:t>
      </w:r>
      <w:proofErr w:type="spellEnd"/>
      <w:r>
        <w:rPr>
          <w:rFonts w:cs="Times New Roman"/>
        </w:rPr>
        <w:t xml:space="preserve"> artificial intelligence: A survey. </w:t>
      </w:r>
      <w:r w:rsidRPr="008D36B5">
        <w:rPr>
          <w:rFonts w:cs="Times New Roman"/>
          <w:i/>
          <w:iCs/>
        </w:rPr>
        <w:t>Artificial Intelligence</w:t>
      </w:r>
      <w:r>
        <w:rPr>
          <w:rFonts w:cs="Times New Roman"/>
        </w:rPr>
        <w:t xml:space="preserve">, 328, 104062. </w:t>
      </w:r>
      <w:proofErr w:type="gramStart"/>
      <w:r>
        <w:rPr>
          <w:rFonts w:cs="Times New Roman"/>
        </w:rPr>
        <w:t>doi:10.1016/j.artint</w:t>
      </w:r>
      <w:proofErr w:type="gramEnd"/>
      <w:r>
        <w:rPr>
          <w:rFonts w:cs="Times New Roman"/>
        </w:rPr>
        <w:t>.2023.104062.</w:t>
      </w:r>
    </w:p>
    <w:p w14:paraId="56997BD0" w14:textId="77777777" w:rsidR="00894D55" w:rsidRDefault="00B20FC1">
      <w:r>
        <w:rPr>
          <w:rFonts w:cs="Times New Roman"/>
        </w:rPr>
        <w:t>[9] Yao, S., et al. (2023). Tree of Thoughts: Deliberate Problem Solving with Large Language Models. arXiv:2305.10601.</w:t>
      </w:r>
    </w:p>
    <w:p w14:paraId="592FC14A" w14:textId="77777777" w:rsidR="00894D55" w:rsidRDefault="00B20FC1">
      <w:r>
        <w:rPr>
          <w:rFonts w:cs="Times New Roman"/>
        </w:rPr>
        <w:t xml:space="preserve">[10] </w:t>
      </w:r>
      <w:proofErr w:type="spellStart"/>
      <w:r>
        <w:rPr>
          <w:rFonts w:cs="Times New Roman"/>
        </w:rPr>
        <w:t>Besta</w:t>
      </w:r>
      <w:proofErr w:type="spellEnd"/>
      <w:r>
        <w:rPr>
          <w:rFonts w:cs="Times New Roman"/>
        </w:rPr>
        <w:t xml:space="preserve">, M., et al. (2024). Graph of Thoughts: Solving Elaborate Problems with Large Language Models. </w:t>
      </w:r>
      <w:r w:rsidRPr="008D36B5">
        <w:rPr>
          <w:rFonts w:cs="Times New Roman"/>
          <w:i/>
          <w:iCs/>
        </w:rPr>
        <w:t>Proceedings of AAAI, 38</w:t>
      </w:r>
      <w:r>
        <w:rPr>
          <w:rFonts w:cs="Times New Roman"/>
        </w:rPr>
        <w:t>(16), 17682-17690. doi:10.1609/</w:t>
      </w:r>
      <w:proofErr w:type="gramStart"/>
      <w:r>
        <w:rPr>
          <w:rFonts w:cs="Times New Roman"/>
        </w:rPr>
        <w:t>aaai.v</w:t>
      </w:r>
      <w:proofErr w:type="gramEnd"/>
      <w:r>
        <w:rPr>
          <w:rFonts w:cs="Times New Roman"/>
        </w:rPr>
        <w:t>38i16.29720.</w:t>
      </w:r>
    </w:p>
    <w:p w14:paraId="18170ED9" w14:textId="77777777" w:rsidR="00894D55" w:rsidRDefault="00B20FC1">
      <w:r>
        <w:rPr>
          <w:rFonts w:cs="Times New Roman"/>
        </w:rPr>
        <w:t xml:space="preserve">[11] Yao, S., et al. (2023). </w:t>
      </w:r>
      <w:proofErr w:type="spellStart"/>
      <w:r>
        <w:rPr>
          <w:rFonts w:cs="Times New Roman"/>
        </w:rPr>
        <w:t>ReAct</w:t>
      </w:r>
      <w:proofErr w:type="spellEnd"/>
      <w:r>
        <w:rPr>
          <w:rFonts w:cs="Times New Roman"/>
        </w:rPr>
        <w:t xml:space="preserve">: Synergizing Reasoning and Acting in Language Models. </w:t>
      </w:r>
      <w:r w:rsidRPr="008D36B5">
        <w:rPr>
          <w:rFonts w:cs="Times New Roman"/>
          <w:i/>
          <w:iCs/>
        </w:rPr>
        <w:t xml:space="preserve">International Conference on Learning Representations </w:t>
      </w:r>
      <w:r>
        <w:rPr>
          <w:rFonts w:cs="Times New Roman"/>
        </w:rPr>
        <w:t>(ICLR 2023).</w:t>
      </w:r>
    </w:p>
    <w:p w14:paraId="47A161F0" w14:textId="77777777" w:rsidR="00894D55" w:rsidRDefault="00B20FC1">
      <w:r>
        <w:rPr>
          <w:rFonts w:cs="Times New Roman"/>
        </w:rPr>
        <w:t xml:space="preserve">[12] He, F., et al. (2025). </w:t>
      </w:r>
      <w:proofErr w:type="spellStart"/>
      <w:r>
        <w:rPr>
          <w:rFonts w:cs="Times New Roman"/>
        </w:rPr>
        <w:t>ProtoReasoning</w:t>
      </w:r>
      <w:proofErr w:type="spellEnd"/>
      <w:r>
        <w:rPr>
          <w:rFonts w:cs="Times New Roman"/>
        </w:rPr>
        <w:t>: Prototypes as the Foundation for Generalizable Reasoning in LLMs. arXiv:2506.15211.</w:t>
      </w:r>
    </w:p>
    <w:p w14:paraId="15371C7E" w14:textId="77777777" w:rsidR="00894D55" w:rsidRDefault="00B20FC1">
      <w:r>
        <w:rPr>
          <w:rFonts w:cs="Times New Roman"/>
        </w:rPr>
        <w:t xml:space="preserve">[13] </w:t>
      </w:r>
      <w:proofErr w:type="spellStart"/>
      <w:r>
        <w:rPr>
          <w:rFonts w:cs="Times New Roman"/>
        </w:rPr>
        <w:t>Lippl</w:t>
      </w:r>
      <w:proofErr w:type="spellEnd"/>
      <w:r>
        <w:rPr>
          <w:rFonts w:cs="Times New Roman"/>
        </w:rPr>
        <w:t>, S., et al. (2025). Algorithmic Primitives and Compositional Geometry of Reasoning in Language Models. arXiv:2510.15987.</w:t>
      </w:r>
    </w:p>
    <w:p w14:paraId="7E4CBB40" w14:textId="77777777" w:rsidR="00894D55" w:rsidRDefault="00B20FC1">
      <w:r>
        <w:rPr>
          <w:rFonts w:cs="Times New Roman"/>
        </w:rPr>
        <w:t xml:space="preserve">[14] </w:t>
      </w:r>
      <w:proofErr w:type="spellStart"/>
      <w:r>
        <w:rPr>
          <w:rFonts w:cs="Times New Roman"/>
        </w:rPr>
        <w:t>Leucker</w:t>
      </w:r>
      <w:proofErr w:type="spellEnd"/>
      <w:r>
        <w:rPr>
          <w:rFonts w:cs="Times New Roman"/>
        </w:rPr>
        <w:t xml:space="preserve">, M., &amp; </w:t>
      </w:r>
      <w:proofErr w:type="spellStart"/>
      <w:r>
        <w:rPr>
          <w:rFonts w:cs="Times New Roman"/>
        </w:rPr>
        <w:t>Schallhart</w:t>
      </w:r>
      <w:proofErr w:type="spellEnd"/>
      <w:r>
        <w:rPr>
          <w:rFonts w:cs="Times New Roman"/>
        </w:rPr>
        <w:t xml:space="preserve">, C. (2009). A brief account of runtime verification. </w:t>
      </w:r>
      <w:r w:rsidRPr="008D36B5">
        <w:rPr>
          <w:rFonts w:cs="Times New Roman"/>
          <w:i/>
          <w:iCs/>
        </w:rPr>
        <w:t>Journal of Logic and Algebraic Programming, 78</w:t>
      </w:r>
      <w:r>
        <w:rPr>
          <w:rFonts w:cs="Times New Roman"/>
        </w:rPr>
        <w:t xml:space="preserve">(5), 293-303. </w:t>
      </w:r>
      <w:proofErr w:type="gramStart"/>
      <w:r>
        <w:rPr>
          <w:rFonts w:cs="Times New Roman"/>
        </w:rPr>
        <w:t>doi:10.1016/j.jlap</w:t>
      </w:r>
      <w:proofErr w:type="gramEnd"/>
      <w:r>
        <w:rPr>
          <w:rFonts w:cs="Times New Roman"/>
        </w:rPr>
        <w:t>.2008.08.004.</w:t>
      </w:r>
    </w:p>
    <w:p w14:paraId="60B89044" w14:textId="77777777" w:rsidR="00894D55" w:rsidRDefault="00B20FC1">
      <w:r>
        <w:rPr>
          <w:rFonts w:cs="Times New Roman"/>
        </w:rPr>
        <w:t xml:space="preserve">[15] Chen, L., </w:t>
      </w:r>
      <w:proofErr w:type="spellStart"/>
      <w:r>
        <w:rPr>
          <w:rFonts w:cs="Times New Roman"/>
        </w:rPr>
        <w:t>Zaharia</w:t>
      </w:r>
      <w:proofErr w:type="spellEnd"/>
      <w:r>
        <w:rPr>
          <w:rFonts w:cs="Times New Roman"/>
        </w:rPr>
        <w:t xml:space="preserve">, M., &amp; Zou, J. (2023). </w:t>
      </w:r>
      <w:proofErr w:type="spellStart"/>
      <w:r>
        <w:rPr>
          <w:rFonts w:cs="Times New Roman"/>
        </w:rPr>
        <w:t>FrugalGPT</w:t>
      </w:r>
      <w:proofErr w:type="spellEnd"/>
      <w:r>
        <w:rPr>
          <w:rFonts w:cs="Times New Roman"/>
        </w:rPr>
        <w:t>: How to Use Large Language Models While Reducing Cost and Improving Performance. arXiv:2305.05176.</w:t>
      </w:r>
    </w:p>
    <w:p w14:paraId="23837106" w14:textId="77777777" w:rsidR="00894D55" w:rsidRDefault="00B20FC1">
      <w:pPr>
        <w:keepNext/>
        <w:spacing w:before="120"/>
      </w:pPr>
      <w:r>
        <w:rPr>
          <w:rFonts w:cs="Times New Roman"/>
          <w:b/>
        </w:rPr>
        <w:t>1.3</w:t>
      </w:r>
      <w:r>
        <w:rPr>
          <w:rFonts w:cs="Times New Roman"/>
          <w:b/>
        </w:rPr>
        <w:tab/>
        <w:t>Plausibility of methodology</w:t>
      </w:r>
    </w:p>
    <w:p w14:paraId="0493B160" w14:textId="77777777" w:rsidR="00894D55" w:rsidRDefault="00B20FC1">
      <w:pPr>
        <w:keepNext/>
        <w:spacing w:before="60" w:after="40"/>
      </w:pPr>
      <w:r>
        <w:rPr>
          <w:rFonts w:cs="Times New Roman"/>
          <w:b/>
        </w:rPr>
        <w:t>Methodological principle and underlying assumptions</w:t>
      </w:r>
    </w:p>
    <w:p w14:paraId="31085A36" w14:textId="77777777" w:rsidR="00894D55" w:rsidRDefault="00B20FC1">
      <w:r>
        <w:rPr>
          <w:rFonts w:cs="Times New Roman"/>
        </w:rPr>
        <w:t>MDPAR-H is a staged external-boundary programme. It preserves the distinction already established in the thesis between formal demonstration, computational realisation, internal validity, operational evidence and external validity. The first four constitute the pre-project evidential base. The funded methodology addresses the fifth: how far the same properties remain informative as independence from the originating architecture increases. Statistical inference is used where transfer is population-level; exact formal or deterministic properties remain exact endpoints rather than being converted into confidence scores.</w:t>
      </w:r>
    </w:p>
    <w:p w14:paraId="28799526" w14:textId="77777777" w:rsidR="00894D55" w:rsidRDefault="00B20FC1">
      <w:r>
        <w:rPr>
          <w:rFonts w:cs="Times New Roman"/>
        </w:rPr>
        <w:t xml:space="preserve">The working assumptions are deliberately testable. </w:t>
      </w:r>
      <w:r w:rsidRPr="00F94C44">
        <w:rPr>
          <w:rFonts w:cs="Times New Roman"/>
          <w:b/>
          <w:bCs/>
        </w:rPr>
        <w:t>A1</w:t>
      </w:r>
      <w:r>
        <w:rPr>
          <w:rFonts w:cs="Times New Roman"/>
        </w:rPr>
        <w:t xml:space="preserve">: candidate structural properties can be defined independently of task accuracy. </w:t>
      </w:r>
      <w:r w:rsidRPr="00F94C44">
        <w:rPr>
          <w:rFonts w:cs="Times New Roman"/>
          <w:b/>
          <w:bCs/>
        </w:rPr>
        <w:t>A2</w:t>
      </w:r>
      <w:r>
        <w:rPr>
          <w:rFonts w:cs="Times New Roman"/>
        </w:rPr>
        <w:t xml:space="preserve">: semantic observations from heterogeneous systems can be projected into a common structural description without importing most of their domain ontology. </w:t>
      </w:r>
      <w:r w:rsidRPr="00F94C44">
        <w:rPr>
          <w:rFonts w:cs="Times New Roman"/>
          <w:b/>
          <w:bCs/>
        </w:rPr>
        <w:t>A3</w:t>
      </w:r>
      <w:r>
        <w:rPr>
          <w:rFonts w:cs="Times New Roman"/>
        </w:rPr>
        <w:t xml:space="preserve">: exact equivalence, weaker correspondence and incompatibility can be operationally distinguished. </w:t>
      </w:r>
      <w:r w:rsidRPr="00F94C44">
        <w:rPr>
          <w:rFonts w:cs="Times New Roman"/>
          <w:b/>
          <w:bCs/>
        </w:rPr>
        <w:t>A4</w:t>
      </w:r>
      <w:r>
        <w:rPr>
          <w:rFonts w:cs="Times New Roman"/>
        </w:rPr>
        <w:t xml:space="preserve">: longitudinal structural, epistemic and execution authority can remain inspectable outside the semantic provider. </w:t>
      </w:r>
      <w:r w:rsidRPr="00F94C44">
        <w:rPr>
          <w:rFonts w:cs="Times New Roman"/>
          <w:b/>
          <w:bCs/>
        </w:rPr>
        <w:t>A5</w:t>
      </w:r>
      <w:r>
        <w:rPr>
          <w:rFonts w:cs="Times New Roman"/>
        </w:rPr>
        <w:t xml:space="preserve">: provider/model substitution can occur without silently transferring ownership of the surrounding cognitive state. </w:t>
      </w:r>
      <w:r w:rsidRPr="00F94C44">
        <w:rPr>
          <w:rFonts w:cs="Times New Roman"/>
          <w:b/>
          <w:bCs/>
        </w:rPr>
        <w:t>A6</w:t>
      </w:r>
      <w:r>
        <w:rPr>
          <w:rFonts w:cs="Times New Roman"/>
        </w:rPr>
        <w:t>: at least a subset of properties identified in symbolic cognition may remain meaningful under multimodal and physical coupling. Failure of A2, A4, A5 or A6 directly delimits the hypothesis.</w:t>
      </w:r>
    </w:p>
    <w:p w14:paraId="5B5B89E0" w14:textId="77777777" w:rsidR="00894D55" w:rsidRDefault="00B20FC1">
      <w:pPr>
        <w:keepNext/>
        <w:spacing w:before="60" w:after="40"/>
      </w:pPr>
      <w:r>
        <w:rPr>
          <w:rFonts w:cs="Times New Roman"/>
          <w:b/>
        </w:rPr>
        <w:t>Evidence model, claim discipline and preregistration</w:t>
      </w:r>
    </w:p>
    <w:p w14:paraId="61C5439E" w14:textId="77777777" w:rsidR="00894D55" w:rsidRDefault="00B20FC1">
      <w:r>
        <w:rPr>
          <w:rFonts w:cs="Times New Roman"/>
        </w:rPr>
        <w:t xml:space="preserve">The project extends the evidence doctrine already developed in MDPAR into a prospective lifecycle: DEVELOPMENT -&gt; CONFIRMATORY -&gt; FROZEN. During DEVELOPMENT, instruments, candidate invariants, adapters and diagnostics may be refined. Before confirmatory exposure, the applicable hypothesis, invariant set, admissible transformations, endpoints, comparison rules, datasets/task generators, model settings, repetitions, failure taxonomy and analysis plan will be preregistered and version-frozen. CONFIRMATORY runs </w:t>
      </w:r>
      <w:r>
        <w:rPr>
          <w:rFonts w:cs="Times New Roman"/>
        </w:rPr>
        <w:lastRenderedPageBreak/>
        <w:t>will then be executed without adapting the rule to observed outcomes. FROZEN packages retain supportive, negative, mixed and non-estimable results with immutable provenance.</w:t>
      </w:r>
    </w:p>
    <w:p w14:paraId="67BFFE28" w14:textId="77777777" w:rsidR="00894D55" w:rsidRDefault="00B20FC1">
      <w:r>
        <w:rPr>
          <w:rFonts w:cs="Times New Roman"/>
        </w:rPr>
        <w:t xml:space="preserve">A parallel claim-status scale will prevent category inflation: IMPLEMENTED means present in software; VERIFIED means checked against specification; OBSERVED means measured experimentally; REPLICATED means independently reproduced; GENERALISED WITHIN TESTED SUPPORT means preservation has been demonstrated only over an explicitly declared support matrix; and NOT ESTABLISHED is used for extrapolation beyond that matrix. No internal v2.2.0 result will be retrospectively promoted to independent replication or </w:t>
      </w:r>
      <w:proofErr w:type="spellStart"/>
      <w:r>
        <w:rPr>
          <w:rFonts w:cs="Times New Roman"/>
        </w:rPr>
        <w:t>generalisation</w:t>
      </w:r>
      <w:proofErr w:type="spellEnd"/>
      <w:r>
        <w:rPr>
          <w:rFonts w:cs="Times New Roman"/>
        </w:rPr>
        <w:t>.</w:t>
      </w:r>
    </w:p>
    <w:p w14:paraId="4B8624BD" w14:textId="77777777" w:rsidR="00894D55" w:rsidRDefault="00B20FC1">
      <w:r>
        <w:rPr>
          <w:rFonts w:cs="Times New Roman"/>
        </w:rPr>
        <w:t>A held-out design is central to avoiding circular validation. Domain-language-model combinations, transformation families and, where feasible, complete task families will be reserved from metrological development and disclosed only after freeze. Confirmatory data will not be used to redefine SCC state meaning, relax equivalence criteria or lower adapter-minimality thresholds. If a definition changes after exposure, the affected result remains historical evidence and the revised definition begins a new prospective cycle.</w:t>
      </w:r>
    </w:p>
    <w:p w14:paraId="743C4930" w14:textId="77777777" w:rsidR="00894D55" w:rsidRDefault="00B20FC1">
      <w:pPr>
        <w:keepNext/>
        <w:spacing w:before="60" w:after="40"/>
      </w:pPr>
      <w:r>
        <w:rPr>
          <w:rFonts w:cs="Times New Roman"/>
          <w:b/>
        </w:rPr>
        <w:t>Use of the pre-existing C0-C12 campaign</w:t>
      </w:r>
    </w:p>
    <w:p w14:paraId="47D0B12B" w14:textId="77777777" w:rsidR="00894D55" w:rsidRDefault="00B20FC1">
      <w:r>
        <w:rPr>
          <w:rFonts w:cs="Times New Roman"/>
        </w:rPr>
        <w:t>C0-C12 will be used to design the prospective experiment, not counted as its confirmatory answer. The campaign is scientifically valuable precisely because it already exposes failure modes that future tests must preserve: observer false positives and loss of specificity (C1); grounding failure and UNEVALUABLE outcomes (C2); deterministic formal calculation distinct from neural observation (C3); correspondence without exact identity (C4); conditional accuracy with explicit coverage (C5); longitudinal unresolved states and invalid OPEN claims (C6); deterministic policy/gold boundaries (C7-C8); non-monotonic compute economics (C9); temporal authority (C10); and certification-sensitive degradation/recovery without stale authority (C11-C12). These phenomena become prespecified controls, not post-hoc explanations.</w:t>
      </w:r>
    </w:p>
    <w:p w14:paraId="2C29ACD8" w14:textId="77777777" w:rsidR="00894D55" w:rsidRDefault="00B20FC1">
      <w:r>
        <w:rPr>
          <w:rFonts w:cs="Times New Roman"/>
        </w:rPr>
        <w:t xml:space="preserve">The Swagger probe adds a complementary methodological lesson. The operational pipeline can preserve a canonical deterministic core while OPEN semantic observations vary. In the pre-project vertical probe, OPEN stability was VARIATION_OBSERVED rather than exact. MDPAR-H will therefore quantify observer stochasticity prospectively and will never retry neural calls until a convenient structural projection appears. Human-readable reports will remain derived </w:t>
      </w:r>
      <w:proofErr w:type="spellStart"/>
      <w:r>
        <w:rPr>
          <w:rFonts w:cs="Times New Roman"/>
        </w:rPr>
        <w:t>realisations</w:t>
      </w:r>
      <w:proofErr w:type="spellEnd"/>
      <w:r>
        <w:rPr>
          <w:rFonts w:cs="Times New Roman"/>
        </w:rPr>
        <w:t>; the canonical evidence state, not presentation fluency, is the analysis authority.</w:t>
      </w:r>
    </w:p>
    <w:p w14:paraId="55D8955D" w14:textId="77777777" w:rsidR="00894D55" w:rsidRDefault="00B20FC1">
      <w:pPr>
        <w:keepNext/>
        <w:spacing w:before="60" w:after="40"/>
      </w:pPr>
      <w:r>
        <w:rPr>
          <w:rFonts w:cs="Times New Roman"/>
          <w:b/>
        </w:rPr>
        <w:t>Year 1 - Formal freeze and adversarial symbolic delimitation</w:t>
      </w:r>
    </w:p>
    <w:p w14:paraId="70E6E1C8" w14:textId="77777777" w:rsidR="00894D55" w:rsidRDefault="00B20FC1">
      <w:r>
        <w:t>Year 1 operationalises O1-O2. The mature SCC/trajectory formalism is converted into a versioned confirmatory specification. The first human-grounded CONVERGENT/DIVERGENT study is an independently ongoing pre-project activity and is scientifically concluded and frozen by 15 March 2027, irrespective of EIC funding; at M1 it enters as Background rather than a Year-1 task. The double-involution problem remains open during DEVELOPMENT: M3-M6 may use pilot evidence to refine the admissible realisation class and its projection rule. At M6 that formulation is frozen; the post-M6 held-out symbolic campaign evaluates it. A Year-1 closure is sufficient only if it specifies the admissible class, transformation/intertwining relation, predicted preserved properties, explicit failure/counterexample conditions and a prospective Year-2 projection rule.</w:t>
      </w:r>
    </w:p>
    <w:p w14:paraId="64709D0E" w14:textId="77777777" w:rsidR="00894D55" w:rsidRDefault="00B20FC1">
      <w:r>
        <w:rPr>
          <w:rFonts w:cs="Times New Roman"/>
        </w:rPr>
        <w:t xml:space="preserve">The symbolic campaign will cross domains, languages, model families, provider classes, capacities, representation formats, routing policies and controlled transformations. Positive controls will verify recovery of structure known by construction to be preserved. Negative controls will include cases with similar semantics or identical final answers but deliberately incompatible dependency/order/relation structure. Adversarial perturbations will alter </w:t>
      </w:r>
      <w:proofErr w:type="spellStart"/>
      <w:r>
        <w:rPr>
          <w:rFonts w:cs="Times New Roman"/>
        </w:rPr>
        <w:t>lexicalisation</w:t>
      </w:r>
      <w:proofErr w:type="spellEnd"/>
      <w:r>
        <w:rPr>
          <w:rFonts w:cs="Times New Roman"/>
        </w:rPr>
        <w:t>, notation, observation order, information availability, representation or semantic observer while selectively preserving/breaking formal properties. This dual sensitivity/specificity design is essential: a universal-looking metric that accepts both intended matches and intended non-matches will be rejected as non-discriminative.</w:t>
      </w:r>
    </w:p>
    <w:p w14:paraId="4F461566" w14:textId="77777777" w:rsidR="00894D55" w:rsidRDefault="00B20FC1">
      <w:r>
        <w:t>Attribution will rely on prospectively specified contrasts and ablations rather than aggregate performance alone. DEVELOPMENT evidence may narrow candidate double-involution realisation classes before M6; confirmatory observations after the freeze cannot relabel cases, relax success/falsification criteria or alter the tested formulation. The mathematical endpoint may be positive, partial/bounded or negative. Positive or bounded closure requires evaluation on held-out symbolic evidence not used to construct that version; a valid counterexample can establish a negative restriction directly. This firewall prevents the same evidence from both defining and confirming the Year-1 mathematical answer.</w:t>
      </w:r>
    </w:p>
    <w:p w14:paraId="4EAFD8CC" w14:textId="77777777" w:rsidR="00894D55" w:rsidRDefault="00B20FC1">
      <w:pPr>
        <w:keepNext/>
        <w:spacing w:before="60" w:after="40"/>
      </w:pPr>
      <w:r>
        <w:rPr>
          <w:rFonts w:cs="Times New Roman"/>
          <w:b/>
        </w:rPr>
        <w:t>Measurement, failure semantics and statistical inference</w:t>
      </w:r>
    </w:p>
    <w:p w14:paraId="4B1CF5C8" w14:textId="77777777" w:rsidR="00894D55" w:rsidRDefault="00B20FC1">
      <w:r>
        <w:rPr>
          <w:rFonts w:cs="Times New Roman"/>
        </w:rPr>
        <w:t>MDPAR-H will preserve explicit outcome semantics. Structural preservation/violation, exact equivalence, partial correspondence, UNKNOWN, NOT_ESTIMABLE, UNEVALUABLE, grounding failure, provider/transport failure, adapter failure, runtime failure, certification failure, protocol violation and invariant violation will remain distinct states. Missing or non-comparable evidence will not be converted into zero or a neutral score. Repetition will be used only when stochasticity/repeatability is itself part of the prespecified question.</w:t>
      </w:r>
    </w:p>
    <w:p w14:paraId="310DD42C" w14:textId="77777777" w:rsidR="00894D55" w:rsidRDefault="00B20FC1">
      <w:r>
        <w:rPr>
          <w:rFonts w:cs="Times New Roman"/>
        </w:rPr>
        <w:lastRenderedPageBreak/>
        <w:t xml:space="preserve">Formal endpoints and empirical </w:t>
      </w:r>
      <w:proofErr w:type="spellStart"/>
      <w:r>
        <w:rPr>
          <w:rFonts w:cs="Times New Roman"/>
        </w:rPr>
        <w:t>generalisation</w:t>
      </w:r>
      <w:proofErr w:type="spellEnd"/>
      <w:r>
        <w:rPr>
          <w:rFonts w:cs="Times New Roman"/>
        </w:rPr>
        <w:t xml:space="preserve"> endpoints will be </w:t>
      </w:r>
      <w:proofErr w:type="spellStart"/>
      <w:r>
        <w:rPr>
          <w:rFonts w:cs="Times New Roman"/>
        </w:rPr>
        <w:t>analysed</w:t>
      </w:r>
      <w:proofErr w:type="spellEnd"/>
      <w:r>
        <w:rPr>
          <w:rFonts w:cs="Times New Roman"/>
        </w:rPr>
        <w:t xml:space="preserve"> separately. Exact validity for an individual structure is determined by the formal comparison rule; statistical inference does not replace that rule. Across experimental populations, preservation rates, false-match rates, discriminability, repeatability, adapter burden, coverage, latency and computational-resource measures will be reported with uncertainty intervals and effect sizes. Paired designs will be used for controlled variants; hierarchical or mixed-effects models will be used for observations nested across tasks, domains, languages, models/providers or laboratories. Multiplicity will be controlled for confirmatory invariant families, and sample sizes will be justified prospectively by target precision and/or power for the relevant empirical endpoint.</w:t>
      </w:r>
    </w:p>
    <w:p w14:paraId="7A915FA4" w14:textId="77777777" w:rsidR="00894D55" w:rsidRDefault="00B20FC1">
      <w:r>
        <w:rPr>
          <w:rFonts w:cs="Times New Roman"/>
        </w:rPr>
        <w:t xml:space="preserve">The existing Capability x Scientific Axis x Economic Ledger doctrine will be retained but kept subordinate to scientific validity. Capability identifies the mechanism under test; scientific axes distinguish formal performance, attribution and </w:t>
      </w:r>
      <w:proofErr w:type="spellStart"/>
      <w:r>
        <w:rPr>
          <w:rFonts w:cs="Times New Roman"/>
        </w:rPr>
        <w:t>generalisation</w:t>
      </w:r>
      <w:proofErr w:type="spellEnd"/>
      <w:r>
        <w:rPr>
          <w:rFonts w:cs="Times New Roman"/>
        </w:rPr>
        <w:t>; the operational ledger separates compute/cost (C), time (T), infrastructure (I), maintenance (M) and capability/quality (Q). The v2.2.0 C9 result demonstrates why this separation matters: reasoning and wall time can decrease while total token work increases. Resource claims will therefore be accepted only when the required capability, authority and safety floor is preserved.</w:t>
      </w:r>
    </w:p>
    <w:p w14:paraId="360F179B" w14:textId="77777777" w:rsidR="00894D55" w:rsidRDefault="00B20FC1">
      <w:pPr>
        <w:keepNext/>
        <w:spacing w:before="60" w:after="40"/>
      </w:pPr>
      <w:r>
        <w:rPr>
          <w:rFonts w:cs="Times New Roman"/>
          <w:b/>
        </w:rPr>
        <w:t>Year 2 - Independent cross-system falsification and interoperability</w:t>
      </w:r>
    </w:p>
    <w:p w14:paraId="7C09670D" w14:textId="77777777" w:rsidR="00894D55" w:rsidRDefault="00B20FC1">
      <w:r>
        <w:t>Year 2 operationalises O3 in two evidential phases. Phase A changes domain while keeping SCC definitions, metrology, observability rules, failure semantics and experimental authority fixed, preferably at USAL or the qualified fallback. The pre-project human-grounded result conditions emphasis explicitly: a reproducible effect prioritises transfer conditions preserving directional correspondence; a conditional effect makes the identified moderator/domain a declared boundary variable; a precise null prevents human correspondence from being used as support while leaving the structural programme intact. Phase A may expose legitimate mapping/interface calibration needs. Phase B freezes the resulting version and tests it on independently engineered systems selected for falsification leverage. Those systems are not designed or modified to satisfy SCC/MDPAR criteria and do not use MDPAR's internal representation as native reasoning state.</w:t>
      </w:r>
    </w:p>
    <w:p w14:paraId="0FC36472" w14:textId="77777777" w:rsidR="00894D55" w:rsidRDefault="00B20FC1">
      <w:r>
        <w:t>Cross-system adapters and Year-2 calibration are explicit experimental objects. Calibration may refine operational mappings, observable interfaces or representational transformations, but not SCC state meaning, historical evidence, frozen success/falsification criteria or failure semantics. Every revised version is documented and frozen before confirmatory use. If a Phase-B system contributes evidence to a new calibration, it ceases to be confirmatory evidence for that calibrated version unless a new held-out condition is reserved. For each integration the project reports interface size, mapping complexity, domain-specific vocabulary/rules, semantic burden and ontology import; adapter-minimality thresholds are fixed prospectively for each system class.</w:t>
      </w:r>
    </w:p>
    <w:p w14:paraId="55F133AB" w14:textId="77777777" w:rsidR="00894D55" w:rsidRDefault="00B20FC1">
      <w:r>
        <w:rPr>
          <w:rFonts w:cs="Times New Roman"/>
        </w:rPr>
        <w:t xml:space="preserve">Shared benchmark tasks will contain expected matches and expected non-matches. Success therefore requires both recovery and rejection: systems that reach the same answer through structurally incompatible trajectories must not be declared invariant. </w:t>
      </w:r>
      <w:proofErr w:type="spellStart"/>
      <w:r>
        <w:rPr>
          <w:rFonts w:cs="Times New Roman"/>
        </w:rPr>
        <w:t>DeepRAP</w:t>
      </w:r>
      <w:proofErr w:type="spellEnd"/>
      <w:r>
        <w:rPr>
          <w:rFonts w:cs="Times New Roman"/>
        </w:rPr>
        <w:t xml:space="preserve"> portfolio systems are particularly valuable because they provide heterogeneous external architectures not selected or designed by MDPAR-H. Portfolio interoperability thus doubles as adversarial hypothesis testing.</w:t>
      </w:r>
    </w:p>
    <w:p w14:paraId="21580130" w14:textId="77777777" w:rsidR="00894D55" w:rsidRDefault="00B20FC1">
      <w:pPr>
        <w:keepNext/>
        <w:spacing w:before="60" w:after="40"/>
      </w:pPr>
      <w:r>
        <w:rPr>
          <w:rFonts w:cs="Times New Roman"/>
          <w:b/>
        </w:rPr>
        <w:t>Year 3 - Multimodal and embodied falsification</w:t>
      </w:r>
    </w:p>
    <w:p w14:paraId="48324EA7" w14:textId="77777777" w:rsidR="00894D55" w:rsidRDefault="00B20FC1">
      <w:r>
        <w:rPr>
          <w:rFonts w:cs="Times New Roman"/>
        </w:rPr>
        <w:t>Year 3 operationalises O4 by introducing physical and temporal causality. The loop couples perception -&gt; state estimation -&gt; semantic/structural interpretation -&gt; planning -&gt; action commitment -&gt; physical consequence -&gt; new perception. Only Year-2 properties that met their frozen confirmatory criterion within the declared M24 support matrix enter the confirmatory embodied test. Embodied preservation requires competent task execution at the predefined capability/safety floor and preservation of the specific frozen structural/authority property under designated perturbations; issuing commands or completing the task alone is insufficient.</w:t>
      </w:r>
    </w:p>
    <w:p w14:paraId="4D0029B2" w14:textId="77777777" w:rsidR="00894D55" w:rsidRDefault="00B20FC1">
      <w:r>
        <w:rPr>
          <w:rFonts w:cs="Times New Roman"/>
        </w:rPr>
        <w:t>Controlled perturbations will include partial observability, occlusion, sensor noise/disagreement, delayed or lost observations, replanning, deadlines, actuator constraints/failure, environment and goal changes, model substitution, frontier loss/recovery and fallback to constrained local cognition. The analysis will compare symbolic, simulated embodied and physical embodied trajectory classes and determine which Year-1/Year-2 properties remain preserved, weaken into another class, or cease to be identifiable. Temporal authority remains prospective: information arriving after a committed action may update future state but cannot retroactively rewrite the authority state that governed that action.</w:t>
      </w:r>
    </w:p>
    <w:p w14:paraId="1A4C6104" w14:textId="77777777" w:rsidR="00894D55" w:rsidRDefault="00B20FC1">
      <w:r>
        <w:t>A failure of embodied invariance will not be mitigated by redefining task success as support for the hypothesis. It will delimit the result to symbolic/partially situated cognition or identify structural notions requiring reformulation. Conversely, a positive result would cross a qualitatively different boundary from Years 1-2: the candidate structure would have survived not only symbolic re-realisation and independently engineered cognitive architectures, but a closed perception-action loop in which observations are incomplete, time matters, actions are physically committed and consequences cannot be rewritten by a later explanation. This is intentionally the highest-risk and highest-consequence stage.</w:t>
      </w:r>
    </w:p>
    <w:p w14:paraId="7F3297A3" w14:textId="77777777" w:rsidR="00894D55" w:rsidRDefault="00B20FC1">
      <w:pPr>
        <w:keepNext/>
        <w:spacing w:before="60" w:after="40"/>
      </w:pPr>
      <w:r>
        <w:rPr>
          <w:rFonts w:cs="Times New Roman"/>
          <w:b/>
        </w:rPr>
        <w:lastRenderedPageBreak/>
        <w:t>TRL4 integration without conflating demonstration and hypothesis support</w:t>
      </w:r>
    </w:p>
    <w:p w14:paraId="52F04977" w14:textId="77777777" w:rsidR="00894D55" w:rsidRDefault="00B20FC1">
      <w:r>
        <w:rPr>
          <w:rFonts w:cs="Times New Roman"/>
        </w:rPr>
        <w:t>O5 integrates only the mechanisms that survive the relevant scientific gates into a laboratory cognitive-AI demonstrator. Year 2 will produce an integrated symbolic demonstrator exposing reasoning, abstraction, planning, provenance, uncertainty, structural state and authority; Year 3 will extend it with multimodal and embodied components. The TRL4 capability floor will require competent task performance together with valid structural state, explicit uncertainty, authority integrity, reproducibility and safe handling of predefined faults. High task success cannot compensate for stale authority, hidden uncertainty or violated structural contracts. Conversely, the demonstrator may remain technologically useful if the strongest universality claim is narrowed or falsified.</w:t>
      </w:r>
    </w:p>
    <w:p w14:paraId="673F40CE" w14:textId="77777777" w:rsidR="00894D55" w:rsidRDefault="00B20FC1">
      <w:pPr>
        <w:keepNext/>
        <w:spacing w:before="60" w:after="40"/>
      </w:pPr>
      <w:r>
        <w:rPr>
          <w:rFonts w:cs="Times New Roman"/>
          <w:b/>
        </w:rPr>
        <w:t>Technical robustness, traceability and reproducibility</w:t>
      </w:r>
    </w:p>
    <w:p w14:paraId="00A6123B" w14:textId="77777777" w:rsidR="00894D55" w:rsidRDefault="00B20FC1">
      <w:r>
        <w:rPr>
          <w:rFonts w:cs="Times New Roman"/>
        </w:rPr>
        <w:t>Technical robustness will be built into each evidence package rather than assessed only at the final demonstrator. Confirmatory packages will bind source/binary or interface version, MDPAR/adapter version, model/provider identity and settings, corpus/generator version, task configuration, hardware/runtime profile, analysis code, timestamps and retained outputs through machine-readable manifests and cryptographic hashes. Deterministic and neural boundaries will be recorded separately; retry semantics, transport errors, grounding failures and certification state will be explicit.</w:t>
      </w:r>
    </w:p>
    <w:p w14:paraId="7E160A6A" w14:textId="77777777" w:rsidR="00894D55" w:rsidRDefault="00B20FC1">
      <w:r>
        <w:rPr>
          <w:rFonts w:cs="Times New Roman"/>
        </w:rPr>
        <w:t xml:space="preserve">The pre-existing v2.2.0 operational contract provides a useful integration pattern: a canonical machine-readable analysis is the source of truth, while reports are derived </w:t>
      </w:r>
      <w:proofErr w:type="spellStart"/>
      <w:r>
        <w:rPr>
          <w:rFonts w:cs="Times New Roman"/>
        </w:rPr>
        <w:t>realisations</w:t>
      </w:r>
      <w:proofErr w:type="spellEnd"/>
      <w:r>
        <w:rPr>
          <w:rFonts w:cs="Times New Roman"/>
        </w:rPr>
        <w:t xml:space="preserve"> with no authority to rewrite canonical findings. MDPAR-H will </w:t>
      </w:r>
      <w:proofErr w:type="spellStart"/>
      <w:r>
        <w:rPr>
          <w:rFonts w:cs="Times New Roman"/>
        </w:rPr>
        <w:t>generalise</w:t>
      </w:r>
      <w:proofErr w:type="spellEnd"/>
      <w:r>
        <w:rPr>
          <w:rFonts w:cs="Times New Roman"/>
        </w:rPr>
        <w:t xml:space="preserve"> this provenance discipline to external systems. Reproducibility claims will state their exact level: deterministic re-execution where possible, stochastic replication where necessary, and controlled verification arrangements where Background IP prevents unrestricted end-to-end execution. No output will be described as independently reproducible beyond what access actually permits.</w:t>
      </w:r>
    </w:p>
    <w:p w14:paraId="2E9A926D" w14:textId="77777777" w:rsidR="00894D55" w:rsidRDefault="00B20FC1">
      <w:pPr>
        <w:keepNext/>
        <w:spacing w:before="60" w:after="40"/>
      </w:pPr>
      <w:r>
        <w:rPr>
          <w:rFonts w:cs="Times New Roman"/>
          <w:b/>
        </w:rPr>
        <w:t>Interdisciplinary integration</w:t>
      </w:r>
    </w:p>
    <w:p w14:paraId="7AF01FA8" w14:textId="77777777" w:rsidR="00894D55" w:rsidRDefault="00B20FC1">
      <w:r>
        <w:rPr>
          <w:rFonts w:cs="Times New Roman"/>
        </w:rPr>
        <w:t xml:space="preserve">The methodology requires substantive integration of cognitive science/experimental psychology, formal methods and knowledge representation, experimental AI/computer science, quantitative measurement, and embodied AI/robotics. Cognitive science defines the inferential construct and guards against equating task success with the target phenomenon; formal methods make identity, transformation, validity and falsification explicit; experimental AI supplies heterogeneous observers/reasoners/planners, ablations and compute-aware evaluation; quantitative methodology estimates empirical </w:t>
      </w:r>
      <w:proofErr w:type="spellStart"/>
      <w:r>
        <w:rPr>
          <w:rFonts w:cs="Times New Roman"/>
        </w:rPr>
        <w:t>generalisation</w:t>
      </w:r>
      <w:proofErr w:type="spellEnd"/>
      <w:r>
        <w:rPr>
          <w:rFonts w:cs="Times New Roman"/>
        </w:rPr>
        <w:t xml:space="preserve"> without replacing formal validity; and robotics introduces partial observability, real-time action and irreversible world consequences. These disciplines are coupled by the same evidential object rather than contributing parallel workstreams.</w:t>
      </w:r>
    </w:p>
    <w:p w14:paraId="68FB7BD8" w14:textId="77777777" w:rsidR="00894D55" w:rsidRDefault="00B20FC1">
      <w:pPr>
        <w:keepNext/>
        <w:spacing w:before="60" w:after="40"/>
      </w:pPr>
      <w:r>
        <w:rPr>
          <w:rFonts w:cs="Times New Roman"/>
          <w:b/>
        </w:rPr>
        <w:t>High-risk issues and scientific decision rules</w:t>
      </w:r>
    </w:p>
    <w:p w14:paraId="12CB0B93" w14:textId="77777777" w:rsidR="00894D55" w:rsidRDefault="00B20FC1">
      <w:r>
        <w:rPr>
          <w:rFonts w:cs="Times New Roman"/>
          <w:b/>
        </w:rPr>
        <w:t xml:space="preserve">R1 - </w:t>
      </w:r>
      <w:r>
        <w:rPr>
          <w:rFonts w:cs="Times New Roman"/>
        </w:rPr>
        <w:t xml:space="preserve">Encoding artefact: apparent invariants may be properties of MDPAR representation; addressed through held-out combinations, alternative representations, ablations and independent Year-2 systems. </w:t>
      </w:r>
      <w:r w:rsidRPr="008D36B5">
        <w:rPr>
          <w:rFonts w:cs="Times New Roman"/>
          <w:b/>
          <w:bCs/>
        </w:rPr>
        <w:t>R2</w:t>
      </w:r>
      <w:r>
        <w:rPr>
          <w:rFonts w:cs="Times New Roman"/>
        </w:rPr>
        <w:t xml:space="preserve"> - Semantic leakage: adapters may reconstruct a hidden ontology; measured through mapping complexity, semantic burden and ontology import. </w:t>
      </w:r>
      <w:r w:rsidRPr="008D36B5">
        <w:rPr>
          <w:rFonts w:cs="Times New Roman"/>
          <w:b/>
          <w:bCs/>
        </w:rPr>
        <w:t>R3</w:t>
      </w:r>
      <w:r>
        <w:rPr>
          <w:rFonts w:cs="Times New Roman"/>
        </w:rPr>
        <w:t xml:space="preserve"> - Weak discrimination: a permissive metric may accept too many structures; attacked with constructed non-matches and false-match endpoints. </w:t>
      </w:r>
      <w:r w:rsidRPr="008D36B5">
        <w:rPr>
          <w:rFonts w:cs="Times New Roman"/>
          <w:b/>
          <w:bCs/>
        </w:rPr>
        <w:t xml:space="preserve">R4 </w:t>
      </w:r>
      <w:r>
        <w:rPr>
          <w:rFonts w:cs="Times New Roman"/>
        </w:rPr>
        <w:t>- Stochastic observer instability: already observed at the product boundary; quantified prospectively without retry-to-success.</w:t>
      </w:r>
      <w:r w:rsidRPr="008D36B5">
        <w:rPr>
          <w:rFonts w:cs="Times New Roman"/>
          <w:b/>
          <w:bCs/>
        </w:rPr>
        <w:t xml:space="preserve"> R5</w:t>
      </w:r>
      <w:r>
        <w:rPr>
          <w:rFonts w:cs="Times New Roman"/>
        </w:rPr>
        <w:t xml:space="preserve"> - Certification drift: provider availability may be confused with </w:t>
      </w:r>
      <w:proofErr w:type="spellStart"/>
      <w:r>
        <w:rPr>
          <w:rFonts w:cs="Times New Roman"/>
        </w:rPr>
        <w:t>authorised</w:t>
      </w:r>
      <w:proofErr w:type="spellEnd"/>
      <w:r>
        <w:rPr>
          <w:rFonts w:cs="Times New Roman"/>
        </w:rPr>
        <w:t xml:space="preserve"> capability; certification is versioned and tested separately from availability. </w:t>
      </w:r>
      <w:r w:rsidRPr="008D36B5">
        <w:rPr>
          <w:rFonts w:cs="Times New Roman"/>
          <w:b/>
          <w:bCs/>
        </w:rPr>
        <w:t>R6</w:t>
      </w:r>
      <w:r>
        <w:rPr>
          <w:rFonts w:cs="Times New Roman"/>
        </w:rPr>
        <w:t xml:space="preserve"> - Symbolic-only invariance: properties may disappear under perception/action coupling; Year 3 is designed to expose that boundary. </w:t>
      </w:r>
      <w:r w:rsidRPr="008D36B5">
        <w:rPr>
          <w:rFonts w:cs="Times New Roman"/>
          <w:b/>
          <w:bCs/>
        </w:rPr>
        <w:t>R7</w:t>
      </w:r>
      <w:r>
        <w:rPr>
          <w:rFonts w:cs="Times New Roman"/>
        </w:rPr>
        <w:t xml:space="preserve"> - Integration success mistaken for scientific confirmation: task/TRL endpoints and hypothesis endpoints are reported separately.</w:t>
      </w:r>
    </w:p>
    <w:p w14:paraId="1287D4C8" w14:textId="77777777" w:rsidR="00894D55" w:rsidRDefault="00B20FC1">
      <w:pPr>
        <w:keepNext/>
        <w:spacing w:before="60" w:after="40"/>
      </w:pPr>
      <w:r>
        <w:rPr>
          <w:rFonts w:cs="Times New Roman"/>
          <w:b/>
        </w:rPr>
        <w:t>Sex and gender dimension in the research content</w:t>
      </w:r>
    </w:p>
    <w:p w14:paraId="7FFAAFFB" w14:textId="77777777" w:rsidR="00894D55" w:rsidRDefault="00B20FC1">
      <w:r>
        <w:rPr>
          <w:rFonts w:cs="Times New Roman"/>
        </w:rPr>
        <w:t xml:space="preserve">No sex- or gender-dependent mechanism is </w:t>
      </w:r>
      <w:proofErr w:type="spellStart"/>
      <w:r>
        <w:rPr>
          <w:rFonts w:cs="Times New Roman"/>
        </w:rPr>
        <w:t>hypothesised</w:t>
      </w:r>
      <w:proofErr w:type="spellEnd"/>
      <w:r>
        <w:rPr>
          <w:rFonts w:cs="Times New Roman"/>
        </w:rPr>
        <w:t xml:space="preserve"> for the core structural-invariance experiments, whose units of analysis are artificial cognitive systems, representations and trajectories. Sex/gender will therefore not be introduced as an artificial covariate into O1-O4. Its relevance will be reassessed prospectively before any human-participant or substantively human-facing demonstrator study. If such a study is included, relevant sampling, language/perception, interaction and outcome considerations will be specified before data collection and reported transparently.</w:t>
      </w:r>
    </w:p>
    <w:p w14:paraId="4F3E1A48" w14:textId="77777777" w:rsidR="00894D55" w:rsidRDefault="00B20FC1">
      <w:pPr>
        <w:keepNext/>
        <w:spacing w:before="60" w:after="40"/>
      </w:pPr>
      <w:r>
        <w:rPr>
          <w:rFonts w:cs="Times New Roman"/>
          <w:b/>
        </w:rPr>
        <w:t>Open Science, FAIR outputs and IP boundary</w:t>
      </w:r>
    </w:p>
    <w:p w14:paraId="1C831DCA" w14:textId="77777777" w:rsidR="00894D55" w:rsidRDefault="00B20FC1">
      <w:r>
        <w:rPr>
          <w:rFonts w:cs="Times New Roman"/>
        </w:rPr>
        <w:t>Open Science will be part of the experimental method. Confirmatory hypotheses and analysis plans will be preregistered where this does not disclose protectable implementation details; benchmark specifications, structural schemas, metric definitions, counterexamples/negative results, non-sensitive task material, evaluation code and sufficient run-level metadata for independent scrutiny will be released as early as scientifically and legally appropriate. Project publications will be Open Access and project-generated outputs will use persistent identifiers, versioning and machine-readable provenance. A Data Management Plan will be delivered by Month 6 and updated throughout the project.</w:t>
      </w:r>
    </w:p>
    <w:p w14:paraId="6D1A9BDB" w14:textId="77777777" w:rsidR="00894D55" w:rsidRDefault="00B20FC1">
      <w:pPr>
        <w:spacing w:after="0"/>
      </w:pPr>
      <w:r>
        <w:lastRenderedPageBreak/>
        <w:t>The project begins with a persistent pre-project evidence boundary rather than creating reproducibility infrastructure after award. The citable Background release is identified by Zenodo DOI 10.5281/zenodo.22818421, and the corresponding version-controlled scientific documentation, formalisation manuscript, C0-C12 run catalogue, reproducibility procedures and executable falsification commands are available in MDPAR-docs at https://github.com/ndrspgalan/MDPAR-docs. During the action, confirmatory freezes will receive new immutable release identifiers rather than overwriting this Background record. This allows reviewers, replicators and portfolio collaborators to distinguish pre-project provenance from funded Foreground and to reconstruct exactly which specification governed each result.</w:t>
      </w:r>
    </w:p>
    <w:p w14:paraId="30DA19B8" w14:textId="77777777" w:rsidR="00894D55" w:rsidRDefault="00B20FC1">
      <w:r>
        <w:rPr>
          <w:rFonts w:cs="Times New Roman"/>
        </w:rPr>
        <w:t>MDPAR v2.2.0, including the pre-existing SCC/trajectory formalism, runtime/parser/engine/routing architecture, OPEN/CLOSED mechanisms, C0-C12 evidence infrastructure, Swagger service surface and associated know-how, is Background IP. MDPAR-H will distinguish this Background from project-generated scientific and technical results. Protecting the production implementation will not be used to overstate reproducibility or withhold evidence required to test the scientific claims. Reusable project benchmarks, schemas, metrics and verification assets will receive explicit reuse terms compatible with their scientific purpose wherever possible.</w:t>
      </w:r>
    </w:p>
    <w:p w14:paraId="3A1976BE" w14:textId="77777777" w:rsidR="00894D55" w:rsidRDefault="00B20FC1">
      <w:pPr>
        <w:keepNext/>
        <w:spacing w:before="60" w:after="40"/>
      </w:pPr>
      <w:r>
        <w:rPr>
          <w:rFonts w:cs="Times New Roman"/>
          <w:b/>
        </w:rPr>
        <w:t>Do no significant harm</w:t>
      </w:r>
    </w:p>
    <w:p w14:paraId="7DED3B20" w14:textId="77777777" w:rsidR="00894D55" w:rsidRDefault="00B20FC1">
      <w:r>
        <w:rPr>
          <w:rFonts w:cs="Times New Roman"/>
        </w:rPr>
        <w:t xml:space="preserve">The work is predominantly software, formal analysis, controlled computing and laboratory robotics; no significant environmental harm is expected. Compute use will be instrumented and </w:t>
      </w:r>
      <w:proofErr w:type="spellStart"/>
      <w:r>
        <w:rPr>
          <w:rFonts w:cs="Times New Roman"/>
        </w:rPr>
        <w:t>minimised</w:t>
      </w:r>
      <w:proofErr w:type="spellEnd"/>
      <w:r>
        <w:rPr>
          <w:rFonts w:cs="Times New Roman"/>
        </w:rPr>
        <w:t xml:space="preserve"> subject to capability and validity floors, rather than treated as an </w:t>
      </w:r>
      <w:proofErr w:type="spellStart"/>
      <w:r>
        <w:rPr>
          <w:rFonts w:cs="Times New Roman"/>
        </w:rPr>
        <w:t>optimisation</w:t>
      </w:r>
      <w:proofErr w:type="spellEnd"/>
      <w:r>
        <w:rPr>
          <w:rFonts w:cs="Times New Roman"/>
        </w:rPr>
        <w:t xml:space="preserve"> target that can override scientific quality. Embodied work will follow institutional laboratory safety procedures and the project will avoid deployment claims beyond controlled TRL4 validation.</w:t>
      </w:r>
    </w:p>
    <w:p w14:paraId="11022E3E" w14:textId="77777777" w:rsidR="00894D55" w:rsidRDefault="00B20FC1">
      <w:pPr>
        <w:keepNext/>
        <w:pageBreakBefore/>
        <w:spacing w:before="120"/>
      </w:pPr>
      <w:r>
        <w:rPr>
          <w:rFonts w:cs="Times New Roman"/>
          <w:b/>
        </w:rPr>
        <w:lastRenderedPageBreak/>
        <w:t>2.</w:t>
      </w:r>
      <w:r>
        <w:rPr>
          <w:rFonts w:cs="Times New Roman"/>
          <w:b/>
        </w:rPr>
        <w:tab/>
        <w:t>Impact</w:t>
      </w:r>
    </w:p>
    <w:p w14:paraId="1BB4BE7E" w14:textId="77777777" w:rsidR="00894D55" w:rsidRDefault="00B20FC1">
      <w:pPr>
        <w:keepNext/>
        <w:spacing w:before="120"/>
      </w:pPr>
      <w:r>
        <w:rPr>
          <w:rFonts w:cs="Times New Roman"/>
          <w:b/>
        </w:rPr>
        <w:t>2.1</w:t>
      </w:r>
      <w:r>
        <w:rPr>
          <w:rFonts w:cs="Times New Roman"/>
          <w:b/>
        </w:rPr>
        <w:tab/>
        <w:t>Potential Impact</w:t>
      </w:r>
    </w:p>
    <w:p w14:paraId="7FFCA390" w14:textId="77777777" w:rsidR="00894D55" w:rsidRDefault="00B20FC1">
      <w:pPr>
        <w:keepNext/>
        <w:spacing w:before="60" w:after="0"/>
      </w:pPr>
      <w:r>
        <w:rPr>
          <w:b/>
        </w:rPr>
        <w:t>Impact logic: consequences of an established result, external boundary still open</w:t>
      </w:r>
    </w:p>
    <w:p w14:paraId="1A1BC992" w14:textId="77777777" w:rsidR="00894D55" w:rsidRDefault="00B20FC1">
      <w:pPr>
        <w:spacing w:after="0"/>
      </w:pPr>
      <w:r>
        <w:t>MDPAR-H does not enter DeepRAP as a promise that a structural cognitive layer might exist. SCC already defines calculable trajectory properties; MDPAR v2.2.0 already realises their separation from semantic observation, longitudinal continuity, routing, provenance, certification and authority; C0-C12 and the operational surface already supply formal, computational, internal-experimental and end-to-end evidence. Impact therefore means asking what changes in neighbouring scientific, technological, organisational and social problems if those established results are taken as premises, while DeepRAP determines how far the consequences remain valid under independent systems and embodiment.</w:t>
      </w:r>
    </w:p>
    <w:p w14:paraId="37109C10" w14:textId="77777777" w:rsidR="00894D55" w:rsidRDefault="00B20FC1">
      <w:pPr>
        <w:spacing w:after="0"/>
      </w:pPr>
      <w:r>
        <w:rPr>
          <w:b/>
        </w:rPr>
        <w:t>Linguistics and philology - from semantic interlingua to invariance path</w:t>
      </w:r>
    </w:p>
    <w:p w14:paraId="133FEA3B" w14:textId="77777777" w:rsidR="00894D55" w:rsidRDefault="00B20FC1">
      <w:pPr>
        <w:keepNext/>
        <w:spacing w:before="60" w:after="0"/>
      </w:pPr>
      <w:r>
        <w:t>MDPAR-H changes the unit of cross-language comparison. The common object need not be a complete shared semantic ontology; it can be a source structure, a transformation and the properties that remain identifiable after re-realisation. SCC already supplies correspondence, transport and invariance machinery. DeepRAP will determine which property classes, language pairs, transformations and observer conditions preserve that path. The impact is therefore not a new universal language, but an experimentally testable account of structural comparability under incomplete lexical, syntactic or semantic equivalence.</w:t>
      </w:r>
    </w:p>
    <w:p w14:paraId="160999CD" w14:textId="77777777" w:rsidR="00894D55" w:rsidRDefault="00B20FC1">
      <w:pPr>
        <w:spacing w:after="0"/>
      </w:pPr>
      <w:r>
        <w:rPr>
          <w:b/>
        </w:rPr>
        <w:t>Mathematics and formal methods - from describing inference to calculating trajectory properties</w:t>
      </w:r>
    </w:p>
    <w:p w14:paraId="095E0213" w14:textId="77777777" w:rsidR="00894D55" w:rsidRDefault="00B20FC1">
      <w:pPr>
        <w:spacing w:after="0"/>
      </w:pPr>
      <w:r>
        <w:t>Direction, return, recurrence, equivalence, correspondence, transformation and invariance are separated into explicit contracts rather than informal descriptions. The double-involution programme (rho o O = D o rho) tests whether a declared transformation of inferential trajectory preserves its action across representational levels; it is not a prerequisite for MDPAR-H. Year 1 separates construction from evaluation: DEVELOPMENT evidence may refine the admissible realisation class before M6, after which a frozen formulation is tested on held-out symbolic evidence. Positive, bounded or negative closure therefore yields, respectively, a supported transport class, an explicitly restricted class, or counterexample/impossibility structure. Year-2 calibration can refine only the operational mapping of that frozen result and must itself be tested prospectively.</w:t>
      </w:r>
    </w:p>
    <w:p w14:paraId="76825A02" w14:textId="77777777" w:rsidR="00894D55" w:rsidRDefault="00B20FC1">
      <w:pPr>
        <w:spacing w:after="0"/>
      </w:pPr>
      <w:r>
        <w:rPr>
          <w:b/>
        </w:rPr>
        <w:t>Cognitive science and AI - from the model that reasons to the system that preserves reasoning</w:t>
      </w:r>
    </w:p>
    <w:p w14:paraId="01C3E708" w14:textId="77777777" w:rsidR="00894D55" w:rsidRDefault="00B20FC1">
      <w:pPr>
        <w:keepNext/>
        <w:spacing w:before="60" w:after="0"/>
      </w:pPr>
      <w:r>
        <w:t>Within MDPAR, semantic capability and cognitive ownership are already separable responsibilities. DeepRAP tests the external boundary of that consequence across independently engineered systems and embodiment. The pre-project human-grounded result conditions Year-2 emphasis rather than serving as a funded deliverable: a reproducible directional effect prioritises corresponding transfer conditions; a conditional effect introduces its moderator/domain as a boundary variable; a precise null blocks a human-effect extrapolation while leaving the structural external-validity programme intact.</w:t>
      </w:r>
    </w:p>
    <w:p w14:paraId="5382CB63" w14:textId="77777777" w:rsidR="00894D55" w:rsidRDefault="00B20FC1">
      <w:pPr>
        <w:keepNext/>
        <w:spacing w:after="0"/>
      </w:pPr>
      <w:r>
        <w:rPr>
          <w:b/>
        </w:rPr>
        <w:t>Epistemology and scientific methodology - from producing answers to preserving the conditions of disagreement</w:t>
      </w:r>
    </w:p>
    <w:p w14:paraId="5BC1789F" w14:textId="77777777" w:rsidR="00C5764E" w:rsidRDefault="00605D23">
      <w:pPr>
        <w:spacing w:after="0"/>
      </w:pPr>
      <w:r>
        <w:t>The relevant epistemic object becomes the auditable cognitive record: what entered, what was observed, what was calculated or inferred, what remained UNKNOWN, UNEVALUABLE or NOT_ESTIMABLE, which component intervened and what authority it possessed. Negative evidence therefore delimits the system instead of threatening its narrative. DeepRAP operationalises this consequence prospectively through frozen definitions, held-outs, explicit failure semantics and domain maps. The result is not a guarantee of factual truth or institutional fairness; it is an architecture in which the conditions needed to reconstruct, contradict or restrict a conclusion remain technically inspectable.</w:t>
      </w:r>
    </w:p>
    <w:p w14:paraId="283D4C92" w14:textId="77777777" w:rsidR="00894D55" w:rsidRDefault="00B20FC1">
      <w:pPr>
        <w:spacing w:after="0"/>
      </w:pPr>
      <w:r>
        <w:rPr>
          <w:b/>
        </w:rPr>
        <w:t>Software engineering and distributed systems - from component integration to cognitive identity preservation</w:t>
      </w:r>
    </w:p>
    <w:p w14:paraId="52AF4A97" w14:textId="77777777" w:rsidR="00894D55" w:rsidRDefault="00B20FC1">
      <w:pPr>
        <w:keepNext/>
        <w:spacing w:before="60" w:after="0"/>
      </w:pPr>
      <w:r>
        <w:t>The software consequence is stronger than orchestration. MDPAR treats semantic providers, structural state, memory, routing, verification and execution authority as replaceable responsibilities around a persistent trajectory object. This permits failure, migration, substitution and recovery to be represented without silently rewriting prior authority states. Year 2 tests whether that identity survives components that were not designed around MDPAR; Year 3 tests whether it survives irreversible physical commitments. If preserved, resilience can be specified at the cognitive-process level rather than only at the service or model endpoint.</w:t>
      </w:r>
    </w:p>
    <w:p w14:paraId="29CD5C9F" w14:textId="77777777" w:rsidR="00894D55" w:rsidRDefault="00B20FC1">
      <w:pPr>
        <w:spacing w:after="0"/>
      </w:pPr>
      <w:r>
        <w:rPr>
          <w:b/>
        </w:rPr>
        <w:t>Technological interoperability - from shared formats to shared structural contracts</w:t>
      </w:r>
    </w:p>
    <w:p w14:paraId="46670A77" w14:textId="77777777" w:rsidR="00C5764E" w:rsidRDefault="00605D23">
      <w:pPr>
        <w:spacing w:after="0"/>
      </w:pPr>
      <w:r>
        <w:t xml:space="preserve">Interoperability is reframed as preservation of declared structural properties across native systems, not forced conversion into one global ontology. The project therefore measures adapter size, semantic burden, ontology import, native execution and both expected matches and expected non-matches. A successful interface is one that transports the required operation or invariant with bounded reconstruction, not one that merely produces a compatible final answer. The Swagger boundary provides the pre-project service-level pattern; DeepRAP </w:t>
      </w:r>
      <w:r>
        <w:lastRenderedPageBreak/>
        <w:t>determines which contracts remain portable across independent cognitive architectures and future multimodal systems.</w:t>
      </w:r>
    </w:p>
    <w:p w14:paraId="7A0954BD" w14:textId="77777777" w:rsidR="00C5764E" w:rsidRDefault="00605D23">
      <w:pPr>
        <w:spacing w:after="0"/>
      </w:pPr>
      <w:r>
        <w:rPr>
          <w:b/>
        </w:rPr>
        <w:t>Organisation and enterprise - from acquiring intelligence to governing cognitive responsibility</w:t>
      </w:r>
    </w:p>
    <w:p w14:paraId="5304CAE0" w14:textId="77777777" w:rsidR="00C5764E" w:rsidRDefault="00605D23">
      <w:pPr>
        <w:spacing w:after="0"/>
      </w:pPr>
      <w:r>
        <w:t>If capability and ownership remain separable externally, organisations can treat semantic models as governed capabilities rather than as the implicit owners of memory, provenance and authority. This changes procurement and assurance: model capacity, certification, routing permission, data jurisdiction and action authority become separately governable variables. The project will test provider substitution and degraded/local operation without assuming that availability equals authorisation. The organisational impact is therefore control of the cognitive process while still using external intelligence, not technological autarky.</w:t>
      </w:r>
    </w:p>
    <w:p w14:paraId="79E7C2B9" w14:textId="77777777" w:rsidR="002521F4" w:rsidRDefault="00CA190B">
      <w:pPr>
        <w:spacing w:after="0"/>
      </w:pPr>
      <w:r>
        <w:rPr>
          <w:b/>
        </w:rPr>
        <w:t>Economics of computation - from one-model optimisation to situated acquisition of capability</w:t>
      </w:r>
    </w:p>
    <w:p w14:paraId="4B261AC2" w14:textId="77777777" w:rsidR="002521F4" w:rsidRDefault="00CA190B">
      <w:pPr>
        <w:spacing w:after="0"/>
      </w:pPr>
      <w:r>
        <w:t>The economic unit is the minimum sufficient capability assigned to each bounded cognitive responsibility under unchanged quality and authorit</w:t>
      </w:r>
      <w:r>
        <w:t>y floors. The v2.2.0 C9 result already shows why one-dimensional token optimisation is inadequate: reasoning tokens and wall time fell while total token work increased. A separate operational probe recorded EUR 0.41 provider cost, EUR 1.74 modelled profess</w:t>
      </w:r>
      <w:r>
        <w:t>ional-work component, EUR 0.45 VAT and EUR 2.59 total modelled value over an approximately 87.308 s cycle; these are single-run metrological observations, not market prices or general savings. DeepRAP will extend this ledger prospectively across compute/co</w:t>
      </w:r>
      <w:r>
        <w:t>st (C), time (T), infrastructure (I), maintenance (M) and capability/quality (Q).</w:t>
      </w:r>
    </w:p>
    <w:p w14:paraId="0FDD5F85" w14:textId="77777777" w:rsidR="002521F4" w:rsidRDefault="00CA190B">
      <w:pPr>
        <w:spacing w:after="0"/>
      </w:pPr>
      <w:r>
        <w:rPr>
          <w:b/>
        </w:rPr>
        <w:t>Professional work and law - from automating judgement to structuring the problem before judgement</w:t>
      </w:r>
    </w:p>
    <w:p w14:paraId="3AA61907" w14:textId="77777777" w:rsidR="002521F4" w:rsidRDefault="00CA190B">
      <w:pPr>
        <w:spacing w:after="0"/>
      </w:pPr>
      <w:r>
        <w:t>The professional consequence is a division of labour rather than authority t</w:t>
      </w:r>
      <w:r>
        <w:t>ransfer. MDPAR can structure evidence, provenance, inference, uncertainty and missing bridges before a competent professional decides what those elements mean institutionally. The pre-project operational surface demonstrates feasibility in an evidence-inte</w:t>
      </w:r>
      <w:r>
        <w:t>nsive workflow, including preservation of direct statements, third-party information, inferential attribution and unexamined surfaces. It does not confer legal, medical, regulatory or professional authority. The exploitable question is how much pre-judgeme</w:t>
      </w:r>
      <w:r>
        <w:t>nt analytical work can become auditable infrastructure while responsibility for conclusions remains external to the system.</w:t>
      </w:r>
    </w:p>
    <w:p w14:paraId="111B05BA" w14:textId="77777777" w:rsidR="002521F4" w:rsidRDefault="00CA190B">
      <w:pPr>
        <w:spacing w:after="0"/>
      </w:pPr>
      <w:r>
        <w:rPr>
          <w:b/>
        </w:rPr>
        <w:t>Society and cognitive sovereignty - from private persuasion to a contestable record</w:t>
      </w:r>
    </w:p>
    <w:p w14:paraId="54B75E6D" w14:textId="77777777" w:rsidR="002521F4" w:rsidRDefault="00CA190B">
      <w:pPr>
        <w:spacing w:after="0"/>
      </w:pPr>
      <w:r>
        <w:t>A common structural procedure can reduce the ext</w:t>
      </w:r>
      <w:r>
        <w:t xml:space="preserve">ent to which rhetorical fluency silently substitutes for evidential links: heterogeneous inputs can be subjected to the same separation of observation, inference, provenance, uncertainty and authority. This does not eliminate social bias or guarantee fair </w:t>
      </w:r>
      <w:r>
        <w:t>outcomes, because OPEN observers and institutions can remain biased. It does make the route by which a claim acquired position in a record inspectable and challengeable. Cognitive sovereignty follows the same principle at system scale: external intelligenc</w:t>
      </w:r>
      <w:r>
        <w:t>e may be used without surrendering the persistent record, its history or its authority to the provider.</w:t>
      </w:r>
    </w:p>
    <w:p w14:paraId="19AE5BBC" w14:textId="77777777" w:rsidR="002521F4" w:rsidRDefault="00CA190B">
      <w:pPr>
        <w:spacing w:after="0"/>
      </w:pPr>
      <w:r>
        <w:rPr>
          <w:b/>
        </w:rPr>
        <w:t>Philosophy of mind and ontology of cognitive systems - from answer-producing intelligence to identity through change</w:t>
      </w:r>
    </w:p>
    <w:p w14:paraId="5101F07F" w14:textId="77777777" w:rsidR="002521F4" w:rsidRDefault="00CA190B">
      <w:pPr>
        <w:spacing w:after="0"/>
      </w:pPr>
      <w:r>
        <w:t>MDPAR-H supports a narrower but con</w:t>
      </w:r>
      <w:r>
        <w:t>sequential ontological reformulation: for the class of processes representable by SCC, identity may reside partly in relations and invariants that survive changes of realisation. This does not establish consciousness, a metaphysics of mind or literal spher</w:t>
      </w:r>
      <w:r>
        <w:t xml:space="preserve">ical geometry of thought. It does separate properties often collapsed into one agent label: producing language, interpreting, remembering, preserving identity, deciding, being authorised and owning the process. Embodiment is the strongest external test of </w:t>
      </w:r>
      <w:r>
        <w:t>that separation because physical action introduces partial observability, time, irreversibility and consequences that later explanation cannot rewrite.</w:t>
      </w:r>
    </w:p>
    <w:p w14:paraId="527410A0" w14:textId="77777777" w:rsidR="002521F4" w:rsidRDefault="00CA190B">
      <w:pPr>
        <w:spacing w:after="0"/>
      </w:pPr>
      <w:r>
        <w:rPr>
          <w:b/>
        </w:rPr>
        <w:t>DeepRAP scale, significance and post-M36 boundary</w:t>
      </w:r>
    </w:p>
    <w:p w14:paraId="49AEB7D2" w14:textId="77777777" w:rsidR="002521F4" w:rsidRDefault="00CA190B">
      <w:pPr>
        <w:spacing w:after="0"/>
      </w:pPr>
      <w:r>
        <w:t>The project will quantify impact through validated rea</w:t>
      </w:r>
      <w:r>
        <w:t>ch rather than speculative universality: independent architectures, domains, languages, modalities and providers; adapter burden and ontology import; replication; match/non-match discrimination; authority integrity; recovery under degradation; and C-T-I-M-</w:t>
      </w:r>
      <w:r>
        <w:t>Q resource effects at an unchanged capability/safety floor. Year 1 maps controlled symbolic transfer, Year 2 removes common-design dependence, and Year 3 tests physical situatedness. Beyond M36, the validated boundary determines which continuation is scien</w:t>
      </w:r>
      <w:r>
        <w:t>tifically warranted: persistent embodied cognitive architectures if physical invariance survives, or constrained human-machine, supervised, assistive, simulation or decision-support branches where it does not. Negative external results narrow the territory</w:t>
      </w:r>
      <w:r>
        <w:t>; they do not erase the formal and architectural results already established.</w:t>
      </w:r>
    </w:p>
    <w:p w14:paraId="4ECECA21" w14:textId="77777777" w:rsidR="00894D55" w:rsidRDefault="00B20FC1">
      <w:pPr>
        <w:keepNext/>
        <w:spacing w:before="60" w:after="40"/>
      </w:pPr>
      <w:r>
        <w:rPr>
          <w:rFonts w:cs="Times New Roman"/>
          <w:b/>
        </w:rPr>
        <w:t xml:space="preserve">Contribution to </w:t>
      </w:r>
      <w:proofErr w:type="spellStart"/>
      <w:r>
        <w:rPr>
          <w:rFonts w:cs="Times New Roman"/>
          <w:b/>
        </w:rPr>
        <w:t>DeepRAP</w:t>
      </w:r>
      <w:proofErr w:type="spellEnd"/>
      <w:r>
        <w:rPr>
          <w:rFonts w:cs="Times New Roman"/>
          <w:b/>
        </w:rPr>
        <w:t xml:space="preserve"> outcomes, target groups, scale and significance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2461"/>
        <w:gridCol w:w="2677"/>
        <w:gridCol w:w="2741"/>
        <w:gridCol w:w="2437"/>
      </w:tblGrid>
      <w:tr w:rsidR="00894D55" w14:paraId="1D2E0E31" w14:textId="77777777">
        <w:trPr>
          <w:tblHeader/>
          <w:jc w:val="center"/>
        </w:trPr>
        <w:tc>
          <w:tcPr>
            <w:tcW w:w="2154" w:type="dxa"/>
            <w:shd w:val="clear" w:color="auto" w:fill="E7E6E6"/>
            <w:tcMar>
              <w:top w:w="25" w:type="dxa"/>
              <w:left w:w="55" w:type="dxa"/>
              <w:bottom w:w="25" w:type="dxa"/>
              <w:right w:w="55" w:type="dxa"/>
            </w:tcMar>
            <w:vAlign w:val="center"/>
          </w:tcPr>
          <w:p w14:paraId="6E2D41D5" w14:textId="77777777" w:rsidR="00894D55" w:rsidRDefault="00B20FC1">
            <w:pPr>
              <w:spacing w:after="0"/>
            </w:pPr>
            <w:r>
              <w:rPr>
                <w:rFonts w:cs="Times New Roman"/>
                <w:b/>
              </w:rPr>
              <w:t>Target group</w:t>
            </w:r>
          </w:p>
        </w:tc>
        <w:tc>
          <w:tcPr>
            <w:tcW w:w="3345" w:type="dxa"/>
            <w:shd w:val="clear" w:color="auto" w:fill="E7E6E6"/>
            <w:tcMar>
              <w:top w:w="25" w:type="dxa"/>
              <w:left w:w="55" w:type="dxa"/>
              <w:bottom w:w="25" w:type="dxa"/>
              <w:right w:w="55" w:type="dxa"/>
            </w:tcMar>
            <w:vAlign w:val="center"/>
          </w:tcPr>
          <w:p w14:paraId="59436D28" w14:textId="77777777" w:rsidR="00894D55" w:rsidRDefault="00B20FC1">
            <w:pPr>
              <w:spacing w:after="0"/>
            </w:pPr>
            <w:r>
              <w:rPr>
                <w:rFonts w:cs="Times New Roman"/>
                <w:b/>
              </w:rPr>
              <w:t>Direct project-enabled benefit</w:t>
            </w:r>
          </w:p>
        </w:tc>
        <w:tc>
          <w:tcPr>
            <w:tcW w:w="2948" w:type="dxa"/>
            <w:shd w:val="clear" w:color="auto" w:fill="E7E6E6"/>
            <w:tcMar>
              <w:top w:w="25" w:type="dxa"/>
              <w:left w:w="55" w:type="dxa"/>
              <w:bottom w:w="25" w:type="dxa"/>
              <w:right w:w="55" w:type="dxa"/>
            </w:tcMar>
            <w:vAlign w:val="center"/>
          </w:tcPr>
          <w:p w14:paraId="0ABF7D36" w14:textId="77777777" w:rsidR="00894D55" w:rsidRDefault="00B20FC1">
            <w:pPr>
              <w:spacing w:after="0"/>
            </w:pPr>
            <w:proofErr w:type="spellStart"/>
            <w:r>
              <w:rPr>
                <w:rFonts w:cs="Times New Roman"/>
                <w:b/>
              </w:rPr>
              <w:t>DeepRAP</w:t>
            </w:r>
            <w:proofErr w:type="spellEnd"/>
            <w:r>
              <w:rPr>
                <w:rFonts w:cs="Times New Roman"/>
                <w:b/>
              </w:rPr>
              <w:t xml:space="preserve"> contribution</w:t>
            </w:r>
          </w:p>
        </w:tc>
        <w:tc>
          <w:tcPr>
            <w:tcW w:w="1871" w:type="dxa"/>
            <w:shd w:val="clear" w:color="auto" w:fill="E7E6E6"/>
            <w:tcMar>
              <w:top w:w="25" w:type="dxa"/>
              <w:left w:w="55" w:type="dxa"/>
              <w:bottom w:w="25" w:type="dxa"/>
              <w:right w:w="55" w:type="dxa"/>
            </w:tcMar>
            <w:vAlign w:val="center"/>
          </w:tcPr>
          <w:p w14:paraId="6F3346BF" w14:textId="77777777" w:rsidR="00894D55" w:rsidRDefault="00B20FC1">
            <w:pPr>
              <w:spacing w:after="0"/>
            </w:pPr>
            <w:r>
              <w:rPr>
                <w:rFonts w:cs="Times New Roman"/>
                <w:b/>
              </w:rPr>
              <w:t>Scale / significance indicator</w:t>
            </w:r>
          </w:p>
        </w:tc>
      </w:tr>
      <w:tr w:rsidR="00894D55" w14:paraId="106E5C6C" w14:textId="77777777">
        <w:trPr>
          <w:jc w:val="center"/>
        </w:trPr>
        <w:tc>
          <w:tcPr>
            <w:tcW w:w="2551" w:type="dxa"/>
            <w:shd w:val="clear" w:color="auto" w:fill="FFFFFF"/>
            <w:tcMar>
              <w:top w:w="25" w:type="dxa"/>
              <w:left w:w="55" w:type="dxa"/>
              <w:bottom w:w="25" w:type="dxa"/>
              <w:right w:w="55" w:type="dxa"/>
            </w:tcMar>
            <w:vAlign w:val="center"/>
          </w:tcPr>
          <w:p w14:paraId="0AE32A92" w14:textId="77777777" w:rsidR="00894D55" w:rsidRDefault="00B20FC1">
            <w:pPr>
              <w:spacing w:after="0"/>
            </w:pPr>
            <w:r>
              <w:rPr>
                <w:rFonts w:cs="Times New Roman"/>
              </w:rPr>
              <w:t>Cognitive-AI, formal-methods and KR researchers</w:t>
            </w:r>
          </w:p>
        </w:tc>
        <w:tc>
          <w:tcPr>
            <w:tcW w:w="2551" w:type="dxa"/>
            <w:shd w:val="clear" w:color="auto" w:fill="FFFFFF"/>
            <w:tcMar>
              <w:top w:w="25" w:type="dxa"/>
              <w:left w:w="55" w:type="dxa"/>
              <w:bottom w:w="25" w:type="dxa"/>
              <w:right w:w="55" w:type="dxa"/>
            </w:tcMar>
            <w:vAlign w:val="center"/>
          </w:tcPr>
          <w:p w14:paraId="47E4E26E" w14:textId="77777777" w:rsidR="00894D55" w:rsidRDefault="00B20FC1">
            <w:pPr>
              <w:spacing w:after="0"/>
            </w:pPr>
            <w:r>
              <w:rPr>
                <w:rFonts w:cs="Times New Roman"/>
              </w:rPr>
              <w:t>Structural theory, benchmarks, negative evidence and comparative metrology.</w:t>
            </w:r>
          </w:p>
        </w:tc>
        <w:tc>
          <w:tcPr>
            <w:tcW w:w="2551" w:type="dxa"/>
            <w:shd w:val="clear" w:color="auto" w:fill="FFFFFF"/>
            <w:tcMar>
              <w:top w:w="25" w:type="dxa"/>
              <w:left w:w="55" w:type="dxa"/>
              <w:bottom w:w="25" w:type="dxa"/>
              <w:right w:w="55" w:type="dxa"/>
            </w:tcMar>
            <w:vAlign w:val="center"/>
          </w:tcPr>
          <w:p w14:paraId="32CF6310" w14:textId="77777777" w:rsidR="00894D55" w:rsidRDefault="00B20FC1">
            <w:pPr>
              <w:spacing w:after="0"/>
            </w:pPr>
            <w:r>
              <w:rPr>
                <w:rFonts w:cs="Times New Roman"/>
              </w:rPr>
              <w:t>New reasoning/trustworthiness metrics; FAIR evidence; Deep Abstraction/Reasoning.</w:t>
            </w:r>
          </w:p>
        </w:tc>
        <w:tc>
          <w:tcPr>
            <w:tcW w:w="2551" w:type="dxa"/>
            <w:shd w:val="clear" w:color="auto" w:fill="FFFFFF"/>
            <w:tcMar>
              <w:top w:w="25" w:type="dxa"/>
              <w:left w:w="55" w:type="dxa"/>
              <w:bottom w:w="25" w:type="dxa"/>
              <w:right w:w="55" w:type="dxa"/>
            </w:tcMar>
            <w:vAlign w:val="center"/>
          </w:tcPr>
          <w:p w14:paraId="59183321" w14:textId="77777777" w:rsidR="00894D55" w:rsidRDefault="00B20FC1">
            <w:pPr>
              <w:spacing w:after="0"/>
            </w:pPr>
            <w:r>
              <w:rPr>
                <w:rFonts w:cs="Times New Roman"/>
              </w:rPr>
              <w:t>Independent systems, models, languages, domains/modalities; replication rate.</w:t>
            </w:r>
          </w:p>
        </w:tc>
      </w:tr>
      <w:tr w:rsidR="00894D55" w14:paraId="59D2312F" w14:textId="77777777">
        <w:trPr>
          <w:jc w:val="center"/>
        </w:trPr>
        <w:tc>
          <w:tcPr>
            <w:tcW w:w="2551" w:type="dxa"/>
            <w:shd w:val="clear" w:color="auto" w:fill="FFFFFF"/>
            <w:tcMar>
              <w:top w:w="25" w:type="dxa"/>
              <w:left w:w="55" w:type="dxa"/>
              <w:bottom w:w="25" w:type="dxa"/>
              <w:right w:w="55" w:type="dxa"/>
            </w:tcMar>
            <w:vAlign w:val="center"/>
          </w:tcPr>
          <w:p w14:paraId="74DC5021" w14:textId="77777777" w:rsidR="00894D55" w:rsidRDefault="00B20FC1">
            <w:pPr>
              <w:spacing w:after="0"/>
            </w:pPr>
            <w:proofErr w:type="spellStart"/>
            <w:r>
              <w:rPr>
                <w:rFonts w:cs="Times New Roman"/>
              </w:rPr>
              <w:lastRenderedPageBreak/>
              <w:t>DeepRAP</w:t>
            </w:r>
            <w:proofErr w:type="spellEnd"/>
            <w:r>
              <w:rPr>
                <w:rFonts w:cs="Times New Roman"/>
              </w:rPr>
              <w:t xml:space="preserve"> projects and cognitive-system developers</w:t>
            </w:r>
          </w:p>
        </w:tc>
        <w:tc>
          <w:tcPr>
            <w:tcW w:w="2551" w:type="dxa"/>
            <w:shd w:val="clear" w:color="auto" w:fill="FFFFFF"/>
            <w:tcMar>
              <w:top w:w="25" w:type="dxa"/>
              <w:left w:w="55" w:type="dxa"/>
              <w:bottom w:w="25" w:type="dxa"/>
              <w:right w:w="55" w:type="dxa"/>
            </w:tcMar>
            <w:vAlign w:val="center"/>
          </w:tcPr>
          <w:p w14:paraId="42FB0B55" w14:textId="77777777" w:rsidR="00894D55" w:rsidRDefault="00B20FC1">
            <w:pPr>
              <w:spacing w:after="0"/>
            </w:pPr>
            <w:r>
              <w:rPr>
                <w:rFonts w:cs="Times New Roman"/>
              </w:rPr>
              <w:t>Interoperability protocols and structural comparison without one global semantic ontology.</w:t>
            </w:r>
          </w:p>
        </w:tc>
        <w:tc>
          <w:tcPr>
            <w:tcW w:w="2551" w:type="dxa"/>
            <w:shd w:val="clear" w:color="auto" w:fill="FFFFFF"/>
            <w:tcMar>
              <w:top w:w="25" w:type="dxa"/>
              <w:left w:w="55" w:type="dxa"/>
              <w:bottom w:w="25" w:type="dxa"/>
              <w:right w:w="55" w:type="dxa"/>
            </w:tcMar>
            <w:vAlign w:val="center"/>
          </w:tcPr>
          <w:p w14:paraId="33EE93C5" w14:textId="77777777" w:rsidR="00894D55" w:rsidRDefault="00B20FC1">
            <w:pPr>
              <w:spacing w:after="0"/>
            </w:pPr>
            <w:r>
              <w:rPr>
                <w:rFonts w:cs="Times New Roman"/>
              </w:rPr>
              <w:t>Benchmark Development, Interoperability, Common Pilots and multi-agent integration where feasible.</w:t>
            </w:r>
          </w:p>
        </w:tc>
        <w:tc>
          <w:tcPr>
            <w:tcW w:w="2551" w:type="dxa"/>
            <w:shd w:val="clear" w:color="auto" w:fill="FFFFFF"/>
            <w:tcMar>
              <w:top w:w="25" w:type="dxa"/>
              <w:left w:w="55" w:type="dxa"/>
              <w:bottom w:w="25" w:type="dxa"/>
              <w:right w:w="55" w:type="dxa"/>
            </w:tcMar>
            <w:vAlign w:val="center"/>
          </w:tcPr>
          <w:p w14:paraId="62A7C8E0" w14:textId="77777777" w:rsidR="00894D55" w:rsidRDefault="00B20FC1">
            <w:pPr>
              <w:spacing w:after="0"/>
            </w:pPr>
            <w:r>
              <w:rPr>
                <w:rFonts w:cs="Times New Roman"/>
              </w:rPr>
              <w:t>External integrations; benchmark reuse; adapter burden; match/non-match discrimination.</w:t>
            </w:r>
          </w:p>
        </w:tc>
      </w:tr>
      <w:tr w:rsidR="00894D55" w14:paraId="5F651763" w14:textId="77777777">
        <w:trPr>
          <w:jc w:val="center"/>
        </w:trPr>
        <w:tc>
          <w:tcPr>
            <w:tcW w:w="2551" w:type="dxa"/>
            <w:shd w:val="clear" w:color="auto" w:fill="FFFFFF"/>
            <w:tcMar>
              <w:top w:w="25" w:type="dxa"/>
              <w:left w:w="55" w:type="dxa"/>
              <w:bottom w:w="25" w:type="dxa"/>
              <w:right w:w="55" w:type="dxa"/>
            </w:tcMar>
            <w:vAlign w:val="center"/>
          </w:tcPr>
          <w:p w14:paraId="6FB5C2EB" w14:textId="77777777" w:rsidR="00894D55" w:rsidRDefault="00B20FC1">
            <w:pPr>
              <w:spacing w:after="0"/>
            </w:pPr>
            <w:r>
              <w:rPr>
                <w:rFonts w:cs="Times New Roman"/>
              </w:rPr>
              <w:t>Assurance actors and professional/institutional evidence users</w:t>
            </w:r>
          </w:p>
        </w:tc>
        <w:tc>
          <w:tcPr>
            <w:tcW w:w="2551" w:type="dxa"/>
            <w:shd w:val="clear" w:color="auto" w:fill="FFFFFF"/>
            <w:tcMar>
              <w:top w:w="25" w:type="dxa"/>
              <w:left w:w="55" w:type="dxa"/>
              <w:bottom w:w="25" w:type="dxa"/>
              <w:right w:w="55" w:type="dxa"/>
            </w:tcMar>
            <w:vAlign w:val="center"/>
          </w:tcPr>
          <w:p w14:paraId="2B03B253" w14:textId="77777777" w:rsidR="00894D55" w:rsidRDefault="00B20FC1">
            <w:pPr>
              <w:spacing w:after="0"/>
            </w:pPr>
            <w:r>
              <w:rPr>
                <w:rFonts w:cs="Times New Roman"/>
              </w:rPr>
              <w:t>Auditable provenance, uncertainty, authority and failure semantics; potentially lower-cost rigorous evidence structuring with human authority retained.</w:t>
            </w:r>
          </w:p>
        </w:tc>
        <w:tc>
          <w:tcPr>
            <w:tcW w:w="2551" w:type="dxa"/>
            <w:shd w:val="clear" w:color="auto" w:fill="FFFFFF"/>
            <w:tcMar>
              <w:top w:w="25" w:type="dxa"/>
              <w:left w:w="55" w:type="dxa"/>
              <w:bottom w:w="25" w:type="dxa"/>
              <w:right w:w="55" w:type="dxa"/>
            </w:tcMar>
            <w:vAlign w:val="center"/>
          </w:tcPr>
          <w:p w14:paraId="47DCE4DB" w14:textId="77777777" w:rsidR="00894D55" w:rsidRDefault="00B20FC1">
            <w:pPr>
              <w:spacing w:after="0"/>
            </w:pPr>
            <w:r>
              <w:rPr>
                <w:rFonts w:cs="Times New Roman"/>
              </w:rPr>
              <w:t>Trustworthiness mechanisms, transparent evaluation and application shaping.</w:t>
            </w:r>
          </w:p>
        </w:tc>
        <w:tc>
          <w:tcPr>
            <w:tcW w:w="2551" w:type="dxa"/>
            <w:shd w:val="clear" w:color="auto" w:fill="FFFFFF"/>
            <w:tcMar>
              <w:top w:w="25" w:type="dxa"/>
              <w:left w:w="55" w:type="dxa"/>
              <w:bottom w:w="25" w:type="dxa"/>
              <w:right w:w="55" w:type="dxa"/>
            </w:tcMar>
            <w:vAlign w:val="center"/>
          </w:tcPr>
          <w:p w14:paraId="00448313" w14:textId="77777777" w:rsidR="00894D55" w:rsidRDefault="00B20FC1">
            <w:pPr>
              <w:spacing w:after="0"/>
            </w:pPr>
            <w:r>
              <w:rPr>
                <w:rFonts w:cs="Times New Roman"/>
              </w:rPr>
              <w:t>Provenance/failure coverage; professional time and provider cost per validated workflow; workflow classes validated.</w:t>
            </w:r>
          </w:p>
        </w:tc>
      </w:tr>
      <w:tr w:rsidR="00894D55" w14:paraId="5A3947B4" w14:textId="77777777">
        <w:trPr>
          <w:jc w:val="center"/>
        </w:trPr>
        <w:tc>
          <w:tcPr>
            <w:tcW w:w="2551" w:type="dxa"/>
            <w:shd w:val="clear" w:color="auto" w:fill="FFFFFF"/>
            <w:tcMar>
              <w:top w:w="25" w:type="dxa"/>
              <w:left w:w="55" w:type="dxa"/>
              <w:bottom w:w="25" w:type="dxa"/>
              <w:right w:w="55" w:type="dxa"/>
            </w:tcMar>
            <w:vAlign w:val="center"/>
          </w:tcPr>
          <w:p w14:paraId="443F269B" w14:textId="77777777" w:rsidR="00894D55" w:rsidRDefault="00B20FC1">
            <w:pPr>
              <w:spacing w:after="0"/>
            </w:pPr>
            <w:r>
              <w:rPr>
                <w:rFonts w:cs="Times New Roman"/>
              </w:rPr>
              <w:t>European AI integrators, SMEs and public/critical infrastructures</w:t>
            </w:r>
          </w:p>
        </w:tc>
        <w:tc>
          <w:tcPr>
            <w:tcW w:w="2551" w:type="dxa"/>
            <w:shd w:val="clear" w:color="auto" w:fill="FFFFFF"/>
            <w:tcMar>
              <w:top w:w="25" w:type="dxa"/>
              <w:left w:w="55" w:type="dxa"/>
              <w:bottom w:w="25" w:type="dxa"/>
              <w:right w:w="55" w:type="dxa"/>
            </w:tcMar>
            <w:vAlign w:val="center"/>
          </w:tcPr>
          <w:p w14:paraId="45B8D0EA" w14:textId="77777777" w:rsidR="00894D55" w:rsidRDefault="00B20FC1">
            <w:pPr>
              <w:spacing w:after="0"/>
            </w:pPr>
            <w:r>
              <w:rPr>
                <w:rFonts w:cs="Times New Roman"/>
              </w:rPr>
              <w:t xml:space="preserve">Provider-substitutable stacks with </w:t>
            </w:r>
            <w:proofErr w:type="spellStart"/>
            <w:r>
              <w:rPr>
                <w:rFonts w:cs="Times New Roman"/>
              </w:rPr>
              <w:t>organisation</w:t>
            </w:r>
            <w:proofErr w:type="spellEnd"/>
            <w:r>
              <w:rPr>
                <w:rFonts w:cs="Times New Roman"/>
              </w:rPr>
              <w:t>-owned continuity, routing and authority; selective frontier compute.</w:t>
            </w:r>
          </w:p>
        </w:tc>
        <w:tc>
          <w:tcPr>
            <w:tcW w:w="2551" w:type="dxa"/>
            <w:shd w:val="clear" w:color="auto" w:fill="FFFFFF"/>
            <w:tcMar>
              <w:top w:w="25" w:type="dxa"/>
              <w:left w:w="55" w:type="dxa"/>
              <w:bottom w:w="25" w:type="dxa"/>
              <w:right w:w="55" w:type="dxa"/>
            </w:tcMar>
            <w:vAlign w:val="center"/>
          </w:tcPr>
          <w:p w14:paraId="5E337B38" w14:textId="77777777" w:rsidR="00894D55" w:rsidRDefault="00B20FC1">
            <w:pPr>
              <w:spacing w:after="0"/>
            </w:pPr>
            <w:r>
              <w:rPr>
                <w:rFonts w:cs="Times New Roman"/>
              </w:rPr>
              <w:t>Constrained-resource cognitive AI; European sovereignty and competitiveness.</w:t>
            </w:r>
          </w:p>
        </w:tc>
        <w:tc>
          <w:tcPr>
            <w:tcW w:w="2551" w:type="dxa"/>
            <w:shd w:val="clear" w:color="auto" w:fill="FFFFFF"/>
            <w:tcMar>
              <w:top w:w="25" w:type="dxa"/>
              <w:left w:w="55" w:type="dxa"/>
              <w:bottom w:w="25" w:type="dxa"/>
              <w:right w:w="55" w:type="dxa"/>
            </w:tcMar>
            <w:vAlign w:val="center"/>
          </w:tcPr>
          <w:p w14:paraId="780B07DB" w14:textId="77777777" w:rsidR="00894D55" w:rsidRDefault="00B20FC1">
            <w:pPr>
              <w:spacing w:after="0"/>
            </w:pPr>
            <w:r>
              <w:rPr>
                <w:rFonts w:cs="Times New Roman"/>
              </w:rPr>
              <w:t>Provider substitution; local/frontier continuity; compute/cost/time subject to unchanged capability and safety floors.</w:t>
            </w:r>
          </w:p>
        </w:tc>
      </w:tr>
      <w:tr w:rsidR="00C5764E" w14:paraId="2925276F" w14:textId="77777777">
        <w:trPr>
          <w:jc w:val="center"/>
        </w:trPr>
        <w:tc>
          <w:tcPr>
            <w:tcW w:w="2470" w:type="dxa"/>
          </w:tcPr>
          <w:p w14:paraId="6280BB00" w14:textId="77777777" w:rsidR="00C5764E" w:rsidRDefault="00605D23">
            <w:pPr>
              <w:spacing w:after="0"/>
            </w:pPr>
            <w:r>
              <w:t>Robotics, autonomous-systems and human-machine integration developers</w:t>
            </w:r>
          </w:p>
        </w:tc>
        <w:tc>
          <w:tcPr>
            <w:tcW w:w="2744" w:type="dxa"/>
          </w:tcPr>
          <w:p w14:paraId="7F92DD71" w14:textId="77777777" w:rsidR="00C5764E" w:rsidRDefault="00605D23">
            <w:pPr>
              <w:spacing w:after="0"/>
            </w:pPr>
            <w:r>
              <w:t>Persistent, auditable cognitive state across perception-action loops, provider loss/recovery and constrained local/frontier capability.</w:t>
            </w:r>
          </w:p>
        </w:tc>
        <w:tc>
          <w:tcPr>
            <w:tcW w:w="2762" w:type="dxa"/>
          </w:tcPr>
          <w:p w14:paraId="40462E37" w14:textId="77777777" w:rsidR="00C5764E" w:rsidRDefault="00605D23">
            <w:pPr>
              <w:spacing w:after="0"/>
            </w:pPr>
            <w:r>
              <w:t>Real-world Deep Planning, human-robot interaction, trustworthy physical AI and Common Pilots.</w:t>
            </w:r>
          </w:p>
        </w:tc>
        <w:tc>
          <w:tcPr>
            <w:tcW w:w="2340" w:type="dxa"/>
          </w:tcPr>
          <w:p w14:paraId="5F67B8B0" w14:textId="77777777" w:rsidR="00C5764E" w:rsidRDefault="00605D23">
            <w:pPr>
              <w:spacing w:after="0"/>
            </w:pPr>
            <w:r>
              <w:t>Physical invariant classes preserved; action-authority integrity; recovery under perturbation; latency/energy/compute overhead.</w:t>
            </w:r>
          </w:p>
        </w:tc>
      </w:tr>
    </w:tbl>
    <w:p w14:paraId="11668B98" w14:textId="77777777" w:rsidR="00894D55" w:rsidRDefault="00B20FC1">
      <w:r>
        <w:rPr>
          <w:rFonts w:cs="Times New Roman"/>
        </w:rPr>
        <w:t xml:space="preserve">Scale will be quantified primarily through validated technical reach rather than speculative market size: diversity and number of independent cognitive architectures, domains, languages, modalities and providers; external and </w:t>
      </w:r>
      <w:proofErr w:type="spellStart"/>
      <w:r>
        <w:rPr>
          <w:rFonts w:cs="Times New Roman"/>
        </w:rPr>
        <w:t>DeepRAP</w:t>
      </w:r>
      <w:proofErr w:type="spellEnd"/>
      <w:r>
        <w:rPr>
          <w:rFonts w:cs="Times New Roman"/>
        </w:rPr>
        <w:t xml:space="preserve"> integrations; benchmark reuse; adapter semantic burden; independently reproduced frozen evidence packages; and, where meaningful, professional time, latency and computational resources per validated workflow. Significance will be assessed by the value and integrity of the capability obtained: discrimination between intended matches and non-matches, preservation of provenance and uncertainty, resistance to hidden ontology reconstruction, continuity under provider substitution, authority integrity under failure, and resource changes at an unchanged capability/safety floor. Baselines will include native-system execution, shared-ontology or representation baselines where appropriate, and the frozen v2.2.0 DEVELOPMENT baseline. All project-level quantities will be labelled as measured, derived, scenario or future estimates, with assumptions and uncertainty stated explicitly.</w:t>
      </w:r>
    </w:p>
    <w:p w14:paraId="2605F786" w14:textId="77777777" w:rsidR="00894D55" w:rsidRDefault="00B20FC1">
      <w:pPr>
        <w:keepNext/>
        <w:spacing w:before="60" w:after="40"/>
      </w:pPr>
      <w:r>
        <w:rPr>
          <w:rFonts w:cs="Times New Roman"/>
          <w:b/>
        </w:rPr>
        <w:t>Long-term pathways, external barriers and safeguards</w:t>
      </w:r>
    </w:p>
    <w:p w14:paraId="4DF59716" w14:textId="77777777" w:rsidR="00894D55" w:rsidRDefault="00B20FC1">
      <w:pPr>
        <w:spacing w:after="0"/>
      </w:pPr>
      <w:r>
        <w:t>Beyond M36, continuation into embodied and functional decision research is defined as a conditional research pathway whose breadth is fixed by Year 3. A positive embodied result supports persistent cognitive architectures for physical agents with replaceable semantic/perceptual capabilities, explicit action authority and multimodal state, followed by research on a functional decision layer that selects among structurally viable trajectories under real constraints. A narrowed or negative embodied result redirects the same programme toward the validated boundary: constrained human-machine systems, assistive/prosthetic interfaces, simulation, supervised robotics or decision-support settings in which the failed invariant is not assumed. The DeepRAP result therefore determines how ambitious the continuation can legitimately be without making any external research programme a dependency, deliverable or claim of MDPAR-H.</w:t>
      </w:r>
    </w:p>
    <w:p w14:paraId="61B204CD" w14:textId="77777777" w:rsidR="00C5764E" w:rsidRDefault="00605D23">
      <w:r>
        <w:t>The reason embodiment is placed last is evidential, not promotional. Year 1 massively extends the controlled symbolic regime already explored by C0-C12 and the Swagger surface under prospective freeze, held-outs and richer metrology. Year 2 removes common-design dependence and tests whether the structure survives independently engineered cognitive systems. Only Year 3 asks the stronger conditional question: whether evidence obtained in symbolic and simulated settings survives physical perception, action, irreversibility, energy and safety constraints. A positive answer would justify treating embodiment as the beginning of a new engineering programme rather than the terminal demonstration of this proposal; a negative answer would specify which lower-level branch remains scientifically warranted.</w:t>
      </w:r>
    </w:p>
    <w:p w14:paraId="056F1633" w14:textId="77777777" w:rsidR="00894D55" w:rsidRDefault="00B20FC1">
      <w:r>
        <w:rPr>
          <w:rFonts w:cs="Times New Roman"/>
        </w:rPr>
        <w:t xml:space="preserve">Potential negative impacts are part of the impact model. Structural analysis could be used to give a predetermined conclusion an appearance of objectivity, amplify automation bias, expose sensitive evidence, </w:t>
      </w:r>
      <w:proofErr w:type="spellStart"/>
      <w:r>
        <w:rPr>
          <w:rFonts w:cs="Times New Roman"/>
        </w:rPr>
        <w:t>centralise</w:t>
      </w:r>
      <w:proofErr w:type="spellEnd"/>
      <w:r>
        <w:rPr>
          <w:rFonts w:cs="Times New Roman"/>
        </w:rPr>
        <w:t xml:space="preserve"> cognitive infrastructure, or be mistaken for legal, medical, regulatory or safety authority. The mitigation is architectural and procedural: OPEN observations do not acquire factual authority merely by entering the system; uncertainty, </w:t>
      </w:r>
      <w:r>
        <w:rPr>
          <w:rFonts w:cs="Times New Roman"/>
        </w:rPr>
        <w:lastRenderedPageBreak/>
        <w:t xml:space="preserve">missing evidence and unexamined surfaces remain explicit; provenance and negative evidence are retained; canonical findings cannot be rewritten by a fluent report layer; access and sensitive-data handling are use-case controlled; and competent humans or institutions remain responsible for domain conclusions. Contestability - the ability to reconstruct and challenge the chain from evidence to inference and from inference to </w:t>
      </w:r>
      <w:proofErr w:type="spellStart"/>
      <w:r>
        <w:rPr>
          <w:rFonts w:cs="Times New Roman"/>
        </w:rPr>
        <w:t>authorised</w:t>
      </w:r>
      <w:proofErr w:type="spellEnd"/>
      <w:r>
        <w:rPr>
          <w:rFonts w:cs="Times New Roman"/>
        </w:rPr>
        <w:t xml:space="preserve"> action - is therefore both a trustworthiness requirement and a societal impact target.</w:t>
      </w:r>
    </w:p>
    <w:p w14:paraId="11B36152" w14:textId="77777777" w:rsidR="00894D55" w:rsidRDefault="00B20FC1">
      <w:pPr>
        <w:keepNext/>
        <w:spacing w:before="120"/>
      </w:pPr>
      <w:r>
        <w:rPr>
          <w:rFonts w:cs="Times New Roman"/>
          <w:b/>
        </w:rPr>
        <w:t>2.2</w:t>
      </w:r>
      <w:r>
        <w:rPr>
          <w:rFonts w:cs="Times New Roman"/>
          <w:b/>
        </w:rPr>
        <w:tab/>
        <w:t>Innovation potential</w:t>
      </w:r>
    </w:p>
    <w:p w14:paraId="29A94282" w14:textId="77777777" w:rsidR="00894D55" w:rsidRDefault="00B20FC1">
      <w:pPr>
        <w:keepNext/>
        <w:spacing w:before="60" w:after="40"/>
      </w:pPr>
      <w:r>
        <w:rPr>
          <w:rFonts w:cs="Times New Roman"/>
          <w:b/>
        </w:rPr>
        <w:t>Innovation-to-exploitation logic</w:t>
      </w:r>
    </w:p>
    <w:p w14:paraId="5D694626" w14:textId="77777777" w:rsidR="00894D55" w:rsidRDefault="00B20FC1">
      <w:r>
        <w:rPr>
          <w:rFonts w:cs="Times New Roman"/>
        </w:rPr>
        <w:t xml:space="preserve">MDPAR-H is designed so that exploitation follows the scientific gates rather than presupposing their outcome. The project will not </w:t>
      </w:r>
      <w:proofErr w:type="spellStart"/>
      <w:r>
        <w:rPr>
          <w:rFonts w:cs="Times New Roman"/>
        </w:rPr>
        <w:t>commercialise</w:t>
      </w:r>
      <w:proofErr w:type="spellEnd"/>
      <w:r>
        <w:rPr>
          <w:rFonts w:cs="Times New Roman"/>
        </w:rPr>
        <w:t xml:space="preserve"> the MDPAR Hypothesis; it will convert the mechanisms, interfaces, metrology and domain-of-validity evidence that survive falsification into exploitable assets. If cross-system independence is established, the highest-value innovation is a cognitive control and measurement layer in which heterogeneous semantic providers can be integrated, substituted and audited while structural continuity, provenance, certification and operational authority remain with the deploying </w:t>
      </w:r>
      <w:proofErr w:type="spellStart"/>
      <w:r>
        <w:rPr>
          <w:rFonts w:cs="Times New Roman"/>
        </w:rPr>
        <w:t>organisation</w:t>
      </w:r>
      <w:proofErr w:type="spellEnd"/>
      <w:r>
        <w:rPr>
          <w:rFonts w:cs="Times New Roman"/>
        </w:rPr>
        <w:t>. If support is narrower, exploitation is restricted to the validated domain. If the strongest universality claim is falsified, benchmarks, failure taxonomies, comparative metrology, provenance/authority mechanisms and assurance tooling remain independently exploitable.</w:t>
      </w:r>
    </w:p>
    <w:p w14:paraId="2AB5003D" w14:textId="77777777" w:rsidR="00894D55" w:rsidRDefault="00B20FC1">
      <w:pPr>
        <w:keepNext/>
        <w:spacing w:before="60" w:after="40"/>
      </w:pPr>
      <w:r>
        <w:rPr>
          <w:rFonts w:cs="Times New Roman"/>
          <w:b/>
        </w:rPr>
        <w:t>Background IP, project results and access rights</w:t>
      </w:r>
    </w:p>
    <w:p w14:paraId="7CD6F53B" w14:textId="77777777" w:rsidR="00894D55" w:rsidRDefault="00B20FC1">
      <w:pPr>
        <w:spacing w:after="0"/>
      </w:pPr>
      <w:r>
        <w:t>Pre-existing MDPAR v2.2.0 will be declared as Background IP rather than as a project result. This Background includes the SCC/trajectory formalism and implementation; runtime, parser, engine, routing and plugin architecture; OPEN/CLOSED and longitudinal mechanisms; C0-C12 evidence infrastructure; the v2.2.0 Swagger assessment surface and associated implementation know-how. Earlier v2.0.0/v2.1.0 states remain historical experimental cuts, not the Background baseline submitted for MDPAR-H. Project-generated results may include prospectively validated invariant classes, metrology, benchmark/task generators, interoperability schemas, adapter protocols, assurance methods, embodied mechanisms, software components and the TRL4 integration. Ownership will follow Horizon Europe rules and actual beneficiary contributions. Project governance and bilateral cooperation/access agreements will identify Background required for implementation and exploitation, define access rights, and ensure that cross-project validation does not imply transfer of proprietary source code or native internal representations. A living results-ownership and access-rights register will be maintained from project start.</w:t>
      </w:r>
    </w:p>
    <w:p w14:paraId="5D8AC6CD" w14:textId="77777777" w:rsidR="00894D55" w:rsidRDefault="00B20FC1">
      <w:pPr>
        <w:keepNext/>
        <w:spacing w:before="60" w:after="40"/>
      </w:pPr>
      <w:r>
        <w:rPr>
          <w:rFonts w:cs="Times New Roman"/>
          <w:b/>
        </w:rPr>
        <w:t>Protection strategy: open science where needed, protected implementation where valuable</w:t>
      </w:r>
    </w:p>
    <w:p w14:paraId="2FF995BE" w14:textId="77777777" w:rsidR="00894D55" w:rsidRDefault="00B20FC1">
      <w:r>
        <w:rPr>
          <w:rFonts w:cs="Times New Roman"/>
        </w:rPr>
        <w:t xml:space="preserve">The protection strategy is layered because scientific scrutiny and commercial differentiation concern different objects. Hypotheses, preregistered confirmatory criteria, benchmark definitions, negative/boundary results and sufficient evidence for independent scrutiny will follow the Open Science and FAIR commitments in Section 1.3. The production implementation need not therefore become open source. Background and project-generated software may be protected through copyright, controlled access, confidential know-how and contractual licensing; project-generated technical inventions will undergo novelty, inventorship, patentability and freedom-to-operate review before public disclosure. Patent protection will be pursued only for concrete technical inventions where it improves exploitation and is compatible with disclosure obligations; no assumption is made that mathematical or scientific claims are patentable. Third-party software, models/APIs, datasets and robotics components will be </w:t>
      </w:r>
      <w:proofErr w:type="spellStart"/>
      <w:r>
        <w:rPr>
          <w:rFonts w:cs="Times New Roman"/>
        </w:rPr>
        <w:t>licence</w:t>
      </w:r>
      <w:proofErr w:type="spellEnd"/>
      <w:r>
        <w:rPr>
          <w:rFonts w:cs="Times New Roman"/>
        </w:rPr>
        <w:t>- and dependency-audited before becoming exploitation-critical.</w:t>
      </w:r>
    </w:p>
    <w:p w14:paraId="14F269C0" w14:textId="77777777" w:rsidR="00894D55" w:rsidRDefault="00B20FC1">
      <w:pPr>
        <w:keepNext/>
        <w:spacing w:before="60" w:after="40"/>
      </w:pPr>
      <w:r>
        <w:rPr>
          <w:rFonts w:cs="Times New Roman"/>
          <w:b/>
        </w:rPr>
        <w:t>Exploitation routes and business-model optionality</w:t>
      </w:r>
    </w:p>
    <w:p w14:paraId="32CFA86B" w14:textId="77777777" w:rsidR="00894D55" w:rsidRDefault="00B20FC1">
      <w:r>
        <w:t>The project will preserve business-model optionality until scientific scope and adopter evidence justify concentration. The nearest route is professional or institutional evidence assessment, where MDPAR augments a responsible expert and exposes the evidence-to-inference chain. A second route is enterprise/on-premise cognitive infrastructure for organisations requiring organisation-owned continuity, sensitive-data control and provider-neutral operation. A third is runtime/API or SDK licensing to AI integrators through the canonical assessment and interoperability contracts. A fourth is assurance/evaluation tooling based on structural comparability, provenance, semantic leakage, certification, authority, degradation and reproducibility metrics. Year-3 embodiment determines the scale of a fifth route rather than its existence: positive physical invariance supports embedded/OEM integration in autonomous or robotic systems, whereas a narrowed result supports constrained supervised, assistive, simulation or human-machine integration within the validated boundary. Revenue models may include professional services, enterprise licences, usage-based APIs, support/validation contracts and OEM licensing, but pricing and market claims will be tied to validated capability and deployment economics rather than to token resale or speculative universality.</w:t>
      </w:r>
    </w:p>
    <w:p w14:paraId="637CD727" w14:textId="77777777" w:rsidR="00894D55" w:rsidRDefault="00B20FC1">
      <w:pPr>
        <w:keepNext/>
        <w:spacing w:before="60" w:after="40"/>
      </w:pPr>
      <w:r>
        <w:rPr>
          <w:rFonts w:cs="Times New Roman"/>
          <w:b/>
        </w:rPr>
        <w:lastRenderedPageBreak/>
        <w:t>Results exploitation matrix</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1928"/>
        <w:gridCol w:w="2503"/>
        <w:gridCol w:w="2551"/>
        <w:gridCol w:w="2608"/>
      </w:tblGrid>
      <w:tr w:rsidR="00894D55" w14:paraId="21D0B111" w14:textId="77777777">
        <w:trPr>
          <w:tblHeader/>
          <w:jc w:val="center"/>
        </w:trPr>
        <w:tc>
          <w:tcPr>
            <w:tcW w:w="1928" w:type="dxa"/>
            <w:shd w:val="clear" w:color="auto" w:fill="E7E6E6"/>
            <w:tcMar>
              <w:top w:w="50" w:type="dxa"/>
              <w:left w:w="70" w:type="dxa"/>
              <w:bottom w:w="50" w:type="dxa"/>
              <w:right w:w="70" w:type="dxa"/>
            </w:tcMar>
            <w:vAlign w:val="center"/>
          </w:tcPr>
          <w:p w14:paraId="4756DB8B" w14:textId="77777777" w:rsidR="00894D55" w:rsidRDefault="00B20FC1">
            <w:pPr>
              <w:keepNext/>
              <w:spacing w:after="0"/>
            </w:pPr>
            <w:r>
              <w:rPr>
                <w:rFonts w:cs="Times New Roman"/>
                <w:b/>
              </w:rPr>
              <w:t>Result / asset</w:t>
            </w:r>
          </w:p>
        </w:tc>
        <w:tc>
          <w:tcPr>
            <w:tcW w:w="2494" w:type="dxa"/>
            <w:shd w:val="clear" w:color="auto" w:fill="E7E6E6"/>
            <w:tcMar>
              <w:top w:w="50" w:type="dxa"/>
              <w:left w:w="70" w:type="dxa"/>
              <w:bottom w:w="50" w:type="dxa"/>
              <w:right w:w="70" w:type="dxa"/>
            </w:tcMar>
            <w:vAlign w:val="center"/>
          </w:tcPr>
          <w:p w14:paraId="6A313E4F" w14:textId="77777777" w:rsidR="00894D55" w:rsidRDefault="00B20FC1">
            <w:pPr>
              <w:keepNext/>
              <w:spacing w:after="0"/>
            </w:pPr>
            <w:r>
              <w:rPr>
                <w:rFonts w:cs="Times New Roman"/>
                <w:b/>
              </w:rPr>
              <w:t>IP and disclosure position</w:t>
            </w:r>
          </w:p>
        </w:tc>
        <w:tc>
          <w:tcPr>
            <w:tcW w:w="2551" w:type="dxa"/>
            <w:shd w:val="clear" w:color="auto" w:fill="E7E6E6"/>
            <w:tcMar>
              <w:top w:w="50" w:type="dxa"/>
              <w:left w:w="70" w:type="dxa"/>
              <w:bottom w:w="50" w:type="dxa"/>
              <w:right w:w="70" w:type="dxa"/>
            </w:tcMar>
            <w:vAlign w:val="center"/>
          </w:tcPr>
          <w:p w14:paraId="7E303C3B" w14:textId="77777777" w:rsidR="00894D55" w:rsidRDefault="00B20FC1">
            <w:pPr>
              <w:keepNext/>
              <w:spacing w:after="0"/>
            </w:pPr>
            <w:r>
              <w:rPr>
                <w:rFonts w:cs="Times New Roman"/>
                <w:b/>
              </w:rPr>
              <w:t>Primary exploitation route</w:t>
            </w:r>
          </w:p>
        </w:tc>
        <w:tc>
          <w:tcPr>
            <w:tcW w:w="2608" w:type="dxa"/>
            <w:shd w:val="clear" w:color="auto" w:fill="E7E6E6"/>
            <w:tcMar>
              <w:top w:w="50" w:type="dxa"/>
              <w:left w:w="70" w:type="dxa"/>
              <w:bottom w:w="50" w:type="dxa"/>
              <w:right w:w="70" w:type="dxa"/>
            </w:tcMar>
            <w:vAlign w:val="center"/>
          </w:tcPr>
          <w:p w14:paraId="1B8393FA" w14:textId="77777777" w:rsidR="00894D55" w:rsidRDefault="00B20FC1">
            <w:pPr>
              <w:keepNext/>
              <w:spacing w:after="0"/>
            </w:pPr>
            <w:r>
              <w:rPr>
                <w:rFonts w:cs="Times New Roman"/>
                <w:b/>
              </w:rPr>
              <w:t>Evidence needed for transition</w:t>
            </w:r>
          </w:p>
        </w:tc>
      </w:tr>
      <w:tr w:rsidR="00894D55" w14:paraId="4D2D18B2" w14:textId="77777777">
        <w:trPr>
          <w:jc w:val="center"/>
        </w:trPr>
        <w:tc>
          <w:tcPr>
            <w:tcW w:w="1928" w:type="dxa"/>
            <w:shd w:val="clear" w:color="auto" w:fill="FFFFFF"/>
            <w:tcMar>
              <w:top w:w="50" w:type="dxa"/>
              <w:left w:w="70" w:type="dxa"/>
              <w:bottom w:w="50" w:type="dxa"/>
              <w:right w:w="70" w:type="dxa"/>
            </w:tcMar>
            <w:vAlign w:val="center"/>
          </w:tcPr>
          <w:p w14:paraId="5E25AB72" w14:textId="77777777" w:rsidR="00894D55" w:rsidRDefault="00B20FC1">
            <w:pPr>
              <w:spacing w:after="0"/>
            </w:pPr>
            <w:r>
              <w:rPr>
                <w:rFonts w:cs="Times New Roman"/>
              </w:rPr>
              <w:t>MDPAR v2.2.0 runtime and pre-existing know-how</w:t>
            </w:r>
          </w:p>
        </w:tc>
        <w:tc>
          <w:tcPr>
            <w:tcW w:w="2494" w:type="dxa"/>
            <w:shd w:val="clear" w:color="auto" w:fill="FFFFFF"/>
            <w:tcMar>
              <w:top w:w="50" w:type="dxa"/>
              <w:left w:w="70" w:type="dxa"/>
              <w:bottom w:w="50" w:type="dxa"/>
              <w:right w:w="70" w:type="dxa"/>
            </w:tcMar>
            <w:vAlign w:val="center"/>
          </w:tcPr>
          <w:p w14:paraId="662F1F2F" w14:textId="77777777" w:rsidR="00894D55" w:rsidRDefault="00B20FC1">
            <w:pPr>
              <w:spacing w:after="0"/>
            </w:pPr>
            <w:r>
              <w:rPr>
                <w:rFonts w:cs="Times New Roman"/>
              </w:rPr>
              <w:t>Background IP; copyright, controlled access and confidential know-how as applicable.</w:t>
            </w:r>
          </w:p>
        </w:tc>
        <w:tc>
          <w:tcPr>
            <w:tcW w:w="2551" w:type="dxa"/>
            <w:shd w:val="clear" w:color="auto" w:fill="FFFFFF"/>
            <w:tcMar>
              <w:top w:w="50" w:type="dxa"/>
              <w:left w:w="70" w:type="dxa"/>
              <w:bottom w:w="50" w:type="dxa"/>
              <w:right w:w="70" w:type="dxa"/>
            </w:tcMar>
            <w:vAlign w:val="center"/>
          </w:tcPr>
          <w:p w14:paraId="38CC480F" w14:textId="77777777" w:rsidR="00894D55" w:rsidRDefault="00B20FC1">
            <w:pPr>
              <w:spacing w:after="0"/>
            </w:pPr>
            <w:r>
              <w:rPr>
                <w:rFonts w:cs="Times New Roman"/>
              </w:rPr>
              <w:t>Professional/enterprise deployment; runtime/API licensing.</w:t>
            </w:r>
          </w:p>
        </w:tc>
        <w:tc>
          <w:tcPr>
            <w:tcW w:w="2608" w:type="dxa"/>
            <w:shd w:val="clear" w:color="auto" w:fill="FFFFFF"/>
            <w:tcMar>
              <w:top w:w="50" w:type="dxa"/>
              <w:left w:w="70" w:type="dxa"/>
              <w:bottom w:w="50" w:type="dxa"/>
              <w:right w:w="70" w:type="dxa"/>
            </w:tcMar>
            <w:vAlign w:val="center"/>
          </w:tcPr>
          <w:p w14:paraId="0FF53634" w14:textId="77777777" w:rsidR="00894D55" w:rsidRDefault="00B20FC1">
            <w:pPr>
              <w:spacing w:after="0"/>
            </w:pPr>
            <w:r>
              <w:rPr>
                <w:rFonts w:cs="Times New Roman"/>
              </w:rPr>
              <w:t xml:space="preserve">Documented access rights; FTO and third-party </w:t>
            </w:r>
            <w:proofErr w:type="spellStart"/>
            <w:r>
              <w:rPr>
                <w:rFonts w:cs="Times New Roman"/>
              </w:rPr>
              <w:t>licence</w:t>
            </w:r>
            <w:proofErr w:type="spellEnd"/>
            <w:r>
              <w:rPr>
                <w:rFonts w:cs="Times New Roman"/>
              </w:rPr>
              <w:t xml:space="preserve"> audit.</w:t>
            </w:r>
          </w:p>
        </w:tc>
      </w:tr>
      <w:tr w:rsidR="00894D55" w14:paraId="3B45719D" w14:textId="77777777">
        <w:trPr>
          <w:jc w:val="center"/>
        </w:trPr>
        <w:tc>
          <w:tcPr>
            <w:tcW w:w="1928" w:type="dxa"/>
            <w:shd w:val="clear" w:color="auto" w:fill="FFFFFF"/>
            <w:tcMar>
              <w:top w:w="50" w:type="dxa"/>
              <w:left w:w="70" w:type="dxa"/>
              <w:bottom w:w="50" w:type="dxa"/>
              <w:right w:w="70" w:type="dxa"/>
            </w:tcMar>
            <w:vAlign w:val="center"/>
          </w:tcPr>
          <w:p w14:paraId="56193A28" w14:textId="77777777" w:rsidR="00894D55" w:rsidRDefault="00B20FC1">
            <w:pPr>
              <w:spacing w:after="0"/>
            </w:pPr>
            <w:r>
              <w:rPr>
                <w:rFonts w:cs="Times New Roman"/>
              </w:rPr>
              <w:t>MDPAR-H scientific findings and domain-of-validity map</w:t>
            </w:r>
          </w:p>
        </w:tc>
        <w:tc>
          <w:tcPr>
            <w:tcW w:w="2494" w:type="dxa"/>
            <w:shd w:val="clear" w:color="auto" w:fill="FFFFFF"/>
            <w:tcMar>
              <w:top w:w="50" w:type="dxa"/>
              <w:left w:w="70" w:type="dxa"/>
              <w:bottom w:w="50" w:type="dxa"/>
              <w:right w:w="70" w:type="dxa"/>
            </w:tcMar>
            <w:vAlign w:val="center"/>
          </w:tcPr>
          <w:p w14:paraId="20D8F40A" w14:textId="77777777" w:rsidR="00894D55" w:rsidRDefault="00B20FC1">
            <w:pPr>
              <w:spacing w:after="0"/>
            </w:pPr>
            <w:r>
              <w:rPr>
                <w:rFonts w:cs="Times New Roman"/>
              </w:rPr>
              <w:t>Open scientific result subject to protection review before disclosure of technical inventions.</w:t>
            </w:r>
          </w:p>
        </w:tc>
        <w:tc>
          <w:tcPr>
            <w:tcW w:w="2551" w:type="dxa"/>
            <w:shd w:val="clear" w:color="auto" w:fill="FFFFFF"/>
            <w:tcMar>
              <w:top w:w="50" w:type="dxa"/>
              <w:left w:w="70" w:type="dxa"/>
              <w:bottom w:w="50" w:type="dxa"/>
              <w:right w:w="70" w:type="dxa"/>
            </w:tcMar>
            <w:vAlign w:val="center"/>
          </w:tcPr>
          <w:p w14:paraId="3E16DF80" w14:textId="77777777" w:rsidR="00894D55" w:rsidRDefault="00B20FC1">
            <w:pPr>
              <w:spacing w:after="0"/>
            </w:pPr>
            <w:r>
              <w:rPr>
                <w:rFonts w:cs="Times New Roman"/>
              </w:rPr>
              <w:t>Scientific uptake; credibility and demand generation; future R&amp;I.</w:t>
            </w:r>
          </w:p>
        </w:tc>
        <w:tc>
          <w:tcPr>
            <w:tcW w:w="2608" w:type="dxa"/>
            <w:shd w:val="clear" w:color="auto" w:fill="FFFFFF"/>
            <w:tcMar>
              <w:top w:w="50" w:type="dxa"/>
              <w:left w:w="70" w:type="dxa"/>
              <w:bottom w:w="50" w:type="dxa"/>
              <w:right w:w="70" w:type="dxa"/>
            </w:tcMar>
            <w:vAlign w:val="center"/>
          </w:tcPr>
          <w:p w14:paraId="0E89105D" w14:textId="77777777" w:rsidR="00894D55" w:rsidRDefault="00B20FC1">
            <w:pPr>
              <w:spacing w:after="0"/>
            </w:pPr>
            <w:r>
              <w:rPr>
                <w:rFonts w:cs="Times New Roman"/>
              </w:rPr>
              <w:t>Independent replication and frozen evidence.</w:t>
            </w:r>
          </w:p>
        </w:tc>
      </w:tr>
      <w:tr w:rsidR="00894D55" w14:paraId="4D5667DA" w14:textId="77777777">
        <w:trPr>
          <w:jc w:val="center"/>
        </w:trPr>
        <w:tc>
          <w:tcPr>
            <w:tcW w:w="1928" w:type="dxa"/>
            <w:shd w:val="clear" w:color="auto" w:fill="FFFFFF"/>
            <w:tcMar>
              <w:top w:w="50" w:type="dxa"/>
              <w:left w:w="70" w:type="dxa"/>
              <w:bottom w:w="50" w:type="dxa"/>
              <w:right w:w="70" w:type="dxa"/>
            </w:tcMar>
            <w:vAlign w:val="center"/>
          </w:tcPr>
          <w:p w14:paraId="722465DB" w14:textId="77777777" w:rsidR="00894D55" w:rsidRDefault="00B20FC1">
            <w:pPr>
              <w:spacing w:after="0"/>
            </w:pPr>
            <w:r>
              <w:rPr>
                <w:rFonts w:cs="Times New Roman"/>
              </w:rPr>
              <w:t>Structural specifications, invariants and reporting conventions</w:t>
            </w:r>
          </w:p>
        </w:tc>
        <w:tc>
          <w:tcPr>
            <w:tcW w:w="2494" w:type="dxa"/>
            <w:shd w:val="clear" w:color="auto" w:fill="FFFFFF"/>
            <w:tcMar>
              <w:top w:w="50" w:type="dxa"/>
              <w:left w:w="70" w:type="dxa"/>
              <w:bottom w:w="50" w:type="dxa"/>
              <w:right w:w="70" w:type="dxa"/>
            </w:tcMar>
            <w:vAlign w:val="center"/>
          </w:tcPr>
          <w:p w14:paraId="796469E2" w14:textId="77777777" w:rsidR="00894D55" w:rsidRDefault="00B20FC1">
            <w:pPr>
              <w:spacing w:after="0"/>
            </w:pPr>
            <w:r>
              <w:rPr>
                <w:rFonts w:cs="Times New Roman"/>
              </w:rPr>
              <w:t>Mixed: open or licensable specifications; selective protection if implementation-specific.</w:t>
            </w:r>
          </w:p>
        </w:tc>
        <w:tc>
          <w:tcPr>
            <w:tcW w:w="2551" w:type="dxa"/>
            <w:shd w:val="clear" w:color="auto" w:fill="FFFFFF"/>
            <w:tcMar>
              <w:top w:w="50" w:type="dxa"/>
              <w:left w:w="70" w:type="dxa"/>
              <w:bottom w:w="50" w:type="dxa"/>
              <w:right w:w="70" w:type="dxa"/>
            </w:tcMar>
            <w:vAlign w:val="center"/>
          </w:tcPr>
          <w:p w14:paraId="1C3EEF86" w14:textId="77777777" w:rsidR="00894D55" w:rsidRDefault="00B20FC1">
            <w:pPr>
              <w:spacing w:after="0"/>
            </w:pPr>
            <w:r>
              <w:rPr>
                <w:rFonts w:cs="Times New Roman"/>
              </w:rPr>
              <w:t>Interoperability, assurance tooling, pre-normative contributions.</w:t>
            </w:r>
          </w:p>
        </w:tc>
        <w:tc>
          <w:tcPr>
            <w:tcW w:w="2608" w:type="dxa"/>
            <w:shd w:val="clear" w:color="auto" w:fill="FFFFFF"/>
            <w:tcMar>
              <w:top w:w="50" w:type="dxa"/>
              <w:left w:w="70" w:type="dxa"/>
              <w:bottom w:w="50" w:type="dxa"/>
              <w:right w:w="70" w:type="dxa"/>
            </w:tcMar>
            <w:vAlign w:val="center"/>
          </w:tcPr>
          <w:p w14:paraId="3577BB3A" w14:textId="77777777" w:rsidR="00894D55" w:rsidRDefault="00B20FC1">
            <w:pPr>
              <w:spacing w:after="0"/>
            </w:pPr>
            <w:r>
              <w:rPr>
                <w:rFonts w:cs="Times New Roman"/>
              </w:rPr>
              <w:t>Cross-system discrimination, low semantic leakage, reproducibility.</w:t>
            </w:r>
          </w:p>
        </w:tc>
      </w:tr>
      <w:tr w:rsidR="00894D55" w14:paraId="550AF142" w14:textId="77777777">
        <w:trPr>
          <w:jc w:val="center"/>
        </w:trPr>
        <w:tc>
          <w:tcPr>
            <w:tcW w:w="1928" w:type="dxa"/>
            <w:shd w:val="clear" w:color="auto" w:fill="FFFFFF"/>
            <w:tcMar>
              <w:top w:w="50" w:type="dxa"/>
              <w:left w:w="70" w:type="dxa"/>
              <w:bottom w:w="50" w:type="dxa"/>
              <w:right w:w="70" w:type="dxa"/>
            </w:tcMar>
            <w:vAlign w:val="center"/>
          </w:tcPr>
          <w:p w14:paraId="06DAF07D" w14:textId="77777777" w:rsidR="00894D55" w:rsidRDefault="00B20FC1">
            <w:pPr>
              <w:spacing w:after="0"/>
            </w:pPr>
            <w:r>
              <w:rPr>
                <w:rFonts w:cs="Times New Roman"/>
              </w:rPr>
              <w:t>Benchmarks and metrology</w:t>
            </w:r>
          </w:p>
        </w:tc>
        <w:tc>
          <w:tcPr>
            <w:tcW w:w="2494" w:type="dxa"/>
            <w:shd w:val="clear" w:color="auto" w:fill="FFFFFF"/>
            <w:tcMar>
              <w:top w:w="50" w:type="dxa"/>
              <w:left w:w="70" w:type="dxa"/>
              <w:bottom w:w="50" w:type="dxa"/>
              <w:right w:w="70" w:type="dxa"/>
            </w:tcMar>
            <w:vAlign w:val="center"/>
          </w:tcPr>
          <w:p w14:paraId="18489A2B" w14:textId="77777777" w:rsidR="00894D55" w:rsidRDefault="00B20FC1">
            <w:pPr>
              <w:spacing w:after="0"/>
            </w:pPr>
            <w:r>
              <w:rPr>
                <w:rFonts w:cs="Times New Roman"/>
              </w:rPr>
              <w:t>FAIR/open where legally possible; copyright/</w:t>
            </w:r>
            <w:proofErr w:type="spellStart"/>
            <w:r>
              <w:rPr>
                <w:rFonts w:cs="Times New Roman"/>
              </w:rPr>
              <w:t>licence</w:t>
            </w:r>
            <w:proofErr w:type="spellEnd"/>
            <w:r>
              <w:rPr>
                <w:rFonts w:cs="Times New Roman"/>
              </w:rPr>
              <w:t xml:space="preserve"> for reusable assets.</w:t>
            </w:r>
          </w:p>
        </w:tc>
        <w:tc>
          <w:tcPr>
            <w:tcW w:w="2551" w:type="dxa"/>
            <w:shd w:val="clear" w:color="auto" w:fill="FFFFFF"/>
            <w:tcMar>
              <w:top w:w="50" w:type="dxa"/>
              <w:left w:w="70" w:type="dxa"/>
              <w:bottom w:w="50" w:type="dxa"/>
              <w:right w:w="70" w:type="dxa"/>
            </w:tcMar>
            <w:vAlign w:val="center"/>
          </w:tcPr>
          <w:p w14:paraId="344F2449" w14:textId="77777777" w:rsidR="00894D55" w:rsidRDefault="00B20FC1">
            <w:pPr>
              <w:spacing w:after="0"/>
            </w:pPr>
            <w:proofErr w:type="spellStart"/>
            <w:r>
              <w:rPr>
                <w:rFonts w:cs="Times New Roman"/>
              </w:rPr>
              <w:t>DeepRAP</w:t>
            </w:r>
            <w:proofErr w:type="spellEnd"/>
            <w:r>
              <w:rPr>
                <w:rFonts w:cs="Times New Roman"/>
              </w:rPr>
              <w:t>/TEF evaluation; assurance and certification-support tooling.</w:t>
            </w:r>
          </w:p>
        </w:tc>
        <w:tc>
          <w:tcPr>
            <w:tcW w:w="2608" w:type="dxa"/>
            <w:shd w:val="clear" w:color="auto" w:fill="FFFFFF"/>
            <w:tcMar>
              <w:top w:w="50" w:type="dxa"/>
              <w:left w:w="70" w:type="dxa"/>
              <w:bottom w:w="50" w:type="dxa"/>
              <w:right w:w="70" w:type="dxa"/>
            </w:tcMar>
            <w:vAlign w:val="center"/>
          </w:tcPr>
          <w:p w14:paraId="5B2FD4FE" w14:textId="77777777" w:rsidR="00894D55" w:rsidRDefault="00B20FC1">
            <w:pPr>
              <w:spacing w:after="0"/>
            </w:pPr>
            <w:r>
              <w:rPr>
                <w:rFonts w:cs="Times New Roman"/>
              </w:rPr>
              <w:t>External reuse, benchmark validity and repeatability.</w:t>
            </w:r>
          </w:p>
        </w:tc>
      </w:tr>
      <w:tr w:rsidR="00894D55" w14:paraId="34DA6BAA" w14:textId="77777777">
        <w:trPr>
          <w:jc w:val="center"/>
        </w:trPr>
        <w:tc>
          <w:tcPr>
            <w:tcW w:w="1928" w:type="dxa"/>
            <w:shd w:val="clear" w:color="auto" w:fill="FFFFFF"/>
            <w:tcMar>
              <w:top w:w="50" w:type="dxa"/>
              <w:left w:w="70" w:type="dxa"/>
              <w:bottom w:w="50" w:type="dxa"/>
              <w:right w:w="70" w:type="dxa"/>
            </w:tcMar>
            <w:vAlign w:val="center"/>
          </w:tcPr>
          <w:p w14:paraId="1FD65AC7" w14:textId="77777777" w:rsidR="00894D55" w:rsidRDefault="00B20FC1">
            <w:pPr>
              <w:spacing w:after="0"/>
            </w:pPr>
            <w:r>
              <w:rPr>
                <w:rFonts w:cs="Times New Roman"/>
              </w:rPr>
              <w:t>Adapters, APIs and integration mechanisms</w:t>
            </w:r>
          </w:p>
        </w:tc>
        <w:tc>
          <w:tcPr>
            <w:tcW w:w="2494" w:type="dxa"/>
            <w:shd w:val="clear" w:color="auto" w:fill="FFFFFF"/>
            <w:tcMar>
              <w:top w:w="50" w:type="dxa"/>
              <w:left w:w="70" w:type="dxa"/>
              <w:bottom w:w="50" w:type="dxa"/>
              <w:right w:w="70" w:type="dxa"/>
            </w:tcMar>
            <w:vAlign w:val="center"/>
          </w:tcPr>
          <w:p w14:paraId="7D654A0C" w14:textId="77777777" w:rsidR="00894D55" w:rsidRDefault="00B20FC1">
            <w:pPr>
              <w:spacing w:after="0"/>
            </w:pPr>
            <w:r>
              <w:rPr>
                <w:rFonts w:cs="Times New Roman"/>
              </w:rPr>
              <w:t>Foreground/joint ownership as generated; copyright and patentability review where relevant.</w:t>
            </w:r>
          </w:p>
        </w:tc>
        <w:tc>
          <w:tcPr>
            <w:tcW w:w="2551" w:type="dxa"/>
            <w:shd w:val="clear" w:color="auto" w:fill="FFFFFF"/>
            <w:tcMar>
              <w:top w:w="50" w:type="dxa"/>
              <w:left w:w="70" w:type="dxa"/>
              <w:bottom w:w="50" w:type="dxa"/>
              <w:right w:w="70" w:type="dxa"/>
            </w:tcMar>
            <w:vAlign w:val="center"/>
          </w:tcPr>
          <w:p w14:paraId="31D6B2AF" w14:textId="77777777" w:rsidR="00894D55" w:rsidRDefault="00B20FC1">
            <w:pPr>
              <w:spacing w:after="0"/>
            </w:pPr>
            <w:r>
              <w:rPr>
                <w:rFonts w:cs="Times New Roman"/>
              </w:rPr>
              <w:t>Integrator SDK/API, enterprise integration, licensing.</w:t>
            </w:r>
          </w:p>
        </w:tc>
        <w:tc>
          <w:tcPr>
            <w:tcW w:w="2608" w:type="dxa"/>
            <w:shd w:val="clear" w:color="auto" w:fill="FFFFFF"/>
            <w:tcMar>
              <w:top w:w="50" w:type="dxa"/>
              <w:left w:w="70" w:type="dxa"/>
              <w:bottom w:w="50" w:type="dxa"/>
              <w:right w:w="70" w:type="dxa"/>
            </w:tcMar>
            <w:vAlign w:val="center"/>
          </w:tcPr>
          <w:p w14:paraId="1491B506" w14:textId="77777777" w:rsidR="00894D55" w:rsidRDefault="00B20FC1">
            <w:pPr>
              <w:spacing w:after="0"/>
            </w:pPr>
            <w:r>
              <w:rPr>
                <w:rFonts w:cs="Times New Roman"/>
              </w:rPr>
              <w:t>Bounded adapter burden; interop without source-code disclosure.</w:t>
            </w:r>
          </w:p>
        </w:tc>
      </w:tr>
      <w:tr w:rsidR="00894D55" w14:paraId="1EF29673" w14:textId="77777777">
        <w:trPr>
          <w:jc w:val="center"/>
        </w:trPr>
        <w:tc>
          <w:tcPr>
            <w:tcW w:w="1928" w:type="dxa"/>
            <w:shd w:val="clear" w:color="auto" w:fill="FFFFFF"/>
            <w:tcMar>
              <w:top w:w="50" w:type="dxa"/>
              <w:left w:w="70" w:type="dxa"/>
              <w:bottom w:w="50" w:type="dxa"/>
              <w:right w:w="70" w:type="dxa"/>
            </w:tcMar>
            <w:vAlign w:val="center"/>
          </w:tcPr>
          <w:p w14:paraId="3A613359" w14:textId="77777777" w:rsidR="00894D55" w:rsidRDefault="00B20FC1">
            <w:pPr>
              <w:spacing w:after="0"/>
            </w:pPr>
            <w:r>
              <w:rPr>
                <w:rFonts w:cs="Times New Roman"/>
              </w:rPr>
              <w:t>Embodied mechanisms and TRL4 demonstrator</w:t>
            </w:r>
          </w:p>
        </w:tc>
        <w:tc>
          <w:tcPr>
            <w:tcW w:w="2494" w:type="dxa"/>
            <w:shd w:val="clear" w:color="auto" w:fill="FFFFFF"/>
            <w:tcMar>
              <w:top w:w="50" w:type="dxa"/>
              <w:left w:w="70" w:type="dxa"/>
              <w:bottom w:w="50" w:type="dxa"/>
              <w:right w:w="70" w:type="dxa"/>
            </w:tcMar>
            <w:vAlign w:val="center"/>
          </w:tcPr>
          <w:p w14:paraId="3DFBA7F6" w14:textId="77777777" w:rsidR="00894D55" w:rsidRDefault="00B20FC1">
            <w:pPr>
              <w:spacing w:after="0"/>
            </w:pPr>
            <w:r>
              <w:rPr>
                <w:rFonts w:cs="Times New Roman"/>
              </w:rPr>
              <w:t>Mixed/joint Foreground; selective patentability/FTO assessment.</w:t>
            </w:r>
          </w:p>
        </w:tc>
        <w:tc>
          <w:tcPr>
            <w:tcW w:w="2551" w:type="dxa"/>
            <w:shd w:val="clear" w:color="auto" w:fill="FFFFFF"/>
            <w:tcMar>
              <w:top w:w="50" w:type="dxa"/>
              <w:left w:w="70" w:type="dxa"/>
              <w:bottom w:w="50" w:type="dxa"/>
              <w:right w:w="70" w:type="dxa"/>
            </w:tcMar>
            <w:vAlign w:val="center"/>
          </w:tcPr>
          <w:p w14:paraId="7A675EE8" w14:textId="77777777" w:rsidR="00C5764E" w:rsidRDefault="00605D23">
            <w:pPr>
              <w:spacing w:after="0"/>
            </w:pPr>
            <w:r>
              <w:t>Robotics/autonomous systems; resilient edge/cloud cognition; human-robot and assistive integration; OEM/industrial partnership.</w:t>
            </w:r>
          </w:p>
        </w:tc>
        <w:tc>
          <w:tcPr>
            <w:tcW w:w="2608" w:type="dxa"/>
            <w:shd w:val="clear" w:color="auto" w:fill="FFFFFF"/>
            <w:tcMar>
              <w:top w:w="50" w:type="dxa"/>
              <w:left w:w="70" w:type="dxa"/>
              <w:bottom w:w="50" w:type="dxa"/>
              <w:right w:w="70" w:type="dxa"/>
            </w:tcMar>
            <w:vAlign w:val="center"/>
          </w:tcPr>
          <w:p w14:paraId="6AB0E29D" w14:textId="77777777" w:rsidR="00C5764E" w:rsidRDefault="00605D23">
            <w:pPr>
              <w:spacing w:after="0"/>
            </w:pPr>
            <w:r>
              <w:t>TRL4 capability floor; physical validation; action-authority integrity; acceptable compute/latency/energy and integration overhead.</w:t>
            </w:r>
          </w:p>
        </w:tc>
      </w:tr>
      <w:tr w:rsidR="00C5764E" w14:paraId="0D5463F4" w14:textId="77777777">
        <w:trPr>
          <w:jc w:val="center"/>
        </w:trPr>
        <w:tc>
          <w:tcPr>
            <w:tcW w:w="1928" w:type="dxa"/>
          </w:tcPr>
          <w:p w14:paraId="5B828574" w14:textId="77777777" w:rsidR="00C5764E" w:rsidRDefault="00605D23">
            <w:pPr>
              <w:spacing w:after="0"/>
            </w:pPr>
            <w:r>
              <w:t>Human-grounded structural-direction evidence</w:t>
            </w:r>
          </w:p>
        </w:tc>
        <w:tc>
          <w:tcPr>
            <w:tcW w:w="2494" w:type="dxa"/>
          </w:tcPr>
          <w:p w14:paraId="39469E83" w14:textId="77777777" w:rsidR="00C5764E" w:rsidRDefault="00605D23">
            <w:pPr>
              <w:spacing w:after="0"/>
            </w:pPr>
            <w:r>
              <w:t>Open scientific result; any implementation/interaction tooling assessed separately.</w:t>
            </w:r>
          </w:p>
        </w:tc>
        <w:tc>
          <w:tcPr>
            <w:tcW w:w="2551" w:type="dxa"/>
          </w:tcPr>
          <w:p w14:paraId="653BEC97" w14:textId="77777777" w:rsidR="00C5764E" w:rsidRDefault="00605D23">
            <w:pPr>
              <w:spacing w:after="0"/>
            </w:pPr>
            <w:r>
              <w:t>Human-AI interface evaluation; communication/decision-support design; assurance against covert structural manipulation.</w:t>
            </w:r>
          </w:p>
        </w:tc>
        <w:tc>
          <w:tcPr>
            <w:tcW w:w="2608" w:type="dxa"/>
          </w:tcPr>
          <w:p w14:paraId="46F0575D" w14:textId="77777777" w:rsidR="00C5764E" w:rsidRDefault="00605D23">
            <w:pPr>
              <w:spacing w:after="0"/>
            </w:pPr>
            <w:r>
              <w:t>Reproducible human effect or precise boundary/null result; domain dependence and ethical safeguards characterised.</w:t>
            </w:r>
          </w:p>
        </w:tc>
      </w:tr>
      <w:tr w:rsidR="00C5764E" w14:paraId="278D22D8" w14:textId="77777777">
        <w:trPr>
          <w:jc w:val="center"/>
        </w:trPr>
        <w:tc>
          <w:tcPr>
            <w:tcW w:w="1928" w:type="dxa"/>
          </w:tcPr>
          <w:p w14:paraId="798B40F5" w14:textId="77777777" w:rsidR="00C5764E" w:rsidRDefault="00605D23">
            <w:pPr>
              <w:spacing w:after="0"/>
            </w:pPr>
            <w:r>
              <w:t>Double-involution / cross-representation transport result</w:t>
            </w:r>
          </w:p>
        </w:tc>
        <w:tc>
          <w:tcPr>
            <w:tcW w:w="2494" w:type="dxa"/>
          </w:tcPr>
          <w:p w14:paraId="6E47F57B" w14:textId="77777777" w:rsidR="00C5764E" w:rsidRDefault="00605D23">
            <w:pPr>
              <w:spacing w:after="0"/>
            </w:pPr>
            <w:r>
              <w:t>Open mathematical result; implementation-specific conformance tooling may be protected.</w:t>
            </w:r>
          </w:p>
        </w:tc>
        <w:tc>
          <w:tcPr>
            <w:tcW w:w="2551" w:type="dxa"/>
          </w:tcPr>
          <w:p w14:paraId="59A160E6" w14:textId="77777777" w:rsidR="00C5764E" w:rsidRDefault="00605D23">
            <w:pPr>
              <w:spacing w:after="0"/>
            </w:pPr>
            <w:r>
              <w:t>Transformation-aware interoperability and assurance tooling; cross-representation conformance tests.</w:t>
            </w:r>
          </w:p>
        </w:tc>
        <w:tc>
          <w:tcPr>
            <w:tcW w:w="2608" w:type="dxa"/>
          </w:tcPr>
          <w:p w14:paraId="1F0F4314" w14:textId="77777777" w:rsidR="00C5764E" w:rsidRDefault="00605D23">
            <w:pPr>
              <w:spacing w:after="0"/>
            </w:pPr>
            <w:r>
              <w:t>Non-circular theorem or counterexample class; machine-checkable implementation where applicable.</w:t>
            </w:r>
          </w:p>
        </w:tc>
      </w:tr>
    </w:tbl>
    <w:p w14:paraId="6C7E845E" w14:textId="77777777" w:rsidR="00894D55" w:rsidRDefault="00B20FC1">
      <w:pPr>
        <w:keepNext/>
        <w:spacing w:before="60" w:after="40"/>
      </w:pPr>
      <w:r>
        <w:rPr>
          <w:rFonts w:cs="Times New Roman"/>
          <w:b/>
        </w:rPr>
        <w:t xml:space="preserve">Interoperability and </w:t>
      </w:r>
      <w:proofErr w:type="spellStart"/>
      <w:r>
        <w:rPr>
          <w:rFonts w:cs="Times New Roman"/>
          <w:b/>
        </w:rPr>
        <w:t>standardisation</w:t>
      </w:r>
      <w:proofErr w:type="spellEnd"/>
      <w:r>
        <w:rPr>
          <w:rFonts w:cs="Times New Roman"/>
          <w:b/>
        </w:rPr>
        <w:t xml:space="preserve"> as exploitation multipliers</w:t>
      </w:r>
    </w:p>
    <w:p w14:paraId="4CA90A6D" w14:textId="77777777" w:rsidR="00894D55" w:rsidRDefault="00B20FC1">
      <w:r>
        <w:rPr>
          <w:rFonts w:cs="Times New Roman"/>
        </w:rPr>
        <w:t xml:space="preserve">MDPAR-H will distinguish Open Science, open interfaces and open-source implementation: they are not equivalent. Where scientifically and commercially appropriate, the project will expose trajectory/provenance schemas, adapter declarations, failure semantics, authority-state conventions, benchmark-reporting protocols and service-level interoperability contracts while retaining differentiated implementation of the production cognitive layer. The pre-existing v2.2.0 Swagger design provides a concrete pattern: a small canonical service surface can expose assessment, runtime state and reports without exposing every internal capability as a public API. This supports an 'open protocol, differentiated implementation' pathway in which </w:t>
      </w:r>
      <w:proofErr w:type="spellStart"/>
      <w:r>
        <w:rPr>
          <w:rFonts w:cs="Times New Roman"/>
        </w:rPr>
        <w:t>DeepRAP</w:t>
      </w:r>
      <w:proofErr w:type="spellEnd"/>
      <w:r>
        <w:rPr>
          <w:rFonts w:cs="Times New Roman"/>
        </w:rPr>
        <w:t xml:space="preserve"> interoperability expands external validation and uptake without making proprietary internals the scientific result. Mature interfaces and metrics will be prepared as pre-normative contributions to relevant standards, testing and experimentation facilities </w:t>
      </w:r>
      <w:r>
        <w:rPr>
          <w:rFonts w:cs="Times New Roman"/>
        </w:rPr>
        <w:lastRenderedPageBreak/>
        <w:t>and sector assurance communities; no output will be described as a standard, certificate or conformity assessment until the competent external process establishes it.</w:t>
      </w:r>
    </w:p>
    <w:p w14:paraId="0C01D03E" w14:textId="77777777" w:rsidR="00894D55" w:rsidRDefault="00B20FC1">
      <w:pPr>
        <w:keepNext/>
        <w:spacing w:before="60" w:after="40"/>
      </w:pPr>
      <w:r>
        <w:rPr>
          <w:rFonts w:cs="Times New Roman"/>
          <w:b/>
        </w:rPr>
        <w:t>Regulation, assurance and European-first exploitation</w:t>
      </w:r>
    </w:p>
    <w:p w14:paraId="3C9E896E" w14:textId="77777777" w:rsidR="00894D55" w:rsidRDefault="00B20FC1">
      <w:pPr>
        <w:spacing w:after="0"/>
      </w:pPr>
      <w:r>
        <w:t>Regulatory and assurance strategy will be use-case specific and evidence-bounded. MDPAR-H can generate technical evidence primitives relevant to traceability, logging, provenance, explicit uncertainty, human oversight, failure disclosure, model/provider substitution and authority boundaries, but those primitives do not by themselves establish AI Act or sectoral compliance. For the selected demonstrator and priority exploitation routes, the beneficiary, with the relevant cooperation host or external system owner where applicable, will map the system role, applicable obligations, safety/security requirements, data-governance constraints and conformity/assurance needs, and engage DeepRAP trustworthiness/regulation activities and relevant testing actors. Exploitation will prioritise Member States and Associated Countries. Provider-neutral interfaces, local/on-premise options and organisation-owned structural state will be treated as product requirements where they strengthen European strategic autonomy and lawful deployment.</w:t>
      </w:r>
    </w:p>
    <w:p w14:paraId="290B0F90" w14:textId="77777777" w:rsidR="00894D55" w:rsidRDefault="00B20FC1">
      <w:pPr>
        <w:keepNext/>
        <w:spacing w:before="60" w:after="40"/>
      </w:pPr>
      <w:r>
        <w:rPr>
          <w:rFonts w:cs="Times New Roman"/>
          <w:b/>
        </w:rPr>
        <w:t>Stage-gated transition, key actors and post-Pathfinder route</w:t>
      </w:r>
    </w:p>
    <w:p w14:paraId="2860CF8C" w14:textId="77777777" w:rsidR="00894D55" w:rsidRDefault="00B20FC1">
      <w:r>
        <w:t>Exploitation decisions will be stage-gated by evidence. By M12, MDPAR-H will deliver an initial Background/Foreground and access-rights map, protection/FTO screen, adopter/problem landscape and exploitation hypotheses constrained by the Year-1 symbolic domain of validity. By M24, independent cross-system results will support go/narrow/stop decisions on transferable interfaces, adapters, assurance assets and provider-substitution claims, with measured integration burden and engagement of AI SMEs, integrators, professional-service organisations, TEF/assurance actors, technology-transfer offices and prospective public/industrial adopters. By M30-M36, the TRL4 demonstrator, techno-economic evidence and stakeholder validation will determine the most credible route: direct beneficiary exploitation, licensing, industrial partnership, technology transfer or a dedicated venture if justified. EIC Business Acceleration Services, Booster Grant opportunities and a later Fast Track route to the EIC Accelerator will be assessed only if maturity and market evidence support them. The M36 objective is an exploitation-ready package: validated scope, protected assets, ownership/access clarity, FTO status, measured integration economics, target adopters and a credible route to TRL5+. The post-M36 embodied/decision programme is therefore branch-gated rather than invented after the result: Year 3 fixes which branch can legitimately advance.</w:t>
      </w:r>
    </w:p>
    <w:p w14:paraId="2506E53C" w14:textId="77777777" w:rsidR="00894D55" w:rsidRDefault="00B20FC1">
      <w:pPr>
        <w:keepNext/>
        <w:spacing w:before="120"/>
      </w:pPr>
      <w:r>
        <w:rPr>
          <w:rFonts w:cs="Times New Roman"/>
          <w:b/>
        </w:rPr>
        <w:t>2.3</w:t>
      </w:r>
      <w:r>
        <w:rPr>
          <w:rFonts w:cs="Times New Roman"/>
          <w:b/>
        </w:rPr>
        <w:tab/>
        <w:t>Communication and Dissemination</w:t>
      </w:r>
    </w:p>
    <w:p w14:paraId="1494EB31" w14:textId="77777777" w:rsidR="00894D55" w:rsidRDefault="00B20FC1">
      <w:pPr>
        <w:keepNext/>
        <w:spacing w:before="60" w:after="40"/>
      </w:pPr>
      <w:r>
        <w:rPr>
          <w:rFonts w:cs="Times New Roman"/>
          <w:b/>
        </w:rPr>
        <w:t>Communication and dissemination logic</w:t>
      </w:r>
    </w:p>
    <w:p w14:paraId="300F79B7" w14:textId="77777777" w:rsidR="00894D55" w:rsidRDefault="00B20FC1">
      <w:r>
        <w:rPr>
          <w:rFonts w:cs="Times New Roman"/>
        </w:rPr>
        <w:t xml:space="preserve">MDPAR-H will communicate a test, not a predetermined result. Its public and scientific narrative will track progressively stronger evidence about where structural invariance holds, where it fails and why the boundary matters. Dissemination will mirror the evidential architecture: claims remain traceable to versioned/frozen evidence; negative, censored and boundary results accompany supportive findings; and tested support is distinguished from untested </w:t>
      </w:r>
      <w:proofErr w:type="spellStart"/>
      <w:r>
        <w:rPr>
          <w:rFonts w:cs="Times New Roman"/>
        </w:rPr>
        <w:t>generalisation</w:t>
      </w:r>
      <w:proofErr w:type="spellEnd"/>
      <w:r>
        <w:rPr>
          <w:rFonts w:cs="Times New Roman"/>
        </w:rPr>
        <w:t>. Scientific dissemination enables scrutiny and reuse; communication explains relevance, limits and safeguards to stakeholders and citizens; exploitation is handled in Section 2.2. A detailed Plan for Dissemination and Exploitation including Communication Activities will be delivered by M6 and updated as scientific gates, portfolio opportunities and exploitation priorities evolve.</w:t>
      </w:r>
    </w:p>
    <w:p w14:paraId="5CBD1CD2" w14:textId="77777777" w:rsidR="00894D55" w:rsidRDefault="00B20FC1">
      <w:pPr>
        <w:keepNext/>
        <w:spacing w:before="60" w:after="40"/>
      </w:pPr>
      <w:r>
        <w:rPr>
          <w:rFonts w:cs="Times New Roman"/>
          <w:b/>
        </w:rPr>
        <w:t xml:space="preserve">Scientific dissemination and evidence </w:t>
      </w:r>
      <w:proofErr w:type="gramStart"/>
      <w:r>
        <w:rPr>
          <w:rFonts w:cs="Times New Roman"/>
          <w:b/>
        </w:rPr>
        <w:t>releases</w:t>
      </w:r>
      <w:proofErr w:type="gramEnd"/>
    </w:p>
    <w:p w14:paraId="5E079F18" w14:textId="77777777" w:rsidR="00894D55" w:rsidRDefault="00B20FC1">
      <w:r>
        <w:rPr>
          <w:rFonts w:cs="Times New Roman"/>
        </w:rPr>
        <w:t>Scientific dissemination will combine top-level peer-reviewed Open Access publications with preregistrations, benchmark releases, technical reports, reproducibility packages and persistent repository records. Publication families will cover the formal specification and falsifiability framework; Year-1 symbolic invariance and anti-leakage metrology; Year-2 independent cross-system interoperability; Year-3 multimodal/embodied validation; and cross-cutting trustworthiness, temporal authority, degradation/recovery and compute-allocation results. Null, falsifying and non-estimable outcomes will be published as domain-boundary evidence rather than hidden or reframed as success.</w:t>
      </w:r>
    </w:p>
    <w:p w14:paraId="656F50C1" w14:textId="77777777" w:rsidR="00894D55" w:rsidRDefault="00B20FC1">
      <w:r>
        <w:rPr>
          <w:rFonts w:cs="Times New Roman"/>
        </w:rPr>
        <w:t>The Background repository and DOI also create a public provenance anchor for the scientific narrative before M1. Subsequent M12, M24 and M36 releases will cite rather than overwrite that baseline, so the progression from pre-project DEVELOPMENT evidence to frozen confirmatory evidence remains externally reconstructable. Repository visibility is therefore part of the method: it supports priority, version identity, falsifiability and auditability without requiring disclosure of protectable production implementation.</w:t>
      </w:r>
    </w:p>
    <w:p w14:paraId="7A79F1AC" w14:textId="77777777" w:rsidR="00894D55" w:rsidRDefault="00B20FC1">
      <w:r>
        <w:rPr>
          <w:rFonts w:cs="Times New Roman"/>
        </w:rPr>
        <w:t xml:space="preserve">Three frozen evidence releases will align with the scientific gates: M12 Symbolic Structural Domain; M24 Cross-System Independence; and M36 Embodied Domain of Validity. Each will combine the applicable paper/report, benchmark/protocol version, frozen result matrix, machine-readable metadata, counterexamples, reproducibility material and a concise visual summary. Living technical assets may remain in version-controlled repositories, while citable releases and evidence snapshots will be deposited in trusted repositories such as Zenodo. The final </w:t>
      </w:r>
      <w:r>
        <w:rPr>
          <w:rFonts w:cs="Times New Roman"/>
        </w:rPr>
        <w:lastRenderedPageBreak/>
        <w:t>MDPAR-H Structural Invariance Atlas will map each tested invariant across systems, domains, languages, representations and modalities, including preservation status, uncertainty, coverage, counterexamples, adapter burden and reproducibility level. It will explicitly avoid a single 'universality score' that could conceal heterogeneous failure modes.</w:t>
      </w:r>
    </w:p>
    <w:p w14:paraId="33395377" w14:textId="77777777" w:rsidR="00894D55" w:rsidRDefault="00B20FC1">
      <w:pPr>
        <w:keepNext/>
        <w:spacing w:before="60" w:after="40"/>
      </w:pPr>
      <w:r>
        <w:rPr>
          <w:rFonts w:cs="Times New Roman"/>
          <w:b/>
        </w:rPr>
        <w:t>Targeted stakeholder communication</w:t>
      </w:r>
    </w:p>
    <w:p w14:paraId="3943B900" w14:textId="77777777" w:rsidR="00894D55" w:rsidRDefault="00B20FC1">
      <w:r>
        <w:rPr>
          <w:rFonts w:cs="Times New Roman"/>
        </w:rPr>
        <w:t>Communication will be audience-specific but will use the claim-status scale defined in Section 1.3 without redefining it. Public material will identify tested support and known boundary conditions for major claims, and will keep product capability, scientific evidence and universality as distinct categories.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3063"/>
        <w:gridCol w:w="4171"/>
        <w:gridCol w:w="3112"/>
      </w:tblGrid>
      <w:tr w:rsidR="00894D55" w14:paraId="1B53C619" w14:textId="77777777">
        <w:trPr>
          <w:tblHeader/>
          <w:jc w:val="center"/>
        </w:trPr>
        <w:tc>
          <w:tcPr>
            <w:tcW w:w="3402" w:type="dxa"/>
            <w:shd w:val="clear" w:color="auto" w:fill="E7E6E6"/>
            <w:tcMar>
              <w:top w:w="70" w:type="dxa"/>
              <w:left w:w="70" w:type="dxa"/>
              <w:bottom w:w="70" w:type="dxa"/>
              <w:right w:w="70" w:type="dxa"/>
            </w:tcMar>
            <w:vAlign w:val="center"/>
          </w:tcPr>
          <w:p w14:paraId="761CF463" w14:textId="77777777" w:rsidR="00894D55" w:rsidRDefault="00B20FC1">
            <w:pPr>
              <w:spacing w:after="0"/>
            </w:pPr>
            <w:r>
              <w:rPr>
                <w:rFonts w:cs="Times New Roman"/>
                <w:b/>
              </w:rPr>
              <w:t>Audience</w:t>
            </w:r>
          </w:p>
        </w:tc>
        <w:tc>
          <w:tcPr>
            <w:tcW w:w="3402" w:type="dxa"/>
            <w:shd w:val="clear" w:color="auto" w:fill="E7E6E6"/>
            <w:tcMar>
              <w:top w:w="70" w:type="dxa"/>
              <w:left w:w="70" w:type="dxa"/>
              <w:bottom w:w="70" w:type="dxa"/>
              <w:right w:w="70" w:type="dxa"/>
            </w:tcMar>
            <w:vAlign w:val="center"/>
          </w:tcPr>
          <w:p w14:paraId="4FD86D6E" w14:textId="77777777" w:rsidR="00894D55" w:rsidRDefault="00B20FC1">
            <w:pPr>
              <w:spacing w:after="0"/>
            </w:pPr>
            <w:r>
              <w:rPr>
                <w:rFonts w:cs="Times New Roman"/>
                <w:b/>
              </w:rPr>
              <w:t>Core message and channels</w:t>
            </w:r>
          </w:p>
        </w:tc>
        <w:tc>
          <w:tcPr>
            <w:tcW w:w="3402" w:type="dxa"/>
            <w:shd w:val="clear" w:color="auto" w:fill="E7E6E6"/>
            <w:tcMar>
              <w:top w:w="70" w:type="dxa"/>
              <w:left w:w="70" w:type="dxa"/>
              <w:bottom w:w="70" w:type="dxa"/>
              <w:right w:w="70" w:type="dxa"/>
            </w:tcMar>
            <w:vAlign w:val="center"/>
          </w:tcPr>
          <w:p w14:paraId="3CEAEB5B" w14:textId="77777777" w:rsidR="00894D55" w:rsidRDefault="00B20FC1">
            <w:pPr>
              <w:spacing w:after="0"/>
            </w:pPr>
            <w:r>
              <w:rPr>
                <w:rFonts w:cs="Times New Roman"/>
                <w:b/>
              </w:rPr>
              <w:t>Indicators</w:t>
            </w:r>
          </w:p>
        </w:tc>
      </w:tr>
      <w:tr w:rsidR="00894D55" w14:paraId="24354ED6" w14:textId="77777777">
        <w:trPr>
          <w:cantSplit/>
          <w:jc w:val="center"/>
        </w:trPr>
        <w:tc>
          <w:tcPr>
            <w:tcW w:w="2324" w:type="dxa"/>
            <w:shd w:val="clear" w:color="auto" w:fill="FFFFFF"/>
            <w:tcMar>
              <w:top w:w="70" w:type="dxa"/>
              <w:left w:w="70" w:type="dxa"/>
              <w:bottom w:w="70" w:type="dxa"/>
              <w:right w:w="70" w:type="dxa"/>
            </w:tcMar>
            <w:vAlign w:val="center"/>
          </w:tcPr>
          <w:p w14:paraId="77E35DDB" w14:textId="77777777" w:rsidR="00894D55" w:rsidRDefault="00B20FC1">
            <w:pPr>
              <w:spacing w:after="0"/>
            </w:pPr>
            <w:r>
              <w:rPr>
                <w:rFonts w:cs="Times New Roman"/>
              </w:rPr>
              <w:t xml:space="preserve">Researchers and </w:t>
            </w:r>
            <w:proofErr w:type="spellStart"/>
            <w:r>
              <w:rPr>
                <w:rFonts w:cs="Times New Roman"/>
              </w:rPr>
              <w:t>DeepRAP</w:t>
            </w:r>
            <w:proofErr w:type="spellEnd"/>
            <w:r>
              <w:rPr>
                <w:rFonts w:cs="Times New Roman"/>
              </w:rPr>
              <w:t xml:space="preserve"> projects</w:t>
            </w:r>
          </w:p>
        </w:tc>
        <w:tc>
          <w:tcPr>
            <w:tcW w:w="4592" w:type="dxa"/>
            <w:shd w:val="clear" w:color="auto" w:fill="FFFFFF"/>
            <w:tcMar>
              <w:top w:w="70" w:type="dxa"/>
              <w:left w:w="70" w:type="dxa"/>
              <w:bottom w:w="70" w:type="dxa"/>
              <w:right w:w="70" w:type="dxa"/>
            </w:tcMar>
            <w:vAlign w:val="center"/>
          </w:tcPr>
          <w:p w14:paraId="6894A446" w14:textId="77777777" w:rsidR="00894D55" w:rsidRDefault="00B20FC1">
            <w:pPr>
              <w:spacing w:after="0"/>
            </w:pPr>
            <w:r>
              <w:rPr>
                <w:rFonts w:cs="Times New Roman"/>
              </w:rPr>
              <w:t>Question: which inferential properties survive model, representation, system and embodiment changes? Channels: OA papers, conferences, benchmark/evidence releases and cross-project validation.</w:t>
            </w:r>
          </w:p>
        </w:tc>
        <w:tc>
          <w:tcPr>
            <w:tcW w:w="2268" w:type="dxa"/>
            <w:shd w:val="clear" w:color="auto" w:fill="FFFFFF"/>
            <w:tcMar>
              <w:top w:w="70" w:type="dxa"/>
              <w:left w:w="70" w:type="dxa"/>
              <w:bottom w:w="70" w:type="dxa"/>
              <w:right w:w="70" w:type="dxa"/>
            </w:tcMar>
            <w:vAlign w:val="center"/>
          </w:tcPr>
          <w:p w14:paraId="296F0C3D" w14:textId="77777777" w:rsidR="00894D55" w:rsidRDefault="00B20FC1">
            <w:pPr>
              <w:spacing w:after="0"/>
            </w:pPr>
            <w:r>
              <w:rPr>
                <w:rFonts w:cs="Times New Roman"/>
              </w:rPr>
              <w:t>OA outputs; benchmark reuse; independent replications; external systems evaluated.</w:t>
            </w:r>
          </w:p>
        </w:tc>
      </w:tr>
      <w:tr w:rsidR="00894D55" w14:paraId="0B7B6EB9" w14:textId="77777777">
        <w:trPr>
          <w:cantSplit/>
          <w:jc w:val="center"/>
        </w:trPr>
        <w:tc>
          <w:tcPr>
            <w:tcW w:w="2324" w:type="dxa"/>
            <w:shd w:val="clear" w:color="auto" w:fill="FFFFFF"/>
            <w:tcMar>
              <w:top w:w="70" w:type="dxa"/>
              <w:left w:w="70" w:type="dxa"/>
              <w:bottom w:w="70" w:type="dxa"/>
              <w:right w:w="70" w:type="dxa"/>
            </w:tcMar>
            <w:vAlign w:val="center"/>
          </w:tcPr>
          <w:p w14:paraId="2C1E36F1" w14:textId="77777777" w:rsidR="00894D55" w:rsidRDefault="00B20FC1">
            <w:pPr>
              <w:spacing w:after="0"/>
            </w:pPr>
            <w:r>
              <w:rPr>
                <w:rFonts w:cs="Times New Roman"/>
              </w:rPr>
              <w:t>AI developers, SMEs, integrators and assurance actors</w:t>
            </w:r>
          </w:p>
        </w:tc>
        <w:tc>
          <w:tcPr>
            <w:tcW w:w="4592" w:type="dxa"/>
            <w:shd w:val="clear" w:color="auto" w:fill="FFFFFF"/>
            <w:tcMar>
              <w:top w:w="70" w:type="dxa"/>
              <w:left w:w="70" w:type="dxa"/>
              <w:bottom w:w="70" w:type="dxa"/>
              <w:right w:w="70" w:type="dxa"/>
            </w:tcMar>
            <w:vAlign w:val="center"/>
          </w:tcPr>
          <w:p w14:paraId="1E2E952B" w14:textId="77777777" w:rsidR="00894D55" w:rsidRDefault="00B20FC1">
            <w:pPr>
              <w:spacing w:after="0"/>
            </w:pPr>
            <w:r>
              <w:rPr>
                <w:rFonts w:cs="Times New Roman"/>
              </w:rPr>
              <w:t>Value: a cognitive control/measurement layer may support integration and audit without transferring structural ownership. Channels: demos, APIs/schemas, interoperability workshops and TEF/industry events.</w:t>
            </w:r>
          </w:p>
        </w:tc>
        <w:tc>
          <w:tcPr>
            <w:tcW w:w="2268" w:type="dxa"/>
            <w:shd w:val="clear" w:color="auto" w:fill="FFFFFF"/>
            <w:tcMar>
              <w:top w:w="70" w:type="dxa"/>
              <w:left w:w="70" w:type="dxa"/>
              <w:bottom w:w="70" w:type="dxa"/>
              <w:right w:w="70" w:type="dxa"/>
            </w:tcMar>
            <w:vAlign w:val="center"/>
          </w:tcPr>
          <w:p w14:paraId="7C1D4F62" w14:textId="77777777" w:rsidR="00894D55" w:rsidRDefault="00B20FC1">
            <w:pPr>
              <w:spacing w:after="0"/>
            </w:pPr>
            <w:r>
              <w:rPr>
                <w:rFonts w:cs="Times New Roman"/>
              </w:rPr>
              <w:t>External integrations; API/schema reuse; benchmark submissions; assurance pilots.</w:t>
            </w:r>
          </w:p>
        </w:tc>
      </w:tr>
      <w:tr w:rsidR="00894D55" w14:paraId="5A0F3EF4" w14:textId="77777777">
        <w:trPr>
          <w:cantSplit/>
          <w:jc w:val="center"/>
        </w:trPr>
        <w:tc>
          <w:tcPr>
            <w:tcW w:w="2324" w:type="dxa"/>
            <w:shd w:val="clear" w:color="auto" w:fill="FFFFFF"/>
            <w:tcMar>
              <w:top w:w="70" w:type="dxa"/>
              <w:left w:w="70" w:type="dxa"/>
              <w:bottom w:w="70" w:type="dxa"/>
              <w:right w:w="70" w:type="dxa"/>
            </w:tcMar>
            <w:vAlign w:val="center"/>
          </w:tcPr>
          <w:p w14:paraId="19535619" w14:textId="77777777" w:rsidR="00894D55" w:rsidRDefault="00B20FC1">
            <w:pPr>
              <w:spacing w:after="0"/>
            </w:pPr>
            <w:r>
              <w:rPr>
                <w:rFonts w:cs="Times New Roman"/>
              </w:rPr>
              <w:t>Professionals and institutions</w:t>
            </w:r>
          </w:p>
        </w:tc>
        <w:tc>
          <w:tcPr>
            <w:tcW w:w="4592" w:type="dxa"/>
            <w:shd w:val="clear" w:color="auto" w:fill="FFFFFF"/>
            <w:tcMar>
              <w:top w:w="70" w:type="dxa"/>
              <w:left w:w="70" w:type="dxa"/>
              <w:bottom w:w="70" w:type="dxa"/>
              <w:right w:w="70" w:type="dxa"/>
            </w:tcMar>
            <w:vAlign w:val="center"/>
          </w:tcPr>
          <w:p w14:paraId="2D1ABAF9" w14:textId="77777777" w:rsidR="00894D55" w:rsidRDefault="00B20FC1">
            <w:pPr>
              <w:spacing w:after="0"/>
            </w:pPr>
            <w:r>
              <w:rPr>
                <w:rFonts w:cs="Times New Roman"/>
              </w:rPr>
              <w:t>Value: MDPAR does not replace professional authority; it can make evidence-to-inference chains more inspectable and contestable. Channels: domain workshops, briefings and demonstrators.</w:t>
            </w:r>
          </w:p>
        </w:tc>
        <w:tc>
          <w:tcPr>
            <w:tcW w:w="2268" w:type="dxa"/>
            <w:shd w:val="clear" w:color="auto" w:fill="FFFFFF"/>
            <w:tcMar>
              <w:top w:w="70" w:type="dxa"/>
              <w:left w:w="70" w:type="dxa"/>
              <w:bottom w:w="70" w:type="dxa"/>
              <w:right w:w="70" w:type="dxa"/>
            </w:tcMar>
            <w:vAlign w:val="center"/>
          </w:tcPr>
          <w:p w14:paraId="7583BDA4" w14:textId="77777777" w:rsidR="00894D55" w:rsidRDefault="00B20FC1">
            <w:pPr>
              <w:spacing w:after="0"/>
            </w:pPr>
            <w:r>
              <w:rPr>
                <w:rFonts w:cs="Times New Roman"/>
              </w:rPr>
              <w:t>Validated workflow classes; stakeholder feedback; follow-on pilots.</w:t>
            </w:r>
          </w:p>
        </w:tc>
      </w:tr>
      <w:tr w:rsidR="00894D55" w14:paraId="4571CBAE" w14:textId="77777777">
        <w:trPr>
          <w:cantSplit/>
          <w:jc w:val="center"/>
        </w:trPr>
        <w:tc>
          <w:tcPr>
            <w:tcW w:w="2324" w:type="dxa"/>
            <w:shd w:val="clear" w:color="auto" w:fill="FFFFFF"/>
            <w:tcMar>
              <w:top w:w="70" w:type="dxa"/>
              <w:left w:w="70" w:type="dxa"/>
              <w:bottom w:w="70" w:type="dxa"/>
              <w:right w:w="70" w:type="dxa"/>
            </w:tcMar>
            <w:vAlign w:val="center"/>
          </w:tcPr>
          <w:p w14:paraId="15EEF295" w14:textId="77777777" w:rsidR="00894D55" w:rsidRDefault="00B20FC1">
            <w:pPr>
              <w:spacing w:after="0"/>
            </w:pPr>
            <w:r>
              <w:rPr>
                <w:rFonts w:cs="Times New Roman"/>
              </w:rPr>
              <w:t>Policy, standards and public-sector stakeholders</w:t>
            </w:r>
          </w:p>
        </w:tc>
        <w:tc>
          <w:tcPr>
            <w:tcW w:w="4592" w:type="dxa"/>
            <w:shd w:val="clear" w:color="auto" w:fill="FFFFFF"/>
            <w:tcMar>
              <w:top w:w="70" w:type="dxa"/>
              <w:left w:w="70" w:type="dxa"/>
              <w:bottom w:w="70" w:type="dxa"/>
              <w:right w:w="70" w:type="dxa"/>
            </w:tcMar>
            <w:vAlign w:val="center"/>
          </w:tcPr>
          <w:p w14:paraId="0ADCECBD" w14:textId="77777777" w:rsidR="00894D55" w:rsidRDefault="00B20FC1">
            <w:pPr>
              <w:spacing w:after="0"/>
            </w:pPr>
            <w:r>
              <w:rPr>
                <w:rFonts w:cs="Times New Roman"/>
              </w:rPr>
              <w:t xml:space="preserve">Question: can cognitive AI preserve provenance, explicit uncertainty, legitimate authority and provider-substitutable continuity? Channels: policy/assurance briefs, standards/TEF dialogue, </w:t>
            </w:r>
            <w:proofErr w:type="spellStart"/>
            <w:r>
              <w:rPr>
                <w:rFonts w:cs="Times New Roman"/>
              </w:rPr>
              <w:t>DeepRAP</w:t>
            </w:r>
            <w:proofErr w:type="spellEnd"/>
            <w:r>
              <w:rPr>
                <w:rFonts w:cs="Times New Roman"/>
              </w:rPr>
              <w:t xml:space="preserve"> WG3.</w:t>
            </w:r>
          </w:p>
        </w:tc>
        <w:tc>
          <w:tcPr>
            <w:tcW w:w="2268" w:type="dxa"/>
            <w:shd w:val="clear" w:color="auto" w:fill="FFFFFF"/>
            <w:tcMar>
              <w:top w:w="70" w:type="dxa"/>
              <w:left w:w="70" w:type="dxa"/>
              <w:bottom w:w="70" w:type="dxa"/>
              <w:right w:w="70" w:type="dxa"/>
            </w:tcMar>
            <w:vAlign w:val="center"/>
          </w:tcPr>
          <w:p w14:paraId="5872C163" w14:textId="77777777" w:rsidR="00894D55" w:rsidRDefault="00B20FC1">
            <w:pPr>
              <w:spacing w:after="0"/>
            </w:pPr>
            <w:r>
              <w:rPr>
                <w:rFonts w:cs="Times New Roman"/>
              </w:rPr>
              <w:t>Policy/assurance engagements; pre-normative contributions; consultations.</w:t>
            </w:r>
          </w:p>
        </w:tc>
      </w:tr>
      <w:tr w:rsidR="00894D55" w14:paraId="08F6C659" w14:textId="77777777">
        <w:trPr>
          <w:cantSplit/>
          <w:jc w:val="center"/>
        </w:trPr>
        <w:tc>
          <w:tcPr>
            <w:tcW w:w="2324" w:type="dxa"/>
            <w:shd w:val="clear" w:color="auto" w:fill="FFFFFF"/>
            <w:tcMar>
              <w:top w:w="70" w:type="dxa"/>
              <w:left w:w="70" w:type="dxa"/>
              <w:bottom w:w="70" w:type="dxa"/>
              <w:right w:w="70" w:type="dxa"/>
            </w:tcMar>
            <w:vAlign w:val="center"/>
          </w:tcPr>
          <w:p w14:paraId="399FAE73" w14:textId="77777777" w:rsidR="00894D55" w:rsidRDefault="00B20FC1">
            <w:pPr>
              <w:spacing w:after="0"/>
            </w:pPr>
            <w:r>
              <w:rPr>
                <w:rFonts w:cs="Times New Roman"/>
              </w:rPr>
              <w:t>Citizens and general public</w:t>
            </w:r>
          </w:p>
        </w:tc>
        <w:tc>
          <w:tcPr>
            <w:tcW w:w="4592" w:type="dxa"/>
            <w:shd w:val="clear" w:color="auto" w:fill="FFFFFF"/>
            <w:tcMar>
              <w:top w:w="70" w:type="dxa"/>
              <w:left w:w="70" w:type="dxa"/>
              <w:bottom w:w="70" w:type="dxa"/>
              <w:right w:w="70" w:type="dxa"/>
            </w:tcMar>
            <w:vAlign w:val="center"/>
          </w:tcPr>
          <w:p w14:paraId="3DF43C42" w14:textId="77777777" w:rsidR="00894D55" w:rsidRDefault="00B20FC1">
            <w:pPr>
              <w:spacing w:after="0"/>
            </w:pPr>
            <w:r>
              <w:rPr>
                <w:rFonts w:cs="Times New Roman"/>
              </w:rPr>
              <w:t>Message: consequential AI-assisted reasoning should be inspectable and challengeable, while institutional authority remains external to the model. Channels: website, visual explainers, talks, short videos and portfolio communication.</w:t>
            </w:r>
          </w:p>
        </w:tc>
        <w:tc>
          <w:tcPr>
            <w:tcW w:w="2268" w:type="dxa"/>
            <w:shd w:val="clear" w:color="auto" w:fill="FFFFFF"/>
            <w:tcMar>
              <w:top w:w="70" w:type="dxa"/>
              <w:left w:w="70" w:type="dxa"/>
              <w:bottom w:w="70" w:type="dxa"/>
              <w:right w:w="70" w:type="dxa"/>
            </w:tcMar>
            <w:vAlign w:val="center"/>
          </w:tcPr>
          <w:p w14:paraId="5DB87895" w14:textId="77777777" w:rsidR="00894D55" w:rsidRDefault="00B20FC1">
            <w:pPr>
              <w:spacing w:after="0"/>
            </w:pPr>
            <w:r>
              <w:rPr>
                <w:rFonts w:cs="Times New Roman"/>
              </w:rPr>
              <w:t>Reach and engagement; event participation; qualitative feedback.</w:t>
            </w:r>
          </w:p>
        </w:tc>
      </w:tr>
    </w:tbl>
    <w:p w14:paraId="7E23EC1E" w14:textId="77777777" w:rsidR="00894D55" w:rsidRDefault="00B20FC1">
      <w:pPr>
        <w:keepNext/>
        <w:spacing w:before="60" w:after="40"/>
      </w:pPr>
      <w:proofErr w:type="spellStart"/>
      <w:r>
        <w:rPr>
          <w:rFonts w:cs="Times New Roman"/>
          <w:b/>
        </w:rPr>
        <w:t>DeepRAP</w:t>
      </w:r>
      <w:proofErr w:type="spellEnd"/>
      <w:r>
        <w:rPr>
          <w:rFonts w:cs="Times New Roman"/>
          <w:b/>
        </w:rPr>
        <w:t xml:space="preserve"> portfolio communication and policy feedback</w:t>
      </w:r>
    </w:p>
    <w:p w14:paraId="4326260C" w14:textId="77777777" w:rsidR="00894D55" w:rsidRDefault="00B20FC1">
      <w:r>
        <w:t>The DeepRAP portfolio is both a dissemination multiplier and part of the scientific design. MDPAR-H will contribute benchmark specifications, structural/provenance schemas, adapter-burden measures, interoperability sessions, cross-project evidence releases, joint demonstrations, workshops and training material. Conversely, independently developed DeepRAP systems provide stronger external tests than additional internal MDPAR demonstrations. Year 2 will therefore begin with a controlled cross-domain bridge and use the resulting evidence, together with the Year-1 Symbolic Domain Map and double-involution closure, to select portfolio systems that maximise falsification leverage; collaboration is not committed prematurely to whichever systems happen to be available first. Year 3 will seek common multimodal/embodied pilots where scientifically appropriate.</w:t>
      </w:r>
    </w:p>
    <w:p w14:paraId="298E6A9C" w14:textId="77777777" w:rsidR="00894D55" w:rsidRDefault="00B20FC1">
      <w:r>
        <w:rPr>
          <w:rFonts w:cs="Times New Roman"/>
        </w:rPr>
        <w:t xml:space="preserve">Policy feedback will be evidence-led and limited to validated mechanisms. Short Policy &amp; Assurance Briefs will translate results into implications for structural provenance and contestability; explicit uncertainty and legitimate human/institutional authority; provider substitution and European cognitive sovereignty; cross-system interoperability; and reasoning/trustworthiness evaluation under constrained compute. These outputs may inform AI Act implementation practice, public-sector procurement, testing/assurance and pre-normative </w:t>
      </w:r>
      <w:proofErr w:type="spellStart"/>
      <w:r>
        <w:rPr>
          <w:rFonts w:cs="Times New Roman"/>
        </w:rPr>
        <w:t>standardisation</w:t>
      </w:r>
      <w:proofErr w:type="spellEnd"/>
      <w:r>
        <w:rPr>
          <w:rFonts w:cs="Times New Roman"/>
        </w:rPr>
        <w:t xml:space="preserve">, but MDPAR-H will not equate structural auditability with legal compliance or certification. The sovereignty message is precise: European </w:t>
      </w:r>
      <w:proofErr w:type="spellStart"/>
      <w:r>
        <w:rPr>
          <w:rFonts w:cs="Times New Roman"/>
        </w:rPr>
        <w:t>organisations</w:t>
      </w:r>
      <w:proofErr w:type="spellEnd"/>
      <w:r>
        <w:rPr>
          <w:rFonts w:cs="Times New Roman"/>
        </w:rPr>
        <w:t xml:space="preserve"> should be able, where technically validated, to use heterogeneous semantic capabilities without surrendering longitudinal cognitive state, provenance or operational authority to a single model provider.</w:t>
      </w:r>
    </w:p>
    <w:p w14:paraId="579CAAC0" w14:textId="77777777" w:rsidR="00894D55" w:rsidRDefault="00B20FC1">
      <w:pPr>
        <w:keepNext/>
        <w:spacing w:before="60" w:after="40"/>
      </w:pPr>
      <w:r>
        <w:rPr>
          <w:rFonts w:cs="Times New Roman"/>
          <w:b/>
        </w:rPr>
        <w:lastRenderedPageBreak/>
        <w:t>Staged public narrative and communication safeguards</w:t>
      </w:r>
    </w:p>
    <w:p w14:paraId="304F7DEA" w14:textId="77777777" w:rsidR="00894D55" w:rsidRDefault="00B20FC1">
      <w:r>
        <w:t>Communication will follow the three-year falsification logic while making the pre-project/Year-1 distinction explicit. Before M1, the first human-grounded CONVERGENT/DIVERGENT result is already Background. Year 1 asks 'Can structure survive controlled change, and what sufficiently precise double-involution class or restriction follows from that evidence?' Year 2 asks first 'Does that closure survive controlled cross-domain transfer?' and then 'Does the structure belong only to MDPAR?' through evidence-selected independent systems, adapter burden, interoperability and replication. Year 3 asks 'Does it survive the world?' and uses multimodal and embodied experiments to test the qualitative boundary between simulated/symbolic cognition and a process that must perceive, act, incur irreversible consequences and remain accountable to the authority state that existed at action time. The narrative is intentionally memorable while remaining scientifically reversible: a negative answer at any stage is a result, not a communication failure.</w:t>
      </w:r>
    </w:p>
    <w:p w14:paraId="749E3EA4" w14:textId="77777777" w:rsidR="00894D55" w:rsidRDefault="00B20FC1">
      <w:r>
        <w:rPr>
          <w:rFonts w:cs="Times New Roman"/>
        </w:rPr>
        <w:t xml:space="preserve">High-impact application examples will be communicated conservatively. Legal, medical, administrative, financial or safety examples will not be framed as automated adjudication, diagnosis, certification or institutional decision-making. MDPAR will be presented as an analytical instrument bounded by evidence coverage, observer uncertainty, certification state and external professional authority. Communication will avoid claims of universal reasoning, guilt/innocence determination, guaranteed compliance or autonomous professional replacement. Where confidentiality, privacy or third-party rights apply, representative, synthetic or properly governed material will be used. The public-facing benefit is contestability: the chain from evidence to inference and </w:t>
      </w:r>
      <w:proofErr w:type="spellStart"/>
      <w:r>
        <w:rPr>
          <w:rFonts w:cs="Times New Roman"/>
        </w:rPr>
        <w:t>authorised</w:t>
      </w:r>
      <w:proofErr w:type="spellEnd"/>
      <w:r>
        <w:rPr>
          <w:rFonts w:cs="Times New Roman"/>
        </w:rPr>
        <w:t xml:space="preserve"> action can be reconstructed, inspected and challenged.</w:t>
      </w:r>
    </w:p>
    <w:p w14:paraId="75D6021A" w14:textId="77777777" w:rsidR="00894D55" w:rsidRDefault="00B20FC1">
      <w:pPr>
        <w:keepNext/>
        <w:spacing w:before="60" w:after="40"/>
      </w:pPr>
      <w:r>
        <w:rPr>
          <w:rFonts w:cs="Times New Roman"/>
          <w:b/>
        </w:rPr>
        <w:t>Post-project persistence and performance indicators</w:t>
      </w:r>
    </w:p>
    <w:p w14:paraId="2E1B8845" w14:textId="77777777" w:rsidR="00894D55" w:rsidRDefault="00B20FC1">
      <w:pPr>
        <w:spacing w:after="0"/>
      </w:pPr>
      <w:r>
        <w:t>Communication and dissemination will persist beyond M36 through durable repository records, the Structural Invariance Atlas, maintained benchmark documentation, reusable training material, continued scientific publication and follow-on standards/assurance engagement. The project website will point to persistent outputs rather than serve as the sole archive. Success will use function-specific indicators: scientific uptake (OA publications, benchmark reuse and independent replications); technical uptake (external integrations, API/schema reuse and benchmark participation); stakeholder/policy uptake (workshops, consultations, assurance/standards interactions and follow-on pilots); and public reach/qualitative feedback. Proportionate numerical targets will be fixed in the M6 plan once portfolio coordination, cooperation routes and demonstrator domain are known. Major public claims must remain traceable to the evidence state, tested support and boundary conditions that justify them.</w:t>
      </w:r>
    </w:p>
    <w:p w14:paraId="71479D66" w14:textId="77777777" w:rsidR="00894D55" w:rsidRDefault="00B20FC1">
      <w:pPr>
        <w:keepNext/>
        <w:pageBreakBefore/>
        <w:spacing w:before="120"/>
      </w:pPr>
      <w:r>
        <w:rPr>
          <w:rFonts w:cs="Times New Roman"/>
          <w:b/>
        </w:rPr>
        <w:lastRenderedPageBreak/>
        <w:t>3. Quality and efficiency of the implementation</w:t>
      </w:r>
    </w:p>
    <w:p w14:paraId="636E4631" w14:textId="77777777" w:rsidR="00894D55" w:rsidRDefault="00B20FC1">
      <w:pPr>
        <w:keepNext/>
        <w:spacing w:before="120"/>
      </w:pPr>
      <w:r>
        <w:rPr>
          <w:rFonts w:cs="Times New Roman"/>
          <w:b/>
        </w:rPr>
        <w:t>3.1 Work plan and allocation of resources</w:t>
      </w:r>
    </w:p>
    <w:p w14:paraId="1887B49F" w14:textId="77777777" w:rsidR="00894D55" w:rsidRDefault="00B20FC1">
      <w:pPr>
        <w:keepNext/>
        <w:spacing w:before="60" w:after="40"/>
      </w:pPr>
      <w:r>
        <w:rPr>
          <w:rFonts w:cs="Times New Roman"/>
          <w:b/>
        </w:rPr>
        <w:t>Overall implementation logic</w:t>
      </w:r>
    </w:p>
    <w:p w14:paraId="2929040A" w14:textId="77777777" w:rsidR="00894D55" w:rsidRDefault="00B20FC1">
      <w:r>
        <w:t>MDPAR-H converts the external-validity problem into one gated chain. Submission Background comprises MDPAR v2.2.0, SCC, C0-C12 and the operational surface. Independently of EIC funding, the first human-grounded study is scientifically concluded and frozen by 15 March 2027 and therefore precedes the expected grant-preparation period. Following a positive funding decision, institutional/facility access becomes the maximum-priority implementation dependency: grant preparation is used to obtain a documented USAL controlled cross-domain/robotics route or a qualified European fallback before signature. These two conditions form the beneficiary's pre-signature feasibility gate: the human-grounded evidence must already be closed and at least one infrastructure route must be documented; if the infrastructure condition cannot be secured, the beneficiary will not sign a grant agreement whose Year-2/Year-3 commitments it cannot credibly fulfil. Year 1 then separates double-involution DEVELOPMENT (M3-M6) from held-out confirmation (post-M6) and closes with the Symbolic Domain Map plus a progression-sufficient mathematical status. Year 2 Phase A changes domain under controlled metrology and may perform bounded prospective calibration; Phase B freezes that version and tests evidence-selected independent systems. Year 3 tests only the M24-supported invariant classes under embodiment.</w:t>
      </w:r>
    </w:p>
    <w:p w14:paraId="258CCA07" w14:textId="77777777" w:rsidR="00894D55" w:rsidRDefault="00B20FC1">
      <w:pPr>
        <w:spacing w:after="0"/>
      </w:pPr>
      <w:r>
        <w:t>Infrastructure and independent-system cooperation therefore follow different clocks. The USAL/fallback route is a pre-signature feasibility condition, not an uncertainty deferred into the funded action: 'documented route' means written institutional/facility access sufficient to plan the controlled Year-2 bridge and later Year-3 work, not full experiment-specific readiness. M1 verifies and records the route already secured during grant preparation. Independent-system commitments are evidence-conditioned. Candidate systems may be cultivated early, but selection occurs only when the Year-1 closure and, where needed, Phase-A evidence identify the architectures that best test the surviving claims.</w:t>
      </w:r>
    </w:p>
    <w:p w14:paraId="252F3294" w14:textId="77777777" w:rsidR="00894D55" w:rsidRDefault="00B20FC1">
      <w:pPr>
        <w:spacing w:after="0"/>
      </w:pPr>
      <w:r>
        <w:t>USAL/fallback and external DeepRAP/equivalent systems have different experimental roles. The former isolates cross-domain transfer and absorbs legitimate prospective calibration under controlled conditions; the latter tests common-design independence. Selection criteria for Phase B are architectural independence, relevance to the surviving invariant classes, native observability, adapter/ontology burden and ability to supply discriminative positive and non-match cases. This prevents cooperation logistics from determining the scientific boundary in advance.</w:t>
      </w:r>
    </w:p>
    <w:p w14:paraId="1EB42EE9" w14:textId="77777777" w:rsidR="00894D55" w:rsidRDefault="00B20FC1">
      <w:pPr>
        <w:keepNext/>
        <w:spacing w:before="60" w:after="40"/>
      </w:pPr>
      <w:r>
        <w:rPr>
          <w:rFonts w:cs="Times New Roman"/>
          <w:b/>
        </w:rPr>
        <w:t>Work-package structure (Table 3.1a)</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550"/>
        <w:gridCol w:w="3960"/>
        <w:gridCol w:w="1224"/>
        <w:gridCol w:w="2542"/>
        <w:gridCol w:w="587"/>
        <w:gridCol w:w="576"/>
      </w:tblGrid>
      <w:tr w:rsidR="00894D55" w14:paraId="3F471287" w14:textId="77777777">
        <w:trPr>
          <w:tblHeader/>
          <w:jc w:val="center"/>
        </w:trPr>
        <w:tc>
          <w:tcPr>
            <w:tcW w:w="504" w:type="dxa"/>
            <w:shd w:val="clear" w:color="auto" w:fill="E7E6E6"/>
            <w:tcMar>
              <w:top w:w="45" w:type="dxa"/>
              <w:left w:w="55" w:type="dxa"/>
              <w:bottom w:w="45" w:type="dxa"/>
              <w:right w:w="55" w:type="dxa"/>
            </w:tcMar>
            <w:vAlign w:val="center"/>
          </w:tcPr>
          <w:p w14:paraId="01785DA4" w14:textId="77777777" w:rsidR="00894D55" w:rsidRDefault="00B20FC1">
            <w:pPr>
              <w:spacing w:after="0"/>
            </w:pPr>
            <w:r>
              <w:rPr>
                <w:rFonts w:cs="Times New Roman"/>
                <w:b/>
              </w:rPr>
              <w:t>WP</w:t>
            </w:r>
          </w:p>
        </w:tc>
        <w:tc>
          <w:tcPr>
            <w:tcW w:w="3960" w:type="dxa"/>
            <w:shd w:val="clear" w:color="auto" w:fill="E7E6E6"/>
            <w:tcMar>
              <w:top w:w="45" w:type="dxa"/>
              <w:left w:w="55" w:type="dxa"/>
              <w:bottom w:w="45" w:type="dxa"/>
              <w:right w:w="55" w:type="dxa"/>
            </w:tcMar>
            <w:vAlign w:val="center"/>
          </w:tcPr>
          <w:p w14:paraId="01AD0A83" w14:textId="77777777" w:rsidR="00894D55" w:rsidRDefault="00B20FC1">
            <w:pPr>
              <w:spacing w:after="0"/>
            </w:pPr>
            <w:r>
              <w:rPr>
                <w:rFonts w:cs="Times New Roman"/>
                <w:b/>
              </w:rPr>
              <w:t>Title</w:t>
            </w:r>
          </w:p>
        </w:tc>
        <w:tc>
          <w:tcPr>
            <w:tcW w:w="1224" w:type="dxa"/>
            <w:shd w:val="clear" w:color="auto" w:fill="E7E6E6"/>
            <w:tcMar>
              <w:top w:w="45" w:type="dxa"/>
              <w:left w:w="55" w:type="dxa"/>
              <w:bottom w:w="45" w:type="dxa"/>
              <w:right w:w="55" w:type="dxa"/>
            </w:tcMar>
            <w:vAlign w:val="center"/>
          </w:tcPr>
          <w:p w14:paraId="66790454" w14:textId="77777777" w:rsidR="00894D55" w:rsidRDefault="00B20FC1">
            <w:pPr>
              <w:spacing w:after="0"/>
            </w:pPr>
            <w:r>
              <w:rPr>
                <w:rFonts w:cs="Times New Roman"/>
                <w:b/>
              </w:rPr>
              <w:t>Lead participant</w:t>
            </w:r>
          </w:p>
        </w:tc>
        <w:tc>
          <w:tcPr>
            <w:tcW w:w="1728" w:type="dxa"/>
            <w:shd w:val="clear" w:color="auto" w:fill="E7E6E6"/>
            <w:tcMar>
              <w:top w:w="45" w:type="dxa"/>
              <w:left w:w="55" w:type="dxa"/>
              <w:bottom w:w="45" w:type="dxa"/>
              <w:right w:w="55" w:type="dxa"/>
            </w:tcMar>
            <w:vAlign w:val="center"/>
          </w:tcPr>
          <w:p w14:paraId="4BA7ED75" w14:textId="77777777" w:rsidR="00894D55" w:rsidRDefault="00B20FC1">
            <w:pPr>
              <w:spacing w:after="0"/>
            </w:pPr>
            <w:r>
              <w:rPr>
                <w:rFonts w:cs="Times New Roman"/>
                <w:b/>
              </w:rPr>
              <w:t>WP leader role</w:t>
            </w:r>
          </w:p>
        </w:tc>
        <w:tc>
          <w:tcPr>
            <w:tcW w:w="576" w:type="dxa"/>
            <w:shd w:val="clear" w:color="auto" w:fill="E7E6E6"/>
            <w:tcMar>
              <w:top w:w="45" w:type="dxa"/>
              <w:left w:w="55" w:type="dxa"/>
              <w:bottom w:w="45" w:type="dxa"/>
              <w:right w:w="55" w:type="dxa"/>
            </w:tcMar>
            <w:vAlign w:val="center"/>
          </w:tcPr>
          <w:p w14:paraId="044D720E" w14:textId="77777777" w:rsidR="00894D55" w:rsidRDefault="00B20FC1">
            <w:pPr>
              <w:spacing w:after="0"/>
            </w:pPr>
            <w:r>
              <w:rPr>
                <w:rFonts w:cs="Times New Roman"/>
                <w:b/>
              </w:rPr>
              <w:t>Start</w:t>
            </w:r>
          </w:p>
        </w:tc>
        <w:tc>
          <w:tcPr>
            <w:tcW w:w="576" w:type="dxa"/>
            <w:shd w:val="clear" w:color="auto" w:fill="E7E6E6"/>
            <w:tcMar>
              <w:top w:w="45" w:type="dxa"/>
              <w:left w:w="55" w:type="dxa"/>
              <w:bottom w:w="45" w:type="dxa"/>
              <w:right w:w="55" w:type="dxa"/>
            </w:tcMar>
            <w:vAlign w:val="center"/>
          </w:tcPr>
          <w:p w14:paraId="2A1D40AE" w14:textId="77777777" w:rsidR="00894D55" w:rsidRDefault="00B20FC1">
            <w:pPr>
              <w:spacing w:after="0"/>
            </w:pPr>
            <w:r>
              <w:rPr>
                <w:rFonts w:cs="Times New Roman"/>
                <w:b/>
              </w:rPr>
              <w:t>End</w:t>
            </w:r>
          </w:p>
        </w:tc>
      </w:tr>
      <w:tr w:rsidR="00894D55" w14:paraId="58196419" w14:textId="77777777">
        <w:trPr>
          <w:jc w:val="center"/>
        </w:trPr>
        <w:tc>
          <w:tcPr>
            <w:tcW w:w="504" w:type="dxa"/>
            <w:shd w:val="clear" w:color="auto" w:fill="FFFFFF"/>
            <w:tcMar>
              <w:top w:w="45" w:type="dxa"/>
              <w:left w:w="55" w:type="dxa"/>
              <w:bottom w:w="45" w:type="dxa"/>
              <w:right w:w="55" w:type="dxa"/>
            </w:tcMar>
            <w:vAlign w:val="center"/>
          </w:tcPr>
          <w:p w14:paraId="249E8B2E" w14:textId="77777777" w:rsidR="00894D55" w:rsidRDefault="00B20FC1">
            <w:pPr>
              <w:spacing w:after="0"/>
            </w:pPr>
            <w:r>
              <w:rPr>
                <w:rFonts w:cs="Times New Roman"/>
              </w:rPr>
              <w:t>WP1</w:t>
            </w:r>
          </w:p>
        </w:tc>
        <w:tc>
          <w:tcPr>
            <w:tcW w:w="3960" w:type="dxa"/>
            <w:shd w:val="clear" w:color="auto" w:fill="FFFFFF"/>
            <w:tcMar>
              <w:top w:w="45" w:type="dxa"/>
              <w:left w:w="55" w:type="dxa"/>
              <w:bottom w:w="45" w:type="dxa"/>
              <w:right w:w="55" w:type="dxa"/>
            </w:tcMar>
            <w:vAlign w:val="center"/>
          </w:tcPr>
          <w:p w14:paraId="714E17C9" w14:textId="77777777" w:rsidR="002521F4" w:rsidRDefault="00CA190B">
            <w:pPr>
              <w:spacing w:after="0"/>
            </w:pPr>
            <w:r>
              <w:t>External-validation governance and cooperation readiness - RP1</w:t>
            </w:r>
          </w:p>
        </w:tc>
        <w:tc>
          <w:tcPr>
            <w:tcW w:w="1224" w:type="dxa"/>
            <w:shd w:val="clear" w:color="auto" w:fill="FFFFFF"/>
            <w:tcMar>
              <w:top w:w="45" w:type="dxa"/>
              <w:left w:w="55" w:type="dxa"/>
              <w:bottom w:w="45" w:type="dxa"/>
              <w:right w:w="55" w:type="dxa"/>
            </w:tcMar>
            <w:vAlign w:val="center"/>
          </w:tcPr>
          <w:p w14:paraId="5BF35D13"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224680D7" w14:textId="77777777" w:rsidR="00894D55" w:rsidRDefault="00B20FC1">
            <w:pPr>
              <w:spacing w:after="0"/>
            </w:pPr>
            <w:r>
              <w:rPr>
                <w:rFonts w:cs="Times New Roman"/>
              </w:rPr>
              <w:t>Scientific/Technical Lead</w:t>
            </w:r>
          </w:p>
        </w:tc>
        <w:tc>
          <w:tcPr>
            <w:tcW w:w="576" w:type="dxa"/>
            <w:shd w:val="clear" w:color="auto" w:fill="FFFFFF"/>
            <w:tcMar>
              <w:top w:w="45" w:type="dxa"/>
              <w:left w:w="55" w:type="dxa"/>
              <w:bottom w:w="45" w:type="dxa"/>
              <w:right w:w="55" w:type="dxa"/>
            </w:tcMar>
            <w:vAlign w:val="center"/>
          </w:tcPr>
          <w:p w14:paraId="05C970E8" w14:textId="77777777" w:rsidR="00617ED1" w:rsidRDefault="003016E0">
            <w:pPr>
              <w:spacing w:after="0"/>
            </w:pPr>
            <w:r>
              <w:t>M1</w:t>
            </w:r>
          </w:p>
        </w:tc>
        <w:tc>
          <w:tcPr>
            <w:tcW w:w="576" w:type="dxa"/>
            <w:shd w:val="clear" w:color="auto" w:fill="FFFFFF"/>
            <w:tcMar>
              <w:top w:w="45" w:type="dxa"/>
              <w:left w:w="55" w:type="dxa"/>
              <w:bottom w:w="45" w:type="dxa"/>
              <w:right w:w="55" w:type="dxa"/>
            </w:tcMar>
            <w:vAlign w:val="center"/>
          </w:tcPr>
          <w:p w14:paraId="1BFD1B9F" w14:textId="77777777" w:rsidR="00617ED1" w:rsidRDefault="003016E0">
            <w:pPr>
              <w:spacing w:after="0"/>
            </w:pPr>
            <w:r>
              <w:t>M12</w:t>
            </w:r>
          </w:p>
        </w:tc>
      </w:tr>
      <w:tr w:rsidR="00894D55" w14:paraId="0AC15A77" w14:textId="77777777">
        <w:trPr>
          <w:jc w:val="center"/>
        </w:trPr>
        <w:tc>
          <w:tcPr>
            <w:tcW w:w="504" w:type="dxa"/>
            <w:shd w:val="clear" w:color="auto" w:fill="FFFFFF"/>
            <w:tcMar>
              <w:top w:w="45" w:type="dxa"/>
              <w:left w:w="55" w:type="dxa"/>
              <w:bottom w:w="45" w:type="dxa"/>
              <w:right w:w="55" w:type="dxa"/>
            </w:tcMar>
            <w:vAlign w:val="center"/>
          </w:tcPr>
          <w:p w14:paraId="6121FBE8" w14:textId="77777777" w:rsidR="00894D55" w:rsidRDefault="00B20FC1">
            <w:pPr>
              <w:spacing w:after="0"/>
            </w:pPr>
            <w:r>
              <w:rPr>
                <w:rFonts w:cs="Times New Roman"/>
              </w:rPr>
              <w:t>WP2</w:t>
            </w:r>
          </w:p>
        </w:tc>
        <w:tc>
          <w:tcPr>
            <w:tcW w:w="3960" w:type="dxa"/>
            <w:shd w:val="clear" w:color="auto" w:fill="FFFFFF"/>
            <w:tcMar>
              <w:top w:w="45" w:type="dxa"/>
              <w:left w:w="55" w:type="dxa"/>
              <w:bottom w:w="45" w:type="dxa"/>
              <w:right w:w="55" w:type="dxa"/>
            </w:tcMar>
            <w:vAlign w:val="center"/>
          </w:tcPr>
          <w:p w14:paraId="6FC9D18A" w14:textId="77777777" w:rsidR="00617ED1" w:rsidRDefault="003016E0">
            <w:pPr>
              <w:spacing w:after="0"/>
            </w:pPr>
            <w:r>
              <w:t>Freeze of the established SCC/MDPAR object and metrology</w:t>
            </w:r>
          </w:p>
        </w:tc>
        <w:tc>
          <w:tcPr>
            <w:tcW w:w="1224" w:type="dxa"/>
            <w:shd w:val="clear" w:color="auto" w:fill="FFFFFF"/>
            <w:tcMar>
              <w:top w:w="45" w:type="dxa"/>
              <w:left w:w="55" w:type="dxa"/>
              <w:bottom w:w="45" w:type="dxa"/>
              <w:right w:w="55" w:type="dxa"/>
            </w:tcMar>
            <w:vAlign w:val="center"/>
          </w:tcPr>
          <w:p w14:paraId="2C78884E"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2711E4D7" w14:textId="77777777" w:rsidR="00894D55" w:rsidRDefault="00B20FC1">
            <w:pPr>
              <w:spacing w:after="0"/>
            </w:pPr>
            <w:r>
              <w:rPr>
                <w:rFonts w:cs="Times New Roman"/>
              </w:rPr>
              <w:t>Scientific/Technical Lead</w:t>
            </w:r>
          </w:p>
        </w:tc>
        <w:tc>
          <w:tcPr>
            <w:tcW w:w="576" w:type="dxa"/>
            <w:shd w:val="clear" w:color="auto" w:fill="FFFFFF"/>
            <w:tcMar>
              <w:top w:w="45" w:type="dxa"/>
              <w:left w:w="55" w:type="dxa"/>
              <w:bottom w:w="45" w:type="dxa"/>
              <w:right w:w="55" w:type="dxa"/>
            </w:tcMar>
            <w:vAlign w:val="center"/>
          </w:tcPr>
          <w:p w14:paraId="7484D109" w14:textId="77777777" w:rsidR="00617ED1" w:rsidRDefault="003016E0">
            <w:pPr>
              <w:spacing w:after="0"/>
            </w:pPr>
            <w:r>
              <w:t>M1</w:t>
            </w:r>
          </w:p>
        </w:tc>
        <w:tc>
          <w:tcPr>
            <w:tcW w:w="576" w:type="dxa"/>
            <w:shd w:val="clear" w:color="auto" w:fill="FFFFFF"/>
            <w:tcMar>
              <w:top w:w="45" w:type="dxa"/>
              <w:left w:w="55" w:type="dxa"/>
              <w:bottom w:w="45" w:type="dxa"/>
              <w:right w:w="55" w:type="dxa"/>
            </w:tcMar>
            <w:vAlign w:val="center"/>
          </w:tcPr>
          <w:p w14:paraId="26544AAB" w14:textId="77777777" w:rsidR="00617ED1" w:rsidRDefault="003016E0">
            <w:pPr>
              <w:spacing w:after="0"/>
            </w:pPr>
            <w:r>
              <w:t>M6</w:t>
            </w:r>
          </w:p>
        </w:tc>
      </w:tr>
      <w:tr w:rsidR="00894D55" w14:paraId="6AF4201F" w14:textId="77777777">
        <w:trPr>
          <w:jc w:val="center"/>
        </w:trPr>
        <w:tc>
          <w:tcPr>
            <w:tcW w:w="504" w:type="dxa"/>
            <w:shd w:val="clear" w:color="auto" w:fill="FFFFFF"/>
            <w:tcMar>
              <w:top w:w="45" w:type="dxa"/>
              <w:left w:w="55" w:type="dxa"/>
              <w:bottom w:w="45" w:type="dxa"/>
              <w:right w:w="55" w:type="dxa"/>
            </w:tcMar>
            <w:vAlign w:val="center"/>
          </w:tcPr>
          <w:p w14:paraId="36B840A0" w14:textId="77777777" w:rsidR="00894D55" w:rsidRDefault="00B20FC1">
            <w:pPr>
              <w:spacing w:after="0"/>
            </w:pPr>
            <w:r>
              <w:rPr>
                <w:rFonts w:cs="Times New Roman"/>
              </w:rPr>
              <w:t>WP3</w:t>
            </w:r>
          </w:p>
        </w:tc>
        <w:tc>
          <w:tcPr>
            <w:tcW w:w="3960" w:type="dxa"/>
            <w:shd w:val="clear" w:color="auto" w:fill="FFFFFF"/>
            <w:tcMar>
              <w:top w:w="45" w:type="dxa"/>
              <w:left w:w="55" w:type="dxa"/>
              <w:bottom w:w="45" w:type="dxa"/>
              <w:right w:w="55" w:type="dxa"/>
            </w:tcMar>
            <w:vAlign w:val="center"/>
          </w:tcPr>
          <w:p w14:paraId="55941935" w14:textId="77777777" w:rsidR="00617ED1" w:rsidRDefault="003016E0">
            <w:pPr>
              <w:spacing w:after="0"/>
            </w:pPr>
            <w:r>
              <w:t>Year-1 Symbolic Domain Map</w:t>
            </w:r>
          </w:p>
        </w:tc>
        <w:tc>
          <w:tcPr>
            <w:tcW w:w="1224" w:type="dxa"/>
            <w:shd w:val="clear" w:color="auto" w:fill="FFFFFF"/>
            <w:tcMar>
              <w:top w:w="45" w:type="dxa"/>
              <w:left w:w="55" w:type="dxa"/>
              <w:bottom w:w="45" w:type="dxa"/>
              <w:right w:w="55" w:type="dxa"/>
            </w:tcMar>
            <w:vAlign w:val="center"/>
          </w:tcPr>
          <w:p w14:paraId="2D97F35A"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395F8928" w14:textId="77777777" w:rsidR="00894D55" w:rsidRDefault="00B20FC1">
            <w:pPr>
              <w:spacing w:after="0"/>
            </w:pPr>
            <w:r>
              <w:rPr>
                <w:rFonts w:cs="Times New Roman"/>
              </w:rPr>
              <w:t>Experimental AI Lead</w:t>
            </w:r>
          </w:p>
        </w:tc>
        <w:tc>
          <w:tcPr>
            <w:tcW w:w="576" w:type="dxa"/>
            <w:shd w:val="clear" w:color="auto" w:fill="FFFFFF"/>
            <w:tcMar>
              <w:top w:w="45" w:type="dxa"/>
              <w:left w:w="55" w:type="dxa"/>
              <w:bottom w:w="45" w:type="dxa"/>
              <w:right w:w="55" w:type="dxa"/>
            </w:tcMar>
            <w:vAlign w:val="center"/>
          </w:tcPr>
          <w:p w14:paraId="211D859F" w14:textId="77777777" w:rsidR="00617ED1" w:rsidRDefault="003016E0">
            <w:pPr>
              <w:spacing w:after="0"/>
            </w:pPr>
            <w:r>
              <w:t>M3</w:t>
            </w:r>
          </w:p>
        </w:tc>
        <w:tc>
          <w:tcPr>
            <w:tcW w:w="576" w:type="dxa"/>
            <w:shd w:val="clear" w:color="auto" w:fill="FFFFFF"/>
            <w:tcMar>
              <w:top w:w="45" w:type="dxa"/>
              <w:left w:w="55" w:type="dxa"/>
              <w:bottom w:w="45" w:type="dxa"/>
              <w:right w:w="55" w:type="dxa"/>
            </w:tcMar>
            <w:vAlign w:val="center"/>
          </w:tcPr>
          <w:p w14:paraId="049BE02F" w14:textId="77777777" w:rsidR="00617ED1" w:rsidRDefault="003016E0">
            <w:pPr>
              <w:spacing w:after="0"/>
            </w:pPr>
            <w:r>
              <w:t>M12</w:t>
            </w:r>
          </w:p>
        </w:tc>
      </w:tr>
      <w:tr w:rsidR="00894D55" w14:paraId="4193A444" w14:textId="77777777">
        <w:trPr>
          <w:jc w:val="center"/>
        </w:trPr>
        <w:tc>
          <w:tcPr>
            <w:tcW w:w="504" w:type="dxa"/>
            <w:shd w:val="clear" w:color="auto" w:fill="FFFFFF"/>
            <w:tcMar>
              <w:top w:w="45" w:type="dxa"/>
              <w:left w:w="55" w:type="dxa"/>
              <w:bottom w:w="45" w:type="dxa"/>
              <w:right w:w="55" w:type="dxa"/>
            </w:tcMar>
            <w:vAlign w:val="center"/>
          </w:tcPr>
          <w:p w14:paraId="3281362E" w14:textId="77777777" w:rsidR="00894D55" w:rsidRDefault="00B20FC1">
            <w:pPr>
              <w:spacing w:after="0"/>
            </w:pPr>
            <w:r>
              <w:rPr>
                <w:rFonts w:cs="Times New Roman"/>
              </w:rPr>
              <w:t>WP4</w:t>
            </w:r>
          </w:p>
        </w:tc>
        <w:tc>
          <w:tcPr>
            <w:tcW w:w="3960" w:type="dxa"/>
            <w:shd w:val="clear" w:color="auto" w:fill="FFFFFF"/>
            <w:tcMar>
              <w:top w:w="45" w:type="dxa"/>
              <w:left w:w="55" w:type="dxa"/>
              <w:bottom w:w="45" w:type="dxa"/>
              <w:right w:w="55" w:type="dxa"/>
            </w:tcMar>
            <w:vAlign w:val="center"/>
          </w:tcPr>
          <w:p w14:paraId="2208525D" w14:textId="77777777" w:rsidR="00617ED1" w:rsidRDefault="003016E0">
            <w:pPr>
              <w:spacing w:after="0"/>
            </w:pPr>
            <w:r>
              <w:t>Evidence, Open Science and reproducibility - RP1</w:t>
            </w:r>
          </w:p>
        </w:tc>
        <w:tc>
          <w:tcPr>
            <w:tcW w:w="1224" w:type="dxa"/>
            <w:shd w:val="clear" w:color="auto" w:fill="FFFFFF"/>
            <w:tcMar>
              <w:top w:w="45" w:type="dxa"/>
              <w:left w:w="55" w:type="dxa"/>
              <w:bottom w:w="45" w:type="dxa"/>
              <w:right w:w="55" w:type="dxa"/>
            </w:tcMar>
            <w:vAlign w:val="center"/>
          </w:tcPr>
          <w:p w14:paraId="344C707C"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73840F73" w14:textId="77777777" w:rsidR="00894D55" w:rsidRDefault="00B20FC1">
            <w:pPr>
              <w:spacing w:after="0"/>
            </w:pPr>
            <w:r>
              <w:rPr>
                <w:rFonts w:cs="Times New Roman"/>
              </w:rPr>
              <w:t>Open Science/Innovation Lead</w:t>
            </w:r>
          </w:p>
        </w:tc>
        <w:tc>
          <w:tcPr>
            <w:tcW w:w="576" w:type="dxa"/>
            <w:shd w:val="clear" w:color="auto" w:fill="FFFFFF"/>
            <w:tcMar>
              <w:top w:w="45" w:type="dxa"/>
              <w:left w:w="55" w:type="dxa"/>
              <w:bottom w:w="45" w:type="dxa"/>
              <w:right w:w="55" w:type="dxa"/>
            </w:tcMar>
            <w:vAlign w:val="center"/>
          </w:tcPr>
          <w:p w14:paraId="2C5196C8" w14:textId="77777777" w:rsidR="00617ED1" w:rsidRDefault="003016E0">
            <w:pPr>
              <w:spacing w:after="0"/>
            </w:pPr>
            <w:r>
              <w:t>M1</w:t>
            </w:r>
          </w:p>
        </w:tc>
        <w:tc>
          <w:tcPr>
            <w:tcW w:w="576" w:type="dxa"/>
            <w:shd w:val="clear" w:color="auto" w:fill="FFFFFF"/>
            <w:tcMar>
              <w:top w:w="45" w:type="dxa"/>
              <w:left w:w="55" w:type="dxa"/>
              <w:bottom w:w="45" w:type="dxa"/>
              <w:right w:w="55" w:type="dxa"/>
            </w:tcMar>
            <w:vAlign w:val="center"/>
          </w:tcPr>
          <w:p w14:paraId="51122EA1" w14:textId="77777777" w:rsidR="00617ED1" w:rsidRDefault="003016E0">
            <w:pPr>
              <w:spacing w:after="0"/>
            </w:pPr>
            <w:r>
              <w:t>M12</w:t>
            </w:r>
          </w:p>
        </w:tc>
      </w:tr>
      <w:tr w:rsidR="00894D55" w14:paraId="379EAF8C" w14:textId="77777777">
        <w:trPr>
          <w:jc w:val="center"/>
        </w:trPr>
        <w:tc>
          <w:tcPr>
            <w:tcW w:w="504" w:type="dxa"/>
            <w:shd w:val="clear" w:color="auto" w:fill="FFFFFF"/>
            <w:tcMar>
              <w:top w:w="45" w:type="dxa"/>
              <w:left w:w="55" w:type="dxa"/>
              <w:bottom w:w="45" w:type="dxa"/>
              <w:right w:w="55" w:type="dxa"/>
            </w:tcMar>
            <w:vAlign w:val="center"/>
          </w:tcPr>
          <w:p w14:paraId="58118D02" w14:textId="77777777" w:rsidR="00894D55" w:rsidRDefault="00B20FC1">
            <w:pPr>
              <w:spacing w:after="0"/>
            </w:pPr>
            <w:r>
              <w:rPr>
                <w:rFonts w:cs="Times New Roman"/>
              </w:rPr>
              <w:t>WP5</w:t>
            </w:r>
          </w:p>
        </w:tc>
        <w:tc>
          <w:tcPr>
            <w:tcW w:w="3960" w:type="dxa"/>
            <w:shd w:val="clear" w:color="auto" w:fill="FFFFFF"/>
            <w:tcMar>
              <w:top w:w="45" w:type="dxa"/>
              <w:left w:w="55" w:type="dxa"/>
              <w:bottom w:w="45" w:type="dxa"/>
              <w:right w:w="55" w:type="dxa"/>
            </w:tcMar>
            <w:vAlign w:val="center"/>
          </w:tcPr>
          <w:p w14:paraId="345B6A6E" w14:textId="77777777" w:rsidR="00617ED1" w:rsidRDefault="003016E0">
            <w:pPr>
              <w:spacing w:after="0"/>
            </w:pPr>
            <w:r>
              <w:t>Portfolio coordination and external-domain governance - RP2</w:t>
            </w:r>
          </w:p>
        </w:tc>
        <w:tc>
          <w:tcPr>
            <w:tcW w:w="1224" w:type="dxa"/>
            <w:shd w:val="clear" w:color="auto" w:fill="FFFFFF"/>
            <w:tcMar>
              <w:top w:w="45" w:type="dxa"/>
              <w:left w:w="55" w:type="dxa"/>
              <w:bottom w:w="45" w:type="dxa"/>
              <w:right w:w="55" w:type="dxa"/>
            </w:tcMar>
            <w:vAlign w:val="center"/>
          </w:tcPr>
          <w:p w14:paraId="320EDC99"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7F319CDD" w14:textId="77777777" w:rsidR="00894D55" w:rsidRDefault="00B20FC1">
            <w:pPr>
              <w:spacing w:after="0"/>
            </w:pPr>
            <w:r>
              <w:rPr>
                <w:rFonts w:cs="Times New Roman"/>
              </w:rPr>
              <w:t>Scientific/Technical Lead</w:t>
            </w:r>
          </w:p>
        </w:tc>
        <w:tc>
          <w:tcPr>
            <w:tcW w:w="576" w:type="dxa"/>
            <w:shd w:val="clear" w:color="auto" w:fill="FFFFFF"/>
            <w:tcMar>
              <w:top w:w="45" w:type="dxa"/>
              <w:left w:w="55" w:type="dxa"/>
              <w:bottom w:w="45" w:type="dxa"/>
              <w:right w:w="55" w:type="dxa"/>
            </w:tcMar>
            <w:vAlign w:val="center"/>
          </w:tcPr>
          <w:p w14:paraId="2D5BCED6" w14:textId="77777777" w:rsidR="00617ED1" w:rsidRDefault="003016E0">
            <w:pPr>
              <w:spacing w:after="0"/>
            </w:pPr>
            <w:r>
              <w:t>M13</w:t>
            </w:r>
          </w:p>
        </w:tc>
        <w:tc>
          <w:tcPr>
            <w:tcW w:w="576" w:type="dxa"/>
            <w:shd w:val="clear" w:color="auto" w:fill="FFFFFF"/>
            <w:tcMar>
              <w:top w:w="45" w:type="dxa"/>
              <w:left w:w="55" w:type="dxa"/>
              <w:bottom w:w="45" w:type="dxa"/>
              <w:right w:w="55" w:type="dxa"/>
            </w:tcMar>
            <w:vAlign w:val="center"/>
          </w:tcPr>
          <w:p w14:paraId="361AA7A8" w14:textId="77777777" w:rsidR="00617ED1" w:rsidRDefault="003016E0">
            <w:pPr>
              <w:spacing w:after="0"/>
            </w:pPr>
            <w:r>
              <w:t>M36</w:t>
            </w:r>
          </w:p>
        </w:tc>
      </w:tr>
      <w:tr w:rsidR="00894D55" w14:paraId="7272A514" w14:textId="77777777">
        <w:trPr>
          <w:jc w:val="center"/>
        </w:trPr>
        <w:tc>
          <w:tcPr>
            <w:tcW w:w="504" w:type="dxa"/>
            <w:shd w:val="clear" w:color="auto" w:fill="FFFFFF"/>
            <w:tcMar>
              <w:top w:w="45" w:type="dxa"/>
              <w:left w:w="55" w:type="dxa"/>
              <w:bottom w:w="45" w:type="dxa"/>
              <w:right w:w="55" w:type="dxa"/>
            </w:tcMar>
            <w:vAlign w:val="center"/>
          </w:tcPr>
          <w:p w14:paraId="5DC16DB1" w14:textId="77777777" w:rsidR="00894D55" w:rsidRDefault="00B20FC1">
            <w:pPr>
              <w:spacing w:after="0"/>
            </w:pPr>
            <w:r>
              <w:rPr>
                <w:rFonts w:cs="Times New Roman"/>
              </w:rPr>
              <w:t>WP6</w:t>
            </w:r>
          </w:p>
        </w:tc>
        <w:tc>
          <w:tcPr>
            <w:tcW w:w="3960" w:type="dxa"/>
            <w:shd w:val="clear" w:color="auto" w:fill="FFFFFF"/>
            <w:tcMar>
              <w:top w:w="45" w:type="dxa"/>
              <w:left w:w="55" w:type="dxa"/>
              <w:bottom w:w="45" w:type="dxa"/>
              <w:right w:w="55" w:type="dxa"/>
            </w:tcMar>
            <w:vAlign w:val="center"/>
          </w:tcPr>
          <w:p w14:paraId="609A055A" w14:textId="77777777" w:rsidR="002521F4" w:rsidRDefault="00CA190B">
            <w:r>
              <w:t>Year-2 Controlled Cross-Domain and Independent-System Domain Map</w:t>
            </w:r>
          </w:p>
        </w:tc>
        <w:tc>
          <w:tcPr>
            <w:tcW w:w="1224" w:type="dxa"/>
            <w:shd w:val="clear" w:color="auto" w:fill="FFFFFF"/>
            <w:tcMar>
              <w:top w:w="45" w:type="dxa"/>
              <w:left w:w="55" w:type="dxa"/>
              <w:bottom w:w="45" w:type="dxa"/>
              <w:right w:w="55" w:type="dxa"/>
            </w:tcMar>
            <w:vAlign w:val="center"/>
          </w:tcPr>
          <w:p w14:paraId="0FCC36AC"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285A2A52" w14:textId="77777777" w:rsidR="00894D55" w:rsidRDefault="00B20FC1">
            <w:pPr>
              <w:spacing w:after="0"/>
            </w:pPr>
            <w:r>
              <w:rPr>
                <w:rFonts w:cs="Times New Roman"/>
              </w:rPr>
              <w:t>Experimental AI Lead</w:t>
            </w:r>
          </w:p>
        </w:tc>
        <w:tc>
          <w:tcPr>
            <w:tcW w:w="576" w:type="dxa"/>
            <w:shd w:val="clear" w:color="auto" w:fill="FFFFFF"/>
            <w:tcMar>
              <w:top w:w="45" w:type="dxa"/>
              <w:left w:w="55" w:type="dxa"/>
              <w:bottom w:w="45" w:type="dxa"/>
              <w:right w:w="55" w:type="dxa"/>
            </w:tcMar>
            <w:vAlign w:val="center"/>
          </w:tcPr>
          <w:p w14:paraId="26164A5B" w14:textId="77777777" w:rsidR="00617ED1" w:rsidRDefault="003016E0">
            <w:pPr>
              <w:spacing w:after="0"/>
            </w:pPr>
            <w:r>
              <w:t>M10</w:t>
            </w:r>
          </w:p>
        </w:tc>
        <w:tc>
          <w:tcPr>
            <w:tcW w:w="576" w:type="dxa"/>
            <w:shd w:val="clear" w:color="auto" w:fill="FFFFFF"/>
            <w:tcMar>
              <w:top w:w="45" w:type="dxa"/>
              <w:left w:w="55" w:type="dxa"/>
              <w:bottom w:w="45" w:type="dxa"/>
              <w:right w:w="55" w:type="dxa"/>
            </w:tcMar>
            <w:vAlign w:val="center"/>
          </w:tcPr>
          <w:p w14:paraId="402F523C" w14:textId="77777777" w:rsidR="00617ED1" w:rsidRDefault="003016E0">
            <w:pPr>
              <w:spacing w:after="0"/>
            </w:pPr>
            <w:r>
              <w:t>M24</w:t>
            </w:r>
          </w:p>
        </w:tc>
      </w:tr>
      <w:tr w:rsidR="00894D55" w14:paraId="0D226FA6" w14:textId="77777777">
        <w:trPr>
          <w:jc w:val="center"/>
        </w:trPr>
        <w:tc>
          <w:tcPr>
            <w:tcW w:w="504" w:type="dxa"/>
            <w:shd w:val="clear" w:color="auto" w:fill="FFFFFF"/>
            <w:tcMar>
              <w:top w:w="45" w:type="dxa"/>
              <w:left w:w="55" w:type="dxa"/>
              <w:bottom w:w="45" w:type="dxa"/>
              <w:right w:w="55" w:type="dxa"/>
            </w:tcMar>
            <w:vAlign w:val="center"/>
          </w:tcPr>
          <w:p w14:paraId="3333F5F0" w14:textId="77777777" w:rsidR="00894D55" w:rsidRDefault="00B20FC1">
            <w:pPr>
              <w:spacing w:after="0"/>
            </w:pPr>
            <w:r>
              <w:rPr>
                <w:rFonts w:cs="Times New Roman"/>
              </w:rPr>
              <w:t>WP7</w:t>
            </w:r>
          </w:p>
        </w:tc>
        <w:tc>
          <w:tcPr>
            <w:tcW w:w="3960" w:type="dxa"/>
            <w:shd w:val="clear" w:color="auto" w:fill="FFFFFF"/>
            <w:tcMar>
              <w:top w:w="45" w:type="dxa"/>
              <w:left w:w="55" w:type="dxa"/>
              <w:bottom w:w="45" w:type="dxa"/>
              <w:right w:w="55" w:type="dxa"/>
            </w:tcMar>
            <w:vAlign w:val="center"/>
          </w:tcPr>
          <w:p w14:paraId="6B6ED3D3" w14:textId="77777777" w:rsidR="00617ED1" w:rsidRDefault="003016E0">
            <w:pPr>
              <w:spacing w:after="0"/>
            </w:pPr>
            <w:r>
              <w:t>Year-3 Embodied Domain Map and TRL4 integration</w:t>
            </w:r>
          </w:p>
        </w:tc>
        <w:tc>
          <w:tcPr>
            <w:tcW w:w="1224" w:type="dxa"/>
            <w:shd w:val="clear" w:color="auto" w:fill="FFFFFF"/>
            <w:tcMar>
              <w:top w:w="45" w:type="dxa"/>
              <w:left w:w="55" w:type="dxa"/>
              <w:bottom w:w="45" w:type="dxa"/>
              <w:right w:w="55" w:type="dxa"/>
            </w:tcMar>
            <w:vAlign w:val="center"/>
          </w:tcPr>
          <w:p w14:paraId="15C1251D"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2DB98CE6" w14:textId="77777777" w:rsidR="00894D55" w:rsidRDefault="00B20FC1">
            <w:pPr>
              <w:spacing w:after="0"/>
            </w:pPr>
            <w:r>
              <w:rPr>
                <w:rFonts w:cs="Times New Roman"/>
              </w:rPr>
              <w:t>Embodied AI Lead</w:t>
            </w:r>
          </w:p>
        </w:tc>
        <w:tc>
          <w:tcPr>
            <w:tcW w:w="576" w:type="dxa"/>
            <w:shd w:val="clear" w:color="auto" w:fill="FFFFFF"/>
            <w:tcMar>
              <w:top w:w="45" w:type="dxa"/>
              <w:left w:w="55" w:type="dxa"/>
              <w:bottom w:w="45" w:type="dxa"/>
              <w:right w:w="55" w:type="dxa"/>
            </w:tcMar>
            <w:vAlign w:val="center"/>
          </w:tcPr>
          <w:p w14:paraId="425F1258" w14:textId="77777777" w:rsidR="00617ED1" w:rsidRDefault="003016E0">
            <w:pPr>
              <w:spacing w:after="0"/>
            </w:pPr>
            <w:r>
              <w:t>M19</w:t>
            </w:r>
          </w:p>
        </w:tc>
        <w:tc>
          <w:tcPr>
            <w:tcW w:w="576" w:type="dxa"/>
            <w:shd w:val="clear" w:color="auto" w:fill="FFFFFF"/>
            <w:tcMar>
              <w:top w:w="45" w:type="dxa"/>
              <w:left w:w="55" w:type="dxa"/>
              <w:bottom w:w="45" w:type="dxa"/>
              <w:right w:w="55" w:type="dxa"/>
            </w:tcMar>
            <w:vAlign w:val="center"/>
          </w:tcPr>
          <w:p w14:paraId="544F9C0D" w14:textId="77777777" w:rsidR="00617ED1" w:rsidRDefault="003016E0">
            <w:pPr>
              <w:spacing w:after="0"/>
            </w:pPr>
            <w:r>
              <w:t>M36</w:t>
            </w:r>
          </w:p>
        </w:tc>
      </w:tr>
      <w:tr w:rsidR="00894D55" w14:paraId="11F3ADFB" w14:textId="77777777">
        <w:trPr>
          <w:jc w:val="center"/>
        </w:trPr>
        <w:tc>
          <w:tcPr>
            <w:tcW w:w="504" w:type="dxa"/>
            <w:shd w:val="clear" w:color="auto" w:fill="FFFFFF"/>
            <w:tcMar>
              <w:top w:w="45" w:type="dxa"/>
              <w:left w:w="55" w:type="dxa"/>
              <w:bottom w:w="45" w:type="dxa"/>
              <w:right w:w="55" w:type="dxa"/>
            </w:tcMar>
            <w:vAlign w:val="center"/>
          </w:tcPr>
          <w:p w14:paraId="7D21ED5F" w14:textId="77777777" w:rsidR="00894D55" w:rsidRDefault="00B20FC1">
            <w:pPr>
              <w:spacing w:after="0"/>
            </w:pPr>
            <w:r>
              <w:rPr>
                <w:rFonts w:cs="Times New Roman"/>
              </w:rPr>
              <w:t>WP8</w:t>
            </w:r>
          </w:p>
        </w:tc>
        <w:tc>
          <w:tcPr>
            <w:tcW w:w="3960" w:type="dxa"/>
            <w:shd w:val="clear" w:color="auto" w:fill="FFFFFF"/>
            <w:tcMar>
              <w:top w:w="45" w:type="dxa"/>
              <w:left w:w="55" w:type="dxa"/>
              <w:bottom w:w="45" w:type="dxa"/>
              <w:right w:w="55" w:type="dxa"/>
            </w:tcMar>
            <w:vAlign w:val="center"/>
          </w:tcPr>
          <w:p w14:paraId="199C4CF3" w14:textId="77777777" w:rsidR="00617ED1" w:rsidRDefault="003016E0">
            <w:pPr>
              <w:spacing w:after="0"/>
            </w:pPr>
            <w:r>
              <w:t>Final evidence infrastructure and Structural Invariance Atlas - RP2</w:t>
            </w:r>
          </w:p>
        </w:tc>
        <w:tc>
          <w:tcPr>
            <w:tcW w:w="1224" w:type="dxa"/>
            <w:shd w:val="clear" w:color="auto" w:fill="FFFFFF"/>
            <w:tcMar>
              <w:top w:w="45" w:type="dxa"/>
              <w:left w:w="55" w:type="dxa"/>
              <w:bottom w:w="45" w:type="dxa"/>
              <w:right w:w="55" w:type="dxa"/>
            </w:tcMar>
            <w:vAlign w:val="center"/>
          </w:tcPr>
          <w:p w14:paraId="1C40CE70"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7D3C4F16" w14:textId="77777777" w:rsidR="00894D55" w:rsidRDefault="00B20FC1">
            <w:pPr>
              <w:spacing w:after="0"/>
            </w:pPr>
            <w:r>
              <w:rPr>
                <w:rFonts w:cs="Times New Roman"/>
              </w:rPr>
              <w:t>Quantitative/Open Science Lead</w:t>
            </w:r>
          </w:p>
        </w:tc>
        <w:tc>
          <w:tcPr>
            <w:tcW w:w="576" w:type="dxa"/>
            <w:shd w:val="clear" w:color="auto" w:fill="FFFFFF"/>
            <w:tcMar>
              <w:top w:w="45" w:type="dxa"/>
              <w:left w:w="55" w:type="dxa"/>
              <w:bottom w:w="45" w:type="dxa"/>
              <w:right w:w="55" w:type="dxa"/>
            </w:tcMar>
            <w:vAlign w:val="center"/>
          </w:tcPr>
          <w:p w14:paraId="0DB30C3C" w14:textId="77777777" w:rsidR="00617ED1" w:rsidRDefault="003016E0">
            <w:pPr>
              <w:spacing w:after="0"/>
            </w:pPr>
            <w:r>
              <w:t>M13</w:t>
            </w:r>
          </w:p>
        </w:tc>
        <w:tc>
          <w:tcPr>
            <w:tcW w:w="576" w:type="dxa"/>
            <w:shd w:val="clear" w:color="auto" w:fill="FFFFFF"/>
            <w:tcMar>
              <w:top w:w="45" w:type="dxa"/>
              <w:left w:w="55" w:type="dxa"/>
              <w:bottom w:w="45" w:type="dxa"/>
              <w:right w:w="55" w:type="dxa"/>
            </w:tcMar>
            <w:vAlign w:val="center"/>
          </w:tcPr>
          <w:p w14:paraId="28E91C69" w14:textId="77777777" w:rsidR="00617ED1" w:rsidRDefault="003016E0">
            <w:pPr>
              <w:spacing w:after="0"/>
            </w:pPr>
            <w:r>
              <w:t>M36</w:t>
            </w:r>
          </w:p>
        </w:tc>
      </w:tr>
      <w:tr w:rsidR="00894D55" w14:paraId="1C72809D" w14:textId="77777777">
        <w:trPr>
          <w:jc w:val="center"/>
        </w:trPr>
        <w:tc>
          <w:tcPr>
            <w:tcW w:w="504" w:type="dxa"/>
            <w:shd w:val="clear" w:color="auto" w:fill="FFFFFF"/>
            <w:tcMar>
              <w:top w:w="45" w:type="dxa"/>
              <w:left w:w="55" w:type="dxa"/>
              <w:bottom w:w="45" w:type="dxa"/>
              <w:right w:w="55" w:type="dxa"/>
            </w:tcMar>
            <w:vAlign w:val="center"/>
          </w:tcPr>
          <w:p w14:paraId="4C6634C0" w14:textId="77777777" w:rsidR="00894D55" w:rsidRDefault="00B20FC1">
            <w:pPr>
              <w:spacing w:after="0"/>
            </w:pPr>
            <w:r>
              <w:rPr>
                <w:rFonts w:cs="Times New Roman"/>
              </w:rPr>
              <w:t>WP9</w:t>
            </w:r>
          </w:p>
        </w:tc>
        <w:tc>
          <w:tcPr>
            <w:tcW w:w="3960" w:type="dxa"/>
            <w:shd w:val="clear" w:color="auto" w:fill="FFFFFF"/>
            <w:tcMar>
              <w:top w:w="45" w:type="dxa"/>
              <w:left w:w="55" w:type="dxa"/>
              <w:bottom w:w="45" w:type="dxa"/>
              <w:right w:w="55" w:type="dxa"/>
            </w:tcMar>
            <w:vAlign w:val="center"/>
          </w:tcPr>
          <w:p w14:paraId="080276EE" w14:textId="77777777" w:rsidR="00617ED1" w:rsidRDefault="003016E0">
            <w:pPr>
              <w:spacing w:after="0"/>
            </w:pPr>
            <w:r>
              <w:t>Translation, standardisation and exploitation of established results - RP2</w:t>
            </w:r>
          </w:p>
        </w:tc>
        <w:tc>
          <w:tcPr>
            <w:tcW w:w="1224" w:type="dxa"/>
            <w:shd w:val="clear" w:color="auto" w:fill="FFFFFF"/>
            <w:tcMar>
              <w:top w:w="45" w:type="dxa"/>
              <w:left w:w="55" w:type="dxa"/>
              <w:bottom w:w="45" w:type="dxa"/>
              <w:right w:w="55" w:type="dxa"/>
            </w:tcMar>
            <w:vAlign w:val="center"/>
          </w:tcPr>
          <w:p w14:paraId="61993F62" w14:textId="77777777" w:rsidR="00894D55" w:rsidRDefault="00B20FC1">
            <w:pPr>
              <w:spacing w:after="0"/>
            </w:pPr>
            <w:r>
              <w:rPr>
                <w:rFonts w:cs="Times New Roman"/>
              </w:rPr>
              <w:t>P1 Applicant</w:t>
            </w:r>
          </w:p>
        </w:tc>
        <w:tc>
          <w:tcPr>
            <w:tcW w:w="1728" w:type="dxa"/>
            <w:shd w:val="clear" w:color="auto" w:fill="FFFFFF"/>
            <w:tcMar>
              <w:top w:w="45" w:type="dxa"/>
              <w:left w:w="55" w:type="dxa"/>
              <w:bottom w:w="45" w:type="dxa"/>
              <w:right w:w="55" w:type="dxa"/>
            </w:tcMar>
            <w:vAlign w:val="center"/>
          </w:tcPr>
          <w:p w14:paraId="4F2171E9" w14:textId="77777777" w:rsidR="00894D55" w:rsidRDefault="00B20FC1">
            <w:pPr>
              <w:spacing w:after="0"/>
            </w:pPr>
            <w:r>
              <w:rPr>
                <w:rFonts w:cs="Times New Roman"/>
              </w:rPr>
              <w:t>Innovation/Communication Lead</w:t>
            </w:r>
          </w:p>
        </w:tc>
        <w:tc>
          <w:tcPr>
            <w:tcW w:w="576" w:type="dxa"/>
            <w:shd w:val="clear" w:color="auto" w:fill="FFFFFF"/>
            <w:tcMar>
              <w:top w:w="45" w:type="dxa"/>
              <w:left w:w="55" w:type="dxa"/>
              <w:bottom w:w="45" w:type="dxa"/>
              <w:right w:w="55" w:type="dxa"/>
            </w:tcMar>
            <w:vAlign w:val="center"/>
          </w:tcPr>
          <w:p w14:paraId="511BD348" w14:textId="77777777" w:rsidR="00617ED1" w:rsidRDefault="003016E0">
            <w:pPr>
              <w:spacing w:after="0"/>
            </w:pPr>
            <w:r>
              <w:t>M13</w:t>
            </w:r>
          </w:p>
        </w:tc>
        <w:tc>
          <w:tcPr>
            <w:tcW w:w="576" w:type="dxa"/>
            <w:shd w:val="clear" w:color="auto" w:fill="FFFFFF"/>
            <w:tcMar>
              <w:top w:w="45" w:type="dxa"/>
              <w:left w:w="55" w:type="dxa"/>
              <w:bottom w:w="45" w:type="dxa"/>
              <w:right w:w="55" w:type="dxa"/>
            </w:tcMar>
            <w:vAlign w:val="center"/>
          </w:tcPr>
          <w:p w14:paraId="3385509E" w14:textId="77777777" w:rsidR="00617ED1" w:rsidRDefault="003016E0">
            <w:pPr>
              <w:spacing w:after="0"/>
            </w:pPr>
            <w:r>
              <w:t>M36</w:t>
            </w:r>
          </w:p>
        </w:tc>
      </w:tr>
    </w:tbl>
    <w:p w14:paraId="6FBCB7E3" w14:textId="77777777" w:rsidR="00894D55" w:rsidRDefault="00894D55"/>
    <w:p w14:paraId="35E769CA" w14:textId="77777777" w:rsidR="00894D55" w:rsidRDefault="00B20FC1">
      <w:r>
        <w:rPr>
          <w:rFonts w:cs="Times New Roman"/>
          <w:i/>
        </w:rPr>
        <w:t xml:space="preserve">P1 denotes the eligible legal entity identified in Part A. Named personnel and any additional beneficiary/associated-partner roles will be reconciled with Part A before submission. External </w:t>
      </w:r>
      <w:proofErr w:type="spellStart"/>
      <w:r>
        <w:rPr>
          <w:rFonts w:cs="Times New Roman"/>
          <w:i/>
        </w:rPr>
        <w:t>DeepRAP</w:t>
      </w:r>
      <w:proofErr w:type="spellEnd"/>
      <w:r>
        <w:rPr>
          <w:rFonts w:cs="Times New Roman"/>
          <w:i/>
        </w:rPr>
        <w:t xml:space="preserve"> projects are portfolio collaborators, not presumed beneficiaries of MDPAR-H unless formally included in the application.</w:t>
      </w:r>
    </w:p>
    <w:p w14:paraId="09D23AA2" w14:textId="77777777" w:rsidR="00894D55" w:rsidRDefault="00B20FC1">
      <w:pPr>
        <w:keepNext/>
        <w:spacing w:before="60" w:after="40"/>
      </w:pPr>
      <w:r>
        <w:rPr>
          <w:rFonts w:cs="Times New Roman"/>
          <w:b/>
        </w:rPr>
        <w:t>Gantt chart</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648"/>
        <w:gridCol w:w="1008"/>
        <w:gridCol w:w="1008"/>
        <w:gridCol w:w="1123"/>
        <w:gridCol w:w="1123"/>
        <w:gridCol w:w="1123"/>
        <w:gridCol w:w="1123"/>
      </w:tblGrid>
      <w:tr w:rsidR="00894D55" w14:paraId="7535DE26" w14:textId="77777777">
        <w:trPr>
          <w:tblHeader/>
          <w:jc w:val="center"/>
        </w:trPr>
        <w:tc>
          <w:tcPr>
            <w:tcW w:w="648" w:type="dxa"/>
            <w:shd w:val="clear" w:color="auto" w:fill="E7E6E6"/>
            <w:tcMar>
              <w:top w:w="45" w:type="dxa"/>
              <w:left w:w="55" w:type="dxa"/>
              <w:bottom w:w="45" w:type="dxa"/>
              <w:right w:w="55" w:type="dxa"/>
            </w:tcMar>
            <w:vAlign w:val="center"/>
          </w:tcPr>
          <w:p w14:paraId="612020EE" w14:textId="77777777" w:rsidR="00894D55" w:rsidRDefault="00B20FC1">
            <w:pPr>
              <w:spacing w:after="0"/>
            </w:pPr>
            <w:r>
              <w:rPr>
                <w:rFonts w:cs="Times New Roman"/>
                <w:b/>
              </w:rPr>
              <w:t>WP</w:t>
            </w:r>
          </w:p>
        </w:tc>
        <w:tc>
          <w:tcPr>
            <w:tcW w:w="1008" w:type="dxa"/>
            <w:shd w:val="clear" w:color="auto" w:fill="E7E6E6"/>
            <w:tcMar>
              <w:top w:w="45" w:type="dxa"/>
              <w:left w:w="55" w:type="dxa"/>
              <w:bottom w:w="45" w:type="dxa"/>
              <w:right w:w="55" w:type="dxa"/>
            </w:tcMar>
            <w:vAlign w:val="center"/>
          </w:tcPr>
          <w:p w14:paraId="289C40A0" w14:textId="77777777" w:rsidR="00894D55" w:rsidRDefault="00B20FC1">
            <w:pPr>
              <w:spacing w:after="0"/>
            </w:pPr>
            <w:r>
              <w:rPr>
                <w:rFonts w:cs="Times New Roman"/>
                <w:b/>
              </w:rPr>
              <w:t>M1-6</w:t>
            </w:r>
          </w:p>
        </w:tc>
        <w:tc>
          <w:tcPr>
            <w:tcW w:w="1008" w:type="dxa"/>
            <w:shd w:val="clear" w:color="auto" w:fill="E7E6E6"/>
            <w:tcMar>
              <w:top w:w="45" w:type="dxa"/>
              <w:left w:w="55" w:type="dxa"/>
              <w:bottom w:w="45" w:type="dxa"/>
              <w:right w:w="55" w:type="dxa"/>
            </w:tcMar>
            <w:vAlign w:val="center"/>
          </w:tcPr>
          <w:p w14:paraId="0D67FEC3" w14:textId="77777777" w:rsidR="00894D55" w:rsidRDefault="00B20FC1">
            <w:pPr>
              <w:spacing w:after="0"/>
            </w:pPr>
            <w:r>
              <w:rPr>
                <w:rFonts w:cs="Times New Roman"/>
                <w:b/>
              </w:rPr>
              <w:t>M7-12</w:t>
            </w:r>
          </w:p>
        </w:tc>
        <w:tc>
          <w:tcPr>
            <w:tcW w:w="1123" w:type="dxa"/>
            <w:shd w:val="clear" w:color="auto" w:fill="E7E6E6"/>
            <w:tcMar>
              <w:top w:w="45" w:type="dxa"/>
              <w:left w:w="55" w:type="dxa"/>
              <w:bottom w:w="45" w:type="dxa"/>
              <w:right w:w="55" w:type="dxa"/>
            </w:tcMar>
            <w:vAlign w:val="center"/>
          </w:tcPr>
          <w:p w14:paraId="69A54100" w14:textId="77777777" w:rsidR="00894D55" w:rsidRDefault="00B20FC1">
            <w:pPr>
              <w:spacing w:after="0"/>
            </w:pPr>
            <w:r>
              <w:rPr>
                <w:rFonts w:cs="Times New Roman"/>
                <w:b/>
              </w:rPr>
              <w:t>M13-18</w:t>
            </w:r>
          </w:p>
        </w:tc>
        <w:tc>
          <w:tcPr>
            <w:tcW w:w="1123" w:type="dxa"/>
            <w:shd w:val="clear" w:color="auto" w:fill="E7E6E6"/>
            <w:tcMar>
              <w:top w:w="45" w:type="dxa"/>
              <w:left w:w="55" w:type="dxa"/>
              <w:bottom w:w="45" w:type="dxa"/>
              <w:right w:w="55" w:type="dxa"/>
            </w:tcMar>
            <w:vAlign w:val="center"/>
          </w:tcPr>
          <w:p w14:paraId="03BB85C1" w14:textId="77777777" w:rsidR="00894D55" w:rsidRDefault="00B20FC1">
            <w:pPr>
              <w:spacing w:after="0"/>
            </w:pPr>
            <w:r>
              <w:rPr>
                <w:rFonts w:cs="Times New Roman"/>
                <w:b/>
              </w:rPr>
              <w:t>M19-24</w:t>
            </w:r>
          </w:p>
        </w:tc>
        <w:tc>
          <w:tcPr>
            <w:tcW w:w="1123" w:type="dxa"/>
            <w:shd w:val="clear" w:color="auto" w:fill="E7E6E6"/>
            <w:tcMar>
              <w:top w:w="45" w:type="dxa"/>
              <w:left w:w="55" w:type="dxa"/>
              <w:bottom w:w="45" w:type="dxa"/>
              <w:right w:w="55" w:type="dxa"/>
            </w:tcMar>
            <w:vAlign w:val="center"/>
          </w:tcPr>
          <w:p w14:paraId="4C06EE0B" w14:textId="77777777" w:rsidR="00894D55" w:rsidRDefault="00B20FC1">
            <w:pPr>
              <w:spacing w:after="0"/>
            </w:pPr>
            <w:r>
              <w:rPr>
                <w:rFonts w:cs="Times New Roman"/>
                <w:b/>
              </w:rPr>
              <w:t>M25-30</w:t>
            </w:r>
          </w:p>
        </w:tc>
        <w:tc>
          <w:tcPr>
            <w:tcW w:w="1123" w:type="dxa"/>
            <w:shd w:val="clear" w:color="auto" w:fill="E7E6E6"/>
            <w:tcMar>
              <w:top w:w="45" w:type="dxa"/>
              <w:left w:w="55" w:type="dxa"/>
              <w:bottom w:w="45" w:type="dxa"/>
              <w:right w:w="55" w:type="dxa"/>
            </w:tcMar>
            <w:vAlign w:val="center"/>
          </w:tcPr>
          <w:p w14:paraId="40E6E6ED" w14:textId="77777777" w:rsidR="00894D55" w:rsidRDefault="00B20FC1">
            <w:pPr>
              <w:spacing w:after="0"/>
            </w:pPr>
            <w:r>
              <w:rPr>
                <w:rFonts w:cs="Times New Roman"/>
                <w:b/>
              </w:rPr>
              <w:t>M31-36</w:t>
            </w:r>
          </w:p>
        </w:tc>
      </w:tr>
      <w:tr w:rsidR="00894D55" w14:paraId="2DDAFBDF" w14:textId="77777777">
        <w:trPr>
          <w:jc w:val="center"/>
        </w:trPr>
        <w:tc>
          <w:tcPr>
            <w:tcW w:w="648" w:type="dxa"/>
            <w:shd w:val="clear" w:color="auto" w:fill="FFFFFF"/>
            <w:tcMar>
              <w:top w:w="45" w:type="dxa"/>
              <w:left w:w="55" w:type="dxa"/>
              <w:bottom w:w="45" w:type="dxa"/>
              <w:right w:w="55" w:type="dxa"/>
            </w:tcMar>
            <w:vAlign w:val="center"/>
          </w:tcPr>
          <w:p w14:paraId="2E983FA8" w14:textId="77777777" w:rsidR="00894D55" w:rsidRDefault="00B20FC1">
            <w:pPr>
              <w:spacing w:after="0"/>
            </w:pPr>
            <w:r>
              <w:rPr>
                <w:rFonts w:cs="Times New Roman"/>
              </w:rPr>
              <w:t>WP1</w:t>
            </w:r>
          </w:p>
        </w:tc>
        <w:tc>
          <w:tcPr>
            <w:tcW w:w="1008" w:type="dxa"/>
            <w:shd w:val="clear" w:color="auto" w:fill="FFFFFF"/>
            <w:tcMar>
              <w:top w:w="45" w:type="dxa"/>
              <w:left w:w="55" w:type="dxa"/>
              <w:bottom w:w="45" w:type="dxa"/>
              <w:right w:w="55" w:type="dxa"/>
            </w:tcMar>
            <w:vAlign w:val="center"/>
          </w:tcPr>
          <w:p w14:paraId="21CEE095" w14:textId="77777777" w:rsidR="00894D55" w:rsidRDefault="00B20FC1">
            <w:pPr>
              <w:spacing w:after="0"/>
            </w:pPr>
            <w:r>
              <w:rPr>
                <w:rFonts w:cs="Times New Roman"/>
              </w:rPr>
              <w:t>X</w:t>
            </w:r>
          </w:p>
        </w:tc>
        <w:tc>
          <w:tcPr>
            <w:tcW w:w="1008" w:type="dxa"/>
            <w:shd w:val="clear" w:color="auto" w:fill="FFFFFF"/>
            <w:tcMar>
              <w:top w:w="45" w:type="dxa"/>
              <w:left w:w="55" w:type="dxa"/>
              <w:bottom w:w="45" w:type="dxa"/>
              <w:right w:w="55" w:type="dxa"/>
            </w:tcMar>
            <w:vAlign w:val="center"/>
          </w:tcPr>
          <w:p w14:paraId="188A71B9"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12398586"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43C42BD0"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57D1A500"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20B3D40F" w14:textId="77777777" w:rsidR="00894D55" w:rsidRDefault="00894D55">
            <w:pPr>
              <w:spacing w:after="0"/>
            </w:pPr>
          </w:p>
        </w:tc>
      </w:tr>
      <w:tr w:rsidR="00894D55" w14:paraId="58704648" w14:textId="77777777">
        <w:trPr>
          <w:jc w:val="center"/>
        </w:trPr>
        <w:tc>
          <w:tcPr>
            <w:tcW w:w="648" w:type="dxa"/>
            <w:shd w:val="clear" w:color="auto" w:fill="FFFFFF"/>
            <w:tcMar>
              <w:top w:w="45" w:type="dxa"/>
              <w:left w:w="55" w:type="dxa"/>
              <w:bottom w:w="45" w:type="dxa"/>
              <w:right w:w="55" w:type="dxa"/>
            </w:tcMar>
            <w:vAlign w:val="center"/>
          </w:tcPr>
          <w:p w14:paraId="44FD6B3C" w14:textId="77777777" w:rsidR="00894D55" w:rsidRDefault="00B20FC1">
            <w:pPr>
              <w:spacing w:after="0"/>
            </w:pPr>
            <w:r>
              <w:rPr>
                <w:rFonts w:cs="Times New Roman"/>
              </w:rPr>
              <w:lastRenderedPageBreak/>
              <w:t>WP2</w:t>
            </w:r>
          </w:p>
        </w:tc>
        <w:tc>
          <w:tcPr>
            <w:tcW w:w="1008" w:type="dxa"/>
            <w:shd w:val="clear" w:color="auto" w:fill="FFFFFF"/>
            <w:tcMar>
              <w:top w:w="45" w:type="dxa"/>
              <w:left w:w="55" w:type="dxa"/>
              <w:bottom w:w="45" w:type="dxa"/>
              <w:right w:w="55" w:type="dxa"/>
            </w:tcMar>
            <w:vAlign w:val="center"/>
          </w:tcPr>
          <w:p w14:paraId="4907B2BD" w14:textId="77777777" w:rsidR="00894D55" w:rsidRDefault="00B20FC1">
            <w:pPr>
              <w:spacing w:after="0"/>
            </w:pPr>
            <w:r>
              <w:rPr>
                <w:rFonts w:cs="Times New Roman"/>
              </w:rPr>
              <w:t>X</w:t>
            </w:r>
          </w:p>
        </w:tc>
        <w:tc>
          <w:tcPr>
            <w:tcW w:w="1008" w:type="dxa"/>
            <w:shd w:val="clear" w:color="auto" w:fill="FFFFFF"/>
            <w:tcMar>
              <w:top w:w="45" w:type="dxa"/>
              <w:left w:w="55" w:type="dxa"/>
              <w:bottom w:w="45" w:type="dxa"/>
              <w:right w:w="55" w:type="dxa"/>
            </w:tcMar>
            <w:vAlign w:val="center"/>
          </w:tcPr>
          <w:p w14:paraId="4760E39D"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6B08C78A"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4ADBDA3D"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6F503F95"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74A426C5" w14:textId="77777777" w:rsidR="00894D55" w:rsidRDefault="00894D55">
            <w:pPr>
              <w:spacing w:after="0"/>
            </w:pPr>
          </w:p>
        </w:tc>
      </w:tr>
      <w:tr w:rsidR="00894D55" w14:paraId="7798C4A1" w14:textId="77777777">
        <w:trPr>
          <w:jc w:val="center"/>
        </w:trPr>
        <w:tc>
          <w:tcPr>
            <w:tcW w:w="648" w:type="dxa"/>
            <w:shd w:val="clear" w:color="auto" w:fill="FFFFFF"/>
            <w:tcMar>
              <w:top w:w="45" w:type="dxa"/>
              <w:left w:w="55" w:type="dxa"/>
              <w:bottom w:w="45" w:type="dxa"/>
              <w:right w:w="55" w:type="dxa"/>
            </w:tcMar>
            <w:vAlign w:val="center"/>
          </w:tcPr>
          <w:p w14:paraId="66451597" w14:textId="77777777" w:rsidR="00894D55" w:rsidRDefault="00B20FC1">
            <w:pPr>
              <w:spacing w:after="0"/>
            </w:pPr>
            <w:r>
              <w:rPr>
                <w:rFonts w:cs="Times New Roman"/>
              </w:rPr>
              <w:t>WP3</w:t>
            </w:r>
          </w:p>
        </w:tc>
        <w:tc>
          <w:tcPr>
            <w:tcW w:w="1008" w:type="dxa"/>
            <w:shd w:val="clear" w:color="auto" w:fill="FFFFFF"/>
            <w:tcMar>
              <w:top w:w="45" w:type="dxa"/>
              <w:left w:w="55" w:type="dxa"/>
              <w:bottom w:w="45" w:type="dxa"/>
              <w:right w:w="55" w:type="dxa"/>
            </w:tcMar>
            <w:vAlign w:val="center"/>
          </w:tcPr>
          <w:p w14:paraId="035A2F1B" w14:textId="77777777" w:rsidR="00894D55" w:rsidRDefault="00B20FC1">
            <w:pPr>
              <w:spacing w:after="0"/>
            </w:pPr>
            <w:r>
              <w:rPr>
                <w:rFonts w:cs="Times New Roman"/>
              </w:rPr>
              <w:t>X</w:t>
            </w:r>
          </w:p>
        </w:tc>
        <w:tc>
          <w:tcPr>
            <w:tcW w:w="1008" w:type="dxa"/>
            <w:shd w:val="clear" w:color="auto" w:fill="FFFFFF"/>
            <w:tcMar>
              <w:top w:w="45" w:type="dxa"/>
              <w:left w:w="55" w:type="dxa"/>
              <w:bottom w:w="45" w:type="dxa"/>
              <w:right w:w="55" w:type="dxa"/>
            </w:tcMar>
            <w:vAlign w:val="center"/>
          </w:tcPr>
          <w:p w14:paraId="35CDCBD7"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3311D751"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4E7DFA98"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52036D96"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6890018F" w14:textId="77777777" w:rsidR="00894D55" w:rsidRDefault="00894D55">
            <w:pPr>
              <w:spacing w:after="0"/>
            </w:pPr>
          </w:p>
        </w:tc>
      </w:tr>
      <w:tr w:rsidR="00894D55" w14:paraId="1D9D17B3" w14:textId="77777777">
        <w:trPr>
          <w:jc w:val="center"/>
        </w:trPr>
        <w:tc>
          <w:tcPr>
            <w:tcW w:w="648" w:type="dxa"/>
            <w:shd w:val="clear" w:color="auto" w:fill="FFFFFF"/>
            <w:tcMar>
              <w:top w:w="45" w:type="dxa"/>
              <w:left w:w="55" w:type="dxa"/>
              <w:bottom w:w="45" w:type="dxa"/>
              <w:right w:w="55" w:type="dxa"/>
            </w:tcMar>
            <w:vAlign w:val="center"/>
          </w:tcPr>
          <w:p w14:paraId="3ABC5418" w14:textId="77777777" w:rsidR="00894D55" w:rsidRDefault="00B20FC1">
            <w:pPr>
              <w:spacing w:after="0"/>
            </w:pPr>
            <w:r>
              <w:rPr>
                <w:rFonts w:cs="Times New Roman"/>
              </w:rPr>
              <w:t>WP4</w:t>
            </w:r>
          </w:p>
        </w:tc>
        <w:tc>
          <w:tcPr>
            <w:tcW w:w="1008" w:type="dxa"/>
            <w:shd w:val="clear" w:color="auto" w:fill="FFFFFF"/>
            <w:tcMar>
              <w:top w:w="45" w:type="dxa"/>
              <w:left w:w="55" w:type="dxa"/>
              <w:bottom w:w="45" w:type="dxa"/>
              <w:right w:w="55" w:type="dxa"/>
            </w:tcMar>
            <w:vAlign w:val="center"/>
          </w:tcPr>
          <w:p w14:paraId="65F2DD15" w14:textId="77777777" w:rsidR="00894D55" w:rsidRDefault="00B20FC1">
            <w:pPr>
              <w:spacing w:after="0"/>
            </w:pPr>
            <w:r>
              <w:rPr>
                <w:rFonts w:cs="Times New Roman"/>
              </w:rPr>
              <w:t>X</w:t>
            </w:r>
          </w:p>
        </w:tc>
        <w:tc>
          <w:tcPr>
            <w:tcW w:w="1008" w:type="dxa"/>
            <w:shd w:val="clear" w:color="auto" w:fill="FFFFFF"/>
            <w:tcMar>
              <w:top w:w="45" w:type="dxa"/>
              <w:left w:w="55" w:type="dxa"/>
              <w:bottom w:w="45" w:type="dxa"/>
              <w:right w:w="55" w:type="dxa"/>
            </w:tcMar>
            <w:vAlign w:val="center"/>
          </w:tcPr>
          <w:p w14:paraId="31184998"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0BCC1354"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2F0E3F74"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50A518FC"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68BC5F33" w14:textId="77777777" w:rsidR="00894D55" w:rsidRDefault="00894D55">
            <w:pPr>
              <w:spacing w:after="0"/>
            </w:pPr>
          </w:p>
        </w:tc>
      </w:tr>
      <w:tr w:rsidR="00894D55" w14:paraId="420DC07F" w14:textId="77777777">
        <w:trPr>
          <w:jc w:val="center"/>
        </w:trPr>
        <w:tc>
          <w:tcPr>
            <w:tcW w:w="648" w:type="dxa"/>
            <w:shd w:val="clear" w:color="auto" w:fill="FFFFFF"/>
            <w:tcMar>
              <w:top w:w="45" w:type="dxa"/>
              <w:left w:w="55" w:type="dxa"/>
              <w:bottom w:w="45" w:type="dxa"/>
              <w:right w:w="55" w:type="dxa"/>
            </w:tcMar>
            <w:vAlign w:val="center"/>
          </w:tcPr>
          <w:p w14:paraId="2EA2DE48" w14:textId="77777777" w:rsidR="00894D55" w:rsidRDefault="00B20FC1">
            <w:pPr>
              <w:spacing w:after="0"/>
            </w:pPr>
            <w:r>
              <w:rPr>
                <w:rFonts w:cs="Times New Roman"/>
              </w:rPr>
              <w:t>WP5</w:t>
            </w:r>
          </w:p>
        </w:tc>
        <w:tc>
          <w:tcPr>
            <w:tcW w:w="1008" w:type="dxa"/>
            <w:shd w:val="clear" w:color="auto" w:fill="FFFFFF"/>
            <w:tcMar>
              <w:top w:w="45" w:type="dxa"/>
              <w:left w:w="55" w:type="dxa"/>
              <w:bottom w:w="45" w:type="dxa"/>
              <w:right w:w="55" w:type="dxa"/>
            </w:tcMar>
            <w:vAlign w:val="center"/>
          </w:tcPr>
          <w:p w14:paraId="39364919" w14:textId="77777777" w:rsidR="00894D55" w:rsidRDefault="00894D55">
            <w:pPr>
              <w:spacing w:after="0"/>
            </w:pPr>
          </w:p>
        </w:tc>
        <w:tc>
          <w:tcPr>
            <w:tcW w:w="1008" w:type="dxa"/>
            <w:shd w:val="clear" w:color="auto" w:fill="FFFFFF"/>
            <w:tcMar>
              <w:top w:w="45" w:type="dxa"/>
              <w:left w:w="55" w:type="dxa"/>
              <w:bottom w:w="45" w:type="dxa"/>
              <w:right w:w="55" w:type="dxa"/>
            </w:tcMar>
            <w:vAlign w:val="center"/>
          </w:tcPr>
          <w:p w14:paraId="729F0EDC"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5B09F266"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27A52339"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05451854"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46C30118" w14:textId="77777777" w:rsidR="00894D55" w:rsidRDefault="00B20FC1">
            <w:pPr>
              <w:spacing w:after="0"/>
            </w:pPr>
            <w:r>
              <w:rPr>
                <w:rFonts w:cs="Times New Roman"/>
              </w:rPr>
              <w:t>X</w:t>
            </w:r>
          </w:p>
        </w:tc>
      </w:tr>
      <w:tr w:rsidR="00894D55" w14:paraId="7F425F5C" w14:textId="77777777">
        <w:trPr>
          <w:jc w:val="center"/>
        </w:trPr>
        <w:tc>
          <w:tcPr>
            <w:tcW w:w="648" w:type="dxa"/>
            <w:shd w:val="clear" w:color="auto" w:fill="FFFFFF"/>
            <w:tcMar>
              <w:top w:w="45" w:type="dxa"/>
              <w:left w:w="55" w:type="dxa"/>
              <w:bottom w:w="45" w:type="dxa"/>
              <w:right w:w="55" w:type="dxa"/>
            </w:tcMar>
            <w:vAlign w:val="center"/>
          </w:tcPr>
          <w:p w14:paraId="249EAC9E" w14:textId="77777777" w:rsidR="00894D55" w:rsidRDefault="00B20FC1">
            <w:pPr>
              <w:spacing w:after="0"/>
            </w:pPr>
            <w:r>
              <w:rPr>
                <w:rFonts w:cs="Times New Roman"/>
              </w:rPr>
              <w:t>WP6</w:t>
            </w:r>
          </w:p>
        </w:tc>
        <w:tc>
          <w:tcPr>
            <w:tcW w:w="1008" w:type="dxa"/>
            <w:shd w:val="clear" w:color="auto" w:fill="FFFFFF"/>
            <w:tcMar>
              <w:top w:w="45" w:type="dxa"/>
              <w:left w:w="55" w:type="dxa"/>
              <w:bottom w:w="45" w:type="dxa"/>
              <w:right w:w="55" w:type="dxa"/>
            </w:tcMar>
            <w:vAlign w:val="center"/>
          </w:tcPr>
          <w:p w14:paraId="7650F320" w14:textId="77777777" w:rsidR="00894D55" w:rsidRDefault="00894D55">
            <w:pPr>
              <w:spacing w:after="0"/>
            </w:pPr>
          </w:p>
        </w:tc>
        <w:tc>
          <w:tcPr>
            <w:tcW w:w="1008" w:type="dxa"/>
            <w:shd w:val="clear" w:color="auto" w:fill="FFFFFF"/>
            <w:tcMar>
              <w:top w:w="45" w:type="dxa"/>
              <w:left w:w="55" w:type="dxa"/>
              <w:bottom w:w="45" w:type="dxa"/>
              <w:right w:w="55" w:type="dxa"/>
            </w:tcMar>
            <w:vAlign w:val="center"/>
          </w:tcPr>
          <w:p w14:paraId="1A8C08A4"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0934325B"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327C7812"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6C17080E"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4A9CDFCC" w14:textId="77777777" w:rsidR="00894D55" w:rsidRDefault="00894D55">
            <w:pPr>
              <w:spacing w:after="0"/>
            </w:pPr>
          </w:p>
        </w:tc>
      </w:tr>
      <w:tr w:rsidR="00894D55" w14:paraId="2E995D9C" w14:textId="77777777">
        <w:trPr>
          <w:jc w:val="center"/>
        </w:trPr>
        <w:tc>
          <w:tcPr>
            <w:tcW w:w="648" w:type="dxa"/>
            <w:shd w:val="clear" w:color="auto" w:fill="FFFFFF"/>
            <w:tcMar>
              <w:top w:w="45" w:type="dxa"/>
              <w:left w:w="55" w:type="dxa"/>
              <w:bottom w:w="45" w:type="dxa"/>
              <w:right w:w="55" w:type="dxa"/>
            </w:tcMar>
            <w:vAlign w:val="center"/>
          </w:tcPr>
          <w:p w14:paraId="30514CDA" w14:textId="77777777" w:rsidR="00894D55" w:rsidRDefault="00B20FC1">
            <w:pPr>
              <w:spacing w:after="0"/>
            </w:pPr>
            <w:r>
              <w:rPr>
                <w:rFonts w:cs="Times New Roman"/>
              </w:rPr>
              <w:t>WP7</w:t>
            </w:r>
          </w:p>
        </w:tc>
        <w:tc>
          <w:tcPr>
            <w:tcW w:w="1008" w:type="dxa"/>
            <w:shd w:val="clear" w:color="auto" w:fill="FFFFFF"/>
            <w:tcMar>
              <w:top w:w="45" w:type="dxa"/>
              <w:left w:w="55" w:type="dxa"/>
              <w:bottom w:w="45" w:type="dxa"/>
              <w:right w:w="55" w:type="dxa"/>
            </w:tcMar>
            <w:vAlign w:val="center"/>
          </w:tcPr>
          <w:p w14:paraId="39FE078F" w14:textId="77777777" w:rsidR="00894D55" w:rsidRDefault="00894D55">
            <w:pPr>
              <w:spacing w:after="0"/>
            </w:pPr>
          </w:p>
        </w:tc>
        <w:tc>
          <w:tcPr>
            <w:tcW w:w="1008" w:type="dxa"/>
            <w:shd w:val="clear" w:color="auto" w:fill="FFFFFF"/>
            <w:tcMar>
              <w:top w:w="45" w:type="dxa"/>
              <w:left w:w="55" w:type="dxa"/>
              <w:bottom w:w="45" w:type="dxa"/>
              <w:right w:w="55" w:type="dxa"/>
            </w:tcMar>
            <w:vAlign w:val="center"/>
          </w:tcPr>
          <w:p w14:paraId="6174D3E9"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59F27F1D"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470363D6"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6819DC96"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43304A26" w14:textId="77777777" w:rsidR="00894D55" w:rsidRDefault="00B20FC1">
            <w:pPr>
              <w:spacing w:after="0"/>
            </w:pPr>
            <w:r>
              <w:rPr>
                <w:rFonts w:cs="Times New Roman"/>
              </w:rPr>
              <w:t>X</w:t>
            </w:r>
          </w:p>
        </w:tc>
      </w:tr>
      <w:tr w:rsidR="00894D55" w14:paraId="700D28BC" w14:textId="77777777">
        <w:trPr>
          <w:jc w:val="center"/>
        </w:trPr>
        <w:tc>
          <w:tcPr>
            <w:tcW w:w="648" w:type="dxa"/>
            <w:shd w:val="clear" w:color="auto" w:fill="FFFFFF"/>
            <w:tcMar>
              <w:top w:w="45" w:type="dxa"/>
              <w:left w:w="55" w:type="dxa"/>
              <w:bottom w:w="45" w:type="dxa"/>
              <w:right w:w="55" w:type="dxa"/>
            </w:tcMar>
            <w:vAlign w:val="center"/>
          </w:tcPr>
          <w:p w14:paraId="4CA9004A" w14:textId="77777777" w:rsidR="00894D55" w:rsidRDefault="00B20FC1">
            <w:pPr>
              <w:spacing w:after="0"/>
            </w:pPr>
            <w:r>
              <w:rPr>
                <w:rFonts w:cs="Times New Roman"/>
              </w:rPr>
              <w:t>WP8</w:t>
            </w:r>
          </w:p>
        </w:tc>
        <w:tc>
          <w:tcPr>
            <w:tcW w:w="1008" w:type="dxa"/>
            <w:shd w:val="clear" w:color="auto" w:fill="FFFFFF"/>
            <w:tcMar>
              <w:top w:w="45" w:type="dxa"/>
              <w:left w:w="55" w:type="dxa"/>
              <w:bottom w:w="45" w:type="dxa"/>
              <w:right w:w="55" w:type="dxa"/>
            </w:tcMar>
            <w:vAlign w:val="center"/>
          </w:tcPr>
          <w:p w14:paraId="0A7CEFD4" w14:textId="77777777" w:rsidR="00894D55" w:rsidRDefault="00894D55">
            <w:pPr>
              <w:spacing w:after="0"/>
            </w:pPr>
          </w:p>
        </w:tc>
        <w:tc>
          <w:tcPr>
            <w:tcW w:w="1008" w:type="dxa"/>
            <w:shd w:val="clear" w:color="auto" w:fill="FFFFFF"/>
            <w:tcMar>
              <w:top w:w="45" w:type="dxa"/>
              <w:left w:w="55" w:type="dxa"/>
              <w:bottom w:w="45" w:type="dxa"/>
              <w:right w:w="55" w:type="dxa"/>
            </w:tcMar>
            <w:vAlign w:val="center"/>
          </w:tcPr>
          <w:p w14:paraId="76093C6E"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5B602C70"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1395B4DC"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71480C2C"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7407F349" w14:textId="77777777" w:rsidR="00894D55" w:rsidRDefault="00B20FC1">
            <w:pPr>
              <w:spacing w:after="0"/>
            </w:pPr>
            <w:r>
              <w:rPr>
                <w:rFonts w:cs="Times New Roman"/>
              </w:rPr>
              <w:t>X</w:t>
            </w:r>
          </w:p>
        </w:tc>
      </w:tr>
      <w:tr w:rsidR="00894D55" w14:paraId="1140CD49" w14:textId="77777777">
        <w:trPr>
          <w:jc w:val="center"/>
        </w:trPr>
        <w:tc>
          <w:tcPr>
            <w:tcW w:w="648" w:type="dxa"/>
            <w:shd w:val="clear" w:color="auto" w:fill="FFFFFF"/>
            <w:tcMar>
              <w:top w:w="45" w:type="dxa"/>
              <w:left w:w="55" w:type="dxa"/>
              <w:bottom w:w="45" w:type="dxa"/>
              <w:right w:w="55" w:type="dxa"/>
            </w:tcMar>
            <w:vAlign w:val="center"/>
          </w:tcPr>
          <w:p w14:paraId="43E09FD2" w14:textId="77777777" w:rsidR="00894D55" w:rsidRDefault="00B20FC1">
            <w:pPr>
              <w:spacing w:after="0"/>
            </w:pPr>
            <w:r>
              <w:rPr>
                <w:rFonts w:cs="Times New Roman"/>
              </w:rPr>
              <w:t>WP9</w:t>
            </w:r>
          </w:p>
        </w:tc>
        <w:tc>
          <w:tcPr>
            <w:tcW w:w="1008" w:type="dxa"/>
            <w:shd w:val="clear" w:color="auto" w:fill="FFFFFF"/>
            <w:tcMar>
              <w:top w:w="45" w:type="dxa"/>
              <w:left w:w="55" w:type="dxa"/>
              <w:bottom w:w="45" w:type="dxa"/>
              <w:right w:w="55" w:type="dxa"/>
            </w:tcMar>
            <w:vAlign w:val="center"/>
          </w:tcPr>
          <w:p w14:paraId="1B6007F1" w14:textId="77777777" w:rsidR="00894D55" w:rsidRDefault="00894D55">
            <w:pPr>
              <w:spacing w:after="0"/>
            </w:pPr>
          </w:p>
        </w:tc>
        <w:tc>
          <w:tcPr>
            <w:tcW w:w="1008" w:type="dxa"/>
            <w:shd w:val="clear" w:color="auto" w:fill="FFFFFF"/>
            <w:tcMar>
              <w:top w:w="45" w:type="dxa"/>
              <w:left w:w="55" w:type="dxa"/>
              <w:bottom w:w="45" w:type="dxa"/>
              <w:right w:w="55" w:type="dxa"/>
            </w:tcMar>
            <w:vAlign w:val="center"/>
          </w:tcPr>
          <w:p w14:paraId="4E1D7B6C" w14:textId="77777777" w:rsidR="00894D55" w:rsidRDefault="00894D55">
            <w:pPr>
              <w:spacing w:after="0"/>
            </w:pPr>
          </w:p>
        </w:tc>
        <w:tc>
          <w:tcPr>
            <w:tcW w:w="1123" w:type="dxa"/>
            <w:shd w:val="clear" w:color="auto" w:fill="FFFFFF"/>
            <w:tcMar>
              <w:top w:w="45" w:type="dxa"/>
              <w:left w:w="55" w:type="dxa"/>
              <w:bottom w:w="45" w:type="dxa"/>
              <w:right w:w="55" w:type="dxa"/>
            </w:tcMar>
            <w:vAlign w:val="center"/>
          </w:tcPr>
          <w:p w14:paraId="5C14B407"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214B498F"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6051C4B2" w14:textId="77777777" w:rsidR="00894D55" w:rsidRDefault="00B20FC1">
            <w:pPr>
              <w:spacing w:after="0"/>
            </w:pPr>
            <w:r>
              <w:rPr>
                <w:rFonts w:cs="Times New Roman"/>
              </w:rPr>
              <w:t>X</w:t>
            </w:r>
          </w:p>
        </w:tc>
        <w:tc>
          <w:tcPr>
            <w:tcW w:w="1123" w:type="dxa"/>
            <w:shd w:val="clear" w:color="auto" w:fill="FFFFFF"/>
            <w:tcMar>
              <w:top w:w="45" w:type="dxa"/>
              <w:left w:w="55" w:type="dxa"/>
              <w:bottom w:w="45" w:type="dxa"/>
              <w:right w:w="55" w:type="dxa"/>
            </w:tcMar>
            <w:vAlign w:val="center"/>
          </w:tcPr>
          <w:p w14:paraId="3BF3C106" w14:textId="77777777" w:rsidR="00894D55" w:rsidRDefault="00B20FC1">
            <w:pPr>
              <w:spacing w:after="0"/>
            </w:pPr>
            <w:r>
              <w:rPr>
                <w:rFonts w:cs="Times New Roman"/>
              </w:rPr>
              <w:t>X</w:t>
            </w:r>
          </w:p>
        </w:tc>
      </w:tr>
    </w:tbl>
    <w:p w14:paraId="7E1035A5" w14:textId="77777777" w:rsidR="00894D55" w:rsidRDefault="00894D55"/>
    <w:p w14:paraId="4EE6E9C3" w14:textId="77777777" w:rsidR="00894D55" w:rsidRDefault="00B20FC1">
      <w:pPr>
        <w:keepNext/>
        <w:spacing w:before="60" w:after="40"/>
      </w:pPr>
      <w:r>
        <w:rPr>
          <w:rFonts w:cs="Times New Roman"/>
          <w:b/>
        </w:rPr>
        <w:t>PERT / dependency logic</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2736"/>
        <w:gridCol w:w="4680"/>
        <w:gridCol w:w="2736"/>
      </w:tblGrid>
      <w:tr w:rsidR="00894D55" w14:paraId="6A9C5D93" w14:textId="77777777">
        <w:trPr>
          <w:tblHeader/>
          <w:jc w:val="center"/>
        </w:trPr>
        <w:tc>
          <w:tcPr>
            <w:tcW w:w="2736" w:type="dxa"/>
            <w:shd w:val="clear" w:color="auto" w:fill="E7E6E6"/>
            <w:tcMar>
              <w:top w:w="45" w:type="dxa"/>
              <w:left w:w="55" w:type="dxa"/>
              <w:bottom w:w="45" w:type="dxa"/>
              <w:right w:w="55" w:type="dxa"/>
            </w:tcMar>
            <w:vAlign w:val="center"/>
          </w:tcPr>
          <w:p w14:paraId="0BA2AA32" w14:textId="77777777" w:rsidR="00894D55" w:rsidRDefault="00B20FC1">
            <w:pPr>
              <w:spacing w:after="0"/>
            </w:pPr>
            <w:r>
              <w:rPr>
                <w:rFonts w:cs="Times New Roman"/>
                <w:b/>
              </w:rPr>
              <w:t>Enabling layer</w:t>
            </w:r>
          </w:p>
        </w:tc>
        <w:tc>
          <w:tcPr>
            <w:tcW w:w="4680" w:type="dxa"/>
            <w:shd w:val="clear" w:color="auto" w:fill="E7E6E6"/>
            <w:tcMar>
              <w:top w:w="45" w:type="dxa"/>
              <w:left w:w="55" w:type="dxa"/>
              <w:bottom w:w="45" w:type="dxa"/>
              <w:right w:w="55" w:type="dxa"/>
            </w:tcMar>
            <w:vAlign w:val="center"/>
          </w:tcPr>
          <w:p w14:paraId="7A67F728" w14:textId="77777777" w:rsidR="00894D55" w:rsidRDefault="00B20FC1">
            <w:pPr>
              <w:spacing w:after="0"/>
            </w:pPr>
            <w:r>
              <w:rPr>
                <w:rFonts w:cs="Times New Roman"/>
                <w:b/>
              </w:rPr>
              <w:t>Scientific chain</w:t>
            </w:r>
          </w:p>
        </w:tc>
        <w:tc>
          <w:tcPr>
            <w:tcW w:w="2736" w:type="dxa"/>
            <w:shd w:val="clear" w:color="auto" w:fill="E7E6E6"/>
            <w:tcMar>
              <w:top w:w="45" w:type="dxa"/>
              <w:left w:w="55" w:type="dxa"/>
              <w:bottom w:w="45" w:type="dxa"/>
              <w:right w:w="55" w:type="dxa"/>
            </w:tcMar>
            <w:vAlign w:val="center"/>
          </w:tcPr>
          <w:p w14:paraId="0181C62D" w14:textId="77777777" w:rsidR="00894D55" w:rsidRDefault="00B20FC1">
            <w:pPr>
              <w:spacing w:after="0"/>
            </w:pPr>
            <w:r>
              <w:rPr>
                <w:rFonts w:cs="Times New Roman"/>
                <w:b/>
              </w:rPr>
              <w:t>Evidence / uptake layer</w:t>
            </w:r>
          </w:p>
        </w:tc>
      </w:tr>
      <w:tr w:rsidR="00894D55" w14:paraId="61A87B29" w14:textId="77777777">
        <w:trPr>
          <w:jc w:val="center"/>
        </w:trPr>
        <w:tc>
          <w:tcPr>
            <w:tcW w:w="2736" w:type="dxa"/>
            <w:shd w:val="clear" w:color="auto" w:fill="FFFFFF"/>
            <w:tcMar>
              <w:top w:w="45" w:type="dxa"/>
              <w:left w:w="55" w:type="dxa"/>
              <w:bottom w:w="45" w:type="dxa"/>
              <w:right w:w="55" w:type="dxa"/>
            </w:tcMar>
            <w:vAlign w:val="center"/>
          </w:tcPr>
          <w:p w14:paraId="0BBEB735" w14:textId="77777777" w:rsidR="00894D55" w:rsidRDefault="00B20FC1">
            <w:pPr>
              <w:spacing w:after="0"/>
            </w:pPr>
            <w:r>
              <w:rPr>
                <w:rFonts w:cs="Times New Roman"/>
              </w:rPr>
              <w:t>WP1 (M1-12) -&gt; WP5 (M13-36)</w:t>
            </w:r>
          </w:p>
        </w:tc>
        <w:tc>
          <w:tcPr>
            <w:tcW w:w="4680" w:type="dxa"/>
            <w:shd w:val="clear" w:color="auto" w:fill="FFFFFF"/>
            <w:tcMar>
              <w:top w:w="45" w:type="dxa"/>
              <w:left w:w="55" w:type="dxa"/>
              <w:bottom w:w="45" w:type="dxa"/>
              <w:right w:w="55" w:type="dxa"/>
            </w:tcMar>
            <w:vAlign w:val="center"/>
          </w:tcPr>
          <w:p w14:paraId="2E87334A" w14:textId="77777777" w:rsidR="00894D55" w:rsidRDefault="00B20FC1">
            <w:pPr>
              <w:spacing w:after="0"/>
            </w:pPr>
            <w:r>
              <w:rPr>
                <w:rFonts w:cs="Times New Roman"/>
              </w:rPr>
              <w:t>WP2 -&gt; WP3 -&gt; WP6 -&gt; WP7</w:t>
            </w:r>
          </w:p>
        </w:tc>
        <w:tc>
          <w:tcPr>
            <w:tcW w:w="2736" w:type="dxa"/>
            <w:shd w:val="clear" w:color="auto" w:fill="FFFFFF"/>
            <w:tcMar>
              <w:top w:w="45" w:type="dxa"/>
              <w:left w:w="55" w:type="dxa"/>
              <w:bottom w:w="45" w:type="dxa"/>
              <w:right w:w="55" w:type="dxa"/>
            </w:tcMar>
            <w:vAlign w:val="center"/>
          </w:tcPr>
          <w:p w14:paraId="13C758DB" w14:textId="77777777" w:rsidR="00894D55" w:rsidRDefault="00B20FC1">
            <w:pPr>
              <w:spacing w:after="0"/>
            </w:pPr>
            <w:r>
              <w:rPr>
                <w:rFonts w:cs="Times New Roman"/>
              </w:rPr>
              <w:t>WP4 (RP1) -&gt; WP8 + WP9 (RP2)</w:t>
            </w:r>
          </w:p>
        </w:tc>
      </w:tr>
      <w:tr w:rsidR="00894D55" w14:paraId="7D1BF9D1" w14:textId="77777777">
        <w:trPr>
          <w:jc w:val="center"/>
        </w:trPr>
        <w:tc>
          <w:tcPr>
            <w:tcW w:w="2736" w:type="dxa"/>
            <w:shd w:val="clear" w:color="auto" w:fill="FFFFFF"/>
            <w:tcMar>
              <w:top w:w="45" w:type="dxa"/>
              <w:left w:w="55" w:type="dxa"/>
              <w:bottom w:w="45" w:type="dxa"/>
              <w:right w:w="55" w:type="dxa"/>
            </w:tcMar>
            <w:vAlign w:val="center"/>
          </w:tcPr>
          <w:p w14:paraId="1789B72D" w14:textId="77777777" w:rsidR="00894D55" w:rsidRDefault="00B20FC1">
            <w:pPr>
              <w:spacing w:after="0"/>
            </w:pPr>
            <w:r>
              <w:rPr>
                <w:rFonts w:cs="Times New Roman"/>
              </w:rPr>
              <w:t>Governance, risk, quality and access gates</w:t>
            </w:r>
          </w:p>
        </w:tc>
        <w:tc>
          <w:tcPr>
            <w:tcW w:w="4680" w:type="dxa"/>
            <w:shd w:val="clear" w:color="auto" w:fill="FFFFFF"/>
            <w:tcMar>
              <w:top w:w="45" w:type="dxa"/>
              <w:left w:w="55" w:type="dxa"/>
              <w:bottom w:w="45" w:type="dxa"/>
              <w:right w:w="55" w:type="dxa"/>
            </w:tcMar>
            <w:vAlign w:val="center"/>
          </w:tcPr>
          <w:p w14:paraId="194506AD" w14:textId="77777777" w:rsidR="00894D55" w:rsidRDefault="00B20FC1">
            <w:pPr>
              <w:spacing w:after="0"/>
            </w:pPr>
            <w:r>
              <w:rPr>
                <w:rFonts w:cs="Times New Roman"/>
              </w:rPr>
              <w:t>Formal freeze -&gt; symbolic delimitation -&gt; independent systems -&gt; embodiment/TRL4</w:t>
            </w:r>
          </w:p>
        </w:tc>
        <w:tc>
          <w:tcPr>
            <w:tcW w:w="2736" w:type="dxa"/>
            <w:shd w:val="clear" w:color="auto" w:fill="FFFFFF"/>
            <w:tcMar>
              <w:top w:w="45" w:type="dxa"/>
              <w:left w:w="55" w:type="dxa"/>
              <w:bottom w:w="45" w:type="dxa"/>
              <w:right w:w="55" w:type="dxa"/>
            </w:tcMar>
            <w:vAlign w:val="center"/>
          </w:tcPr>
          <w:p w14:paraId="081DDFB6" w14:textId="77777777" w:rsidR="00894D55" w:rsidRDefault="00B20FC1">
            <w:pPr>
              <w:spacing w:after="0"/>
            </w:pPr>
            <w:r>
              <w:rPr>
                <w:rFonts w:cs="Times New Roman"/>
              </w:rPr>
              <w:t xml:space="preserve">DMP, frozen evidence, reproducibility, dissemination, exploitation and </w:t>
            </w:r>
            <w:proofErr w:type="spellStart"/>
            <w:r>
              <w:rPr>
                <w:rFonts w:cs="Times New Roman"/>
              </w:rPr>
              <w:t>standardisation</w:t>
            </w:r>
            <w:proofErr w:type="spellEnd"/>
          </w:p>
        </w:tc>
      </w:tr>
    </w:tbl>
    <w:p w14:paraId="354BC9AD" w14:textId="77777777" w:rsidR="00894D55" w:rsidRDefault="00894D55"/>
    <w:p w14:paraId="3784CA57" w14:textId="77777777" w:rsidR="00894D55" w:rsidRDefault="00B20FC1">
      <w:r>
        <w:t>Scientific dependency chain: submission Background -&gt; human-grounded study concluded/frozen by 15 March 2027 -&gt; positive funding decision -&gt; pre-signature USAL/fallback infrastructure gate -&gt; M1 verification of grant-start Background/readiness -&gt; M3-M6 double-involution DEVELOPMENT -&gt; M6 freeze -&gt; post-M6 held-out symbolic confirmation -&gt; M12 Symbolic Domain Map + double-involution closure -&gt; Year-2 Phase-A controlled cross-domain transfer/calibration -&gt; freeze of any revised mapping -&gt; Phase-B evidence-selected independent-system falsification -&gt; M24 Independent-System Domain Map -&gt; Year-3 embodied test -&gt; M36 Structural Invariance Atlas and TRL4 demonstrator.</w:t>
      </w:r>
    </w:p>
    <w:p w14:paraId="7C5332EF" w14:textId="77777777" w:rsidR="00894D55" w:rsidRDefault="00B20FC1">
      <w:pPr>
        <w:keepNext/>
        <w:spacing w:before="60" w:after="40"/>
      </w:pPr>
      <w:r>
        <w:rPr>
          <w:rFonts w:cs="Times New Roman"/>
          <w:b/>
        </w:rPr>
        <w:t>Detailed work-package descriptions (Table 3.1b)</w:t>
      </w:r>
    </w:p>
    <w:p w14:paraId="1ED5F808" w14:textId="77777777" w:rsidR="00894D55" w:rsidRDefault="00B20FC1">
      <w:pPr>
        <w:keepNext/>
        <w:spacing w:before="60" w:after="0"/>
      </w:pPr>
      <w:r>
        <w:rPr>
          <w:b/>
        </w:rPr>
        <w:t>WP1 - External-validation governance and cooperation readiness - RP1 (M1-M12; 8 PM)</w:t>
      </w:r>
    </w:p>
    <w:p w14:paraId="11991277" w14:textId="77777777" w:rsidR="00894D55" w:rsidRDefault="00B20FC1">
      <w:pPr>
        <w:spacing w:after="0"/>
      </w:pPr>
      <w:r>
        <w:t>Objective: preserve scientific gates and readiness without premature partner closure. The pre-signature feasibility gate itself occurs before M1: the human-grounded Background must already be scientifically closed and a documented USAL or qualified fallback route must have been secured during grant preparation. T1.1 records at M1 that these entry conditions were satisfied and maintains decision/change control and risk ownership; T1.2 maintains the documented infrastructure route through the controlled Year-2 bridge and later Year-3 preparation; T1.3 maintains candidate independent systems and applies the Phase-B selection criteria only when Year-1/Phase-A evidence makes their falsification value clear; T1.4 maintains ethics, security, budget and reporting control. WP1 does not use project time to solve a missing critical infrastructure dependency and does not select confirmatory systems before the evidence gate.</w:t>
      </w:r>
    </w:p>
    <w:p w14:paraId="3866249D" w14:textId="77777777" w:rsidR="00894D55" w:rsidRDefault="00B20FC1">
      <w:pPr>
        <w:keepNext/>
        <w:spacing w:before="60" w:after="40"/>
      </w:pPr>
      <w:r>
        <w:rPr>
          <w:rFonts w:cs="Times New Roman"/>
          <w:b/>
        </w:rPr>
        <w:t>WP2 - Freeze of the established SCC/MDPAR object and metrology (M1-M6; 20 PM)</w:t>
      </w:r>
    </w:p>
    <w:p w14:paraId="41977C84" w14:textId="77777777" w:rsidR="00894D55" w:rsidRDefault="00B20FC1">
      <w:r>
        <w:t>Objective: freeze the formal/metrological object while keeping the Year-1 mathematical answer open until evidence can sharpen it without circularity. T2.1-T2.4 version SCC definitions, semantic-leakage/adapter criteria, conformance controls, held-outs and analysis rules. T2.5 registers at M1 the human-grounded study already concluded and frozen by 15 March 2027 as pre-project Background; only DEVELOPMENT evidence generated within Year 1 may then refine the double-involution realisation class and projection rule before M6. At M6 the formulation is frozen; subsequent held-out evidence evaluates rather than constructs it.</w:t>
      </w:r>
    </w:p>
    <w:p w14:paraId="6B90B9DA" w14:textId="77777777" w:rsidR="00894D55" w:rsidRDefault="00B20FC1">
      <w:pPr>
        <w:keepNext/>
        <w:spacing w:before="60" w:after="40"/>
      </w:pPr>
      <w:r>
        <w:rPr>
          <w:rFonts w:cs="Times New Roman"/>
          <w:b/>
        </w:rPr>
        <w:t>WP3 - Year-1 Symbolic Domain Map (M3-M12; 18 PM)</w:t>
      </w:r>
    </w:p>
    <w:p w14:paraId="2A36E199" w14:textId="77777777" w:rsidR="00894D55" w:rsidRDefault="00B20FC1">
      <w:r>
        <w:t>Objective: map the symbolic external-validity boundary and close the double-involution problem. M3-M6 is DEVELOPMENT only: instrument work, adversarial pilots and refinement of the admissible double-involution class; no observation from this interval enters its confirmatory support. After the M6 freeze, held-out cross-domain/language/model/representation conditions, transformations, non-matches and ablations provide the confirmatory evidence. M12 closes with the Symbolic Domain Map and a positive, bounded or negative mathematical status meeting the explicit progression criteria defined in O2.</w:t>
      </w:r>
    </w:p>
    <w:p w14:paraId="167978BC" w14:textId="77777777" w:rsidR="00894D55" w:rsidRDefault="00B20FC1">
      <w:pPr>
        <w:keepNext/>
        <w:spacing w:before="60" w:after="40"/>
      </w:pPr>
      <w:r>
        <w:rPr>
          <w:rFonts w:cs="Times New Roman"/>
          <w:b/>
        </w:rPr>
        <w:t>WP4 - Evidence, Open Science and reproducibility - RP1 (M1-M12; 5 PM)</w:t>
      </w:r>
    </w:p>
    <w:p w14:paraId="4D198915" w14:textId="77777777" w:rsidR="00894D55" w:rsidRDefault="00B20FC1">
      <w:r>
        <w:rPr>
          <w:rFonts w:cs="Times New Roman"/>
        </w:rPr>
        <w:t>Objective: make the Year-1 boundary map auditable. Deliver the DMP and dissemination/exploitation/communication plan by M6; maintain Background/Foreground, access-rights and provenance registers; and publish the frozen M12 evidence package with the exact claim class attached to each result.</w:t>
      </w:r>
    </w:p>
    <w:p w14:paraId="67ACBABA" w14:textId="77777777" w:rsidR="00894D55" w:rsidRDefault="00B20FC1">
      <w:pPr>
        <w:keepNext/>
        <w:spacing w:before="60" w:after="40"/>
      </w:pPr>
      <w:r>
        <w:rPr>
          <w:rFonts w:cs="Times New Roman"/>
          <w:b/>
        </w:rPr>
        <w:lastRenderedPageBreak/>
        <w:t>WP5 - Portfolio coordination and external-domain governance - RP2 (M13-M36; 8 PM)</w:t>
      </w:r>
    </w:p>
    <w:p w14:paraId="68845213" w14:textId="77777777" w:rsidR="00894D55" w:rsidRDefault="00B20FC1">
      <w:r>
        <w:rPr>
          <w:rFonts w:cs="Times New Roman"/>
        </w:rPr>
        <w:t>Objective: coordinate the two external stages without allowing collaboration logistics to redefine the hypothesis. Maintain the DeepRAP interoperability/common-pilot interfaces, access agreements, risk control, exploitation decisions and reporting needed by WP6-WP7. Portfolio collaboration is preferred scientific leverage; no single external project is allowed to redefine the endpoint.</w:t>
      </w:r>
    </w:p>
    <w:p w14:paraId="374DA14F" w14:textId="77777777" w:rsidR="00894D55" w:rsidRDefault="00B20FC1">
      <w:pPr>
        <w:keepNext/>
        <w:spacing w:before="60" w:after="40"/>
      </w:pPr>
      <w:r>
        <w:rPr>
          <w:rFonts w:cs="Times New Roman"/>
          <w:b/>
        </w:rPr>
        <w:t>WP6 - Year-2 Independent-System Domain Map (M10-M24; 20 PM)</w:t>
      </w:r>
    </w:p>
    <w:p w14:paraId="38321796" w14:textId="77777777" w:rsidR="00894D55" w:rsidRDefault="00B20FC1">
      <w:r>
        <w:t>Objective: determine which established properties survive first controlled domain transfer and then removal of common-design dependence. M10-M12 is preparation-only. From M13, Phase A changes domain while keeping SCC definitions, metrology, observability, failure semantics and authority fixed; bounded calibration may modify only operational mapping/interface/representation and each revision is frozen before evaluation. Phase B then tests the frozen output on independently engineered systems selected by architectural independence, invariant relevance, native observability, adapter/ontology burden and discriminative test value. A system used to create a calibration cannot confirm that calibrated version without a new held-out condition.</w:t>
      </w:r>
    </w:p>
    <w:p w14:paraId="74BF9EB2" w14:textId="77777777" w:rsidR="00894D55" w:rsidRDefault="00B20FC1">
      <w:pPr>
        <w:keepNext/>
        <w:spacing w:before="60" w:after="40"/>
      </w:pPr>
      <w:r>
        <w:rPr>
          <w:rFonts w:cs="Times New Roman"/>
          <w:b/>
        </w:rPr>
        <w:t>WP7 - Year-3 Embodied Domain Map and TRL4 integration (M19-M36; 22 PM)</w:t>
      </w:r>
    </w:p>
    <w:p w14:paraId="7637FE42" w14:textId="77777777" w:rsidR="00894D55" w:rsidRDefault="00B20FC1">
      <w:pPr>
        <w:spacing w:after="0"/>
      </w:pPr>
      <w:r>
        <w:t>Objective: test whether M24-supported invariant classes survive perception-action coupling and materialise the resulting boundary at TRL4. M19-M24 is preparation-only. After the M24 gate, confirmatory embodiment requires both the predefined capability/safety floor and preservation of each frozen structural/authority property under designated perturbations. The grant-start USAL/fallback route supplies institutional access; M19-M24 establishes experiment-specific safety, instrumentation and perception-action readiness.</w:t>
      </w:r>
    </w:p>
    <w:p w14:paraId="5D2223E2" w14:textId="77777777" w:rsidR="00894D55" w:rsidRDefault="00B20FC1">
      <w:pPr>
        <w:keepNext/>
        <w:spacing w:before="60" w:after="40"/>
      </w:pPr>
      <w:r>
        <w:rPr>
          <w:rFonts w:cs="Times New Roman"/>
          <w:b/>
        </w:rPr>
        <w:t>WP8 - Final evidence infrastructure and Structural Invariance Atlas - RP2 (M13-M36; 4 PM)</w:t>
      </w:r>
    </w:p>
    <w:p w14:paraId="01C78353" w14:textId="77777777" w:rsidR="00894D55" w:rsidRDefault="00B20FC1">
      <w:r>
        <w:rPr>
          <w:rFonts w:cs="Times New Roman"/>
        </w:rPr>
        <w:t>Objective: preserve external-system and embodied evidence as an auditable domain map. Maintain hashes/manifests, deterministic-versus-neural boundary records, FAIR/DMP updates and reproducibility packages; publish the final Structural Invariance Atlas linking every claimed invariant to its tested domain, counterexamples and restriction conditions.</w:t>
      </w:r>
    </w:p>
    <w:p w14:paraId="5E05C20B" w14:textId="77777777" w:rsidR="00894D55" w:rsidRDefault="00B20FC1">
      <w:pPr>
        <w:keepNext/>
        <w:spacing w:before="60" w:after="40"/>
      </w:pPr>
      <w:r>
        <w:rPr>
          <w:rFonts w:cs="Times New Roman"/>
          <w:b/>
        </w:rPr>
        <w:t>WP9 - Translation, standardisation and exploitation of established results (M13-M36; 3 PM)</w:t>
      </w:r>
    </w:p>
    <w:p w14:paraId="1DF2175D" w14:textId="77777777" w:rsidR="00894D55" w:rsidRDefault="00B20FC1">
      <w:r>
        <w:t>Objective: translate only what the formal/internal baseline and the external domain maps support. Scientific communication, pre-normative interoperability/assurance contributions, adopter engagement and TRL5+ planning will distinguish demonstrated MDPAR capabilities from the externally delimited scope established by DeepRAP. Techno-economic evidence will use the same C-T-I-M-Q doctrine prospectively: compute/provider cost, elapsed and blocked time, infrastructure/hardware dependence, integration/migration/maintenance burden, and capability/quality/authority floor will be reported separately. The project will not collapse these into a universal savings percentage.</w:t>
      </w:r>
    </w:p>
    <w:p w14:paraId="6B76FC76" w14:textId="77777777" w:rsidR="00894D55" w:rsidRDefault="00B20FC1">
      <w:pPr>
        <w:keepNext/>
        <w:spacing w:before="60" w:after="40"/>
      </w:pPr>
      <w:r>
        <w:rPr>
          <w:rFonts w:cs="Times New Roman"/>
          <w:b/>
        </w:rPr>
        <w:t>Deliverables (Table 3.1c)</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648"/>
        <w:gridCol w:w="4968"/>
        <w:gridCol w:w="1052"/>
        <w:gridCol w:w="587"/>
        <w:gridCol w:w="844"/>
        <w:gridCol w:w="720"/>
        <w:gridCol w:w="648"/>
      </w:tblGrid>
      <w:tr w:rsidR="00894D55" w14:paraId="1A2829BA" w14:textId="77777777">
        <w:trPr>
          <w:tblHeader/>
          <w:jc w:val="center"/>
        </w:trPr>
        <w:tc>
          <w:tcPr>
            <w:tcW w:w="648" w:type="dxa"/>
            <w:shd w:val="clear" w:color="auto" w:fill="E7E6E6"/>
            <w:tcMar>
              <w:top w:w="45" w:type="dxa"/>
              <w:left w:w="55" w:type="dxa"/>
              <w:bottom w:w="45" w:type="dxa"/>
              <w:right w:w="55" w:type="dxa"/>
            </w:tcMar>
            <w:vAlign w:val="center"/>
          </w:tcPr>
          <w:p w14:paraId="4EC0251D" w14:textId="77777777" w:rsidR="00894D55" w:rsidRDefault="00B20FC1">
            <w:pPr>
              <w:spacing w:after="0"/>
            </w:pPr>
            <w:r>
              <w:rPr>
                <w:rFonts w:cs="Times New Roman"/>
                <w:b/>
              </w:rPr>
              <w:t>No.</w:t>
            </w:r>
          </w:p>
        </w:tc>
        <w:tc>
          <w:tcPr>
            <w:tcW w:w="4968" w:type="dxa"/>
            <w:shd w:val="clear" w:color="auto" w:fill="E7E6E6"/>
            <w:tcMar>
              <w:top w:w="45" w:type="dxa"/>
              <w:left w:w="55" w:type="dxa"/>
              <w:bottom w:w="45" w:type="dxa"/>
              <w:right w:w="55" w:type="dxa"/>
            </w:tcMar>
            <w:vAlign w:val="center"/>
          </w:tcPr>
          <w:p w14:paraId="3C5CB941" w14:textId="77777777" w:rsidR="00894D55" w:rsidRDefault="00B20FC1">
            <w:pPr>
              <w:spacing w:after="0"/>
            </w:pPr>
            <w:r>
              <w:rPr>
                <w:rFonts w:cs="Times New Roman"/>
                <w:b/>
              </w:rPr>
              <w:t>Deliverable</w:t>
            </w:r>
          </w:p>
        </w:tc>
        <w:tc>
          <w:tcPr>
            <w:tcW w:w="576" w:type="dxa"/>
            <w:shd w:val="clear" w:color="auto" w:fill="E7E6E6"/>
            <w:tcMar>
              <w:top w:w="45" w:type="dxa"/>
              <w:left w:w="55" w:type="dxa"/>
              <w:bottom w:w="45" w:type="dxa"/>
              <w:right w:w="55" w:type="dxa"/>
            </w:tcMar>
            <w:vAlign w:val="center"/>
          </w:tcPr>
          <w:p w14:paraId="4C3BC5C9" w14:textId="77777777" w:rsidR="00894D55" w:rsidRDefault="00B20FC1">
            <w:pPr>
              <w:spacing w:after="0"/>
            </w:pPr>
            <w:r>
              <w:rPr>
                <w:rFonts w:cs="Times New Roman"/>
                <w:b/>
              </w:rPr>
              <w:t>WP</w:t>
            </w:r>
          </w:p>
        </w:tc>
        <w:tc>
          <w:tcPr>
            <w:tcW w:w="576" w:type="dxa"/>
            <w:shd w:val="clear" w:color="auto" w:fill="E7E6E6"/>
            <w:tcMar>
              <w:top w:w="45" w:type="dxa"/>
              <w:left w:w="55" w:type="dxa"/>
              <w:bottom w:w="45" w:type="dxa"/>
              <w:right w:w="55" w:type="dxa"/>
            </w:tcMar>
            <w:vAlign w:val="center"/>
          </w:tcPr>
          <w:p w14:paraId="2C1F7B53" w14:textId="77777777" w:rsidR="00894D55" w:rsidRDefault="00B20FC1">
            <w:pPr>
              <w:spacing w:after="0"/>
            </w:pPr>
            <w:r>
              <w:rPr>
                <w:rFonts w:cs="Times New Roman"/>
                <w:b/>
              </w:rPr>
              <w:t>Lead</w:t>
            </w:r>
          </w:p>
        </w:tc>
        <w:tc>
          <w:tcPr>
            <w:tcW w:w="792" w:type="dxa"/>
            <w:shd w:val="clear" w:color="auto" w:fill="E7E6E6"/>
            <w:tcMar>
              <w:top w:w="45" w:type="dxa"/>
              <w:left w:w="55" w:type="dxa"/>
              <w:bottom w:w="45" w:type="dxa"/>
              <w:right w:w="55" w:type="dxa"/>
            </w:tcMar>
            <w:vAlign w:val="center"/>
          </w:tcPr>
          <w:p w14:paraId="4ECAE7AF" w14:textId="77777777" w:rsidR="00894D55" w:rsidRDefault="00B20FC1">
            <w:pPr>
              <w:spacing w:after="0"/>
            </w:pPr>
            <w:r>
              <w:rPr>
                <w:rFonts w:cs="Times New Roman"/>
                <w:b/>
              </w:rPr>
              <w:t>Type</w:t>
            </w:r>
          </w:p>
        </w:tc>
        <w:tc>
          <w:tcPr>
            <w:tcW w:w="720" w:type="dxa"/>
            <w:shd w:val="clear" w:color="auto" w:fill="E7E6E6"/>
            <w:tcMar>
              <w:top w:w="45" w:type="dxa"/>
              <w:left w:w="55" w:type="dxa"/>
              <w:bottom w:w="45" w:type="dxa"/>
              <w:right w:w="55" w:type="dxa"/>
            </w:tcMar>
            <w:vAlign w:val="center"/>
          </w:tcPr>
          <w:p w14:paraId="5926F7D1" w14:textId="77777777" w:rsidR="00894D55" w:rsidRDefault="00B20FC1">
            <w:pPr>
              <w:spacing w:after="0"/>
            </w:pPr>
            <w:r>
              <w:rPr>
                <w:rFonts w:cs="Times New Roman"/>
                <w:b/>
              </w:rPr>
              <w:t>Level</w:t>
            </w:r>
          </w:p>
        </w:tc>
        <w:tc>
          <w:tcPr>
            <w:tcW w:w="648" w:type="dxa"/>
            <w:shd w:val="clear" w:color="auto" w:fill="E7E6E6"/>
            <w:tcMar>
              <w:top w:w="45" w:type="dxa"/>
              <w:left w:w="55" w:type="dxa"/>
              <w:bottom w:w="45" w:type="dxa"/>
              <w:right w:w="55" w:type="dxa"/>
            </w:tcMar>
            <w:vAlign w:val="center"/>
          </w:tcPr>
          <w:p w14:paraId="46FE058F" w14:textId="77777777" w:rsidR="00894D55" w:rsidRDefault="00B20FC1">
            <w:pPr>
              <w:spacing w:after="0"/>
            </w:pPr>
            <w:r>
              <w:rPr>
                <w:rFonts w:cs="Times New Roman"/>
                <w:b/>
              </w:rPr>
              <w:t>Due</w:t>
            </w:r>
          </w:p>
        </w:tc>
      </w:tr>
      <w:tr w:rsidR="00894D55" w14:paraId="4FB5F9FA" w14:textId="77777777">
        <w:trPr>
          <w:jc w:val="center"/>
        </w:trPr>
        <w:tc>
          <w:tcPr>
            <w:tcW w:w="648" w:type="dxa"/>
            <w:shd w:val="clear" w:color="auto" w:fill="FFFFFF"/>
            <w:tcMar>
              <w:top w:w="45" w:type="dxa"/>
              <w:left w:w="55" w:type="dxa"/>
              <w:bottom w:w="45" w:type="dxa"/>
              <w:right w:w="55" w:type="dxa"/>
            </w:tcMar>
            <w:vAlign w:val="center"/>
          </w:tcPr>
          <w:p w14:paraId="11D571D5" w14:textId="77777777" w:rsidR="00894D55" w:rsidRDefault="00B20FC1">
            <w:pPr>
              <w:spacing w:after="0"/>
            </w:pPr>
            <w:r>
              <w:rPr>
                <w:rFonts w:cs="Times New Roman"/>
              </w:rPr>
              <w:t>D1.1</w:t>
            </w:r>
          </w:p>
        </w:tc>
        <w:tc>
          <w:tcPr>
            <w:tcW w:w="4968" w:type="dxa"/>
            <w:shd w:val="clear" w:color="auto" w:fill="FFFFFF"/>
            <w:tcMar>
              <w:top w:w="45" w:type="dxa"/>
              <w:left w:w="55" w:type="dxa"/>
              <w:bottom w:w="45" w:type="dxa"/>
              <w:right w:w="55" w:type="dxa"/>
            </w:tcMar>
            <w:vAlign w:val="center"/>
          </w:tcPr>
          <w:p w14:paraId="447CA0C4" w14:textId="77777777" w:rsidR="002521F4" w:rsidRDefault="00CA190B">
            <w:pPr>
              <w:spacing w:after="0"/>
            </w:pPr>
            <w:r>
              <w:t xml:space="preserve">Cooperation governance and external-access strategy </w:t>
            </w:r>
            <w:r>
              <w:t>baseline</w:t>
            </w:r>
          </w:p>
        </w:tc>
        <w:tc>
          <w:tcPr>
            <w:tcW w:w="576" w:type="dxa"/>
            <w:shd w:val="clear" w:color="auto" w:fill="FFFFFF"/>
            <w:tcMar>
              <w:top w:w="45" w:type="dxa"/>
              <w:left w:w="55" w:type="dxa"/>
              <w:bottom w:w="45" w:type="dxa"/>
              <w:right w:w="55" w:type="dxa"/>
            </w:tcMar>
            <w:vAlign w:val="center"/>
          </w:tcPr>
          <w:p w14:paraId="7C30555E" w14:textId="77777777" w:rsidR="00894D55" w:rsidRDefault="00B20FC1">
            <w:pPr>
              <w:spacing w:after="0"/>
            </w:pPr>
            <w:r>
              <w:rPr>
                <w:rFonts w:cs="Times New Roman"/>
              </w:rPr>
              <w:t>WP1</w:t>
            </w:r>
          </w:p>
        </w:tc>
        <w:tc>
          <w:tcPr>
            <w:tcW w:w="576" w:type="dxa"/>
            <w:shd w:val="clear" w:color="auto" w:fill="FFFFFF"/>
            <w:tcMar>
              <w:top w:w="45" w:type="dxa"/>
              <w:left w:w="55" w:type="dxa"/>
              <w:bottom w:w="45" w:type="dxa"/>
              <w:right w:w="55" w:type="dxa"/>
            </w:tcMar>
            <w:vAlign w:val="center"/>
          </w:tcPr>
          <w:p w14:paraId="6547F301"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144250F2" w14:textId="77777777" w:rsidR="00894D55" w:rsidRDefault="00B20FC1">
            <w:pPr>
              <w:spacing w:after="0"/>
            </w:pPr>
            <w:r>
              <w:rPr>
                <w:rFonts w:cs="Times New Roman"/>
              </w:rPr>
              <w:t>R</w:t>
            </w:r>
          </w:p>
        </w:tc>
        <w:tc>
          <w:tcPr>
            <w:tcW w:w="720" w:type="dxa"/>
            <w:shd w:val="clear" w:color="auto" w:fill="FFFFFF"/>
            <w:tcMar>
              <w:top w:w="45" w:type="dxa"/>
              <w:left w:w="55" w:type="dxa"/>
              <w:bottom w:w="45" w:type="dxa"/>
              <w:right w:w="55" w:type="dxa"/>
            </w:tcMar>
            <w:vAlign w:val="center"/>
          </w:tcPr>
          <w:p w14:paraId="4F2816C0" w14:textId="77777777" w:rsidR="00894D55" w:rsidRDefault="00B20FC1">
            <w:pPr>
              <w:spacing w:after="0"/>
            </w:pPr>
            <w:r>
              <w:rPr>
                <w:rFonts w:cs="Times New Roman"/>
              </w:rPr>
              <w:t>SEN</w:t>
            </w:r>
          </w:p>
        </w:tc>
        <w:tc>
          <w:tcPr>
            <w:tcW w:w="648" w:type="dxa"/>
            <w:shd w:val="clear" w:color="auto" w:fill="FFFFFF"/>
            <w:tcMar>
              <w:top w:w="45" w:type="dxa"/>
              <w:left w:w="55" w:type="dxa"/>
              <w:bottom w:w="45" w:type="dxa"/>
              <w:right w:w="55" w:type="dxa"/>
            </w:tcMar>
            <w:vAlign w:val="center"/>
          </w:tcPr>
          <w:p w14:paraId="4FFD9E7D" w14:textId="77777777" w:rsidR="00894D55" w:rsidRDefault="00B20FC1">
            <w:pPr>
              <w:spacing w:after="0"/>
            </w:pPr>
            <w:r>
              <w:rPr>
                <w:rFonts w:cs="Times New Roman"/>
              </w:rPr>
              <w:t>M3</w:t>
            </w:r>
          </w:p>
        </w:tc>
      </w:tr>
      <w:tr w:rsidR="00894D55" w14:paraId="209B41D7" w14:textId="77777777">
        <w:trPr>
          <w:jc w:val="center"/>
        </w:trPr>
        <w:tc>
          <w:tcPr>
            <w:tcW w:w="648" w:type="dxa"/>
            <w:shd w:val="clear" w:color="auto" w:fill="FFFFFF"/>
            <w:tcMar>
              <w:top w:w="45" w:type="dxa"/>
              <w:left w:w="55" w:type="dxa"/>
              <w:bottom w:w="45" w:type="dxa"/>
              <w:right w:w="55" w:type="dxa"/>
            </w:tcMar>
            <w:vAlign w:val="center"/>
          </w:tcPr>
          <w:p w14:paraId="1343BA20" w14:textId="77777777" w:rsidR="00894D55" w:rsidRDefault="00B20FC1">
            <w:pPr>
              <w:spacing w:after="0"/>
            </w:pPr>
            <w:r>
              <w:rPr>
                <w:rFonts w:cs="Times New Roman"/>
              </w:rPr>
              <w:t>D2.1</w:t>
            </w:r>
          </w:p>
        </w:tc>
        <w:tc>
          <w:tcPr>
            <w:tcW w:w="4968" w:type="dxa"/>
            <w:shd w:val="clear" w:color="auto" w:fill="FFFFFF"/>
            <w:tcMar>
              <w:top w:w="45" w:type="dxa"/>
              <w:left w:w="55" w:type="dxa"/>
              <w:bottom w:w="45" w:type="dxa"/>
              <w:right w:w="55" w:type="dxa"/>
            </w:tcMar>
            <w:vAlign w:val="center"/>
          </w:tcPr>
          <w:p w14:paraId="284809FC" w14:textId="77777777" w:rsidR="00617ED1" w:rsidRDefault="003016E0">
            <w:pPr>
              <w:spacing w:after="0"/>
            </w:pPr>
            <w:r>
              <w:rPr>
                <w:rFonts w:cs="Times New Roman"/>
              </w:rPr>
              <w:t>Frozen SCC/MDPAR external-test specification v1</w:t>
            </w:r>
          </w:p>
        </w:tc>
        <w:tc>
          <w:tcPr>
            <w:tcW w:w="576" w:type="dxa"/>
            <w:shd w:val="clear" w:color="auto" w:fill="FFFFFF"/>
            <w:tcMar>
              <w:top w:w="45" w:type="dxa"/>
              <w:left w:w="55" w:type="dxa"/>
              <w:bottom w:w="45" w:type="dxa"/>
              <w:right w:w="55" w:type="dxa"/>
            </w:tcMar>
            <w:vAlign w:val="center"/>
          </w:tcPr>
          <w:p w14:paraId="6EB3D067" w14:textId="77777777" w:rsidR="00894D55" w:rsidRDefault="00B20FC1">
            <w:pPr>
              <w:spacing w:after="0"/>
            </w:pPr>
            <w:r>
              <w:rPr>
                <w:rFonts w:cs="Times New Roman"/>
              </w:rPr>
              <w:t>WP2</w:t>
            </w:r>
          </w:p>
        </w:tc>
        <w:tc>
          <w:tcPr>
            <w:tcW w:w="576" w:type="dxa"/>
            <w:shd w:val="clear" w:color="auto" w:fill="FFFFFF"/>
            <w:tcMar>
              <w:top w:w="45" w:type="dxa"/>
              <w:left w:w="55" w:type="dxa"/>
              <w:bottom w:w="45" w:type="dxa"/>
              <w:right w:w="55" w:type="dxa"/>
            </w:tcMar>
            <w:vAlign w:val="center"/>
          </w:tcPr>
          <w:p w14:paraId="034EE0AE"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040E1E00" w14:textId="77777777" w:rsidR="00894D55" w:rsidRDefault="00B20FC1">
            <w:pPr>
              <w:spacing w:after="0"/>
            </w:pPr>
            <w:r>
              <w:rPr>
                <w:rFonts w:cs="Times New Roman"/>
              </w:rPr>
              <w:t>OTHER</w:t>
            </w:r>
          </w:p>
        </w:tc>
        <w:tc>
          <w:tcPr>
            <w:tcW w:w="720" w:type="dxa"/>
            <w:shd w:val="clear" w:color="auto" w:fill="FFFFFF"/>
            <w:tcMar>
              <w:top w:w="45" w:type="dxa"/>
              <w:left w:w="55" w:type="dxa"/>
              <w:bottom w:w="45" w:type="dxa"/>
              <w:right w:w="55" w:type="dxa"/>
            </w:tcMar>
            <w:vAlign w:val="center"/>
          </w:tcPr>
          <w:p w14:paraId="2CA18E9D"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4CE8F8BD" w14:textId="77777777" w:rsidR="00894D55" w:rsidRDefault="00B20FC1">
            <w:pPr>
              <w:spacing w:after="0"/>
            </w:pPr>
            <w:r>
              <w:rPr>
                <w:rFonts w:cs="Times New Roman"/>
              </w:rPr>
              <w:t>M6</w:t>
            </w:r>
          </w:p>
        </w:tc>
      </w:tr>
      <w:tr w:rsidR="00894D55" w14:paraId="43F97E8D" w14:textId="77777777">
        <w:trPr>
          <w:jc w:val="center"/>
        </w:trPr>
        <w:tc>
          <w:tcPr>
            <w:tcW w:w="648" w:type="dxa"/>
            <w:shd w:val="clear" w:color="auto" w:fill="FFFFFF"/>
            <w:tcMar>
              <w:top w:w="45" w:type="dxa"/>
              <w:left w:w="55" w:type="dxa"/>
              <w:bottom w:w="45" w:type="dxa"/>
              <w:right w:w="55" w:type="dxa"/>
            </w:tcMar>
            <w:vAlign w:val="center"/>
          </w:tcPr>
          <w:p w14:paraId="7F39A8B9" w14:textId="77777777" w:rsidR="00894D55" w:rsidRDefault="00B20FC1">
            <w:pPr>
              <w:spacing w:after="0"/>
            </w:pPr>
            <w:r>
              <w:rPr>
                <w:rFonts w:cs="Times New Roman"/>
              </w:rPr>
              <w:t>D4.1</w:t>
            </w:r>
          </w:p>
        </w:tc>
        <w:tc>
          <w:tcPr>
            <w:tcW w:w="4968" w:type="dxa"/>
            <w:shd w:val="clear" w:color="auto" w:fill="FFFFFF"/>
            <w:tcMar>
              <w:top w:w="45" w:type="dxa"/>
              <w:left w:w="55" w:type="dxa"/>
              <w:bottom w:w="45" w:type="dxa"/>
              <w:right w:w="55" w:type="dxa"/>
            </w:tcMar>
            <w:vAlign w:val="center"/>
          </w:tcPr>
          <w:p w14:paraId="620AB651" w14:textId="77777777" w:rsidR="00894D55" w:rsidRDefault="00B20FC1">
            <w:pPr>
              <w:spacing w:after="0"/>
            </w:pPr>
            <w:r>
              <w:rPr>
                <w:rFonts w:cs="Times New Roman"/>
              </w:rPr>
              <w:t>Data Management Plan</w:t>
            </w:r>
          </w:p>
        </w:tc>
        <w:tc>
          <w:tcPr>
            <w:tcW w:w="576" w:type="dxa"/>
            <w:shd w:val="clear" w:color="auto" w:fill="FFFFFF"/>
            <w:tcMar>
              <w:top w:w="45" w:type="dxa"/>
              <w:left w:w="55" w:type="dxa"/>
              <w:bottom w:w="45" w:type="dxa"/>
              <w:right w:w="55" w:type="dxa"/>
            </w:tcMar>
            <w:vAlign w:val="center"/>
          </w:tcPr>
          <w:p w14:paraId="50013E08" w14:textId="77777777" w:rsidR="00894D55" w:rsidRDefault="00B20FC1">
            <w:pPr>
              <w:spacing w:after="0"/>
            </w:pPr>
            <w:r>
              <w:rPr>
                <w:rFonts w:cs="Times New Roman"/>
              </w:rPr>
              <w:t>WP4</w:t>
            </w:r>
          </w:p>
        </w:tc>
        <w:tc>
          <w:tcPr>
            <w:tcW w:w="576" w:type="dxa"/>
            <w:shd w:val="clear" w:color="auto" w:fill="FFFFFF"/>
            <w:tcMar>
              <w:top w:w="45" w:type="dxa"/>
              <w:left w:w="55" w:type="dxa"/>
              <w:bottom w:w="45" w:type="dxa"/>
              <w:right w:w="55" w:type="dxa"/>
            </w:tcMar>
            <w:vAlign w:val="center"/>
          </w:tcPr>
          <w:p w14:paraId="5AB5955E"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03301689" w14:textId="77777777" w:rsidR="00894D55" w:rsidRDefault="00B20FC1">
            <w:pPr>
              <w:spacing w:after="0"/>
            </w:pPr>
            <w:r>
              <w:rPr>
                <w:rFonts w:cs="Times New Roman"/>
              </w:rPr>
              <w:t>DMP</w:t>
            </w:r>
          </w:p>
        </w:tc>
        <w:tc>
          <w:tcPr>
            <w:tcW w:w="720" w:type="dxa"/>
            <w:shd w:val="clear" w:color="auto" w:fill="FFFFFF"/>
            <w:tcMar>
              <w:top w:w="45" w:type="dxa"/>
              <w:left w:w="55" w:type="dxa"/>
              <w:bottom w:w="45" w:type="dxa"/>
              <w:right w:w="55" w:type="dxa"/>
            </w:tcMar>
            <w:vAlign w:val="center"/>
          </w:tcPr>
          <w:p w14:paraId="66DD4203"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513A486E" w14:textId="77777777" w:rsidR="00894D55" w:rsidRDefault="00B20FC1">
            <w:pPr>
              <w:spacing w:after="0"/>
            </w:pPr>
            <w:r>
              <w:rPr>
                <w:rFonts w:cs="Times New Roman"/>
              </w:rPr>
              <w:t>M6</w:t>
            </w:r>
          </w:p>
        </w:tc>
      </w:tr>
      <w:tr w:rsidR="00894D55" w14:paraId="5237C27B" w14:textId="77777777">
        <w:trPr>
          <w:jc w:val="center"/>
        </w:trPr>
        <w:tc>
          <w:tcPr>
            <w:tcW w:w="648" w:type="dxa"/>
            <w:shd w:val="clear" w:color="auto" w:fill="FFFFFF"/>
            <w:tcMar>
              <w:top w:w="45" w:type="dxa"/>
              <w:left w:w="55" w:type="dxa"/>
              <w:bottom w:w="45" w:type="dxa"/>
              <w:right w:w="55" w:type="dxa"/>
            </w:tcMar>
            <w:vAlign w:val="center"/>
          </w:tcPr>
          <w:p w14:paraId="5578B1DA" w14:textId="77777777" w:rsidR="00894D55" w:rsidRDefault="00B20FC1">
            <w:pPr>
              <w:spacing w:after="0"/>
            </w:pPr>
            <w:r>
              <w:rPr>
                <w:rFonts w:cs="Times New Roman"/>
              </w:rPr>
              <w:t>D4.2</w:t>
            </w:r>
          </w:p>
        </w:tc>
        <w:tc>
          <w:tcPr>
            <w:tcW w:w="4968" w:type="dxa"/>
            <w:shd w:val="clear" w:color="auto" w:fill="FFFFFF"/>
            <w:tcMar>
              <w:top w:w="45" w:type="dxa"/>
              <w:left w:w="55" w:type="dxa"/>
              <w:bottom w:w="45" w:type="dxa"/>
              <w:right w:w="55" w:type="dxa"/>
            </w:tcMar>
            <w:vAlign w:val="center"/>
          </w:tcPr>
          <w:p w14:paraId="124BCEBE" w14:textId="77777777" w:rsidR="00894D55" w:rsidRDefault="00B20FC1">
            <w:pPr>
              <w:spacing w:after="0"/>
            </w:pPr>
            <w:r>
              <w:rPr>
                <w:rFonts w:cs="Times New Roman"/>
              </w:rPr>
              <w:t>Plan for Dissemination and Exploitation incl. Communication</w:t>
            </w:r>
          </w:p>
        </w:tc>
        <w:tc>
          <w:tcPr>
            <w:tcW w:w="576" w:type="dxa"/>
            <w:shd w:val="clear" w:color="auto" w:fill="FFFFFF"/>
            <w:tcMar>
              <w:top w:w="45" w:type="dxa"/>
              <w:left w:w="55" w:type="dxa"/>
              <w:bottom w:w="45" w:type="dxa"/>
              <w:right w:w="55" w:type="dxa"/>
            </w:tcMar>
            <w:vAlign w:val="center"/>
          </w:tcPr>
          <w:p w14:paraId="0146FAA3" w14:textId="77777777" w:rsidR="00894D55" w:rsidRDefault="00B20FC1">
            <w:pPr>
              <w:spacing w:after="0"/>
            </w:pPr>
            <w:r>
              <w:rPr>
                <w:rFonts w:cs="Times New Roman"/>
              </w:rPr>
              <w:t>WP4</w:t>
            </w:r>
          </w:p>
        </w:tc>
        <w:tc>
          <w:tcPr>
            <w:tcW w:w="576" w:type="dxa"/>
            <w:shd w:val="clear" w:color="auto" w:fill="FFFFFF"/>
            <w:tcMar>
              <w:top w:w="45" w:type="dxa"/>
              <w:left w:w="55" w:type="dxa"/>
              <w:bottom w:w="45" w:type="dxa"/>
              <w:right w:w="55" w:type="dxa"/>
            </w:tcMar>
            <w:vAlign w:val="center"/>
          </w:tcPr>
          <w:p w14:paraId="1B09E7C1"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660C94DA" w14:textId="77777777" w:rsidR="00894D55" w:rsidRDefault="00B20FC1">
            <w:pPr>
              <w:spacing w:after="0"/>
            </w:pPr>
            <w:r>
              <w:rPr>
                <w:rFonts w:cs="Times New Roman"/>
              </w:rPr>
              <w:t>R</w:t>
            </w:r>
          </w:p>
        </w:tc>
        <w:tc>
          <w:tcPr>
            <w:tcW w:w="720" w:type="dxa"/>
            <w:shd w:val="clear" w:color="auto" w:fill="FFFFFF"/>
            <w:tcMar>
              <w:top w:w="45" w:type="dxa"/>
              <w:left w:w="55" w:type="dxa"/>
              <w:bottom w:w="45" w:type="dxa"/>
              <w:right w:w="55" w:type="dxa"/>
            </w:tcMar>
            <w:vAlign w:val="center"/>
          </w:tcPr>
          <w:p w14:paraId="0BB76E51"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170FBFA4" w14:textId="77777777" w:rsidR="00894D55" w:rsidRDefault="00B20FC1">
            <w:pPr>
              <w:spacing w:after="0"/>
            </w:pPr>
            <w:r>
              <w:rPr>
                <w:rFonts w:cs="Times New Roman"/>
              </w:rPr>
              <w:t>M6</w:t>
            </w:r>
          </w:p>
        </w:tc>
      </w:tr>
      <w:tr w:rsidR="00894D55" w14:paraId="74FF7985" w14:textId="77777777">
        <w:trPr>
          <w:jc w:val="center"/>
        </w:trPr>
        <w:tc>
          <w:tcPr>
            <w:tcW w:w="648" w:type="dxa"/>
            <w:shd w:val="clear" w:color="auto" w:fill="FFFFFF"/>
            <w:tcMar>
              <w:top w:w="45" w:type="dxa"/>
              <w:left w:w="55" w:type="dxa"/>
              <w:bottom w:w="45" w:type="dxa"/>
              <w:right w:w="55" w:type="dxa"/>
            </w:tcMar>
            <w:vAlign w:val="center"/>
          </w:tcPr>
          <w:p w14:paraId="402CC299" w14:textId="77777777" w:rsidR="00894D55" w:rsidRDefault="00B20FC1">
            <w:pPr>
              <w:spacing w:after="0"/>
            </w:pPr>
            <w:r>
              <w:rPr>
                <w:rFonts w:cs="Times New Roman"/>
              </w:rPr>
              <w:t>D2.2</w:t>
            </w:r>
          </w:p>
        </w:tc>
        <w:tc>
          <w:tcPr>
            <w:tcW w:w="4968" w:type="dxa"/>
            <w:shd w:val="clear" w:color="auto" w:fill="FFFFFF"/>
            <w:tcMar>
              <w:top w:w="45" w:type="dxa"/>
              <w:left w:w="55" w:type="dxa"/>
              <w:bottom w:w="45" w:type="dxa"/>
              <w:right w:w="55" w:type="dxa"/>
            </w:tcMar>
            <w:vAlign w:val="center"/>
          </w:tcPr>
          <w:p w14:paraId="1032403A" w14:textId="77777777" w:rsidR="002521F4" w:rsidRDefault="00CA190B">
            <w:r>
              <w:t xml:space="preserve">Year-1 </w:t>
            </w:r>
            <w:r>
              <w:t>confirmatory protocol, Symbolic Domain Map support and double-involution closure record</w:t>
            </w:r>
          </w:p>
        </w:tc>
        <w:tc>
          <w:tcPr>
            <w:tcW w:w="576" w:type="dxa"/>
            <w:shd w:val="clear" w:color="auto" w:fill="FFFFFF"/>
            <w:tcMar>
              <w:top w:w="45" w:type="dxa"/>
              <w:left w:w="55" w:type="dxa"/>
              <w:bottom w:w="45" w:type="dxa"/>
              <w:right w:w="55" w:type="dxa"/>
            </w:tcMar>
            <w:vAlign w:val="center"/>
          </w:tcPr>
          <w:p w14:paraId="72D69FF9" w14:textId="77777777" w:rsidR="00C5764E" w:rsidRDefault="00605D23">
            <w:pPr>
              <w:spacing w:after="0"/>
            </w:pPr>
            <w:r>
              <w:t>WP2/WP3</w:t>
            </w:r>
          </w:p>
        </w:tc>
        <w:tc>
          <w:tcPr>
            <w:tcW w:w="576" w:type="dxa"/>
            <w:shd w:val="clear" w:color="auto" w:fill="FFFFFF"/>
            <w:tcMar>
              <w:top w:w="45" w:type="dxa"/>
              <w:left w:w="55" w:type="dxa"/>
              <w:bottom w:w="45" w:type="dxa"/>
              <w:right w:w="55" w:type="dxa"/>
            </w:tcMar>
            <w:vAlign w:val="center"/>
          </w:tcPr>
          <w:p w14:paraId="2EC4086C"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3183DF8B" w14:textId="77777777" w:rsidR="00C5764E" w:rsidRDefault="00605D23">
            <w:pPr>
              <w:spacing w:after="0"/>
            </w:pPr>
            <w:r>
              <w:t>R</w:t>
            </w:r>
          </w:p>
        </w:tc>
        <w:tc>
          <w:tcPr>
            <w:tcW w:w="720" w:type="dxa"/>
            <w:shd w:val="clear" w:color="auto" w:fill="FFFFFF"/>
            <w:tcMar>
              <w:top w:w="45" w:type="dxa"/>
              <w:left w:w="55" w:type="dxa"/>
              <w:bottom w:w="45" w:type="dxa"/>
              <w:right w:w="55" w:type="dxa"/>
            </w:tcMar>
            <w:vAlign w:val="center"/>
          </w:tcPr>
          <w:p w14:paraId="2B2395D7" w14:textId="77777777" w:rsidR="00C5764E" w:rsidRDefault="00605D23">
            <w:pPr>
              <w:spacing w:after="0"/>
            </w:pPr>
            <w:r>
              <w:t>PU</w:t>
            </w:r>
          </w:p>
        </w:tc>
        <w:tc>
          <w:tcPr>
            <w:tcW w:w="648" w:type="dxa"/>
            <w:shd w:val="clear" w:color="auto" w:fill="FFFFFF"/>
            <w:tcMar>
              <w:top w:w="45" w:type="dxa"/>
              <w:left w:w="55" w:type="dxa"/>
              <w:bottom w:w="45" w:type="dxa"/>
              <w:right w:w="55" w:type="dxa"/>
            </w:tcMar>
            <w:vAlign w:val="center"/>
          </w:tcPr>
          <w:p w14:paraId="0F381161" w14:textId="77777777" w:rsidR="00C5764E" w:rsidRDefault="00605D23">
            <w:pPr>
              <w:spacing w:after="0"/>
            </w:pPr>
            <w:r>
              <w:t>M12</w:t>
            </w:r>
          </w:p>
        </w:tc>
      </w:tr>
      <w:tr w:rsidR="00894D55" w14:paraId="7D23D002" w14:textId="77777777">
        <w:trPr>
          <w:jc w:val="center"/>
        </w:trPr>
        <w:tc>
          <w:tcPr>
            <w:tcW w:w="648" w:type="dxa"/>
            <w:shd w:val="clear" w:color="auto" w:fill="FFFFFF"/>
            <w:tcMar>
              <w:top w:w="45" w:type="dxa"/>
              <w:left w:w="55" w:type="dxa"/>
              <w:bottom w:w="45" w:type="dxa"/>
              <w:right w:w="55" w:type="dxa"/>
            </w:tcMar>
            <w:vAlign w:val="center"/>
          </w:tcPr>
          <w:p w14:paraId="07E5E7DE" w14:textId="77777777" w:rsidR="00894D55" w:rsidRDefault="00B20FC1">
            <w:pPr>
              <w:spacing w:after="0"/>
            </w:pPr>
            <w:r>
              <w:rPr>
                <w:rFonts w:cs="Times New Roman"/>
              </w:rPr>
              <w:t>D3.1</w:t>
            </w:r>
          </w:p>
        </w:tc>
        <w:tc>
          <w:tcPr>
            <w:tcW w:w="4968" w:type="dxa"/>
            <w:shd w:val="clear" w:color="auto" w:fill="FFFFFF"/>
            <w:tcMar>
              <w:top w:w="45" w:type="dxa"/>
              <w:left w:w="55" w:type="dxa"/>
              <w:bottom w:w="45" w:type="dxa"/>
              <w:right w:w="55" w:type="dxa"/>
            </w:tcMar>
            <w:vAlign w:val="center"/>
          </w:tcPr>
          <w:p w14:paraId="19FCEF91" w14:textId="77777777" w:rsidR="00617ED1" w:rsidRDefault="003016E0">
            <w:pPr>
              <w:spacing w:after="0"/>
            </w:pPr>
            <w:r>
              <w:rPr>
                <w:rFonts w:cs="Times New Roman"/>
              </w:rPr>
              <w:t>M12 Symbolic Domain Map and frozen evidence release</w:t>
            </w:r>
          </w:p>
        </w:tc>
        <w:tc>
          <w:tcPr>
            <w:tcW w:w="576" w:type="dxa"/>
            <w:shd w:val="clear" w:color="auto" w:fill="FFFFFF"/>
            <w:tcMar>
              <w:top w:w="45" w:type="dxa"/>
              <w:left w:w="55" w:type="dxa"/>
              <w:bottom w:w="45" w:type="dxa"/>
              <w:right w:w="55" w:type="dxa"/>
            </w:tcMar>
            <w:vAlign w:val="center"/>
          </w:tcPr>
          <w:p w14:paraId="177F3ED5" w14:textId="77777777" w:rsidR="00894D55" w:rsidRDefault="00B20FC1">
            <w:pPr>
              <w:spacing w:after="0"/>
            </w:pPr>
            <w:r>
              <w:rPr>
                <w:rFonts w:cs="Times New Roman"/>
              </w:rPr>
              <w:t>WP3</w:t>
            </w:r>
          </w:p>
        </w:tc>
        <w:tc>
          <w:tcPr>
            <w:tcW w:w="576" w:type="dxa"/>
            <w:shd w:val="clear" w:color="auto" w:fill="FFFFFF"/>
            <w:tcMar>
              <w:top w:w="45" w:type="dxa"/>
              <w:left w:w="55" w:type="dxa"/>
              <w:bottom w:w="45" w:type="dxa"/>
              <w:right w:w="55" w:type="dxa"/>
            </w:tcMar>
            <w:vAlign w:val="center"/>
          </w:tcPr>
          <w:p w14:paraId="079A2ADA"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406AACE2" w14:textId="77777777" w:rsidR="00894D55" w:rsidRDefault="00B20FC1">
            <w:pPr>
              <w:spacing w:after="0"/>
            </w:pPr>
            <w:r>
              <w:rPr>
                <w:rFonts w:cs="Times New Roman"/>
              </w:rPr>
              <w:t>DATA</w:t>
            </w:r>
          </w:p>
        </w:tc>
        <w:tc>
          <w:tcPr>
            <w:tcW w:w="720" w:type="dxa"/>
            <w:shd w:val="clear" w:color="auto" w:fill="FFFFFF"/>
            <w:tcMar>
              <w:top w:w="45" w:type="dxa"/>
              <w:left w:w="55" w:type="dxa"/>
              <w:bottom w:w="45" w:type="dxa"/>
              <w:right w:w="55" w:type="dxa"/>
            </w:tcMar>
            <w:vAlign w:val="center"/>
          </w:tcPr>
          <w:p w14:paraId="57774313"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15551C1A" w14:textId="77777777" w:rsidR="00894D55" w:rsidRDefault="00B20FC1">
            <w:pPr>
              <w:spacing w:after="0"/>
            </w:pPr>
            <w:r>
              <w:rPr>
                <w:rFonts w:cs="Times New Roman"/>
              </w:rPr>
              <w:t>M12</w:t>
            </w:r>
          </w:p>
        </w:tc>
      </w:tr>
      <w:tr w:rsidR="00894D55" w14:paraId="7ED99FBC" w14:textId="77777777">
        <w:trPr>
          <w:jc w:val="center"/>
        </w:trPr>
        <w:tc>
          <w:tcPr>
            <w:tcW w:w="648" w:type="dxa"/>
            <w:shd w:val="clear" w:color="auto" w:fill="FFFFFF"/>
            <w:tcMar>
              <w:top w:w="45" w:type="dxa"/>
              <w:left w:w="55" w:type="dxa"/>
              <w:bottom w:w="45" w:type="dxa"/>
              <w:right w:w="55" w:type="dxa"/>
            </w:tcMar>
            <w:vAlign w:val="center"/>
          </w:tcPr>
          <w:p w14:paraId="61EFD044" w14:textId="77777777" w:rsidR="00894D55" w:rsidRDefault="00B20FC1">
            <w:pPr>
              <w:spacing w:after="0"/>
            </w:pPr>
            <w:r>
              <w:rPr>
                <w:rFonts w:cs="Times New Roman"/>
              </w:rPr>
              <w:t>D4.3</w:t>
            </w:r>
          </w:p>
        </w:tc>
        <w:tc>
          <w:tcPr>
            <w:tcW w:w="4968" w:type="dxa"/>
            <w:shd w:val="clear" w:color="auto" w:fill="FFFFFF"/>
            <w:tcMar>
              <w:top w:w="45" w:type="dxa"/>
              <w:left w:w="55" w:type="dxa"/>
              <w:bottom w:w="45" w:type="dxa"/>
              <w:right w:w="55" w:type="dxa"/>
            </w:tcMar>
            <w:vAlign w:val="center"/>
          </w:tcPr>
          <w:p w14:paraId="48159E23" w14:textId="77777777" w:rsidR="00894D55" w:rsidRDefault="00B20FC1">
            <w:pPr>
              <w:spacing w:after="0"/>
            </w:pPr>
            <w:r>
              <w:rPr>
                <w:rFonts w:cs="Times New Roman"/>
              </w:rPr>
              <w:t>RP1 Background/Foreground, FTO and access-rights update</w:t>
            </w:r>
          </w:p>
        </w:tc>
        <w:tc>
          <w:tcPr>
            <w:tcW w:w="576" w:type="dxa"/>
            <w:shd w:val="clear" w:color="auto" w:fill="FFFFFF"/>
            <w:tcMar>
              <w:top w:w="45" w:type="dxa"/>
              <w:left w:w="55" w:type="dxa"/>
              <w:bottom w:w="45" w:type="dxa"/>
              <w:right w:w="55" w:type="dxa"/>
            </w:tcMar>
            <w:vAlign w:val="center"/>
          </w:tcPr>
          <w:p w14:paraId="006091F7" w14:textId="77777777" w:rsidR="00894D55" w:rsidRDefault="00B20FC1">
            <w:pPr>
              <w:spacing w:after="0"/>
            </w:pPr>
            <w:r>
              <w:rPr>
                <w:rFonts w:cs="Times New Roman"/>
              </w:rPr>
              <w:t>WP4</w:t>
            </w:r>
          </w:p>
        </w:tc>
        <w:tc>
          <w:tcPr>
            <w:tcW w:w="576" w:type="dxa"/>
            <w:shd w:val="clear" w:color="auto" w:fill="FFFFFF"/>
            <w:tcMar>
              <w:top w:w="45" w:type="dxa"/>
              <w:left w:w="55" w:type="dxa"/>
              <w:bottom w:w="45" w:type="dxa"/>
              <w:right w:w="55" w:type="dxa"/>
            </w:tcMar>
            <w:vAlign w:val="center"/>
          </w:tcPr>
          <w:p w14:paraId="13CC5DC4"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2235E20D" w14:textId="77777777" w:rsidR="00894D55" w:rsidRDefault="00B20FC1">
            <w:pPr>
              <w:spacing w:after="0"/>
            </w:pPr>
            <w:r>
              <w:rPr>
                <w:rFonts w:cs="Times New Roman"/>
              </w:rPr>
              <w:t>R</w:t>
            </w:r>
          </w:p>
        </w:tc>
        <w:tc>
          <w:tcPr>
            <w:tcW w:w="720" w:type="dxa"/>
            <w:shd w:val="clear" w:color="auto" w:fill="FFFFFF"/>
            <w:tcMar>
              <w:top w:w="45" w:type="dxa"/>
              <w:left w:w="55" w:type="dxa"/>
              <w:bottom w:w="45" w:type="dxa"/>
              <w:right w:w="55" w:type="dxa"/>
            </w:tcMar>
            <w:vAlign w:val="center"/>
          </w:tcPr>
          <w:p w14:paraId="082DD743" w14:textId="77777777" w:rsidR="00894D55" w:rsidRDefault="00B20FC1">
            <w:pPr>
              <w:spacing w:after="0"/>
            </w:pPr>
            <w:r>
              <w:rPr>
                <w:rFonts w:cs="Times New Roman"/>
              </w:rPr>
              <w:t>SEN</w:t>
            </w:r>
          </w:p>
        </w:tc>
        <w:tc>
          <w:tcPr>
            <w:tcW w:w="648" w:type="dxa"/>
            <w:shd w:val="clear" w:color="auto" w:fill="FFFFFF"/>
            <w:tcMar>
              <w:top w:w="45" w:type="dxa"/>
              <w:left w:w="55" w:type="dxa"/>
              <w:bottom w:w="45" w:type="dxa"/>
              <w:right w:w="55" w:type="dxa"/>
            </w:tcMar>
            <w:vAlign w:val="center"/>
          </w:tcPr>
          <w:p w14:paraId="61A7D66B" w14:textId="77777777" w:rsidR="00894D55" w:rsidRDefault="00B20FC1">
            <w:pPr>
              <w:spacing w:after="0"/>
            </w:pPr>
            <w:r>
              <w:rPr>
                <w:rFonts w:cs="Times New Roman"/>
              </w:rPr>
              <w:t>M12</w:t>
            </w:r>
          </w:p>
        </w:tc>
      </w:tr>
      <w:tr w:rsidR="00894D55" w14:paraId="4B2C95F1" w14:textId="77777777">
        <w:trPr>
          <w:jc w:val="center"/>
        </w:trPr>
        <w:tc>
          <w:tcPr>
            <w:tcW w:w="648" w:type="dxa"/>
            <w:shd w:val="clear" w:color="auto" w:fill="FFFFFF"/>
            <w:tcMar>
              <w:top w:w="45" w:type="dxa"/>
              <w:left w:w="55" w:type="dxa"/>
              <w:bottom w:w="45" w:type="dxa"/>
              <w:right w:w="55" w:type="dxa"/>
            </w:tcMar>
            <w:vAlign w:val="center"/>
          </w:tcPr>
          <w:p w14:paraId="7DD1D978" w14:textId="77777777" w:rsidR="00894D55" w:rsidRDefault="00B20FC1">
            <w:pPr>
              <w:spacing w:after="0"/>
            </w:pPr>
            <w:r>
              <w:rPr>
                <w:rFonts w:cs="Times New Roman"/>
              </w:rPr>
              <w:t>D6.1</w:t>
            </w:r>
          </w:p>
        </w:tc>
        <w:tc>
          <w:tcPr>
            <w:tcW w:w="4968" w:type="dxa"/>
            <w:shd w:val="clear" w:color="auto" w:fill="FFFFFF"/>
            <w:tcMar>
              <w:top w:w="45" w:type="dxa"/>
              <w:left w:w="55" w:type="dxa"/>
              <w:bottom w:w="45" w:type="dxa"/>
              <w:right w:w="55" w:type="dxa"/>
            </w:tcMar>
            <w:vAlign w:val="center"/>
          </w:tcPr>
          <w:p w14:paraId="7690B944" w14:textId="77777777" w:rsidR="00617ED1" w:rsidRDefault="003016E0">
            <w:pPr>
              <w:spacing w:after="0"/>
            </w:pPr>
            <w:r>
              <w:rPr>
                <w:rFonts w:cs="Times New Roman"/>
              </w:rPr>
              <w:t>Independent-system protocol and adapter-burden specification</w:t>
            </w:r>
          </w:p>
        </w:tc>
        <w:tc>
          <w:tcPr>
            <w:tcW w:w="576" w:type="dxa"/>
            <w:shd w:val="clear" w:color="auto" w:fill="FFFFFF"/>
            <w:tcMar>
              <w:top w:w="45" w:type="dxa"/>
              <w:left w:w="55" w:type="dxa"/>
              <w:bottom w:w="45" w:type="dxa"/>
              <w:right w:w="55" w:type="dxa"/>
            </w:tcMar>
            <w:vAlign w:val="center"/>
          </w:tcPr>
          <w:p w14:paraId="29205C77" w14:textId="77777777" w:rsidR="00894D55" w:rsidRDefault="00B20FC1">
            <w:pPr>
              <w:spacing w:after="0"/>
            </w:pPr>
            <w:r>
              <w:rPr>
                <w:rFonts w:cs="Times New Roman"/>
              </w:rPr>
              <w:t>WP6</w:t>
            </w:r>
          </w:p>
        </w:tc>
        <w:tc>
          <w:tcPr>
            <w:tcW w:w="576" w:type="dxa"/>
            <w:shd w:val="clear" w:color="auto" w:fill="FFFFFF"/>
            <w:tcMar>
              <w:top w:w="45" w:type="dxa"/>
              <w:left w:w="55" w:type="dxa"/>
              <w:bottom w:w="45" w:type="dxa"/>
              <w:right w:w="55" w:type="dxa"/>
            </w:tcMar>
            <w:vAlign w:val="center"/>
          </w:tcPr>
          <w:p w14:paraId="59881752"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54F399AD" w14:textId="77777777" w:rsidR="00894D55" w:rsidRDefault="00B20FC1">
            <w:pPr>
              <w:spacing w:after="0"/>
            </w:pPr>
            <w:r>
              <w:rPr>
                <w:rFonts w:cs="Times New Roman"/>
              </w:rPr>
              <w:t>OTHER</w:t>
            </w:r>
          </w:p>
        </w:tc>
        <w:tc>
          <w:tcPr>
            <w:tcW w:w="720" w:type="dxa"/>
            <w:shd w:val="clear" w:color="auto" w:fill="FFFFFF"/>
            <w:tcMar>
              <w:top w:w="45" w:type="dxa"/>
              <w:left w:w="55" w:type="dxa"/>
              <w:bottom w:w="45" w:type="dxa"/>
              <w:right w:w="55" w:type="dxa"/>
            </w:tcMar>
            <w:vAlign w:val="center"/>
          </w:tcPr>
          <w:p w14:paraId="205B697A"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6DEA28D0" w14:textId="77777777" w:rsidR="00894D55" w:rsidRDefault="00B20FC1">
            <w:pPr>
              <w:spacing w:after="0"/>
            </w:pPr>
            <w:r>
              <w:rPr>
                <w:rFonts w:cs="Times New Roman"/>
              </w:rPr>
              <w:t>M18</w:t>
            </w:r>
          </w:p>
        </w:tc>
      </w:tr>
      <w:tr w:rsidR="00894D55" w14:paraId="00E205F9" w14:textId="77777777">
        <w:trPr>
          <w:jc w:val="center"/>
        </w:trPr>
        <w:tc>
          <w:tcPr>
            <w:tcW w:w="648" w:type="dxa"/>
            <w:shd w:val="clear" w:color="auto" w:fill="FFFFFF"/>
            <w:tcMar>
              <w:top w:w="45" w:type="dxa"/>
              <w:left w:w="55" w:type="dxa"/>
              <w:bottom w:w="45" w:type="dxa"/>
              <w:right w:w="55" w:type="dxa"/>
            </w:tcMar>
            <w:vAlign w:val="center"/>
          </w:tcPr>
          <w:p w14:paraId="08812B6D" w14:textId="77777777" w:rsidR="00894D55" w:rsidRDefault="00B20FC1">
            <w:pPr>
              <w:spacing w:after="0"/>
            </w:pPr>
            <w:r>
              <w:rPr>
                <w:rFonts w:cs="Times New Roman"/>
              </w:rPr>
              <w:t>D6.2</w:t>
            </w:r>
          </w:p>
        </w:tc>
        <w:tc>
          <w:tcPr>
            <w:tcW w:w="4968" w:type="dxa"/>
            <w:shd w:val="clear" w:color="auto" w:fill="FFFFFF"/>
            <w:tcMar>
              <w:top w:w="45" w:type="dxa"/>
              <w:left w:w="55" w:type="dxa"/>
              <w:bottom w:w="45" w:type="dxa"/>
              <w:right w:w="55" w:type="dxa"/>
            </w:tcMar>
            <w:vAlign w:val="center"/>
          </w:tcPr>
          <w:p w14:paraId="5E6BA526" w14:textId="77777777" w:rsidR="00617ED1" w:rsidRDefault="003016E0">
            <w:pPr>
              <w:spacing w:after="0"/>
            </w:pPr>
            <w:r>
              <w:rPr>
                <w:rFonts w:cs="Times New Roman"/>
              </w:rPr>
              <w:t>M24 Independent-System Domain Map and frozen evidence release</w:t>
            </w:r>
          </w:p>
        </w:tc>
        <w:tc>
          <w:tcPr>
            <w:tcW w:w="576" w:type="dxa"/>
            <w:shd w:val="clear" w:color="auto" w:fill="FFFFFF"/>
            <w:tcMar>
              <w:top w:w="45" w:type="dxa"/>
              <w:left w:w="55" w:type="dxa"/>
              <w:bottom w:w="45" w:type="dxa"/>
              <w:right w:w="55" w:type="dxa"/>
            </w:tcMar>
            <w:vAlign w:val="center"/>
          </w:tcPr>
          <w:p w14:paraId="62AB979E" w14:textId="77777777" w:rsidR="00894D55" w:rsidRDefault="00B20FC1">
            <w:pPr>
              <w:spacing w:after="0"/>
            </w:pPr>
            <w:r>
              <w:rPr>
                <w:rFonts w:cs="Times New Roman"/>
              </w:rPr>
              <w:t>WP6</w:t>
            </w:r>
          </w:p>
        </w:tc>
        <w:tc>
          <w:tcPr>
            <w:tcW w:w="576" w:type="dxa"/>
            <w:shd w:val="clear" w:color="auto" w:fill="FFFFFF"/>
            <w:tcMar>
              <w:top w:w="45" w:type="dxa"/>
              <w:left w:w="55" w:type="dxa"/>
              <w:bottom w:w="45" w:type="dxa"/>
              <w:right w:w="55" w:type="dxa"/>
            </w:tcMar>
            <w:vAlign w:val="center"/>
          </w:tcPr>
          <w:p w14:paraId="6BE4690E"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349F2410" w14:textId="77777777" w:rsidR="00894D55" w:rsidRDefault="00B20FC1">
            <w:pPr>
              <w:spacing w:after="0"/>
            </w:pPr>
            <w:r>
              <w:rPr>
                <w:rFonts w:cs="Times New Roman"/>
              </w:rPr>
              <w:t>DATA</w:t>
            </w:r>
          </w:p>
        </w:tc>
        <w:tc>
          <w:tcPr>
            <w:tcW w:w="720" w:type="dxa"/>
            <w:shd w:val="clear" w:color="auto" w:fill="FFFFFF"/>
            <w:tcMar>
              <w:top w:w="45" w:type="dxa"/>
              <w:left w:w="55" w:type="dxa"/>
              <w:bottom w:w="45" w:type="dxa"/>
              <w:right w:w="55" w:type="dxa"/>
            </w:tcMar>
            <w:vAlign w:val="center"/>
          </w:tcPr>
          <w:p w14:paraId="58375BE4"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5ECD311D" w14:textId="77777777" w:rsidR="00894D55" w:rsidRDefault="00B20FC1">
            <w:pPr>
              <w:spacing w:after="0"/>
            </w:pPr>
            <w:r>
              <w:rPr>
                <w:rFonts w:cs="Times New Roman"/>
              </w:rPr>
              <w:t>M24</w:t>
            </w:r>
          </w:p>
        </w:tc>
      </w:tr>
      <w:tr w:rsidR="00894D55" w14:paraId="49DEE082" w14:textId="77777777">
        <w:trPr>
          <w:jc w:val="center"/>
        </w:trPr>
        <w:tc>
          <w:tcPr>
            <w:tcW w:w="648" w:type="dxa"/>
            <w:shd w:val="clear" w:color="auto" w:fill="FFFFFF"/>
            <w:tcMar>
              <w:top w:w="45" w:type="dxa"/>
              <w:left w:w="55" w:type="dxa"/>
              <w:bottom w:w="45" w:type="dxa"/>
              <w:right w:w="55" w:type="dxa"/>
            </w:tcMar>
            <w:vAlign w:val="center"/>
          </w:tcPr>
          <w:p w14:paraId="7A0BCC2A" w14:textId="77777777" w:rsidR="00894D55" w:rsidRDefault="00B20FC1">
            <w:pPr>
              <w:spacing w:after="0"/>
            </w:pPr>
            <w:r>
              <w:rPr>
                <w:rFonts w:cs="Times New Roman"/>
              </w:rPr>
              <w:t>D7.1</w:t>
            </w:r>
          </w:p>
        </w:tc>
        <w:tc>
          <w:tcPr>
            <w:tcW w:w="4968" w:type="dxa"/>
            <w:shd w:val="clear" w:color="auto" w:fill="FFFFFF"/>
            <w:tcMar>
              <w:top w:w="45" w:type="dxa"/>
              <w:left w:w="55" w:type="dxa"/>
              <w:bottom w:w="45" w:type="dxa"/>
              <w:right w:w="55" w:type="dxa"/>
            </w:tcMar>
            <w:vAlign w:val="center"/>
          </w:tcPr>
          <w:p w14:paraId="31A455A1" w14:textId="77777777" w:rsidR="00617ED1" w:rsidRDefault="003016E0">
            <w:pPr>
              <w:spacing w:after="0"/>
            </w:pPr>
            <w:r>
              <w:rPr>
                <w:rFonts w:cs="Times New Roman"/>
              </w:rPr>
              <w:t>Embodied boundary-test protocol and laboratory package</w:t>
            </w:r>
          </w:p>
        </w:tc>
        <w:tc>
          <w:tcPr>
            <w:tcW w:w="576" w:type="dxa"/>
            <w:shd w:val="clear" w:color="auto" w:fill="FFFFFF"/>
            <w:tcMar>
              <w:top w:w="45" w:type="dxa"/>
              <w:left w:w="55" w:type="dxa"/>
              <w:bottom w:w="45" w:type="dxa"/>
              <w:right w:w="55" w:type="dxa"/>
            </w:tcMar>
            <w:vAlign w:val="center"/>
          </w:tcPr>
          <w:p w14:paraId="0875D5F0" w14:textId="77777777" w:rsidR="00894D55" w:rsidRDefault="00B20FC1">
            <w:pPr>
              <w:spacing w:after="0"/>
            </w:pPr>
            <w:r>
              <w:rPr>
                <w:rFonts w:cs="Times New Roman"/>
              </w:rPr>
              <w:t>WP7</w:t>
            </w:r>
          </w:p>
        </w:tc>
        <w:tc>
          <w:tcPr>
            <w:tcW w:w="576" w:type="dxa"/>
            <w:shd w:val="clear" w:color="auto" w:fill="FFFFFF"/>
            <w:tcMar>
              <w:top w:w="45" w:type="dxa"/>
              <w:left w:w="55" w:type="dxa"/>
              <w:bottom w:w="45" w:type="dxa"/>
              <w:right w:w="55" w:type="dxa"/>
            </w:tcMar>
            <w:vAlign w:val="center"/>
          </w:tcPr>
          <w:p w14:paraId="2B9D0080"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4128FDB3" w14:textId="77777777" w:rsidR="00894D55" w:rsidRDefault="00B20FC1">
            <w:pPr>
              <w:spacing w:after="0"/>
            </w:pPr>
            <w:r>
              <w:rPr>
                <w:rFonts w:cs="Times New Roman"/>
              </w:rPr>
              <w:t>R</w:t>
            </w:r>
          </w:p>
        </w:tc>
        <w:tc>
          <w:tcPr>
            <w:tcW w:w="720" w:type="dxa"/>
            <w:shd w:val="clear" w:color="auto" w:fill="FFFFFF"/>
            <w:tcMar>
              <w:top w:w="45" w:type="dxa"/>
              <w:left w:w="55" w:type="dxa"/>
              <w:bottom w:w="45" w:type="dxa"/>
              <w:right w:w="55" w:type="dxa"/>
            </w:tcMar>
            <w:vAlign w:val="center"/>
          </w:tcPr>
          <w:p w14:paraId="5C9995A4" w14:textId="77777777" w:rsidR="00894D55" w:rsidRDefault="00B20FC1">
            <w:pPr>
              <w:spacing w:after="0"/>
            </w:pPr>
            <w:r>
              <w:rPr>
                <w:rFonts w:cs="Times New Roman"/>
              </w:rPr>
              <w:t>SEN</w:t>
            </w:r>
          </w:p>
        </w:tc>
        <w:tc>
          <w:tcPr>
            <w:tcW w:w="648" w:type="dxa"/>
            <w:shd w:val="clear" w:color="auto" w:fill="FFFFFF"/>
            <w:tcMar>
              <w:top w:w="45" w:type="dxa"/>
              <w:left w:w="55" w:type="dxa"/>
              <w:bottom w:w="45" w:type="dxa"/>
              <w:right w:w="55" w:type="dxa"/>
            </w:tcMar>
            <w:vAlign w:val="center"/>
          </w:tcPr>
          <w:p w14:paraId="0B0E97B6" w14:textId="77777777" w:rsidR="00894D55" w:rsidRDefault="00B20FC1">
            <w:pPr>
              <w:spacing w:after="0"/>
            </w:pPr>
            <w:r>
              <w:rPr>
                <w:rFonts w:cs="Times New Roman"/>
              </w:rPr>
              <w:t>M24</w:t>
            </w:r>
          </w:p>
        </w:tc>
      </w:tr>
      <w:tr w:rsidR="00894D55" w14:paraId="5FBD291C" w14:textId="77777777">
        <w:trPr>
          <w:jc w:val="center"/>
        </w:trPr>
        <w:tc>
          <w:tcPr>
            <w:tcW w:w="648" w:type="dxa"/>
            <w:shd w:val="clear" w:color="auto" w:fill="FFFFFF"/>
            <w:tcMar>
              <w:top w:w="45" w:type="dxa"/>
              <w:left w:w="55" w:type="dxa"/>
              <w:bottom w:w="45" w:type="dxa"/>
              <w:right w:w="55" w:type="dxa"/>
            </w:tcMar>
            <w:vAlign w:val="center"/>
          </w:tcPr>
          <w:p w14:paraId="0657A855" w14:textId="77777777" w:rsidR="00894D55" w:rsidRDefault="00B20FC1">
            <w:pPr>
              <w:spacing w:after="0"/>
            </w:pPr>
            <w:r>
              <w:rPr>
                <w:rFonts w:cs="Times New Roman"/>
              </w:rPr>
              <w:lastRenderedPageBreak/>
              <w:t>D8.1</w:t>
            </w:r>
          </w:p>
        </w:tc>
        <w:tc>
          <w:tcPr>
            <w:tcW w:w="4968" w:type="dxa"/>
            <w:shd w:val="clear" w:color="auto" w:fill="FFFFFF"/>
            <w:tcMar>
              <w:top w:w="45" w:type="dxa"/>
              <w:left w:w="55" w:type="dxa"/>
              <w:bottom w:w="45" w:type="dxa"/>
              <w:right w:w="55" w:type="dxa"/>
            </w:tcMar>
            <w:vAlign w:val="center"/>
          </w:tcPr>
          <w:p w14:paraId="6BE174D5" w14:textId="77777777" w:rsidR="00894D55" w:rsidRDefault="00B20FC1">
            <w:pPr>
              <w:spacing w:after="0"/>
            </w:pPr>
            <w:r>
              <w:rPr>
                <w:rFonts w:cs="Times New Roman"/>
              </w:rPr>
              <w:t>Updated DMP, FAIR and reproducibility package</w:t>
            </w:r>
          </w:p>
        </w:tc>
        <w:tc>
          <w:tcPr>
            <w:tcW w:w="576" w:type="dxa"/>
            <w:shd w:val="clear" w:color="auto" w:fill="FFFFFF"/>
            <w:tcMar>
              <w:top w:w="45" w:type="dxa"/>
              <w:left w:w="55" w:type="dxa"/>
              <w:bottom w:w="45" w:type="dxa"/>
              <w:right w:w="55" w:type="dxa"/>
            </w:tcMar>
            <w:vAlign w:val="center"/>
          </w:tcPr>
          <w:p w14:paraId="434BF2CF" w14:textId="77777777" w:rsidR="00894D55" w:rsidRDefault="00B20FC1">
            <w:pPr>
              <w:spacing w:after="0"/>
            </w:pPr>
            <w:r>
              <w:rPr>
                <w:rFonts w:cs="Times New Roman"/>
              </w:rPr>
              <w:t>WP8</w:t>
            </w:r>
          </w:p>
        </w:tc>
        <w:tc>
          <w:tcPr>
            <w:tcW w:w="576" w:type="dxa"/>
            <w:shd w:val="clear" w:color="auto" w:fill="FFFFFF"/>
            <w:tcMar>
              <w:top w:w="45" w:type="dxa"/>
              <w:left w:w="55" w:type="dxa"/>
              <w:bottom w:w="45" w:type="dxa"/>
              <w:right w:w="55" w:type="dxa"/>
            </w:tcMar>
            <w:vAlign w:val="center"/>
          </w:tcPr>
          <w:p w14:paraId="53AECA89"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739CD3B7" w14:textId="77777777" w:rsidR="00894D55" w:rsidRDefault="00B20FC1">
            <w:pPr>
              <w:spacing w:after="0"/>
            </w:pPr>
            <w:r>
              <w:rPr>
                <w:rFonts w:cs="Times New Roman"/>
              </w:rPr>
              <w:t>DMP</w:t>
            </w:r>
          </w:p>
        </w:tc>
        <w:tc>
          <w:tcPr>
            <w:tcW w:w="720" w:type="dxa"/>
            <w:shd w:val="clear" w:color="auto" w:fill="FFFFFF"/>
            <w:tcMar>
              <w:top w:w="45" w:type="dxa"/>
              <w:left w:w="55" w:type="dxa"/>
              <w:bottom w:w="45" w:type="dxa"/>
              <w:right w:w="55" w:type="dxa"/>
            </w:tcMar>
            <w:vAlign w:val="center"/>
          </w:tcPr>
          <w:p w14:paraId="62730D89"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72DB3CEC" w14:textId="77777777" w:rsidR="00894D55" w:rsidRDefault="00B20FC1">
            <w:pPr>
              <w:spacing w:after="0"/>
            </w:pPr>
            <w:r>
              <w:rPr>
                <w:rFonts w:cs="Times New Roman"/>
              </w:rPr>
              <w:t>M24</w:t>
            </w:r>
          </w:p>
        </w:tc>
      </w:tr>
      <w:tr w:rsidR="00894D55" w14:paraId="68A34A79" w14:textId="77777777">
        <w:trPr>
          <w:jc w:val="center"/>
        </w:trPr>
        <w:tc>
          <w:tcPr>
            <w:tcW w:w="648" w:type="dxa"/>
            <w:shd w:val="clear" w:color="auto" w:fill="FFFFFF"/>
            <w:tcMar>
              <w:top w:w="45" w:type="dxa"/>
              <w:left w:w="55" w:type="dxa"/>
              <w:bottom w:w="45" w:type="dxa"/>
              <w:right w:w="55" w:type="dxa"/>
            </w:tcMar>
            <w:vAlign w:val="center"/>
          </w:tcPr>
          <w:p w14:paraId="76DF0F47" w14:textId="77777777" w:rsidR="00894D55" w:rsidRDefault="00B20FC1">
            <w:pPr>
              <w:spacing w:after="0"/>
            </w:pPr>
            <w:r>
              <w:rPr>
                <w:rFonts w:cs="Times New Roman"/>
              </w:rPr>
              <w:t>D7.2</w:t>
            </w:r>
          </w:p>
        </w:tc>
        <w:tc>
          <w:tcPr>
            <w:tcW w:w="4968" w:type="dxa"/>
            <w:shd w:val="clear" w:color="auto" w:fill="FFFFFF"/>
            <w:tcMar>
              <w:top w:w="45" w:type="dxa"/>
              <w:left w:w="55" w:type="dxa"/>
              <w:bottom w:w="45" w:type="dxa"/>
              <w:right w:w="55" w:type="dxa"/>
            </w:tcMar>
            <w:vAlign w:val="center"/>
          </w:tcPr>
          <w:p w14:paraId="665A1D83" w14:textId="77777777" w:rsidR="00617ED1" w:rsidRDefault="003016E0">
            <w:pPr>
              <w:spacing w:after="0"/>
            </w:pPr>
            <w:r>
              <w:rPr>
                <w:rFonts w:cs="Times New Roman"/>
              </w:rPr>
              <w:t>TRL4 externally delimited cognitive-AI demonstrator</w:t>
            </w:r>
          </w:p>
        </w:tc>
        <w:tc>
          <w:tcPr>
            <w:tcW w:w="576" w:type="dxa"/>
            <w:shd w:val="clear" w:color="auto" w:fill="FFFFFF"/>
            <w:tcMar>
              <w:top w:w="45" w:type="dxa"/>
              <w:left w:w="55" w:type="dxa"/>
              <w:bottom w:w="45" w:type="dxa"/>
              <w:right w:w="55" w:type="dxa"/>
            </w:tcMar>
            <w:vAlign w:val="center"/>
          </w:tcPr>
          <w:p w14:paraId="2A2B1B35" w14:textId="77777777" w:rsidR="00894D55" w:rsidRDefault="00B20FC1">
            <w:pPr>
              <w:spacing w:after="0"/>
            </w:pPr>
            <w:r>
              <w:rPr>
                <w:rFonts w:cs="Times New Roman"/>
              </w:rPr>
              <w:t>WP7</w:t>
            </w:r>
          </w:p>
        </w:tc>
        <w:tc>
          <w:tcPr>
            <w:tcW w:w="576" w:type="dxa"/>
            <w:shd w:val="clear" w:color="auto" w:fill="FFFFFF"/>
            <w:tcMar>
              <w:top w:w="45" w:type="dxa"/>
              <w:left w:w="55" w:type="dxa"/>
              <w:bottom w:w="45" w:type="dxa"/>
              <w:right w:w="55" w:type="dxa"/>
            </w:tcMar>
            <w:vAlign w:val="center"/>
          </w:tcPr>
          <w:p w14:paraId="52BF9A51"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1B8FFC01" w14:textId="77777777" w:rsidR="00894D55" w:rsidRDefault="00B20FC1">
            <w:pPr>
              <w:spacing w:after="0"/>
            </w:pPr>
            <w:r>
              <w:rPr>
                <w:rFonts w:cs="Times New Roman"/>
              </w:rPr>
              <w:t>DEM</w:t>
            </w:r>
          </w:p>
        </w:tc>
        <w:tc>
          <w:tcPr>
            <w:tcW w:w="720" w:type="dxa"/>
            <w:shd w:val="clear" w:color="auto" w:fill="FFFFFF"/>
            <w:tcMar>
              <w:top w:w="45" w:type="dxa"/>
              <w:left w:w="55" w:type="dxa"/>
              <w:bottom w:w="45" w:type="dxa"/>
              <w:right w:w="55" w:type="dxa"/>
            </w:tcMar>
            <w:vAlign w:val="center"/>
          </w:tcPr>
          <w:p w14:paraId="7DC37F63" w14:textId="77777777" w:rsidR="00894D55" w:rsidRDefault="00B20FC1">
            <w:pPr>
              <w:spacing w:after="0"/>
            </w:pPr>
            <w:r>
              <w:rPr>
                <w:rFonts w:cs="Times New Roman"/>
              </w:rPr>
              <w:t>SEN</w:t>
            </w:r>
          </w:p>
        </w:tc>
        <w:tc>
          <w:tcPr>
            <w:tcW w:w="648" w:type="dxa"/>
            <w:shd w:val="clear" w:color="auto" w:fill="FFFFFF"/>
            <w:tcMar>
              <w:top w:w="45" w:type="dxa"/>
              <w:left w:w="55" w:type="dxa"/>
              <w:bottom w:w="45" w:type="dxa"/>
              <w:right w:w="55" w:type="dxa"/>
            </w:tcMar>
            <w:vAlign w:val="center"/>
          </w:tcPr>
          <w:p w14:paraId="4FFAEEAD" w14:textId="77777777" w:rsidR="00894D55" w:rsidRDefault="00B20FC1">
            <w:pPr>
              <w:spacing w:after="0"/>
            </w:pPr>
            <w:r>
              <w:rPr>
                <w:rFonts w:cs="Times New Roman"/>
              </w:rPr>
              <w:t>M36</w:t>
            </w:r>
          </w:p>
        </w:tc>
      </w:tr>
      <w:tr w:rsidR="00894D55" w14:paraId="406A6DB2" w14:textId="77777777">
        <w:trPr>
          <w:jc w:val="center"/>
        </w:trPr>
        <w:tc>
          <w:tcPr>
            <w:tcW w:w="648" w:type="dxa"/>
            <w:shd w:val="clear" w:color="auto" w:fill="FFFFFF"/>
            <w:tcMar>
              <w:top w:w="45" w:type="dxa"/>
              <w:left w:w="55" w:type="dxa"/>
              <w:bottom w:w="45" w:type="dxa"/>
              <w:right w:w="55" w:type="dxa"/>
            </w:tcMar>
            <w:vAlign w:val="center"/>
          </w:tcPr>
          <w:p w14:paraId="5B6CE5D0" w14:textId="77777777" w:rsidR="00894D55" w:rsidRDefault="00B20FC1">
            <w:pPr>
              <w:spacing w:after="0"/>
            </w:pPr>
            <w:r>
              <w:rPr>
                <w:rFonts w:cs="Times New Roman"/>
              </w:rPr>
              <w:t>D7.3</w:t>
            </w:r>
          </w:p>
        </w:tc>
        <w:tc>
          <w:tcPr>
            <w:tcW w:w="4968" w:type="dxa"/>
            <w:shd w:val="clear" w:color="auto" w:fill="FFFFFF"/>
            <w:tcMar>
              <w:top w:w="45" w:type="dxa"/>
              <w:left w:w="55" w:type="dxa"/>
              <w:bottom w:w="45" w:type="dxa"/>
              <w:right w:w="55" w:type="dxa"/>
            </w:tcMar>
            <w:vAlign w:val="center"/>
          </w:tcPr>
          <w:p w14:paraId="7BB93EF1" w14:textId="77777777" w:rsidR="00617ED1" w:rsidRDefault="003016E0">
            <w:pPr>
              <w:spacing w:after="0"/>
            </w:pPr>
            <w:r>
              <w:rPr>
                <w:rFonts w:cs="Times New Roman"/>
              </w:rPr>
              <w:t>M36 Embodied Domain Map</w:t>
            </w:r>
          </w:p>
        </w:tc>
        <w:tc>
          <w:tcPr>
            <w:tcW w:w="576" w:type="dxa"/>
            <w:shd w:val="clear" w:color="auto" w:fill="FFFFFF"/>
            <w:tcMar>
              <w:top w:w="45" w:type="dxa"/>
              <w:left w:w="55" w:type="dxa"/>
              <w:bottom w:w="45" w:type="dxa"/>
              <w:right w:w="55" w:type="dxa"/>
            </w:tcMar>
            <w:vAlign w:val="center"/>
          </w:tcPr>
          <w:p w14:paraId="0CB0905A" w14:textId="77777777" w:rsidR="00894D55" w:rsidRDefault="00B20FC1">
            <w:pPr>
              <w:spacing w:after="0"/>
            </w:pPr>
            <w:r>
              <w:rPr>
                <w:rFonts w:cs="Times New Roman"/>
              </w:rPr>
              <w:t>WP7</w:t>
            </w:r>
          </w:p>
        </w:tc>
        <w:tc>
          <w:tcPr>
            <w:tcW w:w="576" w:type="dxa"/>
            <w:shd w:val="clear" w:color="auto" w:fill="FFFFFF"/>
            <w:tcMar>
              <w:top w:w="45" w:type="dxa"/>
              <w:left w:w="55" w:type="dxa"/>
              <w:bottom w:w="45" w:type="dxa"/>
              <w:right w:w="55" w:type="dxa"/>
            </w:tcMar>
            <w:vAlign w:val="center"/>
          </w:tcPr>
          <w:p w14:paraId="6C9E7647"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162C7ABB" w14:textId="77777777" w:rsidR="00894D55" w:rsidRDefault="00B20FC1">
            <w:pPr>
              <w:spacing w:after="0"/>
            </w:pPr>
            <w:r>
              <w:rPr>
                <w:rFonts w:cs="Times New Roman"/>
              </w:rPr>
              <w:t>R</w:t>
            </w:r>
          </w:p>
        </w:tc>
        <w:tc>
          <w:tcPr>
            <w:tcW w:w="720" w:type="dxa"/>
            <w:shd w:val="clear" w:color="auto" w:fill="FFFFFF"/>
            <w:tcMar>
              <w:top w:w="45" w:type="dxa"/>
              <w:left w:w="55" w:type="dxa"/>
              <w:bottom w:w="45" w:type="dxa"/>
              <w:right w:w="55" w:type="dxa"/>
            </w:tcMar>
            <w:vAlign w:val="center"/>
          </w:tcPr>
          <w:p w14:paraId="436D1201"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4A58816F" w14:textId="77777777" w:rsidR="00894D55" w:rsidRDefault="00B20FC1">
            <w:pPr>
              <w:spacing w:after="0"/>
            </w:pPr>
            <w:r>
              <w:rPr>
                <w:rFonts w:cs="Times New Roman"/>
              </w:rPr>
              <w:t>M36</w:t>
            </w:r>
          </w:p>
        </w:tc>
      </w:tr>
      <w:tr w:rsidR="00894D55" w14:paraId="55303C71" w14:textId="77777777">
        <w:trPr>
          <w:jc w:val="center"/>
        </w:trPr>
        <w:tc>
          <w:tcPr>
            <w:tcW w:w="648" w:type="dxa"/>
            <w:shd w:val="clear" w:color="auto" w:fill="FFFFFF"/>
            <w:tcMar>
              <w:top w:w="45" w:type="dxa"/>
              <w:left w:w="55" w:type="dxa"/>
              <w:bottom w:w="45" w:type="dxa"/>
              <w:right w:w="55" w:type="dxa"/>
            </w:tcMar>
            <w:vAlign w:val="center"/>
          </w:tcPr>
          <w:p w14:paraId="4DFF0E7E" w14:textId="77777777" w:rsidR="00894D55" w:rsidRDefault="00B20FC1">
            <w:pPr>
              <w:spacing w:after="0"/>
            </w:pPr>
            <w:r>
              <w:rPr>
                <w:rFonts w:cs="Times New Roman"/>
              </w:rPr>
              <w:t>D8.2</w:t>
            </w:r>
          </w:p>
        </w:tc>
        <w:tc>
          <w:tcPr>
            <w:tcW w:w="4968" w:type="dxa"/>
            <w:shd w:val="clear" w:color="auto" w:fill="FFFFFF"/>
            <w:tcMar>
              <w:top w:w="45" w:type="dxa"/>
              <w:left w:w="55" w:type="dxa"/>
              <w:bottom w:w="45" w:type="dxa"/>
              <w:right w:w="55" w:type="dxa"/>
            </w:tcMar>
            <w:vAlign w:val="center"/>
          </w:tcPr>
          <w:p w14:paraId="4CDBE6E4" w14:textId="77777777" w:rsidR="00617ED1" w:rsidRDefault="003016E0">
            <w:pPr>
              <w:spacing w:after="0"/>
            </w:pPr>
            <w:r>
              <w:rPr>
                <w:rFonts w:cs="Times New Roman"/>
              </w:rPr>
              <w:t>MDPAR-H Structural Invariance Atlas and final evidence package</w:t>
            </w:r>
          </w:p>
        </w:tc>
        <w:tc>
          <w:tcPr>
            <w:tcW w:w="576" w:type="dxa"/>
            <w:shd w:val="clear" w:color="auto" w:fill="FFFFFF"/>
            <w:tcMar>
              <w:top w:w="45" w:type="dxa"/>
              <w:left w:w="55" w:type="dxa"/>
              <w:bottom w:w="45" w:type="dxa"/>
              <w:right w:w="55" w:type="dxa"/>
            </w:tcMar>
            <w:vAlign w:val="center"/>
          </w:tcPr>
          <w:p w14:paraId="2B35A0FB" w14:textId="77777777" w:rsidR="00894D55" w:rsidRDefault="00B20FC1">
            <w:pPr>
              <w:spacing w:after="0"/>
            </w:pPr>
            <w:r>
              <w:rPr>
                <w:rFonts w:cs="Times New Roman"/>
              </w:rPr>
              <w:t>WP8</w:t>
            </w:r>
          </w:p>
        </w:tc>
        <w:tc>
          <w:tcPr>
            <w:tcW w:w="576" w:type="dxa"/>
            <w:shd w:val="clear" w:color="auto" w:fill="FFFFFF"/>
            <w:tcMar>
              <w:top w:w="45" w:type="dxa"/>
              <w:left w:w="55" w:type="dxa"/>
              <w:bottom w:w="45" w:type="dxa"/>
              <w:right w:w="55" w:type="dxa"/>
            </w:tcMar>
            <w:vAlign w:val="center"/>
          </w:tcPr>
          <w:p w14:paraId="436D8318"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5B4AF540" w14:textId="77777777" w:rsidR="00894D55" w:rsidRDefault="00B20FC1">
            <w:pPr>
              <w:spacing w:after="0"/>
            </w:pPr>
            <w:r>
              <w:rPr>
                <w:rFonts w:cs="Times New Roman"/>
              </w:rPr>
              <w:t>DATA</w:t>
            </w:r>
          </w:p>
        </w:tc>
        <w:tc>
          <w:tcPr>
            <w:tcW w:w="720" w:type="dxa"/>
            <w:shd w:val="clear" w:color="auto" w:fill="FFFFFF"/>
            <w:tcMar>
              <w:top w:w="45" w:type="dxa"/>
              <w:left w:w="55" w:type="dxa"/>
              <w:bottom w:w="45" w:type="dxa"/>
              <w:right w:w="55" w:type="dxa"/>
            </w:tcMar>
            <w:vAlign w:val="center"/>
          </w:tcPr>
          <w:p w14:paraId="65AF87AB" w14:textId="77777777" w:rsidR="00894D55" w:rsidRDefault="00B20FC1">
            <w:pPr>
              <w:spacing w:after="0"/>
            </w:pPr>
            <w:r>
              <w:rPr>
                <w:rFonts w:cs="Times New Roman"/>
              </w:rPr>
              <w:t>PU</w:t>
            </w:r>
          </w:p>
        </w:tc>
        <w:tc>
          <w:tcPr>
            <w:tcW w:w="648" w:type="dxa"/>
            <w:shd w:val="clear" w:color="auto" w:fill="FFFFFF"/>
            <w:tcMar>
              <w:top w:w="45" w:type="dxa"/>
              <w:left w:w="55" w:type="dxa"/>
              <w:bottom w:w="45" w:type="dxa"/>
              <w:right w:w="55" w:type="dxa"/>
            </w:tcMar>
            <w:vAlign w:val="center"/>
          </w:tcPr>
          <w:p w14:paraId="19F488C9" w14:textId="77777777" w:rsidR="00894D55" w:rsidRDefault="00B20FC1">
            <w:pPr>
              <w:spacing w:after="0"/>
            </w:pPr>
            <w:r>
              <w:rPr>
                <w:rFonts w:cs="Times New Roman"/>
              </w:rPr>
              <w:t>M36</w:t>
            </w:r>
          </w:p>
        </w:tc>
      </w:tr>
      <w:tr w:rsidR="00894D55" w14:paraId="6351240A" w14:textId="77777777">
        <w:trPr>
          <w:jc w:val="center"/>
        </w:trPr>
        <w:tc>
          <w:tcPr>
            <w:tcW w:w="648" w:type="dxa"/>
            <w:shd w:val="clear" w:color="auto" w:fill="FFFFFF"/>
            <w:tcMar>
              <w:top w:w="45" w:type="dxa"/>
              <w:left w:w="55" w:type="dxa"/>
              <w:bottom w:w="45" w:type="dxa"/>
              <w:right w:w="55" w:type="dxa"/>
            </w:tcMar>
            <w:vAlign w:val="center"/>
          </w:tcPr>
          <w:p w14:paraId="368BA872" w14:textId="77777777" w:rsidR="00894D55" w:rsidRDefault="00B20FC1">
            <w:pPr>
              <w:spacing w:after="0"/>
            </w:pPr>
            <w:r>
              <w:rPr>
                <w:rFonts w:cs="Times New Roman"/>
              </w:rPr>
              <w:t>D9.1</w:t>
            </w:r>
          </w:p>
        </w:tc>
        <w:tc>
          <w:tcPr>
            <w:tcW w:w="4968" w:type="dxa"/>
            <w:shd w:val="clear" w:color="auto" w:fill="FFFFFF"/>
            <w:tcMar>
              <w:top w:w="45" w:type="dxa"/>
              <w:left w:w="55" w:type="dxa"/>
              <w:bottom w:w="45" w:type="dxa"/>
              <w:right w:w="55" w:type="dxa"/>
            </w:tcMar>
            <w:vAlign w:val="center"/>
          </w:tcPr>
          <w:p w14:paraId="26C9FEBF" w14:textId="77777777" w:rsidR="00617ED1" w:rsidRDefault="003016E0">
            <w:pPr>
              <w:spacing w:after="0"/>
            </w:pPr>
            <w:r>
              <w:rPr>
                <w:rFonts w:cs="Times New Roman"/>
              </w:rPr>
              <w:t>Evidence-bounded exploitation, standardisation and TRL5+ transition package</w:t>
            </w:r>
          </w:p>
        </w:tc>
        <w:tc>
          <w:tcPr>
            <w:tcW w:w="576" w:type="dxa"/>
            <w:shd w:val="clear" w:color="auto" w:fill="FFFFFF"/>
            <w:tcMar>
              <w:top w:w="45" w:type="dxa"/>
              <w:left w:w="55" w:type="dxa"/>
              <w:bottom w:w="45" w:type="dxa"/>
              <w:right w:w="55" w:type="dxa"/>
            </w:tcMar>
            <w:vAlign w:val="center"/>
          </w:tcPr>
          <w:p w14:paraId="2E3EBD5B" w14:textId="77777777" w:rsidR="00894D55" w:rsidRDefault="00B20FC1">
            <w:pPr>
              <w:spacing w:after="0"/>
            </w:pPr>
            <w:r>
              <w:rPr>
                <w:rFonts w:cs="Times New Roman"/>
              </w:rPr>
              <w:t>WP9</w:t>
            </w:r>
          </w:p>
        </w:tc>
        <w:tc>
          <w:tcPr>
            <w:tcW w:w="576" w:type="dxa"/>
            <w:shd w:val="clear" w:color="auto" w:fill="FFFFFF"/>
            <w:tcMar>
              <w:top w:w="45" w:type="dxa"/>
              <w:left w:w="55" w:type="dxa"/>
              <w:bottom w:w="45" w:type="dxa"/>
              <w:right w:w="55" w:type="dxa"/>
            </w:tcMar>
            <w:vAlign w:val="center"/>
          </w:tcPr>
          <w:p w14:paraId="37F308FA" w14:textId="77777777" w:rsidR="00894D55" w:rsidRDefault="00B20FC1">
            <w:pPr>
              <w:spacing w:after="0"/>
            </w:pPr>
            <w:r>
              <w:rPr>
                <w:rFonts w:cs="Times New Roman"/>
              </w:rPr>
              <w:t>P1</w:t>
            </w:r>
          </w:p>
        </w:tc>
        <w:tc>
          <w:tcPr>
            <w:tcW w:w="792" w:type="dxa"/>
            <w:shd w:val="clear" w:color="auto" w:fill="FFFFFF"/>
            <w:tcMar>
              <w:top w:w="45" w:type="dxa"/>
              <w:left w:w="55" w:type="dxa"/>
              <w:bottom w:w="45" w:type="dxa"/>
              <w:right w:w="55" w:type="dxa"/>
            </w:tcMar>
            <w:vAlign w:val="center"/>
          </w:tcPr>
          <w:p w14:paraId="01AC2C27" w14:textId="77777777" w:rsidR="00894D55" w:rsidRDefault="00B20FC1">
            <w:pPr>
              <w:spacing w:after="0"/>
            </w:pPr>
            <w:r>
              <w:rPr>
                <w:rFonts w:cs="Times New Roman"/>
              </w:rPr>
              <w:t>R</w:t>
            </w:r>
          </w:p>
        </w:tc>
        <w:tc>
          <w:tcPr>
            <w:tcW w:w="720" w:type="dxa"/>
            <w:shd w:val="clear" w:color="auto" w:fill="FFFFFF"/>
            <w:tcMar>
              <w:top w:w="45" w:type="dxa"/>
              <w:left w:w="55" w:type="dxa"/>
              <w:bottom w:w="45" w:type="dxa"/>
              <w:right w:w="55" w:type="dxa"/>
            </w:tcMar>
            <w:vAlign w:val="center"/>
          </w:tcPr>
          <w:p w14:paraId="452672AA" w14:textId="77777777" w:rsidR="00894D55" w:rsidRDefault="00B20FC1">
            <w:pPr>
              <w:spacing w:after="0"/>
            </w:pPr>
            <w:r>
              <w:rPr>
                <w:rFonts w:cs="Times New Roman"/>
              </w:rPr>
              <w:t>SEN</w:t>
            </w:r>
          </w:p>
        </w:tc>
        <w:tc>
          <w:tcPr>
            <w:tcW w:w="648" w:type="dxa"/>
            <w:shd w:val="clear" w:color="auto" w:fill="FFFFFF"/>
            <w:tcMar>
              <w:top w:w="45" w:type="dxa"/>
              <w:left w:w="55" w:type="dxa"/>
              <w:bottom w:w="45" w:type="dxa"/>
              <w:right w:w="55" w:type="dxa"/>
            </w:tcMar>
            <w:vAlign w:val="center"/>
          </w:tcPr>
          <w:p w14:paraId="6F09BAD3" w14:textId="77777777" w:rsidR="00894D55" w:rsidRDefault="00B20FC1">
            <w:pPr>
              <w:spacing w:after="0"/>
            </w:pPr>
            <w:r>
              <w:rPr>
                <w:rFonts w:cs="Times New Roman"/>
              </w:rPr>
              <w:t>M36</w:t>
            </w:r>
          </w:p>
        </w:tc>
      </w:tr>
    </w:tbl>
    <w:p w14:paraId="3AE08959" w14:textId="77777777" w:rsidR="00894D55" w:rsidRDefault="00894D55"/>
    <w:p w14:paraId="5301DC85" w14:textId="77777777" w:rsidR="00894D55" w:rsidRDefault="00B20FC1">
      <w:pPr>
        <w:keepNext/>
        <w:spacing w:before="60" w:after="40"/>
      </w:pPr>
      <w:r>
        <w:rPr>
          <w:rFonts w:cs="Times New Roman"/>
          <w:b/>
        </w:rPr>
        <w:t>Milestones (Table 3.1d)</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599"/>
        <w:gridCol w:w="2354"/>
        <w:gridCol w:w="572"/>
        <w:gridCol w:w="1553"/>
        <w:gridCol w:w="5238"/>
      </w:tblGrid>
      <w:tr w:rsidR="00894D55" w14:paraId="2068C6BA" w14:textId="77777777">
        <w:trPr>
          <w:cantSplit/>
          <w:tblHeader/>
          <w:jc w:val="center"/>
        </w:trPr>
        <w:tc>
          <w:tcPr>
            <w:tcW w:w="605" w:type="dxa"/>
            <w:shd w:val="clear" w:color="auto" w:fill="E7E6E6"/>
            <w:tcMar>
              <w:top w:w="45" w:type="dxa"/>
              <w:left w:w="55" w:type="dxa"/>
              <w:bottom w:w="45" w:type="dxa"/>
              <w:right w:w="55" w:type="dxa"/>
            </w:tcMar>
            <w:vAlign w:val="center"/>
          </w:tcPr>
          <w:p w14:paraId="0975B535" w14:textId="77777777" w:rsidR="00617ED1" w:rsidRDefault="003016E0">
            <w:pPr>
              <w:spacing w:after="0"/>
            </w:pPr>
            <w:r>
              <w:rPr>
                <w:rFonts w:cs="Times New Roman"/>
                <w:b/>
              </w:rPr>
              <w:t>MS</w:t>
            </w:r>
          </w:p>
        </w:tc>
        <w:tc>
          <w:tcPr>
            <w:tcW w:w="2448" w:type="dxa"/>
            <w:shd w:val="clear" w:color="auto" w:fill="E7E6E6"/>
            <w:tcMar>
              <w:top w:w="45" w:type="dxa"/>
              <w:left w:w="55" w:type="dxa"/>
              <w:bottom w:w="45" w:type="dxa"/>
              <w:right w:w="55" w:type="dxa"/>
            </w:tcMar>
            <w:vAlign w:val="center"/>
          </w:tcPr>
          <w:p w14:paraId="03B57266" w14:textId="77777777" w:rsidR="00617ED1" w:rsidRDefault="003016E0">
            <w:pPr>
              <w:spacing w:after="0"/>
            </w:pPr>
            <w:r>
              <w:rPr>
                <w:rFonts w:cs="Times New Roman"/>
                <w:b/>
              </w:rPr>
              <w:t>Title</w:t>
            </w:r>
          </w:p>
        </w:tc>
        <w:tc>
          <w:tcPr>
            <w:tcW w:w="576" w:type="dxa"/>
            <w:shd w:val="clear" w:color="auto" w:fill="E7E6E6"/>
            <w:tcMar>
              <w:top w:w="45" w:type="dxa"/>
              <w:left w:w="55" w:type="dxa"/>
              <w:bottom w:w="45" w:type="dxa"/>
              <w:right w:w="55" w:type="dxa"/>
            </w:tcMar>
            <w:vAlign w:val="center"/>
          </w:tcPr>
          <w:p w14:paraId="62F252BF" w14:textId="77777777" w:rsidR="00617ED1" w:rsidRDefault="003016E0">
            <w:pPr>
              <w:spacing w:after="0"/>
            </w:pPr>
            <w:r>
              <w:rPr>
                <w:rFonts w:cs="Times New Roman"/>
                <w:b/>
              </w:rPr>
              <w:t>Due</w:t>
            </w:r>
          </w:p>
        </w:tc>
        <w:tc>
          <w:tcPr>
            <w:tcW w:w="936" w:type="dxa"/>
            <w:shd w:val="clear" w:color="auto" w:fill="E7E6E6"/>
            <w:tcMar>
              <w:top w:w="45" w:type="dxa"/>
              <w:left w:w="55" w:type="dxa"/>
              <w:bottom w:w="45" w:type="dxa"/>
              <w:right w:w="55" w:type="dxa"/>
            </w:tcMar>
            <w:vAlign w:val="center"/>
          </w:tcPr>
          <w:p w14:paraId="055D6339" w14:textId="77777777" w:rsidR="00617ED1" w:rsidRDefault="003016E0">
            <w:pPr>
              <w:spacing w:after="0"/>
            </w:pPr>
            <w:r>
              <w:rPr>
                <w:rFonts w:cs="Times New Roman"/>
                <w:b/>
              </w:rPr>
              <w:t>WP</w:t>
            </w:r>
          </w:p>
        </w:tc>
        <w:tc>
          <w:tcPr>
            <w:tcW w:w="5400" w:type="dxa"/>
            <w:shd w:val="clear" w:color="auto" w:fill="E7E6E6"/>
            <w:tcMar>
              <w:top w:w="45" w:type="dxa"/>
              <w:left w:w="55" w:type="dxa"/>
              <w:bottom w:w="45" w:type="dxa"/>
              <w:right w:w="55" w:type="dxa"/>
            </w:tcMar>
            <w:vAlign w:val="center"/>
          </w:tcPr>
          <w:p w14:paraId="6AB44285" w14:textId="77777777" w:rsidR="00617ED1" w:rsidRDefault="003016E0">
            <w:pPr>
              <w:spacing w:after="0"/>
            </w:pPr>
            <w:r>
              <w:rPr>
                <w:rFonts w:cs="Times New Roman"/>
                <w:b/>
              </w:rPr>
              <w:t>Means of verification</w:t>
            </w:r>
          </w:p>
        </w:tc>
      </w:tr>
      <w:tr w:rsidR="00894D55" w14:paraId="0D20F59F" w14:textId="77777777">
        <w:trPr>
          <w:cantSplit/>
          <w:jc w:val="center"/>
        </w:trPr>
        <w:tc>
          <w:tcPr>
            <w:tcW w:w="605" w:type="dxa"/>
            <w:shd w:val="clear" w:color="auto" w:fill="FFFFFF"/>
            <w:tcMar>
              <w:top w:w="45" w:type="dxa"/>
              <w:left w:w="55" w:type="dxa"/>
              <w:bottom w:w="45" w:type="dxa"/>
              <w:right w:w="55" w:type="dxa"/>
            </w:tcMar>
            <w:vAlign w:val="center"/>
          </w:tcPr>
          <w:p w14:paraId="6E9CA250" w14:textId="77777777" w:rsidR="002521F4" w:rsidRDefault="00CA190B">
            <w:r>
              <w:t>MS1</w:t>
            </w:r>
          </w:p>
        </w:tc>
        <w:tc>
          <w:tcPr>
            <w:tcW w:w="2448" w:type="dxa"/>
            <w:shd w:val="clear" w:color="auto" w:fill="FFFFFF"/>
            <w:tcMar>
              <w:top w:w="45" w:type="dxa"/>
              <w:left w:w="55" w:type="dxa"/>
              <w:bottom w:w="45" w:type="dxa"/>
              <w:right w:w="55" w:type="dxa"/>
            </w:tcMar>
            <w:vAlign w:val="center"/>
          </w:tcPr>
          <w:p w14:paraId="0A0BC19D" w14:textId="77777777" w:rsidR="002521F4" w:rsidRDefault="00CA190B">
            <w:r>
              <w:t>Pre-signature feasibility gate verified at grant start</w:t>
            </w:r>
            <w:r/>
          </w:p>
        </w:tc>
        <w:tc>
          <w:tcPr>
            <w:tcW w:w="576" w:type="dxa"/>
            <w:shd w:val="clear" w:color="auto" w:fill="FFFFFF"/>
            <w:tcMar>
              <w:top w:w="45" w:type="dxa"/>
              <w:left w:w="55" w:type="dxa"/>
              <w:bottom w:w="45" w:type="dxa"/>
              <w:right w:w="55" w:type="dxa"/>
            </w:tcMar>
            <w:vAlign w:val="center"/>
          </w:tcPr>
          <w:p w14:paraId="000F62E7" w14:textId="77777777" w:rsidR="002521F4" w:rsidRDefault="00CA190B">
            <w:r>
              <w:t>M1</w:t>
            </w:r>
          </w:p>
        </w:tc>
        <w:tc>
          <w:tcPr>
            <w:tcW w:w="936" w:type="dxa"/>
            <w:shd w:val="clear" w:color="auto" w:fill="FFFFFF"/>
            <w:tcMar>
              <w:top w:w="45" w:type="dxa"/>
              <w:left w:w="55" w:type="dxa"/>
              <w:bottom w:w="45" w:type="dxa"/>
              <w:right w:w="55" w:type="dxa"/>
            </w:tcMar>
            <w:vAlign w:val="center"/>
          </w:tcPr>
          <w:p w14:paraId="6951FA9A" w14:textId="77777777" w:rsidR="002521F4" w:rsidRDefault="00CA190B">
            <w:r>
              <w:t>WP1/WP7</w:t>
            </w:r>
          </w:p>
        </w:tc>
        <w:tc>
          <w:tcPr>
            <w:tcW w:w="5400" w:type="dxa"/>
            <w:shd w:val="clear" w:color="auto" w:fill="FFFFFF"/>
            <w:tcMar>
              <w:top w:w="45" w:type="dxa"/>
              <w:left w:w="55" w:type="dxa"/>
              <w:bottom w:w="45" w:type="dxa"/>
              <w:right w:w="55" w:type="dxa"/>
            </w:tcMar>
            <w:vAlign w:val="center"/>
          </w:tcPr>
          <w:p w14:paraId="0907D91D" w14:textId="77777777" w:rsidR="002521F4" w:rsidRDefault="00CA190B">
            <w:r>
              <w:t>M1 records that the beneficiary's pre-signature feasibility gate was satisfied: the human-grounded study was scientifically concluded/frozen by 15 March 2027 and a written USAL cooperation/access route or qualified European fallback was secured before signature for the controlled Year-2 bridge and later Year-3 simulated/physical programme. M1 is verification of a pre-existing entry condition, not a deadline for solving it.</w:t>
            </w:r>
          </w:p>
        </w:tc>
      </w:tr>
      <w:tr w:rsidR="00894D55" w14:paraId="2CBA9BC2" w14:textId="77777777">
        <w:trPr>
          <w:cantSplit/>
          <w:jc w:val="center"/>
        </w:trPr>
        <w:tc>
          <w:tcPr>
            <w:tcW w:w="605" w:type="dxa"/>
            <w:shd w:val="clear" w:color="auto" w:fill="FFFFFF"/>
            <w:tcMar>
              <w:top w:w="45" w:type="dxa"/>
              <w:left w:w="55" w:type="dxa"/>
              <w:bottom w:w="45" w:type="dxa"/>
              <w:right w:w="55" w:type="dxa"/>
            </w:tcMar>
            <w:vAlign w:val="center"/>
          </w:tcPr>
          <w:p w14:paraId="447B7E32" w14:textId="77777777" w:rsidR="002521F4" w:rsidRDefault="00CA190B">
            <w:r>
              <w:t>MS2</w:t>
            </w:r>
          </w:p>
        </w:tc>
        <w:tc>
          <w:tcPr>
            <w:tcW w:w="2448" w:type="dxa"/>
            <w:shd w:val="clear" w:color="auto" w:fill="FFFFFF"/>
            <w:tcMar>
              <w:top w:w="45" w:type="dxa"/>
              <w:left w:w="55" w:type="dxa"/>
              <w:bottom w:w="45" w:type="dxa"/>
              <w:right w:w="55" w:type="dxa"/>
            </w:tcMar>
            <w:vAlign w:val="center"/>
          </w:tcPr>
          <w:p w14:paraId="50A52F29" w14:textId="77777777" w:rsidR="002521F4" w:rsidRDefault="00CA190B">
            <w:r>
              <w:t>Year-1 symbolic and double-involution closure</w:t>
            </w:r>
          </w:p>
        </w:tc>
        <w:tc>
          <w:tcPr>
            <w:tcW w:w="576" w:type="dxa"/>
            <w:shd w:val="clear" w:color="auto" w:fill="FFFFFF"/>
            <w:tcMar>
              <w:top w:w="45" w:type="dxa"/>
              <w:left w:w="55" w:type="dxa"/>
              <w:bottom w:w="45" w:type="dxa"/>
              <w:right w:w="55" w:type="dxa"/>
            </w:tcMar>
            <w:vAlign w:val="center"/>
          </w:tcPr>
          <w:p w14:paraId="6C0F206B" w14:textId="77777777" w:rsidR="002521F4" w:rsidRDefault="00CA190B">
            <w:r>
              <w:t>M12</w:t>
            </w:r>
          </w:p>
        </w:tc>
        <w:tc>
          <w:tcPr>
            <w:tcW w:w="936" w:type="dxa"/>
            <w:shd w:val="clear" w:color="auto" w:fill="FFFFFF"/>
            <w:tcMar>
              <w:top w:w="45" w:type="dxa"/>
              <w:left w:w="55" w:type="dxa"/>
              <w:bottom w:w="45" w:type="dxa"/>
              <w:right w:w="55" w:type="dxa"/>
            </w:tcMar>
            <w:vAlign w:val="center"/>
          </w:tcPr>
          <w:p w14:paraId="1B5B91A0" w14:textId="77777777" w:rsidR="002521F4" w:rsidRDefault="00CA190B">
            <w:r>
              <w:t>WP2/WP3</w:t>
            </w:r>
          </w:p>
        </w:tc>
        <w:tc>
          <w:tcPr>
            <w:tcW w:w="5400" w:type="dxa"/>
            <w:shd w:val="clear" w:color="auto" w:fill="FFFFFF"/>
            <w:tcMar>
              <w:top w:w="45" w:type="dxa"/>
              <w:left w:w="55" w:type="dxa"/>
              <w:bottom w:w="45" w:type="dxa"/>
              <w:right w:w="55" w:type="dxa"/>
            </w:tcMar>
            <w:vAlign w:val="center"/>
          </w:tcPr>
          <w:p w14:paraId="22EE5835" w14:textId="77777777" w:rsidR="002521F4" w:rsidRDefault="00CA190B">
            <w:r>
              <w:t xml:space="preserve">Symbolic Domain Map plus double-involution status meeting the progression criteria: admissible realisation class, tested transformation/intertwining relation, predicted preserved </w:t>
            </w:r>
            <w:r>
              <w:t>properties, explicit failure/counterexample conditions and Year-2 projection rule; positive/bounded support evaluated on held-out post-M6 evidence.</w:t>
            </w:r>
          </w:p>
        </w:tc>
      </w:tr>
      <w:tr w:rsidR="00894D55" w14:paraId="5A7D8480" w14:textId="77777777">
        <w:trPr>
          <w:cantSplit/>
          <w:jc w:val="center"/>
        </w:trPr>
        <w:tc>
          <w:tcPr>
            <w:tcW w:w="605" w:type="dxa"/>
            <w:shd w:val="clear" w:color="auto" w:fill="FFFFFF"/>
            <w:tcMar>
              <w:top w:w="45" w:type="dxa"/>
              <w:left w:w="55" w:type="dxa"/>
              <w:bottom w:w="45" w:type="dxa"/>
              <w:right w:w="55" w:type="dxa"/>
            </w:tcMar>
            <w:vAlign w:val="center"/>
          </w:tcPr>
          <w:p w14:paraId="0DF6254A" w14:textId="77777777" w:rsidR="002521F4" w:rsidRDefault="00CA190B">
            <w:r>
              <w:t>MS3</w:t>
            </w:r>
          </w:p>
        </w:tc>
        <w:tc>
          <w:tcPr>
            <w:tcW w:w="2448" w:type="dxa"/>
            <w:shd w:val="clear" w:color="auto" w:fill="FFFFFF"/>
            <w:tcMar>
              <w:top w:w="45" w:type="dxa"/>
              <w:left w:w="55" w:type="dxa"/>
              <w:bottom w:w="45" w:type="dxa"/>
              <w:right w:w="55" w:type="dxa"/>
            </w:tcMar>
            <w:vAlign w:val="center"/>
          </w:tcPr>
          <w:p w14:paraId="37014A1F" w14:textId="77777777" w:rsidR="002521F4" w:rsidRDefault="00CA190B">
            <w:r>
              <w:t>Controlled Year-2 cross-domain bridge ready</w:t>
            </w:r>
          </w:p>
        </w:tc>
        <w:tc>
          <w:tcPr>
            <w:tcW w:w="576" w:type="dxa"/>
            <w:shd w:val="clear" w:color="auto" w:fill="FFFFFF"/>
            <w:tcMar>
              <w:top w:w="45" w:type="dxa"/>
              <w:left w:w="55" w:type="dxa"/>
              <w:bottom w:w="45" w:type="dxa"/>
              <w:right w:w="55" w:type="dxa"/>
            </w:tcMar>
            <w:vAlign w:val="center"/>
          </w:tcPr>
          <w:p w14:paraId="4785509E" w14:textId="77777777" w:rsidR="002521F4" w:rsidRDefault="00CA190B">
            <w:r>
              <w:t>M12</w:t>
            </w:r>
          </w:p>
        </w:tc>
        <w:tc>
          <w:tcPr>
            <w:tcW w:w="936" w:type="dxa"/>
            <w:shd w:val="clear" w:color="auto" w:fill="FFFFFF"/>
            <w:tcMar>
              <w:top w:w="45" w:type="dxa"/>
              <w:left w:w="55" w:type="dxa"/>
              <w:bottom w:w="45" w:type="dxa"/>
              <w:right w:w="55" w:type="dxa"/>
            </w:tcMar>
            <w:vAlign w:val="center"/>
          </w:tcPr>
          <w:p w14:paraId="60729091" w14:textId="77777777" w:rsidR="002521F4" w:rsidRDefault="00CA190B">
            <w:r>
              <w:t>WP1/WP6</w:t>
            </w:r>
          </w:p>
        </w:tc>
        <w:tc>
          <w:tcPr>
            <w:tcW w:w="5400" w:type="dxa"/>
            <w:shd w:val="clear" w:color="auto" w:fill="FFFFFF"/>
            <w:tcMar>
              <w:top w:w="45" w:type="dxa"/>
              <w:left w:w="55" w:type="dxa"/>
              <w:bottom w:w="45" w:type="dxa"/>
              <w:right w:w="55" w:type="dxa"/>
            </w:tcMar>
            <w:vAlign w:val="center"/>
          </w:tcPr>
          <w:p w14:paraId="2620FC58" w14:textId="77777777" w:rsidR="002521F4" w:rsidRDefault="00CA190B">
            <w:r>
              <w:t>Documented USAL/fallback Phase-A environment an</w:t>
            </w:r>
            <w:r>
              <w:t>d fixed SCC/metrology/observability/failure-semantics rules ready for post-M12 controlled cross-domain transfer; any calibration scope restricted to mapping/interface/representation and prospectively versioned.</w:t>
            </w:r>
          </w:p>
        </w:tc>
      </w:tr>
      <w:tr w:rsidR="00894D55" w14:paraId="44A075C8" w14:textId="77777777">
        <w:trPr>
          <w:cantSplit/>
          <w:jc w:val="center"/>
        </w:trPr>
        <w:tc>
          <w:tcPr>
            <w:tcW w:w="605" w:type="dxa"/>
            <w:shd w:val="clear" w:color="auto" w:fill="FFFFFF"/>
            <w:tcMar>
              <w:top w:w="45" w:type="dxa"/>
              <w:left w:w="55" w:type="dxa"/>
              <w:bottom w:w="45" w:type="dxa"/>
              <w:right w:w="55" w:type="dxa"/>
            </w:tcMar>
            <w:vAlign w:val="center"/>
          </w:tcPr>
          <w:p w14:paraId="1C50F5BF" w14:textId="77777777" w:rsidR="002521F4" w:rsidRDefault="00CA190B">
            <w:r>
              <w:t>MS4</w:t>
            </w:r>
          </w:p>
        </w:tc>
        <w:tc>
          <w:tcPr>
            <w:tcW w:w="2448" w:type="dxa"/>
            <w:shd w:val="clear" w:color="auto" w:fill="FFFFFF"/>
            <w:tcMar>
              <w:top w:w="45" w:type="dxa"/>
              <w:left w:w="55" w:type="dxa"/>
              <w:bottom w:w="45" w:type="dxa"/>
              <w:right w:w="55" w:type="dxa"/>
            </w:tcMar>
            <w:vAlign w:val="center"/>
          </w:tcPr>
          <w:p w14:paraId="68F072A8" w14:textId="77777777" w:rsidR="002521F4" w:rsidRDefault="00CA190B">
            <w:r>
              <w:t>Independent-System Domain Map</w:t>
            </w:r>
          </w:p>
        </w:tc>
        <w:tc>
          <w:tcPr>
            <w:tcW w:w="576" w:type="dxa"/>
            <w:shd w:val="clear" w:color="auto" w:fill="FFFFFF"/>
            <w:tcMar>
              <w:top w:w="45" w:type="dxa"/>
              <w:left w:w="55" w:type="dxa"/>
              <w:bottom w:w="45" w:type="dxa"/>
              <w:right w:w="55" w:type="dxa"/>
            </w:tcMar>
            <w:vAlign w:val="center"/>
          </w:tcPr>
          <w:p w14:paraId="6B6B81CD" w14:textId="77777777" w:rsidR="002521F4" w:rsidRDefault="00CA190B">
            <w:r>
              <w:t>M24</w:t>
            </w:r>
          </w:p>
        </w:tc>
        <w:tc>
          <w:tcPr>
            <w:tcW w:w="936" w:type="dxa"/>
            <w:shd w:val="clear" w:color="auto" w:fill="FFFFFF"/>
            <w:tcMar>
              <w:top w:w="45" w:type="dxa"/>
              <w:left w:w="55" w:type="dxa"/>
              <w:bottom w:w="45" w:type="dxa"/>
              <w:right w:w="55" w:type="dxa"/>
            </w:tcMar>
            <w:vAlign w:val="center"/>
          </w:tcPr>
          <w:p w14:paraId="165F8F75" w14:textId="77777777" w:rsidR="002521F4" w:rsidRDefault="00CA190B">
            <w:r>
              <w:t>WP6</w:t>
            </w:r>
          </w:p>
        </w:tc>
        <w:tc>
          <w:tcPr>
            <w:tcW w:w="5400" w:type="dxa"/>
            <w:shd w:val="clear" w:color="auto" w:fill="FFFFFF"/>
            <w:tcMar>
              <w:top w:w="45" w:type="dxa"/>
              <w:left w:w="55" w:type="dxa"/>
              <w:bottom w:w="45" w:type="dxa"/>
              <w:right w:w="55" w:type="dxa"/>
            </w:tcMar>
            <w:vAlign w:val="center"/>
          </w:tcPr>
          <w:p w14:paraId="6B0F4A40" w14:textId="77777777" w:rsidR="002521F4" w:rsidRDefault="00CA190B">
            <w:r>
              <w:t>Phase-B campaign completed on independently engineered systems selected by the declared criteria; adapter/ontology burden reported; any calibration frozen before confirmation; only properties meeting their frozen M24 criterion enter Year 3.</w:t>
            </w:r>
          </w:p>
        </w:tc>
      </w:tr>
      <w:tr w:rsidR="00894D55" w14:paraId="3B8B4CB6" w14:textId="77777777">
        <w:trPr>
          <w:cantSplit/>
          <w:jc w:val="center"/>
        </w:trPr>
        <w:tc>
          <w:tcPr>
            <w:tcW w:w="605" w:type="dxa"/>
            <w:shd w:val="clear" w:color="auto" w:fill="FFFFFF"/>
            <w:tcMar>
              <w:top w:w="45" w:type="dxa"/>
              <w:left w:w="55" w:type="dxa"/>
              <w:bottom w:w="45" w:type="dxa"/>
              <w:right w:w="55" w:type="dxa"/>
            </w:tcMar>
            <w:vAlign w:val="center"/>
          </w:tcPr>
          <w:p w14:paraId="5AD34F4C" w14:textId="77777777" w:rsidR="002521F4" w:rsidRDefault="00CA190B">
            <w:r>
              <w:t>MS5</w:t>
            </w:r>
          </w:p>
        </w:tc>
        <w:tc>
          <w:tcPr>
            <w:tcW w:w="2448" w:type="dxa"/>
            <w:shd w:val="clear" w:color="auto" w:fill="FFFFFF"/>
            <w:tcMar>
              <w:top w:w="45" w:type="dxa"/>
              <w:left w:w="55" w:type="dxa"/>
              <w:bottom w:w="45" w:type="dxa"/>
              <w:right w:w="55" w:type="dxa"/>
            </w:tcMar>
            <w:vAlign w:val="center"/>
          </w:tcPr>
          <w:p w14:paraId="7796080C" w14:textId="77777777" w:rsidR="002521F4" w:rsidRDefault="00CA190B">
            <w:r>
              <w:t>Embodied c</w:t>
            </w:r>
            <w:r>
              <w:t>ampaign ready</w:t>
            </w:r>
          </w:p>
        </w:tc>
        <w:tc>
          <w:tcPr>
            <w:tcW w:w="576" w:type="dxa"/>
            <w:shd w:val="clear" w:color="auto" w:fill="FFFFFF"/>
            <w:tcMar>
              <w:top w:w="45" w:type="dxa"/>
              <w:left w:w="55" w:type="dxa"/>
              <w:bottom w:w="45" w:type="dxa"/>
              <w:right w:w="55" w:type="dxa"/>
            </w:tcMar>
            <w:vAlign w:val="center"/>
          </w:tcPr>
          <w:p w14:paraId="51BFB4B6" w14:textId="77777777" w:rsidR="002521F4" w:rsidRDefault="00CA190B">
            <w:r>
              <w:t>M24</w:t>
            </w:r>
          </w:p>
        </w:tc>
        <w:tc>
          <w:tcPr>
            <w:tcW w:w="936" w:type="dxa"/>
            <w:shd w:val="clear" w:color="auto" w:fill="FFFFFF"/>
            <w:tcMar>
              <w:top w:w="45" w:type="dxa"/>
              <w:left w:w="55" w:type="dxa"/>
              <w:bottom w:w="45" w:type="dxa"/>
              <w:right w:w="55" w:type="dxa"/>
            </w:tcMar>
            <w:vAlign w:val="center"/>
          </w:tcPr>
          <w:p w14:paraId="428489CD" w14:textId="77777777" w:rsidR="002521F4" w:rsidRDefault="00CA190B">
            <w:r>
              <w:t>WP7</w:t>
            </w:r>
          </w:p>
        </w:tc>
        <w:tc>
          <w:tcPr>
            <w:tcW w:w="5400" w:type="dxa"/>
            <w:shd w:val="clear" w:color="auto" w:fill="FFFFFF"/>
            <w:tcMar>
              <w:top w:w="45" w:type="dxa"/>
              <w:left w:w="55" w:type="dxa"/>
              <w:bottom w:w="45" w:type="dxa"/>
              <w:right w:w="55" w:type="dxa"/>
            </w:tcMar>
            <w:vAlign w:val="center"/>
          </w:tcPr>
          <w:p w14:paraId="71A75596" w14:textId="77777777" w:rsidR="002521F4" w:rsidRDefault="00CA190B">
            <w:r>
              <w:t>Experiment-specific simulation controls, safety conditions, instrumentation and independently engineered perception-action stack ready; confirmatory embodied success requires both capability/safety floor and preservation of frozen str</w:t>
            </w:r>
            <w:r>
              <w:t>uctural/authority properties.</w:t>
            </w:r>
          </w:p>
        </w:tc>
      </w:tr>
      <w:tr w:rsidR="00894D55" w14:paraId="5299C0A5" w14:textId="77777777">
        <w:trPr>
          <w:cantSplit/>
          <w:jc w:val="center"/>
        </w:trPr>
        <w:tc>
          <w:tcPr>
            <w:tcW w:w="605" w:type="dxa"/>
            <w:shd w:val="clear" w:color="auto" w:fill="FFFFFF"/>
            <w:tcMar>
              <w:top w:w="45" w:type="dxa"/>
              <w:left w:w="55" w:type="dxa"/>
              <w:bottom w:w="45" w:type="dxa"/>
              <w:right w:w="55" w:type="dxa"/>
            </w:tcMar>
            <w:vAlign w:val="center"/>
          </w:tcPr>
          <w:p w14:paraId="6A0AA746" w14:textId="77777777" w:rsidR="002521F4" w:rsidRDefault="00CA190B">
            <w:r>
              <w:t>MS6</w:t>
            </w:r>
          </w:p>
        </w:tc>
        <w:tc>
          <w:tcPr>
            <w:tcW w:w="2448" w:type="dxa"/>
            <w:shd w:val="clear" w:color="auto" w:fill="FFFFFF"/>
            <w:tcMar>
              <w:top w:w="45" w:type="dxa"/>
              <w:left w:w="55" w:type="dxa"/>
              <w:bottom w:w="45" w:type="dxa"/>
              <w:right w:w="55" w:type="dxa"/>
            </w:tcMar>
            <w:vAlign w:val="center"/>
          </w:tcPr>
          <w:p w14:paraId="35C01B5F" w14:textId="77777777" w:rsidR="002521F4" w:rsidRDefault="00CA190B">
            <w:r>
              <w:t>External-validity boundary and TRL4</w:t>
            </w:r>
          </w:p>
        </w:tc>
        <w:tc>
          <w:tcPr>
            <w:tcW w:w="576" w:type="dxa"/>
            <w:shd w:val="clear" w:color="auto" w:fill="FFFFFF"/>
            <w:tcMar>
              <w:top w:w="45" w:type="dxa"/>
              <w:left w:w="55" w:type="dxa"/>
              <w:bottom w:w="45" w:type="dxa"/>
              <w:right w:w="55" w:type="dxa"/>
            </w:tcMar>
            <w:vAlign w:val="center"/>
          </w:tcPr>
          <w:p w14:paraId="25E6D76A" w14:textId="77777777" w:rsidR="002521F4" w:rsidRDefault="00CA190B">
            <w:r>
              <w:t>M36</w:t>
            </w:r>
          </w:p>
        </w:tc>
        <w:tc>
          <w:tcPr>
            <w:tcW w:w="936" w:type="dxa"/>
            <w:shd w:val="clear" w:color="auto" w:fill="FFFFFF"/>
            <w:tcMar>
              <w:top w:w="45" w:type="dxa"/>
              <w:left w:w="55" w:type="dxa"/>
              <w:bottom w:w="45" w:type="dxa"/>
              <w:right w:w="55" w:type="dxa"/>
            </w:tcMar>
            <w:vAlign w:val="center"/>
          </w:tcPr>
          <w:p w14:paraId="23E2D76C" w14:textId="77777777" w:rsidR="002521F4" w:rsidRDefault="00CA190B">
            <w:r>
              <w:t>WP7/WP8/WP9</w:t>
            </w:r>
          </w:p>
        </w:tc>
        <w:tc>
          <w:tcPr>
            <w:tcW w:w="5400" w:type="dxa"/>
            <w:shd w:val="clear" w:color="auto" w:fill="FFFFFF"/>
            <w:tcMar>
              <w:top w:w="45" w:type="dxa"/>
              <w:left w:w="55" w:type="dxa"/>
              <w:bottom w:w="45" w:type="dxa"/>
              <w:right w:w="55" w:type="dxa"/>
            </w:tcMar>
            <w:vAlign w:val="center"/>
          </w:tcPr>
          <w:p w14:paraId="506F22E0" w14:textId="77777777" w:rsidR="002521F4" w:rsidRDefault="00CA190B">
            <w:r>
              <w:t>Embodied Domain Map, Structural Invariance Atlas and TRL4 acceptance record completed; exploitation claims restricted to the mapped domain.</w:t>
            </w:r>
          </w:p>
        </w:tc>
      </w:tr>
    </w:tbl>
    <w:p w14:paraId="6F80488A" w14:textId="77777777" w:rsidR="00894D55" w:rsidRDefault="00894D55"/>
    <w:p w14:paraId="276BC4BB" w14:textId="77777777" w:rsidR="00894D55" w:rsidRDefault="00B20FC1">
      <w:pPr>
        <w:keepNext/>
        <w:spacing w:before="60" w:after="40"/>
      </w:pPr>
      <w:r>
        <w:rPr>
          <w:rFonts w:cs="Times New Roman"/>
          <w:b/>
        </w:rPr>
        <w:t>Critical implementation risks and mitigation (Table 3.1e)</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576"/>
        <w:gridCol w:w="2952"/>
        <w:gridCol w:w="648"/>
        <w:gridCol w:w="5760"/>
      </w:tblGrid>
      <w:tr w:rsidR="00894D55" w14:paraId="78B9F363" w14:textId="77777777">
        <w:trPr>
          <w:cantSplit/>
          <w:tblHeader/>
          <w:jc w:val="center"/>
        </w:trPr>
        <w:tc>
          <w:tcPr>
            <w:tcW w:w="576" w:type="dxa"/>
            <w:shd w:val="clear" w:color="auto" w:fill="E7E6E6"/>
            <w:tcMar>
              <w:top w:w="45" w:type="dxa"/>
              <w:left w:w="55" w:type="dxa"/>
              <w:bottom w:w="45" w:type="dxa"/>
              <w:right w:w="55" w:type="dxa"/>
            </w:tcMar>
            <w:vAlign w:val="center"/>
          </w:tcPr>
          <w:p w14:paraId="6C66F14E" w14:textId="77777777" w:rsidR="00617ED1" w:rsidRDefault="003016E0">
            <w:pPr>
              <w:spacing w:after="0"/>
            </w:pPr>
            <w:r>
              <w:rPr>
                <w:rFonts w:cs="Times New Roman"/>
                <w:b/>
              </w:rPr>
              <w:t>Risk</w:t>
            </w:r>
          </w:p>
        </w:tc>
        <w:tc>
          <w:tcPr>
            <w:tcW w:w="2952" w:type="dxa"/>
            <w:shd w:val="clear" w:color="auto" w:fill="E7E6E6"/>
            <w:tcMar>
              <w:top w:w="45" w:type="dxa"/>
              <w:left w:w="55" w:type="dxa"/>
              <w:bottom w:w="45" w:type="dxa"/>
              <w:right w:w="55" w:type="dxa"/>
            </w:tcMar>
            <w:vAlign w:val="center"/>
          </w:tcPr>
          <w:p w14:paraId="44442017" w14:textId="77777777" w:rsidR="00617ED1" w:rsidRDefault="003016E0">
            <w:pPr>
              <w:spacing w:after="0"/>
            </w:pPr>
            <w:r>
              <w:rPr>
                <w:rFonts w:cs="Times New Roman"/>
                <w:b/>
              </w:rPr>
              <w:t>Description</w:t>
            </w:r>
          </w:p>
        </w:tc>
        <w:tc>
          <w:tcPr>
            <w:tcW w:w="648" w:type="dxa"/>
            <w:shd w:val="clear" w:color="auto" w:fill="E7E6E6"/>
            <w:tcMar>
              <w:top w:w="45" w:type="dxa"/>
              <w:left w:w="55" w:type="dxa"/>
              <w:bottom w:w="45" w:type="dxa"/>
              <w:right w:w="55" w:type="dxa"/>
            </w:tcMar>
            <w:vAlign w:val="center"/>
          </w:tcPr>
          <w:p w14:paraId="048FFBC9" w14:textId="77777777" w:rsidR="00617ED1" w:rsidRDefault="003016E0">
            <w:pPr>
              <w:spacing w:after="0"/>
            </w:pPr>
            <w:r>
              <w:rPr>
                <w:rFonts w:cs="Times New Roman"/>
                <w:b/>
              </w:rPr>
              <w:t>P/I</w:t>
            </w:r>
          </w:p>
        </w:tc>
        <w:tc>
          <w:tcPr>
            <w:tcW w:w="5760" w:type="dxa"/>
            <w:shd w:val="clear" w:color="auto" w:fill="E7E6E6"/>
            <w:tcMar>
              <w:top w:w="45" w:type="dxa"/>
              <w:left w:w="55" w:type="dxa"/>
              <w:bottom w:w="45" w:type="dxa"/>
              <w:right w:w="55" w:type="dxa"/>
            </w:tcMar>
            <w:vAlign w:val="center"/>
          </w:tcPr>
          <w:p w14:paraId="22BAF0F0" w14:textId="77777777" w:rsidR="00617ED1" w:rsidRDefault="003016E0">
            <w:pPr>
              <w:spacing w:after="0"/>
            </w:pPr>
            <w:r>
              <w:rPr>
                <w:rFonts w:cs="Times New Roman"/>
                <w:b/>
              </w:rPr>
              <w:t>Mitigation</w:t>
            </w:r>
          </w:p>
        </w:tc>
      </w:tr>
      <w:tr w:rsidR="00894D55" w14:paraId="3B643B41" w14:textId="77777777">
        <w:trPr>
          <w:cantSplit/>
          <w:jc w:val="center"/>
        </w:trPr>
        <w:tc>
          <w:tcPr>
            <w:tcW w:w="576" w:type="dxa"/>
            <w:shd w:val="clear" w:color="auto" w:fill="FFFFFF"/>
            <w:tcMar>
              <w:top w:w="45" w:type="dxa"/>
              <w:left w:w="55" w:type="dxa"/>
              <w:bottom w:w="45" w:type="dxa"/>
              <w:right w:w="55" w:type="dxa"/>
            </w:tcMar>
            <w:vAlign w:val="center"/>
          </w:tcPr>
          <w:p w14:paraId="10BB12C1" w14:textId="77777777" w:rsidR="00617ED1" w:rsidRDefault="003016E0">
            <w:pPr>
              <w:spacing w:after="0"/>
            </w:pPr>
            <w:r>
              <w:rPr>
                <w:rFonts w:cs="Times New Roman"/>
              </w:rPr>
              <w:t>IR1</w:t>
            </w:r>
          </w:p>
        </w:tc>
        <w:tc>
          <w:tcPr>
            <w:tcW w:w="2952" w:type="dxa"/>
            <w:shd w:val="clear" w:color="auto" w:fill="FFFFFF"/>
            <w:tcMar>
              <w:top w:w="45" w:type="dxa"/>
              <w:left w:w="55" w:type="dxa"/>
              <w:bottom w:w="45" w:type="dxa"/>
              <w:right w:w="55" w:type="dxa"/>
            </w:tcMar>
            <w:vAlign w:val="center"/>
          </w:tcPr>
          <w:p w14:paraId="73CB3E44" w14:textId="77777777" w:rsidR="002521F4" w:rsidRDefault="00CA190B">
            <w:r>
              <w:t>No documented USAL cooperation/access route or qualified European fallback is secured during grant preparation before signature.</w:t>
            </w:r>
          </w:p>
        </w:tc>
        <w:tc>
          <w:tcPr>
            <w:tcW w:w="648" w:type="dxa"/>
            <w:shd w:val="clear" w:color="auto" w:fill="FFFFFF"/>
            <w:tcMar>
              <w:top w:w="45" w:type="dxa"/>
              <w:left w:w="55" w:type="dxa"/>
              <w:bottom w:w="45" w:type="dxa"/>
              <w:right w:w="55" w:type="dxa"/>
            </w:tcMar>
            <w:vAlign w:val="center"/>
          </w:tcPr>
          <w:p w14:paraId="5720B3D5" w14:textId="77777777" w:rsidR="00617ED1" w:rsidRDefault="003016E0">
            <w:pPr>
              <w:spacing w:after="0"/>
            </w:pPr>
            <w:r>
              <w:rPr>
                <w:rFonts w:cs="Times New Roman"/>
              </w:rPr>
              <w:t>M/H</w:t>
            </w:r>
          </w:p>
        </w:tc>
        <w:tc>
          <w:tcPr>
            <w:tcW w:w="5760" w:type="dxa"/>
            <w:shd w:val="clear" w:color="auto" w:fill="FFFFFF"/>
            <w:tcMar>
              <w:top w:w="45" w:type="dxa"/>
              <w:left w:w="55" w:type="dxa"/>
              <w:bottom w:w="45" w:type="dxa"/>
              <w:right w:w="55" w:type="dxa"/>
            </w:tcMar>
            <w:vAlign w:val="center"/>
          </w:tcPr>
          <w:p w14:paraId="1C9FD968" w14:textId="77777777" w:rsidR="002521F4" w:rsidRDefault="00CA190B">
            <w:r>
              <w:t>Open USAL and qualified European fallback routes immediately after a positive funding decision and pursue them in parallel as needed. A documented route is a beneficiary-imposed pre-signature feasibility condition. If USAL is unavailable, activate the qualified fallback without changing O3/O4 endpoints; if neither route can be documented before signature, do not enter a grant agreement whose Year-2/Year-3 commitments cannot credibly be executed.</w:t>
            </w:r>
            <w:r/>
          </w:p>
        </w:tc>
      </w:tr>
      <w:tr w:rsidR="00894D55" w14:paraId="24BA74C5" w14:textId="77777777">
        <w:trPr>
          <w:cantSplit/>
          <w:jc w:val="center"/>
        </w:trPr>
        <w:tc>
          <w:tcPr>
            <w:tcW w:w="576" w:type="dxa"/>
            <w:shd w:val="clear" w:color="auto" w:fill="FFFFFF"/>
            <w:tcMar>
              <w:top w:w="45" w:type="dxa"/>
              <w:left w:w="55" w:type="dxa"/>
              <w:bottom w:w="45" w:type="dxa"/>
              <w:right w:w="55" w:type="dxa"/>
            </w:tcMar>
            <w:vAlign w:val="center"/>
          </w:tcPr>
          <w:p w14:paraId="0F42099A" w14:textId="77777777" w:rsidR="00617ED1" w:rsidRDefault="003016E0">
            <w:pPr>
              <w:spacing w:after="0"/>
            </w:pPr>
            <w:r>
              <w:rPr>
                <w:rFonts w:cs="Times New Roman"/>
              </w:rPr>
              <w:lastRenderedPageBreak/>
              <w:t>IR2</w:t>
            </w:r>
          </w:p>
        </w:tc>
        <w:tc>
          <w:tcPr>
            <w:tcW w:w="2952" w:type="dxa"/>
            <w:shd w:val="clear" w:color="auto" w:fill="FFFFFF"/>
            <w:tcMar>
              <w:top w:w="45" w:type="dxa"/>
              <w:left w:w="55" w:type="dxa"/>
              <w:bottom w:w="45" w:type="dxa"/>
              <w:right w:w="55" w:type="dxa"/>
            </w:tcMar>
            <w:vAlign w:val="center"/>
          </w:tcPr>
          <w:p w14:paraId="73771C61" w14:textId="77777777" w:rsidR="002521F4" w:rsidRDefault="00CA190B">
            <w:r>
              <w:t xml:space="preserve">Year-1 closure or controlled Year-2 </w:t>
            </w:r>
            <w:r>
              <w:t>transfer does not yet identify suitable independent systems, or candidate DeepRAP collaborations are scientifically mismatched.</w:t>
            </w:r>
          </w:p>
        </w:tc>
        <w:tc>
          <w:tcPr>
            <w:tcW w:w="648" w:type="dxa"/>
            <w:shd w:val="clear" w:color="auto" w:fill="FFFFFF"/>
            <w:tcMar>
              <w:top w:w="45" w:type="dxa"/>
              <w:left w:w="55" w:type="dxa"/>
              <w:bottom w:w="45" w:type="dxa"/>
              <w:right w:w="55" w:type="dxa"/>
            </w:tcMar>
            <w:vAlign w:val="center"/>
          </w:tcPr>
          <w:p w14:paraId="3B88A15C" w14:textId="77777777" w:rsidR="00617ED1" w:rsidRDefault="003016E0">
            <w:pPr>
              <w:spacing w:after="0"/>
            </w:pPr>
            <w:r>
              <w:rPr>
                <w:rFonts w:cs="Times New Roman"/>
              </w:rPr>
              <w:t>M/H</w:t>
            </w:r>
          </w:p>
        </w:tc>
        <w:tc>
          <w:tcPr>
            <w:tcW w:w="5760" w:type="dxa"/>
            <w:shd w:val="clear" w:color="auto" w:fill="FFFFFF"/>
            <w:tcMar>
              <w:top w:w="45" w:type="dxa"/>
              <w:left w:w="55" w:type="dxa"/>
              <w:bottom w:w="45" w:type="dxa"/>
              <w:right w:w="55" w:type="dxa"/>
            </w:tcMar>
            <w:vAlign w:val="center"/>
          </w:tcPr>
          <w:p w14:paraId="03A32476" w14:textId="77777777" w:rsidR="002521F4" w:rsidRDefault="00CA190B">
            <w:r>
              <w:t>Do not force premature partner closure. Use USAL/fallback for Phase-A controlled transfer and bounded prospective calibratio</w:t>
            </w:r>
            <w:r>
              <w:t>n; maintain a candidate portfolio and select Phase-B systems by architectural independence, invariant relevance, observability, adapter/ontology burden and discriminative test value. A system used to construct a calibration cannot confirm that version with</w:t>
            </w:r>
            <w:r>
              <w:t>out a new held-out condition.</w:t>
            </w:r>
          </w:p>
        </w:tc>
      </w:tr>
      <w:tr w:rsidR="00894D55" w14:paraId="2450A771" w14:textId="77777777">
        <w:trPr>
          <w:cantSplit/>
          <w:jc w:val="center"/>
        </w:trPr>
        <w:tc>
          <w:tcPr>
            <w:tcW w:w="576" w:type="dxa"/>
            <w:shd w:val="clear" w:color="auto" w:fill="FFFFFF"/>
            <w:tcMar>
              <w:top w:w="45" w:type="dxa"/>
              <w:left w:w="55" w:type="dxa"/>
              <w:bottom w:w="45" w:type="dxa"/>
              <w:right w:w="55" w:type="dxa"/>
            </w:tcMar>
            <w:vAlign w:val="center"/>
          </w:tcPr>
          <w:p w14:paraId="201E825C" w14:textId="77777777" w:rsidR="00617ED1" w:rsidRDefault="003016E0">
            <w:pPr>
              <w:spacing w:after="0"/>
            </w:pPr>
            <w:r>
              <w:rPr>
                <w:rFonts w:cs="Times New Roman"/>
              </w:rPr>
              <w:t>IR3</w:t>
            </w:r>
          </w:p>
        </w:tc>
        <w:tc>
          <w:tcPr>
            <w:tcW w:w="2952" w:type="dxa"/>
            <w:shd w:val="clear" w:color="auto" w:fill="FFFFFF"/>
            <w:tcMar>
              <w:top w:w="45" w:type="dxa"/>
              <w:left w:w="55" w:type="dxa"/>
              <w:bottom w:w="45" w:type="dxa"/>
              <w:right w:w="55" w:type="dxa"/>
            </w:tcMar>
            <w:vAlign w:val="center"/>
          </w:tcPr>
          <w:p w14:paraId="4D7BC043" w14:textId="77777777" w:rsidR="00617ED1" w:rsidRDefault="003016E0">
            <w:pPr>
              <w:spacing w:after="0"/>
            </w:pPr>
            <w:r>
              <w:rPr>
                <w:rFonts w:cs="Times New Roman"/>
              </w:rPr>
              <w:t>Adapters require excessive domain semantics.</w:t>
            </w:r>
          </w:p>
        </w:tc>
        <w:tc>
          <w:tcPr>
            <w:tcW w:w="648" w:type="dxa"/>
            <w:shd w:val="clear" w:color="auto" w:fill="FFFFFF"/>
            <w:tcMar>
              <w:top w:w="45" w:type="dxa"/>
              <w:left w:w="55" w:type="dxa"/>
              <w:bottom w:w="45" w:type="dxa"/>
              <w:right w:w="55" w:type="dxa"/>
            </w:tcMar>
            <w:vAlign w:val="center"/>
          </w:tcPr>
          <w:p w14:paraId="1F8BB710" w14:textId="77777777" w:rsidR="00617ED1" w:rsidRDefault="003016E0">
            <w:pPr>
              <w:spacing w:after="0"/>
            </w:pPr>
            <w:r>
              <w:rPr>
                <w:rFonts w:cs="Times New Roman"/>
              </w:rPr>
              <w:t>M/H</w:t>
            </w:r>
          </w:p>
        </w:tc>
        <w:tc>
          <w:tcPr>
            <w:tcW w:w="5760" w:type="dxa"/>
            <w:shd w:val="clear" w:color="auto" w:fill="FFFFFF"/>
            <w:tcMar>
              <w:top w:w="45" w:type="dxa"/>
              <w:left w:w="55" w:type="dxa"/>
              <w:bottom w:w="45" w:type="dxa"/>
              <w:right w:w="55" w:type="dxa"/>
            </w:tcMar>
            <w:vAlign w:val="center"/>
          </w:tcPr>
          <w:p w14:paraId="4DFAA9CB" w14:textId="77777777" w:rsidR="00617ED1" w:rsidRDefault="003016E0">
            <w:pPr>
              <w:spacing w:after="0"/>
            </w:pPr>
            <w:r>
              <w:rPr>
                <w:rFonts w:cs="Times New Roman"/>
              </w:rPr>
              <w:t>Treat adapter complexity, semantic burden and ontology import as endpoints. Stop integration at frozen thresholds and record the case as a restriction of ontology-light portability.</w:t>
            </w:r>
          </w:p>
        </w:tc>
      </w:tr>
      <w:tr w:rsidR="00894D55" w14:paraId="607D0FCD" w14:textId="77777777">
        <w:trPr>
          <w:cantSplit/>
          <w:jc w:val="center"/>
        </w:trPr>
        <w:tc>
          <w:tcPr>
            <w:tcW w:w="576" w:type="dxa"/>
            <w:shd w:val="clear" w:color="auto" w:fill="FFFFFF"/>
            <w:tcMar>
              <w:top w:w="45" w:type="dxa"/>
              <w:left w:w="55" w:type="dxa"/>
              <w:bottom w:w="45" w:type="dxa"/>
              <w:right w:w="55" w:type="dxa"/>
            </w:tcMar>
            <w:vAlign w:val="center"/>
          </w:tcPr>
          <w:p w14:paraId="45345399" w14:textId="77777777" w:rsidR="00617ED1" w:rsidRDefault="003016E0">
            <w:pPr>
              <w:spacing w:after="0"/>
            </w:pPr>
            <w:r>
              <w:rPr>
                <w:rFonts w:cs="Times New Roman"/>
              </w:rPr>
              <w:t>IR4</w:t>
            </w:r>
          </w:p>
        </w:tc>
        <w:tc>
          <w:tcPr>
            <w:tcW w:w="2952" w:type="dxa"/>
            <w:shd w:val="clear" w:color="auto" w:fill="FFFFFF"/>
            <w:tcMar>
              <w:top w:w="45" w:type="dxa"/>
              <w:left w:w="55" w:type="dxa"/>
              <w:bottom w:w="45" w:type="dxa"/>
              <w:right w:w="55" w:type="dxa"/>
            </w:tcMar>
            <w:vAlign w:val="center"/>
          </w:tcPr>
          <w:p w14:paraId="0377DB3E" w14:textId="77777777" w:rsidR="00617ED1" w:rsidRDefault="003016E0">
            <w:pPr>
              <w:spacing w:after="0"/>
            </w:pPr>
            <w:r>
              <w:rPr>
                <w:rFonts w:cs="Times New Roman"/>
              </w:rPr>
              <w:t>External systems expose insufficient observables.</w:t>
            </w:r>
          </w:p>
        </w:tc>
        <w:tc>
          <w:tcPr>
            <w:tcW w:w="648" w:type="dxa"/>
            <w:shd w:val="clear" w:color="auto" w:fill="FFFFFF"/>
            <w:tcMar>
              <w:top w:w="45" w:type="dxa"/>
              <w:left w:w="55" w:type="dxa"/>
              <w:bottom w:w="45" w:type="dxa"/>
              <w:right w:w="55" w:type="dxa"/>
            </w:tcMar>
            <w:vAlign w:val="center"/>
          </w:tcPr>
          <w:p w14:paraId="28229804" w14:textId="77777777" w:rsidR="00617ED1" w:rsidRDefault="003016E0">
            <w:pPr>
              <w:spacing w:after="0"/>
            </w:pPr>
            <w:r>
              <w:rPr>
                <w:rFonts w:cs="Times New Roman"/>
              </w:rPr>
              <w:t>M/M</w:t>
            </w:r>
          </w:p>
        </w:tc>
        <w:tc>
          <w:tcPr>
            <w:tcW w:w="5760" w:type="dxa"/>
            <w:shd w:val="clear" w:color="auto" w:fill="FFFFFF"/>
            <w:tcMar>
              <w:top w:w="45" w:type="dxa"/>
              <w:left w:w="55" w:type="dxa"/>
              <w:bottom w:w="45" w:type="dxa"/>
              <w:right w:w="55" w:type="dxa"/>
            </w:tcMar>
            <w:vAlign w:val="center"/>
          </w:tcPr>
          <w:p w14:paraId="522E97A9" w14:textId="77777777" w:rsidR="00617ED1" w:rsidRDefault="003016E0">
            <w:pPr>
              <w:spacing w:after="0"/>
            </w:pPr>
            <w:r>
              <w:rPr>
                <w:rFonts w:cs="Times New Roman"/>
              </w:rPr>
              <w:t>Use the minimum frozen observable interface; permit black-box behavioural artefacts only with an explicitly weaker evidence class. Do not infer hidden structural identity.</w:t>
            </w:r>
          </w:p>
        </w:tc>
      </w:tr>
      <w:tr w:rsidR="00894D55" w14:paraId="68490A1A" w14:textId="77777777">
        <w:trPr>
          <w:cantSplit/>
          <w:jc w:val="center"/>
        </w:trPr>
        <w:tc>
          <w:tcPr>
            <w:tcW w:w="576" w:type="dxa"/>
            <w:shd w:val="clear" w:color="auto" w:fill="FFFFFF"/>
            <w:tcMar>
              <w:top w:w="45" w:type="dxa"/>
              <w:left w:w="55" w:type="dxa"/>
              <w:bottom w:w="45" w:type="dxa"/>
              <w:right w:w="55" w:type="dxa"/>
            </w:tcMar>
            <w:vAlign w:val="center"/>
          </w:tcPr>
          <w:p w14:paraId="38D40A68" w14:textId="77777777" w:rsidR="00617ED1" w:rsidRDefault="003016E0">
            <w:pPr>
              <w:spacing w:after="0"/>
            </w:pPr>
            <w:r>
              <w:rPr>
                <w:rFonts w:cs="Times New Roman"/>
              </w:rPr>
              <w:t>IR5</w:t>
            </w:r>
          </w:p>
        </w:tc>
        <w:tc>
          <w:tcPr>
            <w:tcW w:w="2952" w:type="dxa"/>
            <w:shd w:val="clear" w:color="auto" w:fill="FFFFFF"/>
            <w:tcMar>
              <w:top w:w="45" w:type="dxa"/>
              <w:left w:w="55" w:type="dxa"/>
              <w:bottom w:w="45" w:type="dxa"/>
              <w:right w:w="55" w:type="dxa"/>
            </w:tcMar>
            <w:vAlign w:val="center"/>
          </w:tcPr>
          <w:p w14:paraId="39A016F1" w14:textId="77777777" w:rsidR="00617ED1" w:rsidRDefault="003016E0">
            <w:pPr>
              <w:spacing w:after="0"/>
            </w:pPr>
            <w:r>
              <w:rPr>
                <w:rFonts w:cs="Times New Roman"/>
              </w:rPr>
              <w:t>Embodied coupling breaks Year-2 invariant classes.</w:t>
            </w:r>
          </w:p>
        </w:tc>
        <w:tc>
          <w:tcPr>
            <w:tcW w:w="648" w:type="dxa"/>
            <w:shd w:val="clear" w:color="auto" w:fill="FFFFFF"/>
            <w:tcMar>
              <w:top w:w="45" w:type="dxa"/>
              <w:left w:w="55" w:type="dxa"/>
              <w:bottom w:w="45" w:type="dxa"/>
              <w:right w:w="55" w:type="dxa"/>
            </w:tcMar>
            <w:vAlign w:val="center"/>
          </w:tcPr>
          <w:p w14:paraId="4D9CE940" w14:textId="77777777" w:rsidR="00617ED1" w:rsidRDefault="003016E0">
            <w:pPr>
              <w:spacing w:after="0"/>
            </w:pPr>
            <w:r>
              <w:rPr>
                <w:rFonts w:cs="Times New Roman"/>
              </w:rPr>
              <w:t>M/H</w:t>
            </w:r>
          </w:p>
        </w:tc>
        <w:tc>
          <w:tcPr>
            <w:tcW w:w="5760" w:type="dxa"/>
            <w:shd w:val="clear" w:color="auto" w:fill="FFFFFF"/>
            <w:tcMar>
              <w:top w:w="45" w:type="dxa"/>
              <w:left w:w="55" w:type="dxa"/>
              <w:bottom w:w="45" w:type="dxa"/>
              <w:right w:w="55" w:type="dxa"/>
            </w:tcMar>
            <w:vAlign w:val="center"/>
          </w:tcPr>
          <w:p w14:paraId="17AD23F4" w14:textId="77777777" w:rsidR="00617ED1" w:rsidRDefault="003016E0">
            <w:pPr>
              <w:spacing w:after="0"/>
            </w:pPr>
            <w:r>
              <w:rPr>
                <w:rFonts w:cs="Times New Roman"/>
              </w:rPr>
              <w:t>Record the boundary as the Year-3 result; distinguish symbolic/intersystem validity from embodied validity. Do not redefine task success as invariance.</w:t>
            </w:r>
          </w:p>
        </w:tc>
      </w:tr>
      <w:tr w:rsidR="00894D55" w14:paraId="5D9EBD11" w14:textId="77777777">
        <w:trPr>
          <w:cantSplit/>
          <w:jc w:val="center"/>
        </w:trPr>
        <w:tc>
          <w:tcPr>
            <w:tcW w:w="576" w:type="dxa"/>
            <w:shd w:val="clear" w:color="auto" w:fill="FFFFFF"/>
            <w:tcMar>
              <w:top w:w="45" w:type="dxa"/>
              <w:left w:w="55" w:type="dxa"/>
              <w:bottom w:w="45" w:type="dxa"/>
              <w:right w:w="55" w:type="dxa"/>
            </w:tcMar>
            <w:vAlign w:val="center"/>
          </w:tcPr>
          <w:p w14:paraId="551565B4" w14:textId="77777777" w:rsidR="00617ED1" w:rsidRDefault="003016E0">
            <w:pPr>
              <w:spacing w:after="0"/>
            </w:pPr>
            <w:r>
              <w:rPr>
                <w:rFonts w:cs="Times New Roman"/>
              </w:rPr>
              <w:t>IR6</w:t>
            </w:r>
          </w:p>
        </w:tc>
        <w:tc>
          <w:tcPr>
            <w:tcW w:w="2952" w:type="dxa"/>
            <w:shd w:val="clear" w:color="auto" w:fill="FFFFFF"/>
            <w:tcMar>
              <w:top w:w="45" w:type="dxa"/>
              <w:left w:w="55" w:type="dxa"/>
              <w:bottom w:w="45" w:type="dxa"/>
              <w:right w:w="55" w:type="dxa"/>
            </w:tcMar>
            <w:vAlign w:val="center"/>
          </w:tcPr>
          <w:p w14:paraId="30EB9790" w14:textId="77777777" w:rsidR="00617ED1" w:rsidRDefault="003016E0">
            <w:pPr>
              <w:spacing w:after="0"/>
            </w:pPr>
            <w:r>
              <w:rPr>
                <w:rFonts w:cs="Times New Roman"/>
              </w:rPr>
              <w:t>Provider/API/compute volatility disrupts campaigns.</w:t>
            </w:r>
          </w:p>
        </w:tc>
        <w:tc>
          <w:tcPr>
            <w:tcW w:w="648" w:type="dxa"/>
            <w:shd w:val="clear" w:color="auto" w:fill="FFFFFF"/>
            <w:tcMar>
              <w:top w:w="45" w:type="dxa"/>
              <w:left w:w="55" w:type="dxa"/>
              <w:bottom w:w="45" w:type="dxa"/>
              <w:right w:w="55" w:type="dxa"/>
            </w:tcMar>
            <w:vAlign w:val="center"/>
          </w:tcPr>
          <w:p w14:paraId="59223BBD" w14:textId="77777777" w:rsidR="00617ED1" w:rsidRDefault="003016E0">
            <w:pPr>
              <w:spacing w:after="0"/>
            </w:pPr>
            <w:r>
              <w:rPr>
                <w:rFonts w:cs="Times New Roman"/>
              </w:rPr>
              <w:t>M/M</w:t>
            </w:r>
          </w:p>
        </w:tc>
        <w:tc>
          <w:tcPr>
            <w:tcW w:w="5760" w:type="dxa"/>
            <w:shd w:val="clear" w:color="auto" w:fill="FFFFFF"/>
            <w:tcMar>
              <w:top w:w="45" w:type="dxa"/>
              <w:left w:w="55" w:type="dxa"/>
              <w:bottom w:w="45" w:type="dxa"/>
              <w:right w:w="55" w:type="dxa"/>
            </w:tcMar>
            <w:vAlign w:val="center"/>
          </w:tcPr>
          <w:p w14:paraId="115AA5FE" w14:textId="77777777" w:rsidR="00617ED1" w:rsidRDefault="003016E0">
            <w:pPr>
              <w:spacing w:after="0"/>
            </w:pPr>
            <w:r>
              <w:rPr>
                <w:rFonts w:cs="Times New Roman"/>
              </w:rPr>
              <w:t>Multi-provider and local fallback design; version-bound manifests; provider substitution recorded as an experimental factor.</w:t>
            </w:r>
          </w:p>
        </w:tc>
      </w:tr>
      <w:tr w:rsidR="00894D55" w14:paraId="14E02D3E" w14:textId="77777777">
        <w:trPr>
          <w:cantSplit/>
          <w:jc w:val="center"/>
        </w:trPr>
        <w:tc>
          <w:tcPr>
            <w:tcW w:w="576" w:type="dxa"/>
            <w:shd w:val="clear" w:color="auto" w:fill="FFFFFF"/>
            <w:tcMar>
              <w:top w:w="45" w:type="dxa"/>
              <w:left w:w="55" w:type="dxa"/>
              <w:bottom w:w="45" w:type="dxa"/>
              <w:right w:w="55" w:type="dxa"/>
            </w:tcMar>
            <w:vAlign w:val="center"/>
          </w:tcPr>
          <w:p w14:paraId="2DC80D11" w14:textId="77777777" w:rsidR="00617ED1" w:rsidRDefault="003016E0">
            <w:pPr>
              <w:spacing w:after="0"/>
            </w:pPr>
            <w:r>
              <w:rPr>
                <w:rFonts w:cs="Times New Roman"/>
              </w:rPr>
              <w:t>IR7</w:t>
            </w:r>
          </w:p>
        </w:tc>
        <w:tc>
          <w:tcPr>
            <w:tcW w:w="2952" w:type="dxa"/>
            <w:shd w:val="clear" w:color="auto" w:fill="FFFFFF"/>
            <w:tcMar>
              <w:top w:w="45" w:type="dxa"/>
              <w:left w:w="55" w:type="dxa"/>
              <w:bottom w:w="45" w:type="dxa"/>
              <w:right w:w="55" w:type="dxa"/>
            </w:tcMar>
            <w:vAlign w:val="center"/>
          </w:tcPr>
          <w:p w14:paraId="6EAA217C" w14:textId="77777777" w:rsidR="00617ED1" w:rsidRDefault="003016E0">
            <w:pPr>
              <w:spacing w:after="0"/>
            </w:pPr>
            <w:r>
              <w:rPr>
                <w:rFonts w:cs="Times New Roman"/>
              </w:rPr>
              <w:t>External negative results narrow exploitation scope.</w:t>
            </w:r>
          </w:p>
        </w:tc>
        <w:tc>
          <w:tcPr>
            <w:tcW w:w="648" w:type="dxa"/>
            <w:shd w:val="clear" w:color="auto" w:fill="FFFFFF"/>
            <w:tcMar>
              <w:top w:w="45" w:type="dxa"/>
              <w:left w:w="55" w:type="dxa"/>
              <w:bottom w:w="45" w:type="dxa"/>
              <w:right w:w="55" w:type="dxa"/>
            </w:tcMar>
            <w:vAlign w:val="center"/>
          </w:tcPr>
          <w:p w14:paraId="0FD389DC" w14:textId="77777777" w:rsidR="00617ED1" w:rsidRDefault="003016E0">
            <w:pPr>
              <w:spacing w:after="0"/>
            </w:pPr>
            <w:r>
              <w:rPr>
                <w:rFonts w:cs="Times New Roman"/>
              </w:rPr>
              <w:t>M/M</w:t>
            </w:r>
          </w:p>
        </w:tc>
        <w:tc>
          <w:tcPr>
            <w:tcW w:w="5760" w:type="dxa"/>
            <w:shd w:val="clear" w:color="auto" w:fill="FFFFFF"/>
            <w:tcMar>
              <w:top w:w="45" w:type="dxa"/>
              <w:left w:w="55" w:type="dxa"/>
              <w:bottom w:w="45" w:type="dxa"/>
              <w:right w:w="55" w:type="dxa"/>
            </w:tcMar>
            <w:vAlign w:val="center"/>
          </w:tcPr>
          <w:p w14:paraId="415C817B" w14:textId="77777777" w:rsidR="00617ED1" w:rsidRDefault="003016E0">
            <w:pPr>
              <w:spacing w:after="0"/>
            </w:pPr>
            <w:r>
              <w:rPr>
                <w:rFonts w:cs="Times New Roman"/>
              </w:rPr>
              <w:t>Exploit only the mechanisms and domains that remain established; publish restrictions and counterexamples as scientific outputs.</w:t>
            </w:r>
          </w:p>
        </w:tc>
      </w:tr>
      <w:tr w:rsidR="00894D55" w14:paraId="74A6056B" w14:textId="77777777">
        <w:trPr>
          <w:cantSplit/>
          <w:jc w:val="center"/>
        </w:trPr>
        <w:tc>
          <w:tcPr>
            <w:tcW w:w="576" w:type="dxa"/>
            <w:shd w:val="clear" w:color="auto" w:fill="FFFFFF"/>
            <w:tcMar>
              <w:top w:w="45" w:type="dxa"/>
              <w:left w:w="55" w:type="dxa"/>
              <w:bottom w:w="45" w:type="dxa"/>
              <w:right w:w="55" w:type="dxa"/>
            </w:tcMar>
            <w:vAlign w:val="center"/>
          </w:tcPr>
          <w:p w14:paraId="77346A07" w14:textId="77777777" w:rsidR="00617ED1" w:rsidRDefault="003016E0">
            <w:pPr>
              <w:spacing w:after="0"/>
            </w:pPr>
            <w:r>
              <w:rPr>
                <w:rFonts w:cs="Times New Roman"/>
              </w:rPr>
              <w:t>IR8</w:t>
            </w:r>
          </w:p>
        </w:tc>
        <w:tc>
          <w:tcPr>
            <w:tcW w:w="2952" w:type="dxa"/>
            <w:shd w:val="clear" w:color="auto" w:fill="FFFFFF"/>
            <w:tcMar>
              <w:top w:w="45" w:type="dxa"/>
              <w:left w:w="55" w:type="dxa"/>
              <w:bottom w:w="45" w:type="dxa"/>
              <w:right w:w="55" w:type="dxa"/>
            </w:tcMar>
            <w:vAlign w:val="center"/>
          </w:tcPr>
          <w:p w14:paraId="30D48BD3" w14:textId="77777777" w:rsidR="00617ED1" w:rsidRDefault="003016E0">
            <w:pPr>
              <w:spacing w:after="0"/>
            </w:pPr>
            <w:r>
              <w:rPr>
                <w:rFonts w:cs="Times New Roman"/>
              </w:rPr>
              <w:t>IP/Open-Science constraints limit independent scrutiny.</w:t>
            </w:r>
          </w:p>
        </w:tc>
        <w:tc>
          <w:tcPr>
            <w:tcW w:w="648" w:type="dxa"/>
            <w:shd w:val="clear" w:color="auto" w:fill="FFFFFF"/>
            <w:tcMar>
              <w:top w:w="45" w:type="dxa"/>
              <w:left w:w="55" w:type="dxa"/>
              <w:bottom w:w="45" w:type="dxa"/>
              <w:right w:w="55" w:type="dxa"/>
            </w:tcMar>
            <w:vAlign w:val="center"/>
          </w:tcPr>
          <w:p w14:paraId="6504EC1A" w14:textId="77777777" w:rsidR="00617ED1" w:rsidRDefault="003016E0">
            <w:pPr>
              <w:spacing w:after="0"/>
            </w:pPr>
            <w:r>
              <w:rPr>
                <w:rFonts w:cs="Times New Roman"/>
              </w:rPr>
              <w:t>L/M</w:t>
            </w:r>
          </w:p>
        </w:tc>
        <w:tc>
          <w:tcPr>
            <w:tcW w:w="5760" w:type="dxa"/>
            <w:shd w:val="clear" w:color="auto" w:fill="FFFFFF"/>
            <w:tcMar>
              <w:top w:w="45" w:type="dxa"/>
              <w:left w:w="55" w:type="dxa"/>
              <w:bottom w:w="45" w:type="dxa"/>
              <w:right w:w="55" w:type="dxa"/>
            </w:tcMar>
            <w:vAlign w:val="center"/>
          </w:tcPr>
          <w:p w14:paraId="08E2821B" w14:textId="77777777" w:rsidR="00617ED1" w:rsidRDefault="003016E0">
            <w:pPr>
              <w:spacing w:after="0"/>
            </w:pPr>
            <w:r>
              <w:rPr>
                <w:rFonts w:cs="Times New Roman"/>
              </w:rPr>
              <w:t>Publish hypotheses, metrics, interfaces, frozen outputs and sufficient metadata; use controlled verification for protected runtime and maintain explicit access-rights records.</w:t>
            </w:r>
          </w:p>
        </w:tc>
      </w:tr>
    </w:tbl>
    <w:p w14:paraId="202AE23E" w14:textId="77777777" w:rsidR="00894D55" w:rsidRDefault="00894D55"/>
    <w:p w14:paraId="28362E7B" w14:textId="77777777" w:rsidR="00894D55" w:rsidRDefault="00B20FC1">
      <w:pPr>
        <w:keepNext/>
        <w:spacing w:before="60" w:after="40"/>
      </w:pPr>
      <w:r>
        <w:rPr>
          <w:rFonts w:cs="Times New Roman"/>
          <w:b/>
        </w:rPr>
        <w:t>Person-months and staffing model (Table 3.1f)</w:t>
      </w:r>
    </w:p>
    <w:p w14:paraId="41A1E2E0" w14:textId="77777777" w:rsidR="00894D55" w:rsidRDefault="00B20FC1">
      <w:r>
        <w:rPr>
          <w:rFonts w:cs="Times New Roman"/>
        </w:rPr>
        <w:t xml:space="preserve">The resource plan is deliberately role-based because the action may be submitted as a mono-beneficiary project and specialist profiles may be recruited or </w:t>
      </w:r>
      <w:proofErr w:type="spellStart"/>
      <w:r>
        <w:rPr>
          <w:rFonts w:cs="Times New Roman"/>
        </w:rPr>
        <w:t>formalised</w:t>
      </w:r>
      <w:proofErr w:type="spellEnd"/>
      <w:r>
        <w:rPr>
          <w:rFonts w:cs="Times New Roman"/>
        </w:rPr>
        <w:t xml:space="preserve"> before grant start. The 108 PM envelope corresponds to an average of 3.0 FTE over 36 months. It is a planning baseline for Part B and must be reconciled exactly with Part A and the final legal participant structure. It does not imply that every specialist is already employed at submission.</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1656"/>
        <w:gridCol w:w="648"/>
        <w:gridCol w:w="648"/>
        <w:gridCol w:w="648"/>
        <w:gridCol w:w="648"/>
        <w:gridCol w:w="648"/>
        <w:gridCol w:w="648"/>
        <w:gridCol w:w="648"/>
        <w:gridCol w:w="648"/>
        <w:gridCol w:w="648"/>
        <w:gridCol w:w="792"/>
      </w:tblGrid>
      <w:tr w:rsidR="00894D55" w14:paraId="2BC87277" w14:textId="77777777">
        <w:trPr>
          <w:tblHeader/>
          <w:jc w:val="center"/>
        </w:trPr>
        <w:tc>
          <w:tcPr>
            <w:tcW w:w="1656" w:type="dxa"/>
            <w:shd w:val="clear" w:color="auto" w:fill="E7E6E6"/>
            <w:tcMar>
              <w:top w:w="45" w:type="dxa"/>
              <w:left w:w="55" w:type="dxa"/>
              <w:bottom w:w="45" w:type="dxa"/>
              <w:right w:w="55" w:type="dxa"/>
            </w:tcMar>
            <w:vAlign w:val="center"/>
          </w:tcPr>
          <w:p w14:paraId="7A897C12" w14:textId="77777777" w:rsidR="00894D55" w:rsidRDefault="00B20FC1">
            <w:pPr>
              <w:spacing w:after="0"/>
            </w:pPr>
            <w:r>
              <w:rPr>
                <w:rFonts w:cs="Times New Roman"/>
                <w:b/>
              </w:rPr>
              <w:t>Participant</w:t>
            </w:r>
          </w:p>
        </w:tc>
        <w:tc>
          <w:tcPr>
            <w:tcW w:w="648" w:type="dxa"/>
            <w:shd w:val="clear" w:color="auto" w:fill="E7E6E6"/>
            <w:tcMar>
              <w:top w:w="45" w:type="dxa"/>
              <w:left w:w="55" w:type="dxa"/>
              <w:bottom w:w="45" w:type="dxa"/>
              <w:right w:w="55" w:type="dxa"/>
            </w:tcMar>
            <w:vAlign w:val="center"/>
          </w:tcPr>
          <w:p w14:paraId="0769B06F" w14:textId="77777777" w:rsidR="00894D55" w:rsidRDefault="00B20FC1">
            <w:pPr>
              <w:spacing w:after="0"/>
            </w:pPr>
            <w:r>
              <w:rPr>
                <w:rFonts w:cs="Times New Roman"/>
                <w:b/>
              </w:rPr>
              <w:t>WP1</w:t>
            </w:r>
          </w:p>
        </w:tc>
        <w:tc>
          <w:tcPr>
            <w:tcW w:w="648" w:type="dxa"/>
            <w:shd w:val="clear" w:color="auto" w:fill="E7E6E6"/>
            <w:tcMar>
              <w:top w:w="45" w:type="dxa"/>
              <w:left w:w="55" w:type="dxa"/>
              <w:bottom w:w="45" w:type="dxa"/>
              <w:right w:w="55" w:type="dxa"/>
            </w:tcMar>
            <w:vAlign w:val="center"/>
          </w:tcPr>
          <w:p w14:paraId="7CA24965" w14:textId="77777777" w:rsidR="00894D55" w:rsidRDefault="00B20FC1">
            <w:pPr>
              <w:spacing w:after="0"/>
            </w:pPr>
            <w:r>
              <w:rPr>
                <w:rFonts w:cs="Times New Roman"/>
                <w:b/>
              </w:rPr>
              <w:t>WP2</w:t>
            </w:r>
          </w:p>
        </w:tc>
        <w:tc>
          <w:tcPr>
            <w:tcW w:w="648" w:type="dxa"/>
            <w:shd w:val="clear" w:color="auto" w:fill="E7E6E6"/>
            <w:tcMar>
              <w:top w:w="45" w:type="dxa"/>
              <w:left w:w="55" w:type="dxa"/>
              <w:bottom w:w="45" w:type="dxa"/>
              <w:right w:w="55" w:type="dxa"/>
            </w:tcMar>
            <w:vAlign w:val="center"/>
          </w:tcPr>
          <w:p w14:paraId="78E694EF" w14:textId="77777777" w:rsidR="00894D55" w:rsidRDefault="00B20FC1">
            <w:pPr>
              <w:spacing w:after="0"/>
            </w:pPr>
            <w:r>
              <w:rPr>
                <w:rFonts w:cs="Times New Roman"/>
                <w:b/>
              </w:rPr>
              <w:t>WP3</w:t>
            </w:r>
          </w:p>
        </w:tc>
        <w:tc>
          <w:tcPr>
            <w:tcW w:w="648" w:type="dxa"/>
            <w:shd w:val="clear" w:color="auto" w:fill="E7E6E6"/>
            <w:tcMar>
              <w:top w:w="45" w:type="dxa"/>
              <w:left w:w="55" w:type="dxa"/>
              <w:bottom w:w="45" w:type="dxa"/>
              <w:right w:w="55" w:type="dxa"/>
            </w:tcMar>
            <w:vAlign w:val="center"/>
          </w:tcPr>
          <w:p w14:paraId="40EC8EBC" w14:textId="77777777" w:rsidR="00894D55" w:rsidRDefault="00B20FC1">
            <w:pPr>
              <w:spacing w:after="0"/>
            </w:pPr>
            <w:r>
              <w:rPr>
                <w:rFonts w:cs="Times New Roman"/>
                <w:b/>
              </w:rPr>
              <w:t>WP4</w:t>
            </w:r>
          </w:p>
        </w:tc>
        <w:tc>
          <w:tcPr>
            <w:tcW w:w="648" w:type="dxa"/>
            <w:shd w:val="clear" w:color="auto" w:fill="E7E6E6"/>
            <w:tcMar>
              <w:top w:w="45" w:type="dxa"/>
              <w:left w:w="55" w:type="dxa"/>
              <w:bottom w:w="45" w:type="dxa"/>
              <w:right w:w="55" w:type="dxa"/>
            </w:tcMar>
            <w:vAlign w:val="center"/>
          </w:tcPr>
          <w:p w14:paraId="4E2C8A27" w14:textId="77777777" w:rsidR="00894D55" w:rsidRDefault="00B20FC1">
            <w:pPr>
              <w:spacing w:after="0"/>
            </w:pPr>
            <w:r>
              <w:rPr>
                <w:rFonts w:cs="Times New Roman"/>
                <w:b/>
              </w:rPr>
              <w:t>WP5</w:t>
            </w:r>
          </w:p>
        </w:tc>
        <w:tc>
          <w:tcPr>
            <w:tcW w:w="648" w:type="dxa"/>
            <w:shd w:val="clear" w:color="auto" w:fill="E7E6E6"/>
            <w:tcMar>
              <w:top w:w="45" w:type="dxa"/>
              <w:left w:w="55" w:type="dxa"/>
              <w:bottom w:w="45" w:type="dxa"/>
              <w:right w:w="55" w:type="dxa"/>
            </w:tcMar>
            <w:vAlign w:val="center"/>
          </w:tcPr>
          <w:p w14:paraId="1DBCDB6D" w14:textId="77777777" w:rsidR="00894D55" w:rsidRDefault="00B20FC1">
            <w:pPr>
              <w:spacing w:after="0"/>
            </w:pPr>
            <w:r>
              <w:rPr>
                <w:rFonts w:cs="Times New Roman"/>
                <w:b/>
              </w:rPr>
              <w:t>WP6</w:t>
            </w:r>
          </w:p>
        </w:tc>
        <w:tc>
          <w:tcPr>
            <w:tcW w:w="648" w:type="dxa"/>
            <w:shd w:val="clear" w:color="auto" w:fill="E7E6E6"/>
            <w:tcMar>
              <w:top w:w="45" w:type="dxa"/>
              <w:left w:w="55" w:type="dxa"/>
              <w:bottom w:w="45" w:type="dxa"/>
              <w:right w:w="55" w:type="dxa"/>
            </w:tcMar>
            <w:vAlign w:val="center"/>
          </w:tcPr>
          <w:p w14:paraId="713AB598" w14:textId="77777777" w:rsidR="00894D55" w:rsidRDefault="00B20FC1">
            <w:pPr>
              <w:spacing w:after="0"/>
            </w:pPr>
            <w:r>
              <w:rPr>
                <w:rFonts w:cs="Times New Roman"/>
                <w:b/>
              </w:rPr>
              <w:t>WP7</w:t>
            </w:r>
          </w:p>
        </w:tc>
        <w:tc>
          <w:tcPr>
            <w:tcW w:w="648" w:type="dxa"/>
            <w:shd w:val="clear" w:color="auto" w:fill="E7E6E6"/>
            <w:tcMar>
              <w:top w:w="45" w:type="dxa"/>
              <w:left w:w="55" w:type="dxa"/>
              <w:bottom w:w="45" w:type="dxa"/>
              <w:right w:w="55" w:type="dxa"/>
            </w:tcMar>
            <w:vAlign w:val="center"/>
          </w:tcPr>
          <w:p w14:paraId="74556F9E" w14:textId="77777777" w:rsidR="00894D55" w:rsidRDefault="00B20FC1">
            <w:pPr>
              <w:spacing w:after="0"/>
            </w:pPr>
            <w:r>
              <w:rPr>
                <w:rFonts w:cs="Times New Roman"/>
                <w:b/>
              </w:rPr>
              <w:t>WP8</w:t>
            </w:r>
          </w:p>
        </w:tc>
        <w:tc>
          <w:tcPr>
            <w:tcW w:w="648" w:type="dxa"/>
            <w:shd w:val="clear" w:color="auto" w:fill="E7E6E6"/>
            <w:tcMar>
              <w:top w:w="45" w:type="dxa"/>
              <w:left w:w="55" w:type="dxa"/>
              <w:bottom w:w="45" w:type="dxa"/>
              <w:right w:w="55" w:type="dxa"/>
            </w:tcMar>
            <w:vAlign w:val="center"/>
          </w:tcPr>
          <w:p w14:paraId="0CA7F3B7" w14:textId="77777777" w:rsidR="00894D55" w:rsidRDefault="00B20FC1">
            <w:pPr>
              <w:spacing w:after="0"/>
            </w:pPr>
            <w:r>
              <w:rPr>
                <w:rFonts w:cs="Times New Roman"/>
                <w:b/>
              </w:rPr>
              <w:t>WP9</w:t>
            </w:r>
          </w:p>
        </w:tc>
        <w:tc>
          <w:tcPr>
            <w:tcW w:w="792" w:type="dxa"/>
            <w:shd w:val="clear" w:color="auto" w:fill="E7E6E6"/>
            <w:tcMar>
              <w:top w:w="45" w:type="dxa"/>
              <w:left w:w="55" w:type="dxa"/>
              <w:bottom w:w="45" w:type="dxa"/>
              <w:right w:w="55" w:type="dxa"/>
            </w:tcMar>
            <w:vAlign w:val="center"/>
          </w:tcPr>
          <w:p w14:paraId="223D7BF0" w14:textId="77777777" w:rsidR="00894D55" w:rsidRDefault="00B20FC1">
            <w:pPr>
              <w:spacing w:after="0"/>
            </w:pPr>
            <w:r>
              <w:rPr>
                <w:rFonts w:cs="Times New Roman"/>
                <w:b/>
              </w:rPr>
              <w:t>Total</w:t>
            </w:r>
          </w:p>
        </w:tc>
      </w:tr>
      <w:tr w:rsidR="00894D55" w14:paraId="65A67227" w14:textId="77777777">
        <w:trPr>
          <w:jc w:val="center"/>
        </w:trPr>
        <w:tc>
          <w:tcPr>
            <w:tcW w:w="1656" w:type="dxa"/>
            <w:shd w:val="clear" w:color="auto" w:fill="FFFFFF"/>
            <w:tcMar>
              <w:top w:w="45" w:type="dxa"/>
              <w:left w:w="55" w:type="dxa"/>
              <w:bottom w:w="45" w:type="dxa"/>
              <w:right w:w="55" w:type="dxa"/>
            </w:tcMar>
            <w:vAlign w:val="center"/>
          </w:tcPr>
          <w:p w14:paraId="43DC159F" w14:textId="77777777" w:rsidR="00894D55" w:rsidRDefault="00B20FC1">
            <w:pPr>
              <w:spacing w:after="0"/>
            </w:pPr>
            <w:r>
              <w:rPr>
                <w:rFonts w:cs="Times New Roman"/>
              </w:rPr>
              <w:t>P1 Applicant</w:t>
            </w:r>
          </w:p>
        </w:tc>
        <w:tc>
          <w:tcPr>
            <w:tcW w:w="648" w:type="dxa"/>
            <w:shd w:val="clear" w:color="auto" w:fill="FFFFFF"/>
            <w:tcMar>
              <w:top w:w="45" w:type="dxa"/>
              <w:left w:w="55" w:type="dxa"/>
              <w:bottom w:w="45" w:type="dxa"/>
              <w:right w:w="55" w:type="dxa"/>
            </w:tcMar>
            <w:vAlign w:val="center"/>
          </w:tcPr>
          <w:p w14:paraId="6D365F28" w14:textId="77777777" w:rsidR="00894D55" w:rsidRDefault="00B20FC1">
            <w:pPr>
              <w:spacing w:after="0"/>
            </w:pPr>
            <w:r>
              <w:rPr>
                <w:rFonts w:cs="Times New Roman"/>
              </w:rPr>
              <w:t>8</w:t>
            </w:r>
          </w:p>
        </w:tc>
        <w:tc>
          <w:tcPr>
            <w:tcW w:w="648" w:type="dxa"/>
            <w:shd w:val="clear" w:color="auto" w:fill="FFFFFF"/>
            <w:tcMar>
              <w:top w:w="45" w:type="dxa"/>
              <w:left w:w="55" w:type="dxa"/>
              <w:bottom w:w="45" w:type="dxa"/>
              <w:right w:w="55" w:type="dxa"/>
            </w:tcMar>
            <w:vAlign w:val="center"/>
          </w:tcPr>
          <w:p w14:paraId="59ED7F09" w14:textId="77777777" w:rsidR="00894D55" w:rsidRDefault="00B20FC1">
            <w:pPr>
              <w:spacing w:after="0"/>
            </w:pPr>
            <w:r>
              <w:rPr>
                <w:rFonts w:cs="Times New Roman"/>
              </w:rPr>
              <w:t>20</w:t>
            </w:r>
          </w:p>
        </w:tc>
        <w:tc>
          <w:tcPr>
            <w:tcW w:w="648" w:type="dxa"/>
            <w:shd w:val="clear" w:color="auto" w:fill="FFFFFF"/>
            <w:tcMar>
              <w:top w:w="45" w:type="dxa"/>
              <w:left w:w="55" w:type="dxa"/>
              <w:bottom w:w="45" w:type="dxa"/>
              <w:right w:w="55" w:type="dxa"/>
            </w:tcMar>
            <w:vAlign w:val="center"/>
          </w:tcPr>
          <w:p w14:paraId="072F5FB4" w14:textId="77777777" w:rsidR="00894D55" w:rsidRDefault="00B20FC1">
            <w:pPr>
              <w:spacing w:after="0"/>
            </w:pPr>
            <w:r>
              <w:rPr>
                <w:rFonts w:cs="Times New Roman"/>
              </w:rPr>
              <w:t>18</w:t>
            </w:r>
          </w:p>
        </w:tc>
        <w:tc>
          <w:tcPr>
            <w:tcW w:w="648" w:type="dxa"/>
            <w:shd w:val="clear" w:color="auto" w:fill="FFFFFF"/>
            <w:tcMar>
              <w:top w:w="45" w:type="dxa"/>
              <w:left w:w="55" w:type="dxa"/>
              <w:bottom w:w="45" w:type="dxa"/>
              <w:right w:w="55" w:type="dxa"/>
            </w:tcMar>
            <w:vAlign w:val="center"/>
          </w:tcPr>
          <w:p w14:paraId="3F77314A" w14:textId="77777777" w:rsidR="00894D55" w:rsidRDefault="00B20FC1">
            <w:pPr>
              <w:spacing w:after="0"/>
            </w:pPr>
            <w:r>
              <w:rPr>
                <w:rFonts w:cs="Times New Roman"/>
              </w:rPr>
              <w:t>5</w:t>
            </w:r>
          </w:p>
        </w:tc>
        <w:tc>
          <w:tcPr>
            <w:tcW w:w="648" w:type="dxa"/>
            <w:shd w:val="clear" w:color="auto" w:fill="FFFFFF"/>
            <w:tcMar>
              <w:top w:w="45" w:type="dxa"/>
              <w:left w:w="55" w:type="dxa"/>
              <w:bottom w:w="45" w:type="dxa"/>
              <w:right w:w="55" w:type="dxa"/>
            </w:tcMar>
            <w:vAlign w:val="center"/>
          </w:tcPr>
          <w:p w14:paraId="5AAAC6DD" w14:textId="77777777" w:rsidR="00894D55" w:rsidRDefault="00B20FC1">
            <w:pPr>
              <w:spacing w:after="0"/>
            </w:pPr>
            <w:r>
              <w:rPr>
                <w:rFonts w:cs="Times New Roman"/>
              </w:rPr>
              <w:t>8</w:t>
            </w:r>
          </w:p>
        </w:tc>
        <w:tc>
          <w:tcPr>
            <w:tcW w:w="648" w:type="dxa"/>
            <w:shd w:val="clear" w:color="auto" w:fill="FFFFFF"/>
            <w:tcMar>
              <w:top w:w="45" w:type="dxa"/>
              <w:left w:w="55" w:type="dxa"/>
              <w:bottom w:w="45" w:type="dxa"/>
              <w:right w:w="55" w:type="dxa"/>
            </w:tcMar>
            <w:vAlign w:val="center"/>
          </w:tcPr>
          <w:p w14:paraId="649BE419" w14:textId="77777777" w:rsidR="00894D55" w:rsidRDefault="00B20FC1">
            <w:pPr>
              <w:spacing w:after="0"/>
            </w:pPr>
            <w:r>
              <w:rPr>
                <w:rFonts w:cs="Times New Roman"/>
              </w:rPr>
              <w:t>20</w:t>
            </w:r>
          </w:p>
        </w:tc>
        <w:tc>
          <w:tcPr>
            <w:tcW w:w="648" w:type="dxa"/>
            <w:shd w:val="clear" w:color="auto" w:fill="FFFFFF"/>
            <w:tcMar>
              <w:top w:w="45" w:type="dxa"/>
              <w:left w:w="55" w:type="dxa"/>
              <w:bottom w:w="45" w:type="dxa"/>
              <w:right w:w="55" w:type="dxa"/>
            </w:tcMar>
            <w:vAlign w:val="center"/>
          </w:tcPr>
          <w:p w14:paraId="4B8A8ECA" w14:textId="77777777" w:rsidR="00894D55" w:rsidRDefault="00B20FC1">
            <w:pPr>
              <w:spacing w:after="0"/>
            </w:pPr>
            <w:r>
              <w:rPr>
                <w:rFonts w:cs="Times New Roman"/>
              </w:rPr>
              <w:t>22</w:t>
            </w:r>
          </w:p>
        </w:tc>
        <w:tc>
          <w:tcPr>
            <w:tcW w:w="648" w:type="dxa"/>
            <w:shd w:val="clear" w:color="auto" w:fill="FFFFFF"/>
            <w:tcMar>
              <w:top w:w="45" w:type="dxa"/>
              <w:left w:w="55" w:type="dxa"/>
              <w:bottom w:w="45" w:type="dxa"/>
              <w:right w:w="55" w:type="dxa"/>
            </w:tcMar>
            <w:vAlign w:val="center"/>
          </w:tcPr>
          <w:p w14:paraId="1D94B0F4" w14:textId="77777777" w:rsidR="00894D55" w:rsidRDefault="00B20FC1">
            <w:pPr>
              <w:spacing w:after="0"/>
            </w:pPr>
            <w:r>
              <w:rPr>
                <w:rFonts w:cs="Times New Roman"/>
              </w:rPr>
              <w:t>4</w:t>
            </w:r>
          </w:p>
        </w:tc>
        <w:tc>
          <w:tcPr>
            <w:tcW w:w="648" w:type="dxa"/>
            <w:shd w:val="clear" w:color="auto" w:fill="FFFFFF"/>
            <w:tcMar>
              <w:top w:w="45" w:type="dxa"/>
              <w:left w:w="55" w:type="dxa"/>
              <w:bottom w:w="45" w:type="dxa"/>
              <w:right w:w="55" w:type="dxa"/>
            </w:tcMar>
            <w:vAlign w:val="center"/>
          </w:tcPr>
          <w:p w14:paraId="6C5544C0" w14:textId="77777777" w:rsidR="00894D55" w:rsidRDefault="00B20FC1">
            <w:pPr>
              <w:spacing w:after="0"/>
            </w:pPr>
            <w:r>
              <w:rPr>
                <w:rFonts w:cs="Times New Roman"/>
              </w:rPr>
              <w:t>3</w:t>
            </w:r>
          </w:p>
        </w:tc>
        <w:tc>
          <w:tcPr>
            <w:tcW w:w="792" w:type="dxa"/>
            <w:shd w:val="clear" w:color="auto" w:fill="FFFFFF"/>
            <w:tcMar>
              <w:top w:w="45" w:type="dxa"/>
              <w:left w:w="55" w:type="dxa"/>
              <w:bottom w:w="45" w:type="dxa"/>
              <w:right w:w="55" w:type="dxa"/>
            </w:tcMar>
            <w:vAlign w:val="center"/>
          </w:tcPr>
          <w:p w14:paraId="1E3B57DD" w14:textId="77777777" w:rsidR="00894D55" w:rsidRDefault="00B20FC1">
            <w:pPr>
              <w:spacing w:after="0"/>
            </w:pPr>
            <w:r>
              <w:rPr>
                <w:rFonts w:cs="Times New Roman"/>
              </w:rPr>
              <w:t>108</w:t>
            </w:r>
          </w:p>
        </w:tc>
      </w:tr>
    </w:tbl>
    <w:p w14:paraId="3D763D33" w14:textId="77777777" w:rsidR="00894D55" w:rsidRDefault="00894D55"/>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2880"/>
        <w:gridCol w:w="792"/>
        <w:gridCol w:w="6408"/>
      </w:tblGrid>
      <w:tr w:rsidR="00894D55" w14:paraId="7C9AAACB" w14:textId="77777777">
        <w:trPr>
          <w:cantSplit/>
          <w:tblHeader/>
          <w:jc w:val="center"/>
        </w:trPr>
        <w:tc>
          <w:tcPr>
            <w:tcW w:w="2880" w:type="dxa"/>
            <w:shd w:val="clear" w:color="auto" w:fill="E7E6E6"/>
            <w:tcMar>
              <w:top w:w="45" w:type="dxa"/>
              <w:left w:w="55" w:type="dxa"/>
              <w:bottom w:w="45" w:type="dxa"/>
              <w:right w:w="55" w:type="dxa"/>
            </w:tcMar>
            <w:vAlign w:val="center"/>
          </w:tcPr>
          <w:p w14:paraId="7C16B11B" w14:textId="77777777" w:rsidR="00894D55" w:rsidRDefault="00B20FC1">
            <w:pPr>
              <w:spacing w:after="0"/>
            </w:pPr>
            <w:r>
              <w:rPr>
                <w:rFonts w:cs="Times New Roman"/>
                <w:b/>
              </w:rPr>
              <w:t>Role</w:t>
            </w:r>
          </w:p>
        </w:tc>
        <w:tc>
          <w:tcPr>
            <w:tcW w:w="792" w:type="dxa"/>
            <w:shd w:val="clear" w:color="auto" w:fill="E7E6E6"/>
            <w:tcMar>
              <w:top w:w="45" w:type="dxa"/>
              <w:left w:w="55" w:type="dxa"/>
              <w:bottom w:w="45" w:type="dxa"/>
              <w:right w:w="55" w:type="dxa"/>
            </w:tcMar>
            <w:vAlign w:val="center"/>
          </w:tcPr>
          <w:p w14:paraId="0D954203" w14:textId="77777777" w:rsidR="00894D55" w:rsidRDefault="00B20FC1">
            <w:pPr>
              <w:spacing w:after="0"/>
            </w:pPr>
            <w:r>
              <w:rPr>
                <w:rFonts w:cs="Times New Roman"/>
                <w:b/>
              </w:rPr>
              <w:t>PM</w:t>
            </w:r>
          </w:p>
        </w:tc>
        <w:tc>
          <w:tcPr>
            <w:tcW w:w="6408" w:type="dxa"/>
            <w:shd w:val="clear" w:color="auto" w:fill="E7E6E6"/>
            <w:tcMar>
              <w:top w:w="45" w:type="dxa"/>
              <w:left w:w="55" w:type="dxa"/>
              <w:bottom w:w="45" w:type="dxa"/>
              <w:right w:w="55" w:type="dxa"/>
            </w:tcMar>
            <w:vAlign w:val="center"/>
          </w:tcPr>
          <w:p w14:paraId="32122177" w14:textId="77777777" w:rsidR="00894D55" w:rsidRDefault="00B20FC1">
            <w:pPr>
              <w:spacing w:after="0"/>
            </w:pPr>
            <w:r>
              <w:rPr>
                <w:rFonts w:cs="Times New Roman"/>
                <w:b/>
              </w:rPr>
              <w:t>Primary contribution</w:t>
            </w:r>
          </w:p>
        </w:tc>
      </w:tr>
      <w:tr w:rsidR="00894D55" w14:paraId="4EAE2403" w14:textId="77777777">
        <w:trPr>
          <w:cantSplit/>
          <w:jc w:val="center"/>
        </w:trPr>
        <w:tc>
          <w:tcPr>
            <w:tcW w:w="2880" w:type="dxa"/>
            <w:shd w:val="clear" w:color="auto" w:fill="FFFFFF"/>
            <w:tcMar>
              <w:top w:w="45" w:type="dxa"/>
              <w:left w:w="55" w:type="dxa"/>
              <w:bottom w:w="45" w:type="dxa"/>
              <w:right w:w="55" w:type="dxa"/>
            </w:tcMar>
            <w:vAlign w:val="center"/>
          </w:tcPr>
          <w:p w14:paraId="54972269" w14:textId="77777777" w:rsidR="00894D55" w:rsidRDefault="00B20FC1">
            <w:pPr>
              <w:spacing w:after="0"/>
            </w:pPr>
            <w:r>
              <w:rPr>
                <w:rFonts w:cs="Times New Roman"/>
              </w:rPr>
              <w:t>Scientific/Technical Lead</w:t>
            </w:r>
          </w:p>
        </w:tc>
        <w:tc>
          <w:tcPr>
            <w:tcW w:w="792" w:type="dxa"/>
            <w:shd w:val="clear" w:color="auto" w:fill="FFFFFF"/>
            <w:tcMar>
              <w:top w:w="45" w:type="dxa"/>
              <w:left w:w="55" w:type="dxa"/>
              <w:bottom w:w="45" w:type="dxa"/>
              <w:right w:w="55" w:type="dxa"/>
            </w:tcMar>
            <w:vAlign w:val="center"/>
          </w:tcPr>
          <w:p w14:paraId="450FE8F1" w14:textId="77777777" w:rsidR="00894D55" w:rsidRDefault="00B20FC1">
            <w:pPr>
              <w:spacing w:after="0"/>
            </w:pPr>
            <w:r>
              <w:rPr>
                <w:rFonts w:cs="Times New Roman"/>
              </w:rPr>
              <w:t>30</w:t>
            </w:r>
          </w:p>
        </w:tc>
        <w:tc>
          <w:tcPr>
            <w:tcW w:w="6408" w:type="dxa"/>
            <w:shd w:val="clear" w:color="auto" w:fill="FFFFFF"/>
            <w:tcMar>
              <w:top w:w="45" w:type="dxa"/>
              <w:left w:w="55" w:type="dxa"/>
              <w:bottom w:w="45" w:type="dxa"/>
              <w:right w:w="55" w:type="dxa"/>
            </w:tcMar>
            <w:vAlign w:val="center"/>
          </w:tcPr>
          <w:p w14:paraId="0E683461" w14:textId="77777777" w:rsidR="00894D55" w:rsidRDefault="00B20FC1">
            <w:pPr>
              <w:spacing w:after="0"/>
            </w:pPr>
            <w:r>
              <w:rPr>
                <w:rFonts w:cs="Times New Roman"/>
              </w:rPr>
              <w:t>Scientific direction, SCC/MDPAR formal ownership, experimental decisions, governance and cross-WP integration.</w:t>
            </w:r>
          </w:p>
        </w:tc>
      </w:tr>
      <w:tr w:rsidR="00894D55" w14:paraId="29ABA956" w14:textId="77777777">
        <w:trPr>
          <w:cantSplit/>
          <w:jc w:val="center"/>
        </w:trPr>
        <w:tc>
          <w:tcPr>
            <w:tcW w:w="2880" w:type="dxa"/>
            <w:shd w:val="clear" w:color="auto" w:fill="FFFFFF"/>
            <w:tcMar>
              <w:top w:w="45" w:type="dxa"/>
              <w:left w:w="55" w:type="dxa"/>
              <w:bottom w:w="45" w:type="dxa"/>
              <w:right w:w="55" w:type="dxa"/>
            </w:tcMar>
            <w:vAlign w:val="center"/>
          </w:tcPr>
          <w:p w14:paraId="09A85877" w14:textId="77777777" w:rsidR="00894D55" w:rsidRDefault="00B20FC1">
            <w:pPr>
              <w:spacing w:after="0"/>
            </w:pPr>
            <w:r>
              <w:rPr>
                <w:rFonts w:cs="Times New Roman"/>
              </w:rPr>
              <w:t>Formal Methods / KR researcher</w:t>
            </w:r>
          </w:p>
        </w:tc>
        <w:tc>
          <w:tcPr>
            <w:tcW w:w="792" w:type="dxa"/>
            <w:shd w:val="clear" w:color="auto" w:fill="FFFFFF"/>
            <w:tcMar>
              <w:top w:w="45" w:type="dxa"/>
              <w:left w:w="55" w:type="dxa"/>
              <w:bottom w:w="45" w:type="dxa"/>
              <w:right w:w="55" w:type="dxa"/>
            </w:tcMar>
            <w:vAlign w:val="center"/>
          </w:tcPr>
          <w:p w14:paraId="1A568AC0" w14:textId="77777777" w:rsidR="00894D55" w:rsidRDefault="00B20FC1">
            <w:pPr>
              <w:spacing w:after="0"/>
            </w:pPr>
            <w:r>
              <w:rPr>
                <w:rFonts w:cs="Times New Roman"/>
              </w:rPr>
              <w:t>20</w:t>
            </w:r>
          </w:p>
        </w:tc>
        <w:tc>
          <w:tcPr>
            <w:tcW w:w="6408" w:type="dxa"/>
            <w:shd w:val="clear" w:color="auto" w:fill="FFFFFF"/>
            <w:tcMar>
              <w:top w:w="45" w:type="dxa"/>
              <w:left w:w="55" w:type="dxa"/>
              <w:bottom w:w="45" w:type="dxa"/>
              <w:right w:w="55" w:type="dxa"/>
            </w:tcMar>
            <w:vAlign w:val="center"/>
          </w:tcPr>
          <w:p w14:paraId="0515A01A" w14:textId="77777777" w:rsidR="00894D55" w:rsidRDefault="00B20FC1">
            <w:pPr>
              <w:spacing w:after="0"/>
            </w:pPr>
            <w:r>
              <w:rPr>
                <w:rFonts w:cs="Times New Roman"/>
              </w:rPr>
              <w:t>Formal specification, conformance tests, invariants, anti-leakage criteria and cross-system representation analysis.</w:t>
            </w:r>
          </w:p>
        </w:tc>
      </w:tr>
      <w:tr w:rsidR="00894D55" w14:paraId="0DBE3E9F" w14:textId="77777777">
        <w:trPr>
          <w:cantSplit/>
          <w:jc w:val="center"/>
        </w:trPr>
        <w:tc>
          <w:tcPr>
            <w:tcW w:w="2880" w:type="dxa"/>
            <w:shd w:val="clear" w:color="auto" w:fill="FFFFFF"/>
            <w:tcMar>
              <w:top w:w="45" w:type="dxa"/>
              <w:left w:w="55" w:type="dxa"/>
              <w:bottom w:w="45" w:type="dxa"/>
              <w:right w:w="55" w:type="dxa"/>
            </w:tcMar>
            <w:vAlign w:val="center"/>
          </w:tcPr>
          <w:p w14:paraId="398C224F" w14:textId="77777777" w:rsidR="00894D55" w:rsidRDefault="00B20FC1">
            <w:pPr>
              <w:spacing w:after="0"/>
            </w:pPr>
            <w:r>
              <w:rPr>
                <w:rFonts w:cs="Times New Roman"/>
              </w:rPr>
              <w:t>Experimental AI / Software engineer</w:t>
            </w:r>
          </w:p>
        </w:tc>
        <w:tc>
          <w:tcPr>
            <w:tcW w:w="792" w:type="dxa"/>
            <w:shd w:val="clear" w:color="auto" w:fill="FFFFFF"/>
            <w:tcMar>
              <w:top w:w="45" w:type="dxa"/>
              <w:left w:w="55" w:type="dxa"/>
              <w:bottom w:w="45" w:type="dxa"/>
              <w:right w:w="55" w:type="dxa"/>
            </w:tcMar>
            <w:vAlign w:val="center"/>
          </w:tcPr>
          <w:p w14:paraId="500CF0EA" w14:textId="77777777" w:rsidR="00894D55" w:rsidRDefault="00B20FC1">
            <w:pPr>
              <w:spacing w:after="0"/>
            </w:pPr>
            <w:r>
              <w:rPr>
                <w:rFonts w:cs="Times New Roman"/>
              </w:rPr>
              <w:t>24</w:t>
            </w:r>
          </w:p>
        </w:tc>
        <w:tc>
          <w:tcPr>
            <w:tcW w:w="6408" w:type="dxa"/>
            <w:shd w:val="clear" w:color="auto" w:fill="FFFFFF"/>
            <w:tcMar>
              <w:top w:w="45" w:type="dxa"/>
              <w:left w:w="55" w:type="dxa"/>
              <w:bottom w:w="45" w:type="dxa"/>
              <w:right w:w="55" w:type="dxa"/>
            </w:tcMar>
            <w:vAlign w:val="center"/>
          </w:tcPr>
          <w:p w14:paraId="1B830E09" w14:textId="77777777" w:rsidR="00894D55" w:rsidRDefault="00B20FC1">
            <w:pPr>
              <w:spacing w:after="0"/>
            </w:pPr>
            <w:r>
              <w:rPr>
                <w:rFonts w:cs="Times New Roman"/>
              </w:rPr>
              <w:t>Campaign automation, adapters, APIs, system integration, instrumentation and reproducible execution.</w:t>
            </w:r>
          </w:p>
        </w:tc>
      </w:tr>
      <w:tr w:rsidR="00894D55" w14:paraId="19A27AE7" w14:textId="77777777">
        <w:trPr>
          <w:cantSplit/>
          <w:jc w:val="center"/>
        </w:trPr>
        <w:tc>
          <w:tcPr>
            <w:tcW w:w="2880" w:type="dxa"/>
            <w:shd w:val="clear" w:color="auto" w:fill="FFFFFF"/>
            <w:tcMar>
              <w:top w:w="45" w:type="dxa"/>
              <w:left w:w="55" w:type="dxa"/>
              <w:bottom w:w="45" w:type="dxa"/>
              <w:right w:w="55" w:type="dxa"/>
            </w:tcMar>
            <w:vAlign w:val="center"/>
          </w:tcPr>
          <w:p w14:paraId="56751AF3" w14:textId="77777777" w:rsidR="00894D55" w:rsidRDefault="00B20FC1">
            <w:pPr>
              <w:spacing w:after="0"/>
            </w:pPr>
            <w:r>
              <w:rPr>
                <w:rFonts w:cs="Times New Roman"/>
              </w:rPr>
              <w:t>Quantitative / Open Science researcher</w:t>
            </w:r>
          </w:p>
        </w:tc>
        <w:tc>
          <w:tcPr>
            <w:tcW w:w="792" w:type="dxa"/>
            <w:shd w:val="clear" w:color="auto" w:fill="FFFFFF"/>
            <w:tcMar>
              <w:top w:w="45" w:type="dxa"/>
              <w:left w:w="55" w:type="dxa"/>
              <w:bottom w:w="45" w:type="dxa"/>
              <w:right w:w="55" w:type="dxa"/>
            </w:tcMar>
            <w:vAlign w:val="center"/>
          </w:tcPr>
          <w:p w14:paraId="6597B72A" w14:textId="77777777" w:rsidR="00894D55" w:rsidRDefault="00B20FC1">
            <w:pPr>
              <w:spacing w:after="0"/>
            </w:pPr>
            <w:r>
              <w:rPr>
                <w:rFonts w:cs="Times New Roman"/>
              </w:rPr>
              <w:t>12</w:t>
            </w:r>
          </w:p>
        </w:tc>
        <w:tc>
          <w:tcPr>
            <w:tcW w:w="6408" w:type="dxa"/>
            <w:shd w:val="clear" w:color="auto" w:fill="FFFFFF"/>
            <w:tcMar>
              <w:top w:w="45" w:type="dxa"/>
              <w:left w:w="55" w:type="dxa"/>
              <w:bottom w:w="45" w:type="dxa"/>
              <w:right w:w="55" w:type="dxa"/>
            </w:tcMar>
            <w:vAlign w:val="center"/>
          </w:tcPr>
          <w:p w14:paraId="085AACC3" w14:textId="77777777" w:rsidR="00894D55" w:rsidRDefault="00B20FC1">
            <w:pPr>
              <w:spacing w:after="0"/>
            </w:pPr>
            <w:r>
              <w:rPr>
                <w:rFonts w:cs="Times New Roman"/>
              </w:rPr>
              <w:t>Experimental design, uncertainty/statistical analysis, FAIR/DMP, evidence manifests and reproducibility packages.</w:t>
            </w:r>
          </w:p>
        </w:tc>
      </w:tr>
      <w:tr w:rsidR="00894D55" w14:paraId="1C54B357" w14:textId="77777777">
        <w:trPr>
          <w:cantSplit/>
          <w:jc w:val="center"/>
        </w:trPr>
        <w:tc>
          <w:tcPr>
            <w:tcW w:w="2880" w:type="dxa"/>
            <w:shd w:val="clear" w:color="auto" w:fill="FFFFFF"/>
            <w:tcMar>
              <w:top w:w="45" w:type="dxa"/>
              <w:left w:w="55" w:type="dxa"/>
              <w:bottom w:w="45" w:type="dxa"/>
              <w:right w:w="55" w:type="dxa"/>
            </w:tcMar>
            <w:vAlign w:val="center"/>
          </w:tcPr>
          <w:p w14:paraId="09519D07" w14:textId="77777777" w:rsidR="00894D55" w:rsidRDefault="00B20FC1">
            <w:pPr>
              <w:spacing w:after="0"/>
            </w:pPr>
            <w:r>
              <w:rPr>
                <w:rFonts w:cs="Times New Roman"/>
              </w:rPr>
              <w:t>Embodied AI / robotics researcher</w:t>
            </w:r>
          </w:p>
        </w:tc>
        <w:tc>
          <w:tcPr>
            <w:tcW w:w="792" w:type="dxa"/>
            <w:shd w:val="clear" w:color="auto" w:fill="FFFFFF"/>
            <w:tcMar>
              <w:top w:w="45" w:type="dxa"/>
              <w:left w:w="55" w:type="dxa"/>
              <w:bottom w:w="45" w:type="dxa"/>
              <w:right w:w="55" w:type="dxa"/>
            </w:tcMar>
            <w:vAlign w:val="center"/>
          </w:tcPr>
          <w:p w14:paraId="1B01D65C" w14:textId="77777777" w:rsidR="00894D55" w:rsidRDefault="00B20FC1">
            <w:pPr>
              <w:spacing w:after="0"/>
            </w:pPr>
            <w:r>
              <w:rPr>
                <w:rFonts w:cs="Times New Roman"/>
              </w:rPr>
              <w:t>16</w:t>
            </w:r>
          </w:p>
        </w:tc>
        <w:tc>
          <w:tcPr>
            <w:tcW w:w="6408" w:type="dxa"/>
            <w:shd w:val="clear" w:color="auto" w:fill="FFFFFF"/>
            <w:tcMar>
              <w:top w:w="45" w:type="dxa"/>
              <w:left w:w="55" w:type="dxa"/>
              <w:bottom w:w="45" w:type="dxa"/>
              <w:right w:w="55" w:type="dxa"/>
            </w:tcMar>
            <w:vAlign w:val="center"/>
          </w:tcPr>
          <w:p w14:paraId="30893F78" w14:textId="77777777" w:rsidR="00894D55" w:rsidRDefault="00B20FC1">
            <w:pPr>
              <w:spacing w:after="0"/>
            </w:pPr>
            <w:r>
              <w:rPr>
                <w:rFonts w:cs="Times New Roman"/>
              </w:rPr>
              <w:t>Simulation-to-lab protocol, perception-action integration, perturbation campaign, safety-aware TRL4 validation.</w:t>
            </w:r>
          </w:p>
        </w:tc>
      </w:tr>
      <w:tr w:rsidR="00894D55" w14:paraId="425D3519" w14:textId="77777777">
        <w:trPr>
          <w:cantSplit/>
          <w:jc w:val="center"/>
        </w:trPr>
        <w:tc>
          <w:tcPr>
            <w:tcW w:w="2880" w:type="dxa"/>
            <w:shd w:val="clear" w:color="auto" w:fill="FFFFFF"/>
            <w:tcMar>
              <w:top w:w="45" w:type="dxa"/>
              <w:left w:w="55" w:type="dxa"/>
              <w:bottom w:w="45" w:type="dxa"/>
              <w:right w:w="55" w:type="dxa"/>
            </w:tcMar>
            <w:vAlign w:val="center"/>
          </w:tcPr>
          <w:p w14:paraId="7870D4C9" w14:textId="77777777" w:rsidR="00894D55" w:rsidRDefault="00B20FC1">
            <w:pPr>
              <w:spacing w:after="0"/>
            </w:pPr>
            <w:r>
              <w:rPr>
                <w:rFonts w:cs="Times New Roman"/>
              </w:rPr>
              <w:t>Project / innovation / communication support</w:t>
            </w:r>
          </w:p>
        </w:tc>
        <w:tc>
          <w:tcPr>
            <w:tcW w:w="792" w:type="dxa"/>
            <w:shd w:val="clear" w:color="auto" w:fill="FFFFFF"/>
            <w:tcMar>
              <w:top w:w="45" w:type="dxa"/>
              <w:left w:w="55" w:type="dxa"/>
              <w:bottom w:w="45" w:type="dxa"/>
              <w:right w:w="55" w:type="dxa"/>
            </w:tcMar>
            <w:vAlign w:val="center"/>
          </w:tcPr>
          <w:p w14:paraId="1BA02E77" w14:textId="77777777" w:rsidR="00894D55" w:rsidRDefault="00B20FC1">
            <w:pPr>
              <w:spacing w:after="0"/>
            </w:pPr>
            <w:r>
              <w:rPr>
                <w:rFonts w:cs="Times New Roman"/>
              </w:rPr>
              <w:t>6</w:t>
            </w:r>
          </w:p>
        </w:tc>
        <w:tc>
          <w:tcPr>
            <w:tcW w:w="6408" w:type="dxa"/>
            <w:shd w:val="clear" w:color="auto" w:fill="FFFFFF"/>
            <w:tcMar>
              <w:top w:w="45" w:type="dxa"/>
              <w:left w:w="55" w:type="dxa"/>
              <w:bottom w:w="45" w:type="dxa"/>
              <w:right w:w="55" w:type="dxa"/>
            </w:tcMar>
            <w:vAlign w:val="center"/>
          </w:tcPr>
          <w:p w14:paraId="6B23400D" w14:textId="77777777" w:rsidR="00894D55" w:rsidRDefault="00B20FC1">
            <w:pPr>
              <w:spacing w:after="0"/>
            </w:pPr>
            <w:r>
              <w:rPr>
                <w:rFonts w:cs="Times New Roman"/>
              </w:rPr>
              <w:t>Grant administration, exploitation/FTO coordination, stakeholder/portfolio communication and reporting support.</w:t>
            </w:r>
          </w:p>
        </w:tc>
      </w:tr>
    </w:tbl>
    <w:p w14:paraId="0CCADC06" w14:textId="77777777" w:rsidR="00894D55" w:rsidRDefault="00894D55"/>
    <w:p w14:paraId="5D6780C9" w14:textId="77777777" w:rsidR="00894D55" w:rsidRDefault="00B20FC1">
      <w:pPr>
        <w:keepNext/>
        <w:spacing w:before="60" w:after="40"/>
      </w:pPr>
      <w:r>
        <w:rPr>
          <w:rFonts w:cs="Times New Roman"/>
          <w:b/>
        </w:rPr>
        <w:lastRenderedPageBreak/>
        <w:t>Other resource categories and cost logic</w:t>
      </w:r>
    </w:p>
    <w:p w14:paraId="66C4781B" w14:textId="77777777" w:rsidR="00894D55" w:rsidRDefault="00B20FC1">
      <w:r>
        <w:rPr>
          <w:rFonts w:cs="Times New Roman"/>
        </w:rPr>
        <w:t>Personnel is the principal resource category. Non-personnel costs are expected to concentrate on: (</w:t>
      </w:r>
      <w:proofErr w:type="spellStart"/>
      <w:r>
        <w:rPr>
          <w:rFonts w:cs="Times New Roman"/>
        </w:rPr>
        <w:t>i</w:t>
      </w:r>
      <w:proofErr w:type="spellEnd"/>
      <w:r>
        <w:rPr>
          <w:rFonts w:cs="Times New Roman"/>
        </w:rPr>
        <w:t xml:space="preserve">) model/API and cloud/HPC compute required for controlled multi-provider experiments; (ii) secure storage, repositories and software/developer tooling; (iii) Year-3 robotics/laboratory/testing-facility access and, where needed, sensors or interface hardware; (iv) travel and meetings for </w:t>
      </w:r>
      <w:proofErr w:type="spellStart"/>
      <w:r>
        <w:rPr>
          <w:rFonts w:cs="Times New Roman"/>
        </w:rPr>
        <w:t>DeepRAP</w:t>
      </w:r>
      <w:proofErr w:type="spellEnd"/>
      <w:r>
        <w:rPr>
          <w:rFonts w:cs="Times New Roman"/>
        </w:rPr>
        <w:t xml:space="preserve"> portfolio benchmarking, interoperability, common pilots and dissemination; and (v) Open Access/publication and repository costs where not covered by institutional arrangements. All purchases will be selected for best value and directly tied to a task/deliverable. No cost-saving claim will be allowed to reduce the capability, authority or safety floor defined in Section 1.</w:t>
      </w:r>
    </w:p>
    <w:p w14:paraId="1A40A2E4" w14:textId="77777777" w:rsidR="00894D55" w:rsidRDefault="00B20FC1">
      <w:r>
        <w:rPr>
          <w:rFonts w:cs="Times New Roman"/>
        </w:rPr>
        <w:t xml:space="preserve">Subcontracting (Table 3.1g): no subcontracting of core scientific responsibility is assumed in the baseline plan. Specialist services may be introduced only where they are non-core, necessary and compliant with Horizon Europe rules, and would then be reconciled with Part A before submission. Access to compute, APIs, testing facilities or laboratory equipment is intended primarily as eligible purchased access/services rather than transfer of scientific responsibility. Purchase-cost justification (Table 3.1h): the baseline assumes purchases remain proportionate to personnel costs; if the Part A budget places any participant above the applicable threshold, the final submission will include the corresponding </w:t>
      </w:r>
      <w:proofErr w:type="spellStart"/>
      <w:r>
        <w:rPr>
          <w:rFonts w:cs="Times New Roman"/>
        </w:rPr>
        <w:t>itemised</w:t>
      </w:r>
      <w:proofErr w:type="spellEnd"/>
      <w:r>
        <w:rPr>
          <w:rFonts w:cs="Times New Roman"/>
        </w:rPr>
        <w:t xml:space="preserve"> justification without changing the scientific work plan.</w:t>
      </w:r>
    </w:p>
    <w:p w14:paraId="3CB5BAB4" w14:textId="77777777" w:rsidR="00894D55" w:rsidRDefault="00B20FC1">
      <w:pPr>
        <w:keepNext/>
        <w:spacing w:before="60" w:after="40"/>
      </w:pPr>
      <w:r>
        <w:rPr>
          <w:rFonts w:cs="Times New Roman"/>
          <w:b/>
        </w:rPr>
        <w:t>Reporting periods and completion logic</w:t>
      </w:r>
    </w:p>
    <w:p w14:paraId="22C855DF" w14:textId="77777777" w:rsidR="00894D55" w:rsidRDefault="00B20FC1">
      <w:r>
        <w:t>For the 36-month action, RP1 covers M1-M12 and RP2 M13-M36. Overlaps are preparatory, not evidential: WP3 M3-M6 is DEVELOPMENT before the M6 freeze; WP6 M10-M12 prepares Phase A and Phase-B observability without making Year-2 confirmatory claims; WP7 M19-M24 prepares simulation/safety/integration before the M24 embodied gate. No dataset, external system or embodied condition may both determine a revised criterion and confirm that same revision without a new held-out evaluation.</w:t>
      </w:r>
    </w:p>
    <w:p w14:paraId="7A93149D" w14:textId="77777777" w:rsidR="00894D55" w:rsidRDefault="00B20FC1">
      <w:pPr>
        <w:keepNext/>
        <w:spacing w:before="120"/>
      </w:pPr>
      <w:r>
        <w:rPr>
          <w:rFonts w:cs="Times New Roman"/>
          <w:b/>
        </w:rPr>
        <w:t>3.2 Quality of the applicant / consortium</w:t>
      </w:r>
    </w:p>
    <w:p w14:paraId="778ACB9C" w14:textId="77777777" w:rsidR="00894D55" w:rsidRDefault="00B20FC1">
      <w:pPr>
        <w:keepNext/>
        <w:spacing w:before="60" w:after="40"/>
      </w:pPr>
      <w:r>
        <w:rPr>
          <w:rFonts w:cs="Times New Roman"/>
          <w:b/>
        </w:rPr>
        <w:t>Capacity model and applicant contribution</w:t>
      </w:r>
    </w:p>
    <w:p w14:paraId="22B21430" w14:textId="77777777" w:rsidR="00894D55" w:rsidRDefault="00B20FC1">
      <w:r>
        <w:rPr>
          <w:rFonts w:cs="Times New Roman"/>
        </w:rPr>
        <w:t>MDPAR-H is submitted as a mono-beneficiary action around a pre-existing scientific and technical core. The beneficiary contributes MDPAR v2.2.0, the SCC formalism, runtime/parser/engine/routing architecture, OPEN/CLOSED and longitudinal mechanisms, C0-C12 evidence infrastructure, Swagger assessment surface, metrology and reproducibility assets. This is the project core; external cooperation is required to increase experimental independence, not to make MDPAR functional.</w:t>
      </w:r>
    </w:p>
    <w:p w14:paraId="24BD3A4C" w14:textId="77777777" w:rsidR="00894D55" w:rsidRDefault="00B20FC1">
      <w:r>
        <w:t>The complementary capacities are therefore defined by the boundary tests themselves: independent formal/KR scrutiny, quantitative external-validation methodology, independently engineered cognitive systems, and embodied-AI/robotics infrastructure. They are acquired through dedicated roles, DeepRAP cooperation and institutional/facility access.</w:t>
      </w:r>
    </w:p>
    <w:p w14:paraId="0A724CAE" w14:textId="77777777" w:rsidR="00894D55" w:rsidRDefault="00B20FC1">
      <w:r>
        <w:rPr>
          <w:rFonts w:cs="Times New Roman"/>
        </w:rPr>
        <w:t>The Background is materially identifiable through the Zenodo DOI and MDPAR-docs repository, which expose the formalisation manuscript, historical run evidence, benchmark documentation and executable falsification/reproducibility commands. This provenance fixes what exists before grant start and prevents funded external validation from being confused with development of the underlying architecture.</w:t>
      </w:r>
    </w:p>
    <w:p w14:paraId="5DF4653C" w14:textId="77777777" w:rsidR="00894D55" w:rsidRDefault="00B20FC1">
      <w:pPr>
        <w:keepNext/>
        <w:spacing w:before="60" w:after="40"/>
      </w:pPr>
      <w:r>
        <w:rPr>
          <w:rFonts w:cs="Times New Roman"/>
          <w:b/>
        </w:rPr>
        <w:t>Interdisciplinary expertise and role coverage</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60" w:type="dxa"/>
          <w:bottom w:w="40" w:type="dxa"/>
          <w:right w:w="60" w:type="dxa"/>
        </w:tblCellMar>
        <w:tblLook w:val="04A0" w:firstRow="1" w:lastRow="0" w:firstColumn="1" w:lastColumn="0" w:noHBand="0" w:noVBand="1"/>
      </w:tblPr>
      <w:tblGrid>
        <w:gridCol w:w="2750"/>
        <w:gridCol w:w="3301"/>
        <w:gridCol w:w="4265"/>
      </w:tblGrid>
      <w:tr w:rsidR="00894D55" w14:paraId="37EA4AEF" w14:textId="77777777">
        <w:trPr>
          <w:cantSplit/>
          <w:tblHeader/>
          <w:jc w:val="center"/>
        </w:trPr>
        <w:tc>
          <w:tcPr>
            <w:tcW w:w="2232" w:type="dxa"/>
            <w:shd w:val="clear" w:color="auto" w:fill="E7E6E6"/>
            <w:tcMar>
              <w:top w:w="45" w:type="dxa"/>
              <w:left w:w="55" w:type="dxa"/>
              <w:bottom w:w="45" w:type="dxa"/>
              <w:right w:w="55" w:type="dxa"/>
            </w:tcMar>
            <w:vAlign w:val="center"/>
          </w:tcPr>
          <w:p w14:paraId="03DC8737" w14:textId="77777777" w:rsidR="00894D55" w:rsidRDefault="00B20FC1">
            <w:pPr>
              <w:spacing w:after="0"/>
            </w:pPr>
            <w:r>
              <w:rPr>
                <w:rFonts w:cs="Times New Roman"/>
                <w:b/>
              </w:rPr>
              <w:t>Capability required</w:t>
            </w:r>
          </w:p>
        </w:tc>
        <w:tc>
          <w:tcPr>
            <w:tcW w:w="3456" w:type="dxa"/>
            <w:shd w:val="clear" w:color="auto" w:fill="E7E6E6"/>
            <w:tcMar>
              <w:top w:w="45" w:type="dxa"/>
              <w:left w:w="55" w:type="dxa"/>
              <w:bottom w:w="45" w:type="dxa"/>
              <w:right w:w="55" w:type="dxa"/>
            </w:tcMar>
            <w:vAlign w:val="center"/>
          </w:tcPr>
          <w:p w14:paraId="3E3C0958" w14:textId="77777777" w:rsidR="00894D55" w:rsidRDefault="00B20FC1">
            <w:pPr>
              <w:spacing w:after="0"/>
            </w:pPr>
            <w:r>
              <w:rPr>
                <w:rFonts w:cs="Times New Roman"/>
                <w:b/>
              </w:rPr>
              <w:t>Why it is necessary</w:t>
            </w:r>
          </w:p>
        </w:tc>
        <w:tc>
          <w:tcPr>
            <w:tcW w:w="4392" w:type="dxa"/>
            <w:shd w:val="clear" w:color="auto" w:fill="E7E6E6"/>
            <w:tcMar>
              <w:top w:w="45" w:type="dxa"/>
              <w:left w:w="55" w:type="dxa"/>
              <w:bottom w:w="45" w:type="dxa"/>
              <w:right w:w="55" w:type="dxa"/>
            </w:tcMar>
            <w:vAlign w:val="center"/>
          </w:tcPr>
          <w:p w14:paraId="203F4FEF" w14:textId="77777777" w:rsidR="00894D55" w:rsidRDefault="00B20FC1">
            <w:pPr>
              <w:spacing w:after="0"/>
            </w:pPr>
            <w:r>
              <w:rPr>
                <w:rFonts w:cs="Times New Roman"/>
                <w:b/>
              </w:rPr>
              <w:t>How the project covers it</w:t>
            </w:r>
          </w:p>
        </w:tc>
      </w:tr>
      <w:tr w:rsidR="00894D55" w14:paraId="1387DA3E" w14:textId="77777777">
        <w:trPr>
          <w:cantSplit/>
          <w:jc w:val="center"/>
        </w:trPr>
        <w:tc>
          <w:tcPr>
            <w:tcW w:w="2232" w:type="dxa"/>
            <w:shd w:val="clear" w:color="auto" w:fill="FFFFFF"/>
            <w:tcMar>
              <w:top w:w="45" w:type="dxa"/>
              <w:left w:w="55" w:type="dxa"/>
              <w:bottom w:w="45" w:type="dxa"/>
              <w:right w:w="55" w:type="dxa"/>
            </w:tcMar>
            <w:vAlign w:val="center"/>
          </w:tcPr>
          <w:p w14:paraId="324974C3" w14:textId="77777777" w:rsidR="00894D55" w:rsidRDefault="00B20FC1">
            <w:pPr>
              <w:spacing w:after="0"/>
            </w:pPr>
            <w:r>
              <w:rPr>
                <w:rFonts w:cs="Times New Roman"/>
              </w:rPr>
              <w:t>MDPAR/SCC architecture and software</w:t>
            </w:r>
          </w:p>
        </w:tc>
        <w:tc>
          <w:tcPr>
            <w:tcW w:w="3456" w:type="dxa"/>
            <w:shd w:val="clear" w:color="auto" w:fill="FFFFFF"/>
            <w:tcMar>
              <w:top w:w="45" w:type="dxa"/>
              <w:left w:w="55" w:type="dxa"/>
              <w:bottom w:w="45" w:type="dxa"/>
              <w:right w:w="55" w:type="dxa"/>
            </w:tcMar>
            <w:vAlign w:val="center"/>
          </w:tcPr>
          <w:p w14:paraId="471130AF" w14:textId="77777777" w:rsidR="00894D55" w:rsidRDefault="00B20FC1">
            <w:pPr>
              <w:spacing w:after="0"/>
            </w:pPr>
            <w:r>
              <w:rPr>
                <w:rFonts w:cs="Times New Roman"/>
              </w:rPr>
              <w:t>Scientific object, formal semantics, instrumentation, runtime and Background integration.</w:t>
            </w:r>
          </w:p>
        </w:tc>
        <w:tc>
          <w:tcPr>
            <w:tcW w:w="4392" w:type="dxa"/>
            <w:shd w:val="clear" w:color="auto" w:fill="FFFFFF"/>
            <w:tcMar>
              <w:top w:w="45" w:type="dxa"/>
              <w:left w:w="55" w:type="dxa"/>
              <w:bottom w:w="45" w:type="dxa"/>
              <w:right w:w="55" w:type="dxa"/>
            </w:tcMar>
            <w:vAlign w:val="center"/>
          </w:tcPr>
          <w:p w14:paraId="79858D3A" w14:textId="77777777" w:rsidR="00894D55" w:rsidRDefault="00B20FC1">
            <w:pPr>
              <w:spacing w:after="0"/>
            </w:pPr>
            <w:r>
              <w:rPr>
                <w:rFonts w:cs="Times New Roman"/>
              </w:rPr>
              <w:t>Directly demonstrated by the pre-existing v2.2.0 codebase, C0-C12 evidence and operational surface; retained under the Scientific/Technical Lead.</w:t>
            </w:r>
          </w:p>
        </w:tc>
      </w:tr>
      <w:tr w:rsidR="00894D55" w14:paraId="36250329" w14:textId="77777777">
        <w:trPr>
          <w:cantSplit/>
          <w:jc w:val="center"/>
        </w:trPr>
        <w:tc>
          <w:tcPr>
            <w:tcW w:w="2232" w:type="dxa"/>
            <w:shd w:val="clear" w:color="auto" w:fill="FFFFFF"/>
            <w:tcMar>
              <w:top w:w="45" w:type="dxa"/>
              <w:left w:w="55" w:type="dxa"/>
              <w:bottom w:w="45" w:type="dxa"/>
              <w:right w:w="55" w:type="dxa"/>
            </w:tcMar>
            <w:vAlign w:val="center"/>
          </w:tcPr>
          <w:p w14:paraId="5DCC2CDA" w14:textId="77777777" w:rsidR="00894D55" w:rsidRDefault="00B20FC1">
            <w:pPr>
              <w:spacing w:after="0"/>
            </w:pPr>
            <w:r>
              <w:rPr>
                <w:rFonts w:cs="Times New Roman"/>
              </w:rPr>
              <w:t>Formal methods / knowledge representation</w:t>
            </w:r>
          </w:p>
        </w:tc>
        <w:tc>
          <w:tcPr>
            <w:tcW w:w="3456" w:type="dxa"/>
            <w:shd w:val="clear" w:color="auto" w:fill="FFFFFF"/>
            <w:tcMar>
              <w:top w:w="45" w:type="dxa"/>
              <w:left w:w="55" w:type="dxa"/>
              <w:bottom w:w="45" w:type="dxa"/>
              <w:right w:w="55" w:type="dxa"/>
            </w:tcMar>
            <w:vAlign w:val="center"/>
          </w:tcPr>
          <w:p w14:paraId="7CE1871A" w14:textId="77777777" w:rsidR="00894D55" w:rsidRDefault="00B20FC1">
            <w:pPr>
              <w:spacing w:after="0"/>
            </w:pPr>
            <w:r>
              <w:rPr>
                <w:rFonts w:cs="Times New Roman"/>
              </w:rPr>
              <w:t>Independent scrutiny of identity, transformations, invariants, equivalence and counterexamples.</w:t>
            </w:r>
          </w:p>
        </w:tc>
        <w:tc>
          <w:tcPr>
            <w:tcW w:w="4392" w:type="dxa"/>
            <w:shd w:val="clear" w:color="auto" w:fill="FFFFFF"/>
            <w:tcMar>
              <w:top w:w="45" w:type="dxa"/>
              <w:left w:w="55" w:type="dxa"/>
              <w:bottom w:w="45" w:type="dxa"/>
              <w:right w:w="55" w:type="dxa"/>
            </w:tcMar>
            <w:vAlign w:val="center"/>
          </w:tcPr>
          <w:p w14:paraId="7308DD77" w14:textId="77777777" w:rsidR="00894D55" w:rsidRDefault="00B20FC1">
            <w:pPr>
              <w:spacing w:after="0"/>
            </w:pPr>
            <w:r>
              <w:rPr>
                <w:rFonts w:cs="Times New Roman"/>
              </w:rPr>
              <w:t>Dedicated role in the staffing plan; external/independent review is preferred before confirmatory freeze.</w:t>
            </w:r>
          </w:p>
        </w:tc>
      </w:tr>
      <w:tr w:rsidR="00894D55" w14:paraId="47DAE635" w14:textId="77777777">
        <w:trPr>
          <w:cantSplit/>
          <w:jc w:val="center"/>
        </w:trPr>
        <w:tc>
          <w:tcPr>
            <w:tcW w:w="2232" w:type="dxa"/>
            <w:shd w:val="clear" w:color="auto" w:fill="FFFFFF"/>
            <w:tcMar>
              <w:top w:w="45" w:type="dxa"/>
              <w:left w:w="55" w:type="dxa"/>
              <w:bottom w:w="45" w:type="dxa"/>
              <w:right w:w="55" w:type="dxa"/>
            </w:tcMar>
            <w:vAlign w:val="center"/>
          </w:tcPr>
          <w:p w14:paraId="44F70925" w14:textId="77777777" w:rsidR="00894D55" w:rsidRDefault="00B20FC1">
            <w:pPr>
              <w:spacing w:after="0"/>
            </w:pPr>
            <w:r>
              <w:rPr>
                <w:rFonts w:cs="Times New Roman"/>
              </w:rPr>
              <w:t>Experimental AI / systems integration</w:t>
            </w:r>
          </w:p>
        </w:tc>
        <w:tc>
          <w:tcPr>
            <w:tcW w:w="3456" w:type="dxa"/>
            <w:shd w:val="clear" w:color="auto" w:fill="FFFFFF"/>
            <w:tcMar>
              <w:top w:w="45" w:type="dxa"/>
              <w:left w:w="55" w:type="dxa"/>
              <w:bottom w:w="45" w:type="dxa"/>
              <w:right w:w="55" w:type="dxa"/>
            </w:tcMar>
            <w:vAlign w:val="center"/>
          </w:tcPr>
          <w:p w14:paraId="5426B4B2" w14:textId="77777777" w:rsidR="00894D55" w:rsidRDefault="00B20FC1">
            <w:pPr>
              <w:spacing w:after="0"/>
            </w:pPr>
            <w:r>
              <w:rPr>
                <w:rFonts w:cs="Times New Roman"/>
              </w:rPr>
              <w:t>Cross-model campaigns, adapters, interoperability and controlled provider substitution.</w:t>
            </w:r>
          </w:p>
        </w:tc>
        <w:tc>
          <w:tcPr>
            <w:tcW w:w="4392" w:type="dxa"/>
            <w:shd w:val="clear" w:color="auto" w:fill="FFFFFF"/>
            <w:tcMar>
              <w:top w:w="45" w:type="dxa"/>
              <w:left w:w="55" w:type="dxa"/>
              <w:bottom w:w="45" w:type="dxa"/>
              <w:right w:w="55" w:type="dxa"/>
            </w:tcMar>
            <w:vAlign w:val="center"/>
          </w:tcPr>
          <w:p w14:paraId="6BEEEBD9" w14:textId="77777777" w:rsidR="002521F4" w:rsidRDefault="00CA190B">
            <w:r>
              <w:t>Dedicated engineering/research role; Year 2 begins in the pre-established USAL/fallback controlled cross-domain environment. Phase-B systems are the</w:t>
            </w:r>
            <w:r>
              <w:t>n selected by architectural independence, invariant relevance, native observability, adapter/ontology burden and discriminative test value; accessible independent systems remain fallback.</w:t>
            </w:r>
          </w:p>
        </w:tc>
      </w:tr>
      <w:tr w:rsidR="00894D55" w14:paraId="79A07EBE" w14:textId="77777777">
        <w:trPr>
          <w:cantSplit/>
          <w:jc w:val="center"/>
        </w:trPr>
        <w:tc>
          <w:tcPr>
            <w:tcW w:w="2232" w:type="dxa"/>
            <w:shd w:val="clear" w:color="auto" w:fill="FFFFFF"/>
            <w:tcMar>
              <w:top w:w="45" w:type="dxa"/>
              <w:left w:w="55" w:type="dxa"/>
              <w:bottom w:w="45" w:type="dxa"/>
              <w:right w:w="55" w:type="dxa"/>
            </w:tcMar>
            <w:vAlign w:val="center"/>
          </w:tcPr>
          <w:p w14:paraId="33BE5B31" w14:textId="77777777" w:rsidR="00894D55" w:rsidRDefault="00B20FC1">
            <w:pPr>
              <w:spacing w:after="0"/>
            </w:pPr>
            <w:r>
              <w:rPr>
                <w:rFonts w:cs="Times New Roman"/>
              </w:rPr>
              <w:lastRenderedPageBreak/>
              <w:t>Quantitative methodology / Open Science</w:t>
            </w:r>
          </w:p>
        </w:tc>
        <w:tc>
          <w:tcPr>
            <w:tcW w:w="3456" w:type="dxa"/>
            <w:shd w:val="clear" w:color="auto" w:fill="FFFFFF"/>
            <w:tcMar>
              <w:top w:w="45" w:type="dxa"/>
              <w:left w:w="55" w:type="dxa"/>
              <w:bottom w:w="45" w:type="dxa"/>
              <w:right w:w="55" w:type="dxa"/>
            </w:tcMar>
            <w:vAlign w:val="center"/>
          </w:tcPr>
          <w:p w14:paraId="28BD3BC5" w14:textId="77777777" w:rsidR="00894D55" w:rsidRDefault="00B20FC1">
            <w:pPr>
              <w:spacing w:after="0"/>
            </w:pPr>
            <w:r>
              <w:rPr>
                <w:rFonts w:cs="Times New Roman"/>
              </w:rPr>
              <w:t>Power/precision, nested designs, uncertainty, reproducibility and FAIR evidence.</w:t>
            </w:r>
          </w:p>
        </w:tc>
        <w:tc>
          <w:tcPr>
            <w:tcW w:w="4392" w:type="dxa"/>
            <w:shd w:val="clear" w:color="auto" w:fill="FFFFFF"/>
            <w:tcMar>
              <w:top w:w="45" w:type="dxa"/>
              <w:left w:w="55" w:type="dxa"/>
              <w:bottom w:w="45" w:type="dxa"/>
              <w:right w:w="55" w:type="dxa"/>
            </w:tcMar>
            <w:vAlign w:val="center"/>
          </w:tcPr>
          <w:p w14:paraId="7EAACDA7" w14:textId="77777777" w:rsidR="00894D55" w:rsidRDefault="00B20FC1">
            <w:pPr>
              <w:spacing w:after="0"/>
            </w:pPr>
            <w:r>
              <w:rPr>
                <w:rFonts w:cs="Times New Roman"/>
              </w:rPr>
              <w:t>Dedicated quantitative/Open Science role and separate evidence WPs.</w:t>
            </w:r>
          </w:p>
        </w:tc>
      </w:tr>
      <w:tr w:rsidR="00894D55" w14:paraId="5E09381C" w14:textId="77777777">
        <w:trPr>
          <w:cantSplit/>
          <w:jc w:val="center"/>
        </w:trPr>
        <w:tc>
          <w:tcPr>
            <w:tcW w:w="2232" w:type="dxa"/>
            <w:shd w:val="clear" w:color="auto" w:fill="FFFFFF"/>
            <w:tcMar>
              <w:top w:w="45" w:type="dxa"/>
              <w:left w:w="55" w:type="dxa"/>
              <w:bottom w:w="45" w:type="dxa"/>
              <w:right w:w="55" w:type="dxa"/>
            </w:tcMar>
            <w:vAlign w:val="center"/>
          </w:tcPr>
          <w:p w14:paraId="1D2B41A0" w14:textId="77777777" w:rsidR="00894D55" w:rsidRDefault="00B20FC1">
            <w:pPr>
              <w:spacing w:after="0"/>
            </w:pPr>
            <w:r>
              <w:rPr>
                <w:rFonts w:cs="Times New Roman"/>
              </w:rPr>
              <w:t>Cognitive science / experimental psychology</w:t>
            </w:r>
          </w:p>
        </w:tc>
        <w:tc>
          <w:tcPr>
            <w:tcW w:w="3456" w:type="dxa"/>
            <w:shd w:val="clear" w:color="auto" w:fill="FFFFFF"/>
            <w:tcMar>
              <w:top w:w="45" w:type="dxa"/>
              <w:left w:w="55" w:type="dxa"/>
              <w:bottom w:w="45" w:type="dxa"/>
              <w:right w:w="55" w:type="dxa"/>
            </w:tcMar>
            <w:vAlign w:val="center"/>
          </w:tcPr>
          <w:p w14:paraId="1F8161AE" w14:textId="77777777" w:rsidR="00894D55" w:rsidRDefault="00B20FC1">
            <w:pPr>
              <w:spacing w:after="0"/>
            </w:pPr>
            <w:r>
              <w:rPr>
                <w:rFonts w:cs="Times New Roman"/>
              </w:rPr>
              <w:t>Construct validity and protection against equating task performance with the target inferential phenomenon.</w:t>
            </w:r>
          </w:p>
        </w:tc>
        <w:tc>
          <w:tcPr>
            <w:tcW w:w="4392" w:type="dxa"/>
            <w:shd w:val="clear" w:color="auto" w:fill="FFFFFF"/>
            <w:tcMar>
              <w:top w:w="45" w:type="dxa"/>
              <w:left w:w="55" w:type="dxa"/>
              <w:bottom w:w="45" w:type="dxa"/>
              <w:right w:w="55" w:type="dxa"/>
            </w:tcMar>
            <w:vAlign w:val="center"/>
          </w:tcPr>
          <w:p w14:paraId="418D1FC9" w14:textId="77777777" w:rsidR="002521F4" w:rsidRDefault="00CA190B">
            <w:r>
              <w:t>The independently ongoing first human-grounded CONVERGENT/DIVERGENT study is scientifically concluded and frozen by 15 March 2027, irrespective of EIC funding, and enters M1 as Background. A reproducible effect prioritises corresponding Year-2 transfer conditions; a conditional effect adds its moderator/domain as a boundary variable; a precise null blocks human-effect extrapolation while leaving structural external-validity testing intact.</w:t>
            </w:r>
            <w:r/>
          </w:p>
        </w:tc>
      </w:tr>
      <w:tr w:rsidR="00894D55" w:rsidRPr="008D36B5" w14:paraId="5B09A0DB" w14:textId="77777777">
        <w:trPr>
          <w:cantSplit/>
          <w:jc w:val="center"/>
        </w:trPr>
        <w:tc>
          <w:tcPr>
            <w:tcW w:w="2232" w:type="dxa"/>
            <w:shd w:val="clear" w:color="auto" w:fill="FFFFFF"/>
            <w:tcMar>
              <w:top w:w="45" w:type="dxa"/>
              <w:left w:w="55" w:type="dxa"/>
              <w:bottom w:w="45" w:type="dxa"/>
              <w:right w:w="55" w:type="dxa"/>
            </w:tcMar>
            <w:vAlign w:val="center"/>
          </w:tcPr>
          <w:p w14:paraId="22BA7F10" w14:textId="77777777" w:rsidR="00894D55" w:rsidRDefault="00B20FC1">
            <w:pPr>
              <w:spacing w:after="0"/>
            </w:pPr>
            <w:r>
              <w:rPr>
                <w:rFonts w:cs="Times New Roman"/>
              </w:rPr>
              <w:t>Embodied AI / robotics</w:t>
            </w:r>
          </w:p>
        </w:tc>
        <w:tc>
          <w:tcPr>
            <w:tcW w:w="3456" w:type="dxa"/>
            <w:shd w:val="clear" w:color="auto" w:fill="FFFFFF"/>
            <w:tcMar>
              <w:top w:w="45" w:type="dxa"/>
              <w:left w:w="55" w:type="dxa"/>
              <w:bottom w:w="45" w:type="dxa"/>
              <w:right w:w="55" w:type="dxa"/>
            </w:tcMar>
            <w:vAlign w:val="center"/>
          </w:tcPr>
          <w:p w14:paraId="67A94A13" w14:textId="77777777" w:rsidR="00894D55" w:rsidRDefault="00B20FC1">
            <w:pPr>
              <w:spacing w:after="0"/>
            </w:pPr>
            <w:r>
              <w:rPr>
                <w:rFonts w:cs="Times New Roman"/>
              </w:rPr>
              <w:t>Physical perception-action coupling, partial observability, real-time constraints and TRL4 lab validation.</w:t>
            </w:r>
          </w:p>
        </w:tc>
        <w:tc>
          <w:tcPr>
            <w:tcW w:w="4392" w:type="dxa"/>
            <w:shd w:val="clear" w:color="auto" w:fill="FFFFFF"/>
            <w:tcMar>
              <w:top w:w="45" w:type="dxa"/>
              <w:left w:w="55" w:type="dxa"/>
              <w:bottom w:w="45" w:type="dxa"/>
              <w:right w:w="55" w:type="dxa"/>
            </w:tcMar>
            <w:vAlign w:val="center"/>
          </w:tcPr>
          <w:p w14:paraId="648B9CC2" w14:textId="77777777" w:rsidR="002521F4" w:rsidRDefault="00CA190B">
            <w:r w:rsidRPr="00F94C44">
              <w:rPr>
                <w:lang w:val="es-ES"/>
              </w:rPr>
              <w:t>Preferred cooperation/access route: USAL Departamento de Informática y Automática (Ciencia de la Computación e Inteligencia Artificial + Ingeniería de Sistemas y Automática), pursued immediately after a positive funding decision as part of the beneficiary's pre-signature feasibility gate; a qualified European host/facility fallback is maintained in parallel as needed. At least one documented route must exist before signature. Experiment-specific safety/readiness is verified before physical exposure.</w:t>
            </w:r>
            <w:r w:rsidRPr="00F94C44">
              <w:rPr>
                <w:lang w:val="es-ES"/>
              </w:rPr>
            </w:r>
            <w:r w:rsidRPr="00F94C44">
              <w:rPr>
                <w:lang w:val="es-ES"/>
              </w:rPr>
            </w:r>
            <w:r/>
          </w:p>
        </w:tc>
      </w:tr>
      <w:tr w:rsidR="00894D55" w14:paraId="0DB227E5" w14:textId="77777777">
        <w:trPr>
          <w:cantSplit/>
          <w:jc w:val="center"/>
        </w:trPr>
        <w:tc>
          <w:tcPr>
            <w:tcW w:w="2232" w:type="dxa"/>
            <w:shd w:val="clear" w:color="auto" w:fill="FFFFFF"/>
            <w:tcMar>
              <w:top w:w="45" w:type="dxa"/>
              <w:left w:w="55" w:type="dxa"/>
              <w:bottom w:w="45" w:type="dxa"/>
              <w:right w:w="55" w:type="dxa"/>
            </w:tcMar>
            <w:vAlign w:val="center"/>
          </w:tcPr>
          <w:p w14:paraId="1B6CDE5B" w14:textId="77777777" w:rsidR="00894D55" w:rsidRDefault="00B20FC1">
            <w:pPr>
              <w:spacing w:after="0"/>
            </w:pPr>
            <w:r>
              <w:rPr>
                <w:rFonts w:cs="Times New Roman"/>
              </w:rPr>
              <w:t>Innovation/IP/communication</w:t>
            </w:r>
          </w:p>
        </w:tc>
        <w:tc>
          <w:tcPr>
            <w:tcW w:w="3456" w:type="dxa"/>
            <w:shd w:val="clear" w:color="auto" w:fill="FFFFFF"/>
            <w:tcMar>
              <w:top w:w="45" w:type="dxa"/>
              <w:left w:w="55" w:type="dxa"/>
              <w:bottom w:w="45" w:type="dxa"/>
              <w:right w:w="55" w:type="dxa"/>
            </w:tcMar>
            <w:vAlign w:val="center"/>
          </w:tcPr>
          <w:p w14:paraId="3A9B1902" w14:textId="77777777" w:rsidR="00894D55" w:rsidRDefault="00B20FC1">
            <w:pPr>
              <w:spacing w:after="0"/>
            </w:pPr>
            <w:r>
              <w:rPr>
                <w:rFonts w:cs="Times New Roman"/>
              </w:rPr>
              <w:t xml:space="preserve">Protection, exploitation, </w:t>
            </w:r>
            <w:proofErr w:type="spellStart"/>
            <w:r>
              <w:rPr>
                <w:rFonts w:cs="Times New Roman"/>
              </w:rPr>
              <w:t>standardisation</w:t>
            </w:r>
            <w:proofErr w:type="spellEnd"/>
            <w:r>
              <w:rPr>
                <w:rFonts w:cs="Times New Roman"/>
              </w:rPr>
              <w:t xml:space="preserve"> and evidence-bounded communication.</w:t>
            </w:r>
          </w:p>
        </w:tc>
        <w:tc>
          <w:tcPr>
            <w:tcW w:w="4392" w:type="dxa"/>
            <w:shd w:val="clear" w:color="auto" w:fill="FFFFFF"/>
            <w:tcMar>
              <w:top w:w="45" w:type="dxa"/>
              <w:left w:w="55" w:type="dxa"/>
              <w:bottom w:w="45" w:type="dxa"/>
              <w:right w:w="55" w:type="dxa"/>
            </w:tcMar>
            <w:vAlign w:val="center"/>
          </w:tcPr>
          <w:p w14:paraId="6B1B344C" w14:textId="77777777" w:rsidR="00894D55" w:rsidRDefault="00B20FC1">
            <w:pPr>
              <w:spacing w:after="0"/>
            </w:pPr>
            <w:r>
              <w:rPr>
                <w:rFonts w:cs="Times New Roman"/>
              </w:rPr>
              <w:t>Dedicated support PM plus EIC/</w:t>
            </w:r>
            <w:proofErr w:type="spellStart"/>
            <w:r>
              <w:rPr>
                <w:rFonts w:cs="Times New Roman"/>
              </w:rPr>
              <w:t>DeepRAP</w:t>
            </w:r>
            <w:proofErr w:type="spellEnd"/>
            <w:r>
              <w:rPr>
                <w:rFonts w:cs="Times New Roman"/>
              </w:rPr>
              <w:t xml:space="preserve"> portfolio and Business Acceleration opportunities where applicable.</w:t>
            </w:r>
          </w:p>
        </w:tc>
      </w:tr>
    </w:tbl>
    <w:p w14:paraId="06B13F68" w14:textId="77777777" w:rsidR="00894D55" w:rsidRDefault="00894D55"/>
    <w:p w14:paraId="58DA29A2" w14:textId="77777777" w:rsidR="00894D55" w:rsidRDefault="00B20FC1">
      <w:pPr>
        <w:keepNext/>
        <w:spacing w:before="60" w:after="40"/>
      </w:pPr>
      <w:r>
        <w:rPr>
          <w:rFonts w:cs="Times New Roman"/>
          <w:b/>
        </w:rPr>
        <w:t>Access to critical infrastructure</w:t>
      </w:r>
    </w:p>
    <w:p w14:paraId="447C162D" w14:textId="77777777" w:rsidR="00894D55" w:rsidRDefault="00B20FC1">
      <w:pPr>
        <w:spacing w:after="0"/>
      </w:pPr>
      <w:r>
        <w:t>Critical infrastructure and controlled cross-domain route. Tier 1 (MDPAR v2.2.0, local execution and budgeted compute/API resources) is already available. The first human-grounded study is independently ongoing and will be scientifically concluded and frozen by 15 March 2027, irrespective of the EIC funding outcome. After a positive funding decision, grant preparation becomes the maximum-priority window for obtaining a documented USAL cooperation/access route or qualified European fallback before signature. 'Documented' means written access sufficient to plan Year-2 Phase A and later Year-3 work; experiment-specific robotics readiness is verified only at the M24 gate. This is a self-imposed beneficiary feasibility condition, not an EIC eligibility rule: if neither route can be secured before signature, the beneficiary will not enter a grant agreement whose stated implementation commitments cannot credibly be fulfilled. USAL is preferred because the same institutional route can support controlled inter-domain work and later robotics/control infrastructure.</w:t>
      </w:r>
    </w:p>
    <w:p w14:paraId="676B8C85" w14:textId="77777777" w:rsidR="00894D55" w:rsidRDefault="00B20FC1">
      <w:pPr>
        <w:spacing w:after="0"/>
      </w:pPr>
      <w:r>
        <w:t>Independent-system cooperation. External systems serve a different purpose from USAL/fallback: they test common-design independence. Candidates may be engaged early, but specific Phase-B commitments are evidence-conditioned by the human-grounded Background, M12 Symbolic Domain Map/double-involution closure and, where needed, Phase-A calibration. Selection uses architectural independence, relevance to surviving invariant classes, native observability, adapter/ontology burden and discriminative test value. Accessible independently engineered systems remain fallback if portfolio collaborations do not materialise.</w:t>
      </w:r>
    </w:p>
    <w:p w14:paraId="23FAB1CB" w14:textId="77777777" w:rsidR="00894D55" w:rsidRDefault="00B20FC1">
      <w:pPr>
        <w:keepNext/>
        <w:spacing w:before="60" w:after="40"/>
      </w:pPr>
      <w:r>
        <w:rPr>
          <w:rFonts w:cs="Times New Roman"/>
          <w:b/>
        </w:rPr>
        <w:t>Commercial/industrial and exploitation capacity</w:t>
      </w:r>
    </w:p>
    <w:p w14:paraId="63838CAA" w14:textId="77777777" w:rsidR="00894D55" w:rsidRDefault="00B20FC1">
      <w:pPr>
        <w:spacing w:after="0"/>
      </w:pPr>
      <w:r>
        <w:t>Industrial and institutional uptake follows the demonstrated result and the domain maps. The pre-project Swagger surface already provides a product-facing boundary; Section 2 identifies professional/institutional assessment, enterprise/on-premise cognitive infrastructure, runtime/API/SDK licensing, assurance tooling and, conditionally, embodied/OEM integration. External adopters are engaged where their workflows test or exploit an already defined capability; they are not inserted to manufacture a artificial partnership narrative.</w:t>
      </w:r>
    </w:p>
    <w:sectPr w:rsidR="00894D55" w:rsidSect="00034616">
      <w:headerReference w:type="default" r:id="rId8"/>
      <w:footerReference w:type="default" r:id="rId9"/>
      <w:pgSz w:w="11906" w:h="16838"/>
      <w:pgMar w:top="850" w:right="850" w:bottom="850" w:left="85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BB201" w14:textId="77777777" w:rsidR="00CA190B" w:rsidRDefault="00CA190B">
      <w:pPr>
        <w:spacing w:after="0"/>
      </w:pPr>
      <w:r>
        <w:separator/>
      </w:r>
    </w:p>
  </w:endnote>
  <w:endnote w:type="continuationSeparator" w:id="0">
    <w:p w14:paraId="64612BC0" w14:textId="77777777" w:rsidR="00CA190B" w:rsidRDefault="00CA19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CC78" w14:textId="77777777" w:rsidR="00286897" w:rsidRDefault="00286897">
    <w:pPr>
      <w:pStyle w:val="Piedepgina"/>
    </w:pPr>
  </w:p>
  <w:tbl>
    <w:tblPr>
      <w:tblW w:w="0" w:type="auto"/>
      <w:jc w:val="center"/>
      <w:tblLook w:val="04A0" w:firstRow="1" w:lastRow="0" w:firstColumn="1" w:lastColumn="0" w:noHBand="0" w:noVBand="1"/>
    </w:tblPr>
    <w:tblGrid>
      <w:gridCol w:w="10205"/>
    </w:tblGrid>
    <w:tr w:rsidR="00286897" w14:paraId="7F34E2E0" w14:textId="77777777">
      <w:trPr>
        <w:jc w:val="center"/>
      </w:trPr>
      <w:tc>
        <w:tcPr>
          <w:tcW w:w="10205" w:type="dxa"/>
          <w:tcBorders>
            <w:top w:val="single" w:sz="8" w:space="0" w:color="000000"/>
            <w:left w:val="single" w:sz="8" w:space="0" w:color="000000"/>
            <w:bottom w:val="single" w:sz="8" w:space="0" w:color="000000"/>
            <w:right w:val="single" w:sz="8" w:space="0" w:color="000000"/>
          </w:tcBorders>
          <w:shd w:val="clear" w:color="auto" w:fill="D9D9D9"/>
        </w:tcPr>
        <w:p w14:paraId="69E7DDCD" w14:textId="77777777" w:rsidR="00286897" w:rsidRDefault="00B31A46">
          <w:pPr>
            <w:spacing w:after="0"/>
            <w:jc w:val="center"/>
          </w:pPr>
          <w:r>
            <w:rPr>
              <w:rFonts w:cs="Times New Roman"/>
              <w:sz w:val="16"/>
            </w:rPr>
            <w:t xml:space="preserve">Part B - Page </w:t>
          </w:r>
          <w:r>
            <w:rPr>
              <w:rFonts w:cs="Times New Roman"/>
              <w:sz w:val="16"/>
            </w:rPr>
            <w:fldChar w:fldCharType="begin"/>
          </w:r>
          <w:r>
            <w:rPr>
              <w:rFonts w:cs="Times New Roman"/>
              <w:sz w:val="16"/>
            </w:rPr>
            <w:instrText xml:space="preserve"> PAGE </w:instrText>
          </w:r>
          <w:r>
            <w:rPr>
              <w:rFonts w:cs="Times New Roman"/>
              <w:sz w:val="16"/>
            </w:rPr>
            <w:fldChar w:fldCharType="separate"/>
          </w:r>
          <w:r w:rsidR="003A094B">
            <w:rPr>
              <w:rFonts w:cs="Times New Roman"/>
              <w:noProof/>
              <w:sz w:val="16"/>
            </w:rPr>
            <w:t>1</w:t>
          </w:r>
          <w:r>
            <w:rPr>
              <w:rFonts w:cs="Times New Roman"/>
              <w:sz w:val="16"/>
            </w:rPr>
            <w:fldChar w:fldCharType="end"/>
          </w:r>
          <w:r>
            <w:rPr>
              <w:rFonts w:cs="Times New Roman"/>
              <w:sz w:val="16"/>
            </w:rPr>
            <w:t xml:space="preserve"> of 30</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B997" w14:textId="77777777" w:rsidR="00CA190B" w:rsidRDefault="00CA190B">
      <w:pPr>
        <w:spacing w:after="0"/>
      </w:pPr>
      <w:r>
        <w:separator/>
      </w:r>
    </w:p>
  </w:footnote>
  <w:footnote w:type="continuationSeparator" w:id="0">
    <w:p w14:paraId="48614213" w14:textId="77777777" w:rsidR="00CA190B" w:rsidRDefault="00CA19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97853" w14:textId="77777777" w:rsidR="00286897" w:rsidRDefault="00286897">
    <w:pPr>
      <w:pStyle w:val="Encabezado"/>
    </w:pPr>
  </w:p>
  <w:tbl>
    <w:tblPr>
      <w:tblW w:w="0" w:type="auto"/>
      <w:jc w:val="center"/>
      <w:tblLook w:val="04A0" w:firstRow="1" w:lastRow="0" w:firstColumn="1" w:lastColumn="0" w:noHBand="0" w:noVBand="1"/>
    </w:tblPr>
    <w:tblGrid>
      <w:gridCol w:w="5102"/>
      <w:gridCol w:w="5102"/>
    </w:tblGrid>
    <w:tr w:rsidR="00286897" w14:paraId="450580F6" w14:textId="77777777">
      <w:trPr>
        <w:jc w:val="center"/>
      </w:trPr>
      <w:tc>
        <w:tcPr>
          <w:tcW w:w="5102" w:type="dxa"/>
          <w:tcBorders>
            <w:top w:val="nil"/>
            <w:left w:val="nil"/>
            <w:bottom w:val="nil"/>
            <w:right w:val="nil"/>
          </w:tcBorders>
          <w:vAlign w:val="center"/>
        </w:tcPr>
        <w:p w14:paraId="3429E657" w14:textId="77777777" w:rsidR="00286897" w:rsidRDefault="00B31A46">
          <w:pPr>
            <w:spacing w:after="0"/>
          </w:pPr>
          <w:r>
            <w:rPr>
              <w:rFonts w:cs="Times New Roman"/>
              <w:sz w:val="16"/>
            </w:rPr>
            <w:t xml:space="preserve">Call: HORIZON-EIC-2026-PATHFINDERCHALLENGES-01-03 - </w:t>
          </w:r>
          <w:proofErr w:type="spellStart"/>
          <w:r>
            <w:rPr>
              <w:rFonts w:cs="Times New Roman"/>
              <w:sz w:val="16"/>
            </w:rPr>
            <w:t>DeepRAP</w:t>
          </w:r>
          <w:proofErr w:type="spellEnd"/>
        </w:p>
      </w:tc>
      <w:tc>
        <w:tcPr>
          <w:tcW w:w="5102" w:type="dxa"/>
          <w:tcBorders>
            <w:top w:val="nil"/>
            <w:left w:val="nil"/>
            <w:bottom w:val="nil"/>
            <w:right w:val="nil"/>
          </w:tcBorders>
          <w:vAlign w:val="center"/>
        </w:tcPr>
        <w:p w14:paraId="46765772" w14:textId="77777777" w:rsidR="00286897" w:rsidRDefault="00B31A46">
          <w:pPr>
            <w:spacing w:after="0"/>
            <w:jc w:val="right"/>
          </w:pPr>
          <w:r>
            <w:rPr>
              <w:rFonts w:cs="Times New Roman"/>
              <w:sz w:val="16"/>
            </w:rPr>
            <w:t>EU Grants: Application form (HE EIC Pathfinder Challenges): V4.2 - 17.06.2026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209"/>
    <w:rsid w:val="0015074B"/>
    <w:rsid w:val="002521F4"/>
    <w:rsid w:val="00286897"/>
    <w:rsid w:val="0029639D"/>
    <w:rsid w:val="002A4F36"/>
    <w:rsid w:val="003016E0"/>
    <w:rsid w:val="00326F90"/>
    <w:rsid w:val="003A094B"/>
    <w:rsid w:val="00605D23"/>
    <w:rsid w:val="00617ED1"/>
    <w:rsid w:val="00894D55"/>
    <w:rsid w:val="008D36B5"/>
    <w:rsid w:val="009102B1"/>
    <w:rsid w:val="009F76C5"/>
    <w:rsid w:val="00AA1D8D"/>
    <w:rsid w:val="00B20FC1"/>
    <w:rsid w:val="00B31A46"/>
    <w:rsid w:val="00B47730"/>
    <w:rsid w:val="00C5764E"/>
    <w:rsid w:val="00CA190B"/>
    <w:rsid w:val="00CB0664"/>
    <w:rsid w:val="00F94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3ED51"/>
  <w14:defaultImageDpi w14:val="300"/>
  <w15:docId w15:val="{F44BEDE1-56A4-408F-B616-A744569E70A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166568">
      <w:bodyDiv w:val="1"/>
      <w:marLeft w:val="0"/>
      <w:marRight w:val="0"/>
      <w:marTop w:val="0"/>
      <w:marBottom w:val="0"/>
      <w:divBdr>
        <w:top w:val="none" w:sz="0" w:space="0" w:color="auto"/>
        <w:left w:val="none" w:sz="0" w:space="0" w:color="auto"/>
        <w:bottom w:val="none" w:sz="0" w:space="0" w:color="auto"/>
        <w:right w:val="none" w:sz="0" w:space="0" w:color="auto"/>
      </w:divBdr>
      <w:divsChild>
        <w:div w:id="2025668987">
          <w:marLeft w:val="0"/>
          <w:marRight w:val="0"/>
          <w:marTop w:val="0"/>
          <w:marBottom w:val="0"/>
          <w:divBdr>
            <w:top w:val="none" w:sz="0" w:space="0" w:color="auto"/>
            <w:left w:val="none" w:sz="0" w:space="0" w:color="auto"/>
            <w:bottom w:val="none" w:sz="0" w:space="0" w:color="auto"/>
            <w:right w:val="none" w:sz="0" w:space="0" w:color="auto"/>
          </w:divBdr>
        </w:div>
      </w:divsChild>
    </w:div>
    <w:div w:id="1200168876">
      <w:bodyDiv w:val="1"/>
      <w:marLeft w:val="0"/>
      <w:marRight w:val="0"/>
      <w:marTop w:val="0"/>
      <w:marBottom w:val="0"/>
      <w:divBdr>
        <w:top w:val="none" w:sz="0" w:space="0" w:color="auto"/>
        <w:left w:val="none" w:sz="0" w:space="0" w:color="auto"/>
        <w:bottom w:val="none" w:sz="0" w:space="0" w:color="auto"/>
        <w:right w:val="none" w:sz="0" w:space="0" w:color="auto"/>
      </w:divBdr>
      <w:divsChild>
        <w:div w:id="161428646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26</Pages>
  <Words>17642</Words>
  <Characters>97032</Characters>
  <Application>Microsoft Office Word</Application>
  <DocSecurity>0</DocSecurity>
  <Lines>808</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MDPAR-H Part B - Sections 1 and 2 iterated for MDPAR v2.2.0</dc:title>
  <dc:subject>MDPAR-H EIC Pathfinder DeepRAP 2026 — submission candidate</dc:subject>
  <dc:creator>Andrés Pérez Galán</dc:creator>
  <cp:keywords/>
  <dc:description>generated by python-docx</dc:description>
  <cp:lastModifiedBy>Andres</cp:lastModifiedBy>
  <cp:revision>7</cp:revision>
  <dcterms:created xsi:type="dcterms:W3CDTF">2013-12-23T23:15:00Z</dcterms:created>
  <dcterms:modified xsi:type="dcterms:W3CDTF">2026-09-18T11:48:00Z</dcterms:modified>
  <cp:category/>
</cp:coreProperties>
</file>