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43B0C" w14:textId="77777777" w:rsidR="0088522B" w:rsidRPr="00366D87" w:rsidRDefault="00C2590C" w:rsidP="00366D87">
      <w:pPr>
        <w:jc w:val="center"/>
        <w:rPr>
          <w:b/>
          <w:bCs/>
          <w:lang w:val="es-ES"/>
        </w:rPr>
      </w:pPr>
      <w:r w:rsidRPr="00366D87">
        <w:rPr>
          <w:b/>
          <w:bCs/>
          <w:lang w:val="es-ES"/>
        </w:rPr>
        <w:t>MODELO DE DIRECCIÓN DE PENSAMIENTO AMPLIADO</w:t>
      </w:r>
      <w:r w:rsidR="00E74E40" w:rsidRPr="00366D87">
        <w:rPr>
          <w:b/>
          <w:bCs/>
          <w:lang w:val="es-ES"/>
        </w:rPr>
        <w:t xml:space="preserve"> </w:t>
      </w:r>
      <w:r w:rsidRPr="00366D87">
        <w:rPr>
          <w:b/>
          <w:bCs/>
          <w:lang w:val="es-ES"/>
        </w:rPr>
        <w:t>Y REFINADO</w:t>
      </w:r>
    </w:p>
    <w:p w14:paraId="76D9EE4F" w14:textId="77777777" w:rsidR="00366D87" w:rsidRDefault="00366D87">
      <w:pPr>
        <w:jc w:val="center"/>
        <w:rPr>
          <w:i/>
          <w:lang w:val="es-ES"/>
        </w:rPr>
      </w:pPr>
    </w:p>
    <w:p w14:paraId="21983A52" w14:textId="77777777" w:rsidR="0088522B" w:rsidRPr="00E74E40" w:rsidRDefault="00A773AF">
      <w:pPr>
        <w:jc w:val="center"/>
        <w:rPr>
          <w:lang w:val="es-ES"/>
        </w:rPr>
      </w:pPr>
      <w:r w:rsidRPr="00A773AF">
        <w:rPr>
          <w:i/>
          <w:lang w:val="es-ES"/>
        </w:rPr>
        <w:t>Fo</w:t>
      </w:r>
      <w:r>
        <w:rPr>
          <w:i/>
          <w:lang w:val="es-ES"/>
        </w:rPr>
        <w:t xml:space="preserve">rmalización del </w:t>
      </w:r>
      <w:r w:rsidR="00C2590C" w:rsidRPr="00A773AF">
        <w:rPr>
          <w:i/>
          <w:lang w:val="es-ES"/>
        </w:rPr>
        <w:t xml:space="preserve">Sistema de Coordenadas Cognitivas y </w:t>
      </w:r>
      <w:r>
        <w:rPr>
          <w:i/>
          <w:lang w:val="es-ES"/>
        </w:rPr>
        <w:t>su expresión simbólica en un software agnóstico al dominio</w:t>
      </w:r>
    </w:p>
    <w:p w14:paraId="68022BBC" w14:textId="77777777" w:rsidR="0088522B" w:rsidRPr="00E74E40" w:rsidRDefault="00C2590C">
      <w:pPr>
        <w:spacing w:before="720"/>
        <w:jc w:val="center"/>
        <w:rPr>
          <w:lang w:val="es-ES"/>
        </w:rPr>
      </w:pPr>
      <w:r w:rsidRPr="00E74E40">
        <w:rPr>
          <w:lang w:val="es-ES"/>
        </w:rPr>
        <w:t>Andrés Pérez Galán</w:t>
      </w:r>
    </w:p>
    <w:p w14:paraId="3654C43B" w14:textId="77777777" w:rsidR="0088522B" w:rsidRPr="00E74E40" w:rsidRDefault="00C2590C">
      <w:pPr>
        <w:spacing w:before="560"/>
        <w:jc w:val="center"/>
        <w:rPr>
          <w:lang w:val="es-ES"/>
        </w:rPr>
      </w:pPr>
      <w:r w:rsidRPr="00E74E40">
        <w:rPr>
          <w:lang w:val="es-ES"/>
        </w:rPr>
        <w:t>Propuesta doctoral inédita</w:t>
      </w:r>
      <w:r w:rsidRPr="00E74E40">
        <w:rPr>
          <w:lang w:val="es-ES"/>
        </w:rPr>
        <w:br/>
        <w:t>Documento de investigación previo a matrícula y aprobación formal del Plan de Investigación</w:t>
      </w:r>
    </w:p>
    <w:p w14:paraId="6CF8EBB7" w14:textId="77777777" w:rsidR="0088522B" w:rsidRPr="00E74E40" w:rsidRDefault="00C2590C">
      <w:pPr>
        <w:spacing w:before="1000"/>
        <w:jc w:val="center"/>
        <w:rPr>
          <w:lang w:val="es-ES"/>
        </w:rPr>
      </w:pPr>
      <w:r w:rsidRPr="00E74E40">
        <w:rPr>
          <w:lang w:val="es-ES"/>
        </w:rPr>
        <w:t>Madrid, 2026</w:t>
      </w:r>
    </w:p>
    <w:p w14:paraId="2477B4FB" w14:textId="77777777" w:rsidR="006C2240" w:rsidRDefault="006C2240">
      <w:pPr>
        <w:spacing w:after="200" w:line="276" w:lineRule="auto"/>
        <w:rPr>
          <w:lang w:val="es-ES"/>
        </w:rPr>
      </w:pPr>
      <w:r>
        <w:rPr>
          <w:lang w:val="es-ES"/>
        </w:rPr>
        <w:br w:type="page"/>
      </w:r>
    </w:p>
    <w:p w14:paraId="1F66D16F" w14:textId="77777777" w:rsidR="0088522B" w:rsidRPr="00E74E40" w:rsidRDefault="00C2590C">
      <w:pPr>
        <w:jc w:val="center"/>
        <w:rPr>
          <w:lang w:val="es-ES"/>
        </w:rPr>
      </w:pPr>
      <w:r w:rsidRPr="00E74E40">
        <w:rPr>
          <w:b/>
          <w:lang w:val="es-ES"/>
        </w:rPr>
        <w:lastRenderedPageBreak/>
        <w:t>DECLARACIÓN DE AUTORÍA Y ORIGINALIDAD</w:t>
      </w:r>
    </w:p>
    <w:p w14:paraId="467D5768" w14:textId="77777777" w:rsidR="002A7BB8" w:rsidRDefault="002A7BB8">
      <w:pPr>
        <w:ind w:firstLine="709"/>
        <w:jc w:val="both"/>
        <w:rPr>
          <w:lang w:val="es-ES"/>
        </w:rPr>
      </w:pPr>
    </w:p>
    <w:p w14:paraId="518F0094" w14:textId="77777777" w:rsidR="0088522B" w:rsidRPr="00E74E40" w:rsidRDefault="00C2590C">
      <w:pPr>
        <w:ind w:firstLine="709"/>
        <w:jc w:val="both"/>
        <w:rPr>
          <w:lang w:val="es-ES"/>
        </w:rPr>
      </w:pPr>
      <w:r w:rsidRPr="00E74E40">
        <w:rPr>
          <w:lang w:val="es-ES"/>
        </w:rPr>
        <w:t>Yo, Andrés Pérez Galán, declaro que el presente documento titulado Modelo de Dirección de Pensamiento Ampliado y Refinado constituye una obra original de carácter científico elaborada por mí, de la que soy autor y titular de los derechos que legalmente correspondan.</w:t>
      </w:r>
    </w:p>
    <w:p w14:paraId="761618C3" w14:textId="77777777" w:rsidR="0088522B" w:rsidRPr="00E74E40" w:rsidRDefault="00C2590C">
      <w:pPr>
        <w:ind w:firstLine="709"/>
        <w:jc w:val="both"/>
        <w:rPr>
          <w:lang w:val="es-ES"/>
        </w:rPr>
      </w:pPr>
      <w:r w:rsidRPr="00E74E40">
        <w:rPr>
          <w:lang w:val="es-ES"/>
        </w:rPr>
        <w:t>Declaro, asimismo, que esta versión se presenta como propuesta doctoral de investigación previa a matrícula, asignación formal de dirección y aprobación institucional del Plan de Investigación. La referencia al Programa de Doctorado en Inteligencia Artificial Aplicada de la Universidad de Salamanca expresa el marco académico al que se pretende orientar la propuesta y no implica admisión, tutela, dirección, aprobación ni depósito por parte de dicha Universidad.</w:t>
      </w:r>
    </w:p>
    <w:p w14:paraId="48C0D95D" w14:textId="77777777" w:rsidR="0088522B" w:rsidRPr="00E74E40" w:rsidRDefault="00C2590C">
      <w:pPr>
        <w:ind w:firstLine="709"/>
        <w:jc w:val="both"/>
        <w:rPr>
          <w:lang w:val="es-ES"/>
        </w:rPr>
      </w:pPr>
      <w:r w:rsidRPr="00E74E40">
        <w:rPr>
          <w:lang w:val="es-ES"/>
        </w:rPr>
        <w:t>Y para que conste, firmo la presente en Madrid, en 2026.</w:t>
      </w:r>
    </w:p>
    <w:p w14:paraId="295FAD9D" w14:textId="77777777" w:rsidR="0088522B" w:rsidRPr="00E74E40" w:rsidRDefault="00C2590C">
      <w:pPr>
        <w:ind w:firstLine="709"/>
        <w:jc w:val="both"/>
        <w:rPr>
          <w:lang w:val="es-ES"/>
        </w:rPr>
      </w:pPr>
      <w:r w:rsidRPr="00E74E40">
        <w:rPr>
          <w:lang w:val="es-ES"/>
        </w:rPr>
        <w:t>Fdo.: Andrés Pérez Galán</w:t>
      </w:r>
    </w:p>
    <w:p w14:paraId="569417EE" w14:textId="77777777" w:rsidR="006C2240" w:rsidRDefault="006C2240">
      <w:pPr>
        <w:spacing w:after="200" w:line="276" w:lineRule="auto"/>
        <w:rPr>
          <w:lang w:val="es-ES"/>
        </w:rPr>
      </w:pPr>
      <w:r>
        <w:rPr>
          <w:lang w:val="es-ES"/>
        </w:rPr>
        <w:br w:type="page"/>
      </w:r>
    </w:p>
    <w:p w14:paraId="0A66F2A3" w14:textId="77777777" w:rsidR="0088522B" w:rsidRPr="00E74E40" w:rsidRDefault="00C2590C">
      <w:pPr>
        <w:jc w:val="center"/>
        <w:rPr>
          <w:lang w:val="es-ES"/>
        </w:rPr>
      </w:pPr>
      <w:r w:rsidRPr="00E74E40">
        <w:rPr>
          <w:b/>
          <w:lang w:val="es-ES"/>
        </w:rPr>
        <w:lastRenderedPageBreak/>
        <w:t>RESUMEN</w:t>
      </w:r>
    </w:p>
    <w:p w14:paraId="2A76FD48" w14:textId="77777777" w:rsidR="00DA3C6C" w:rsidRDefault="00DA3C6C">
      <w:pPr>
        <w:ind w:firstLine="709"/>
        <w:jc w:val="both"/>
        <w:rPr>
          <w:lang w:val="es-ES"/>
        </w:rPr>
      </w:pPr>
    </w:p>
    <w:p w14:paraId="31DF7120" w14:textId="77777777" w:rsidR="00DA3C6C" w:rsidRDefault="00DF463F">
      <w:pPr>
        <w:ind w:firstLine="709"/>
        <w:jc w:val="both"/>
        <w:rPr>
          <w:lang w:val="es-ES"/>
        </w:rPr>
      </w:pPr>
      <w:r w:rsidRPr="00DA3C6C">
        <w:rPr>
          <w:lang w:val="es-ES"/>
        </w:rPr>
        <w:t>¿Cuál es la diferencia entre una idea y un sueño? Alcanzar la línea donde el cielo y la tierra parecen tocarse. Y sobrepasarla. Esa pregunta, que abre esta tesis, conduce a otra de consecuencias científicas: ¿puede la organización del pensamiento convertirse en un objeto matemático independiente de quien lo expresa, y seguir existiendo cuando cambian sus palabras, sus modelos y sus instrumentos? Esta investigación responde mediante dos construcciones originales y complementarias: el Sistema de Coordenadas Cognitivas (SCC), que formaliza la estructura de las trayectorias inferenciales, y el Modelo de Dirección de Pensamiento Ampliado y Refinado (MDPAR), que la convierte en una arquitectura cognitiva ejecutable. Juntos proponen que una parte de la organización del razonamiento puede constituir infraestructura reutilizable en lugar de reconstruirse dentro de cada sistema.</w:t>
      </w:r>
    </w:p>
    <w:p w14:paraId="6403946A" w14:textId="77777777" w:rsidR="00DA3C6C" w:rsidRDefault="00DF463F">
      <w:pPr>
        <w:ind w:firstLine="709"/>
        <w:jc w:val="both"/>
        <w:rPr>
          <w:lang w:val="es-ES"/>
        </w:rPr>
      </w:pPr>
      <w:r w:rsidRPr="00DA3C6C">
        <w:rPr>
          <w:lang w:val="es-ES"/>
        </w:rPr>
        <w:t>El SCC nace donde una representación encuentra su horizonte. Desde Ω, exterioridad anterior incluso a una pregunta identificable, distingue la aparición de una ocurrencia, su posición y el recorrido que la enlaza con otras. Su geometría interpretativa articula entidad, mecanismo y fundamento —WHAT, HOW y WHY—, admite los anclajes de tiempo, lugar y magnitud, y distingue profundizar hacia una explicación de proyectar un fundamento hacia sus consecuencias. La trayectoria deja entonces de ser una sucesión de frases: puede ramificarse, comprimirse, regresar, abrirse, cerrarse, perder y recuperar propiedades. El corazón de transposición establece las relaciones que permiten transportar y reconstruir esa organización; el juego de trayectorias demuestra cómo sus ordenaciones admisibles generan espacios, distancias y equivalencias propias. Las sendas de invariancia y el Atlas culminan esta construcción: hacen posible estudiar qué permanece cuando una representación cambia, sin obligar a compartir el significado particular de cada dominio. La formalización conserva, además, la diferencia entre lo exterior al sistema, lo observado todavía sin localización canónica y aquello que no puede evaluarse bajo las condiciones disponibles.</w:t>
      </w:r>
    </w:p>
    <w:p w14:paraId="7861A4C2" w14:textId="77777777" w:rsidR="00DA3C6C" w:rsidRDefault="00DF463F">
      <w:pPr>
        <w:ind w:firstLine="709"/>
        <w:jc w:val="both"/>
        <w:rPr>
          <w:lang w:val="es-ES"/>
        </w:rPr>
      </w:pPr>
      <w:r w:rsidRPr="00DA3C6C">
        <w:rPr>
          <w:lang w:val="es-ES"/>
        </w:rPr>
        <w:t xml:space="preserve">MDPAR da existencia computacional a esa separación. En vez de concentrar interpretación, estructura, memoria y autoridad en un único modelo, distribuye la observación semántica, el cálculo, la reconstrucción, la continuidad longitudinal, la adquisición de capacidades y el gobierno de la actuación entre responsabilidades explícitas. Sus campañas experimentales internas C0–C12 acreditan, bajo contratos reproducibles, capacidades diferenciadas de identificación, cálculo, transformación, cooperación, </w:t>
      </w:r>
      <w:r w:rsidRPr="00DA3C6C">
        <w:rPr>
          <w:lang w:val="es-ES"/>
        </w:rPr>
        <w:lastRenderedPageBreak/>
        <w:t>concurrencia, continuidad, gestión temporal y recuperación. La arquitectura puede conservar la historia de un proceso mientras cambian, fallan o regresan los componentes que contribuyen a él. La capacidad semántica deja así de confundirse con la propiedad del razonamiento, y la producción de una respuesta con la autoridad para ejecutarla.</w:t>
      </w:r>
    </w:p>
    <w:p w14:paraId="54FAA927" w14:textId="77777777" w:rsidR="007D08E9" w:rsidRPr="007D08E9" w:rsidRDefault="007D08E9" w:rsidP="007D08E9">
      <w:pPr>
        <w:ind w:firstLine="709"/>
        <w:jc w:val="both"/>
        <w:rPr>
          <w:lang w:val="es-ES"/>
        </w:rPr>
      </w:pPr>
      <w:r w:rsidRPr="007D08E9">
        <w:rPr>
          <w:lang w:val="es-ES"/>
        </w:rPr>
        <w:t>C13 lleva esa arquitectura al terreno de la investigación matemática constructiva y la somete a una escalada de problemas adversariales de creciente dificultad. El Atlas deja de ser únicamente un formalismo para describir trayectorias y se convierte en un objeto computacional sobre el que es posible buscar soluciones, verificar testigos, calcular propiedades, conservar equivalencias longitudinales y construir certificados de imposibilidad. Desde los algoritmos exactos sobre espacios combinatorios implícitos</w:t>
      </w:r>
      <w:r>
        <w:rPr>
          <w:lang w:val="es-ES"/>
        </w:rPr>
        <w:t>,</w:t>
      </w:r>
      <w:r w:rsidRPr="007D08E9">
        <w:rPr>
          <w:lang w:val="es-ES"/>
        </w:rPr>
        <w:t xml:space="preserve"> hasta los diagramas de decisión binarios reducidos y ordenados (ROBDD), la investigación aborda la explosión combinatoria, la dependencia de la representación y los límites de la compresión simbólica. Esta progresión conduce a la satisfacibilidad booleana (SAT y 3-SAT), a la demostración de NP-completitud del problema nativo ATLAS-BOUND mediante una reducción polinómica desde 3-SAT y, posteriormente, al estudio de la insatisfacibilidad (UNSAT), los sistemas de resolución, el principio del palomar y las familias de Tseitin como problemas adversariales de refutación y complejidad de pruebas. La investigación culmina en las fórmulas booleanas cuantificadas (QBF), las estrategias alternantes y los modelos explícitos de coste, incorporando problemas vinculados a P, NP, coNP y PSPACE</w:t>
      </w:r>
      <w:r>
        <w:rPr>
          <w:lang w:val="es-ES"/>
        </w:rPr>
        <w:t>, dejando abierta de forma natural la construcción de un algoritmo maestro para resolver la posible igualdad que guardarían dichos conceptos entre sí</w:t>
      </w:r>
      <w:r w:rsidRPr="007D08E9">
        <w:rPr>
          <w:lang w:val="es-ES"/>
        </w:rPr>
        <w:t>.</w:t>
      </w:r>
    </w:p>
    <w:p w14:paraId="2F380E9E" w14:textId="77777777" w:rsidR="00DA3C6C" w:rsidRDefault="00DF463F">
      <w:pPr>
        <w:ind w:firstLine="709"/>
        <w:jc w:val="both"/>
        <w:rPr>
          <w:lang w:val="es-ES"/>
        </w:rPr>
      </w:pPr>
      <w:r w:rsidRPr="00DA3C6C">
        <w:rPr>
          <w:lang w:val="es-ES"/>
        </w:rPr>
        <w:t>El capítulo 12 establece el alcance científico de este resultado conjunto. El SCC constituye un formalismo autónomo, con objetos, operaciones, proposiciones y problemas matemáticos propios; MDPAR, una arquitectura cognitiva estructural original que lo realiza; y C13, el programa constructivo, de verificación y de complejidad que nace de su articulación. No se trata de sumar módulos conocidos, sino de separar responsabilidades que habitualmente aparecen entrelazadas y hacer que su cooperación, sus fallos y sus transformaciones sean calculables y auditables. Esta construcción funda una propuesta teórico-experimental sobre infraestructura cognitiva estructural: el estudio de aquello que puede permanecer en un proceso inferencial cuando cambian sus realizaciones semánticas, sus recursos y sus condiciones de ejecución.</w:t>
      </w:r>
    </w:p>
    <w:p w14:paraId="149587E3" w14:textId="77777777" w:rsidR="00DA3C6C" w:rsidRDefault="00DF463F">
      <w:pPr>
        <w:ind w:firstLine="709"/>
        <w:jc w:val="both"/>
        <w:rPr>
          <w:lang w:val="es-ES"/>
        </w:rPr>
      </w:pPr>
      <w:r w:rsidRPr="00DA3C6C">
        <w:rPr>
          <w:lang w:val="es-ES"/>
        </w:rPr>
        <w:t xml:space="preserve">El capítulo 13 despliega las repercusiones de esa posibilidad. En filología y lingüística, abre el estudio del transporte de propiedades entre lenguas; en matemáticas, constituye un dominio de trayectorias, invariantes y problemas de complejidad; en ciencias </w:t>
      </w:r>
      <w:r w:rsidRPr="00DA3C6C">
        <w:rPr>
          <w:lang w:val="es-ES"/>
        </w:rPr>
        <w:lastRenderedPageBreak/>
        <w:t>cognitivas e inteligencia artificial, desplaza la atención del modelo aislado hacia la continuidad de un proceso. En epistemología, separa descubrir, verificar, refutar y reconocer lo no evaluable. En ingeniería de software e interoperabilidad, propone conservar historia y contratos a través de componentes y sistemas heterogéneos. En organización empresarial y economía de la computación, permite adquirir y medir por separado capacidad, búsqueda, verificación, tiempo, infraestructura y calidad. En trabajo profesional y derecho, favorece expedientes reconstruibles sin transferir la autoridad del juicio. En sociedad, hace discutibles las inferencias y su procedencia; en filosofía de la mente y ontología, permite interrogar la identidad de una inteligencia a través de su estructura, su historia y sus transformaciones.</w:t>
      </w:r>
    </w:p>
    <w:p w14:paraId="478AC3B1" w14:textId="77777777" w:rsidR="00DA3C6C" w:rsidRDefault="00DF463F">
      <w:pPr>
        <w:ind w:firstLine="709"/>
        <w:jc w:val="both"/>
        <w:rPr>
          <w:lang w:val="es-ES"/>
        </w:rPr>
      </w:pPr>
      <w:r w:rsidRPr="00DA3C6C">
        <w:rPr>
          <w:lang w:val="es-ES"/>
        </w:rPr>
        <w:t>El capítulo 14 convierte esta contribución en un programa de investigación de cuatro prioridades: contrastar con participantes humanos los efectos de la dirección inferencial; formalizar y ensayar la invariancia lingüística y trasladarla después a la ciberseguridad multilingüe; integrar sistemas simbólicos desarrollados independientemente y avanzar hacia sistemas corporizados; y conectar las alternativas estructuradas con criterios externos de viabilidad, preferencia, riesgo y autoridad. La validez externa investigará la extensión y los límites de la Hipótesis de Universalidad Estructural, sin suspender las propiedades formales ni las capacidades ya demostradas dentro de sus respectivos contratos. La apuesta final es que el razonamiento deje de estudiarse únicamente por la respuesta que produce y pueda investigarse también por la organización que conserva, las transformaciones que soporta y la responsabilidad con que interviene en el mundo.</w:t>
      </w:r>
    </w:p>
    <w:p w14:paraId="318227EE" w14:textId="77777777" w:rsidR="00DA3C6C" w:rsidRDefault="00DA3C6C">
      <w:pPr>
        <w:spacing w:after="200" w:line="276" w:lineRule="auto"/>
        <w:rPr>
          <w:lang w:val="es-ES"/>
        </w:rPr>
      </w:pPr>
      <w:r>
        <w:rPr>
          <w:lang w:val="es-ES"/>
        </w:rPr>
        <w:br w:type="page"/>
      </w:r>
    </w:p>
    <w:p w14:paraId="6942AC00" w14:textId="77777777" w:rsidR="00DF463F" w:rsidRPr="002A7BB8" w:rsidRDefault="00DF463F">
      <w:pPr>
        <w:ind w:firstLine="709"/>
        <w:jc w:val="both"/>
        <w:rPr>
          <w:lang w:val="es-ES"/>
        </w:rPr>
      </w:pPr>
    </w:p>
    <w:sdt>
      <w:sdtPr>
        <w:rPr>
          <w:rFonts w:ascii="Times New Roman" w:eastAsiaTheme="minorEastAsia" w:hAnsi="Times New Roman" w:cs="Times New Roman"/>
          <w:b w:val="0"/>
          <w:bCs w:val="0"/>
          <w:color w:val="auto"/>
          <w:sz w:val="20"/>
          <w:szCs w:val="20"/>
          <w:lang w:val="es-MX"/>
        </w:rPr>
        <w:id w:val="-1682810284"/>
        <w:docPartObj>
          <w:docPartGallery w:val="Table of Contents"/>
          <w:docPartUnique/>
        </w:docPartObj>
      </w:sdtPr>
      <w:sdtEndPr>
        <w:rPr>
          <w:rFonts w:cstheme="minorBidi"/>
          <w:sz w:val="24"/>
          <w:szCs w:val="22"/>
        </w:rPr>
      </w:sdtEndPr>
      <w:sdtContent>
        <w:p w14:paraId="3DCD7456" w14:textId="77777777" w:rsidR="00A45FBF" w:rsidRPr="00E043EA" w:rsidRDefault="00FA648F" w:rsidP="00E043EA">
          <w:pPr>
            <w:pStyle w:val="TtuloTDC"/>
            <w:spacing w:before="0" w:line="240" w:lineRule="auto"/>
            <w:rPr>
              <w:rFonts w:ascii="Times New Roman" w:hAnsi="Times New Roman" w:cs="Times New Roman"/>
              <w:color w:val="auto"/>
              <w:sz w:val="24"/>
              <w:szCs w:val="24"/>
              <w:lang w:val="es-MX"/>
            </w:rPr>
          </w:pPr>
          <w:r w:rsidRPr="00E043EA">
            <w:rPr>
              <w:rFonts w:ascii="Times New Roman" w:hAnsi="Times New Roman" w:cs="Times New Roman"/>
              <w:color w:val="auto"/>
              <w:sz w:val="24"/>
              <w:szCs w:val="24"/>
              <w:lang w:val="es-MX"/>
            </w:rPr>
            <w:t>CONTENIDO</w:t>
          </w:r>
        </w:p>
        <w:p w14:paraId="0DF4D625" w14:textId="77777777" w:rsidR="00FA648F" w:rsidRPr="002A529F" w:rsidRDefault="00FA648F" w:rsidP="00E043EA">
          <w:pPr>
            <w:spacing w:line="240" w:lineRule="auto"/>
            <w:rPr>
              <w:rFonts w:cs="Times New Roman"/>
              <w:sz w:val="20"/>
              <w:szCs w:val="20"/>
              <w:lang w:val="es-MX"/>
            </w:rPr>
          </w:pPr>
        </w:p>
        <w:p w14:paraId="3ECFCC58" w14:textId="282DA9C0" w:rsidR="002F4F30" w:rsidRPr="002F4F30" w:rsidRDefault="00A45FBF" w:rsidP="002F4F30">
          <w:pPr>
            <w:pStyle w:val="TDC1"/>
            <w:tabs>
              <w:tab w:val="right" w:leader="dot" w:pos="8778"/>
            </w:tabs>
            <w:spacing w:after="0" w:line="240" w:lineRule="auto"/>
            <w:jc w:val="both"/>
            <w:rPr>
              <w:rFonts w:asciiTheme="minorHAnsi" w:hAnsiTheme="minorHAnsi"/>
              <w:noProof/>
              <w:sz w:val="20"/>
              <w:szCs w:val="20"/>
              <w:lang w:val="es-ES" w:eastAsia="es-ES"/>
            </w:rPr>
          </w:pPr>
          <w:r w:rsidRPr="002A529F">
            <w:rPr>
              <w:rFonts w:cs="Times New Roman"/>
              <w:sz w:val="20"/>
              <w:szCs w:val="20"/>
            </w:rPr>
            <w:fldChar w:fldCharType="begin"/>
          </w:r>
          <w:r w:rsidRPr="002A529F">
            <w:rPr>
              <w:rFonts w:cs="Times New Roman"/>
              <w:sz w:val="20"/>
              <w:szCs w:val="20"/>
            </w:rPr>
            <w:instrText xml:space="preserve"> TOC \o "1-3" \h \z \u </w:instrText>
          </w:r>
          <w:r w:rsidRPr="002A529F">
            <w:rPr>
              <w:rFonts w:cs="Times New Roman"/>
              <w:sz w:val="20"/>
              <w:szCs w:val="20"/>
            </w:rPr>
            <w:fldChar w:fldCharType="separate"/>
          </w:r>
          <w:hyperlink w:anchor="_Toc242721837" w:history="1">
            <w:r w:rsidR="002F4F30" w:rsidRPr="002F4F30">
              <w:rPr>
                <w:rStyle w:val="Hipervnculo"/>
                <w:noProof/>
                <w:sz w:val="20"/>
                <w:szCs w:val="20"/>
                <w:lang w:val="es-ES"/>
              </w:rPr>
              <w:t>PARTE I — Delimitación del problema y estado del arte</w:t>
            </w:r>
            <w:r w:rsidR="002F4F30" w:rsidRPr="002F4F30">
              <w:rPr>
                <w:noProof/>
                <w:webHidden/>
                <w:sz w:val="20"/>
                <w:szCs w:val="20"/>
              </w:rPr>
              <w:tab/>
            </w:r>
            <w:r w:rsidR="002F4F30" w:rsidRPr="002F4F30">
              <w:rPr>
                <w:noProof/>
                <w:webHidden/>
                <w:sz w:val="20"/>
                <w:szCs w:val="20"/>
              </w:rPr>
              <w:fldChar w:fldCharType="begin"/>
            </w:r>
            <w:r w:rsidR="002F4F30" w:rsidRPr="002F4F30">
              <w:rPr>
                <w:noProof/>
                <w:webHidden/>
                <w:sz w:val="20"/>
                <w:szCs w:val="20"/>
              </w:rPr>
              <w:instrText xml:space="preserve"> PAGEREF _Toc242721837 \h </w:instrText>
            </w:r>
            <w:r w:rsidR="002F4F30" w:rsidRPr="002F4F30">
              <w:rPr>
                <w:noProof/>
                <w:webHidden/>
                <w:sz w:val="20"/>
                <w:szCs w:val="20"/>
              </w:rPr>
            </w:r>
            <w:r w:rsidR="002F4F30" w:rsidRPr="002F4F30">
              <w:rPr>
                <w:noProof/>
                <w:webHidden/>
                <w:sz w:val="20"/>
                <w:szCs w:val="20"/>
              </w:rPr>
              <w:fldChar w:fldCharType="separate"/>
            </w:r>
            <w:r w:rsidR="002F4F30">
              <w:rPr>
                <w:noProof/>
                <w:webHidden/>
                <w:sz w:val="20"/>
                <w:szCs w:val="20"/>
              </w:rPr>
              <w:t>10</w:t>
            </w:r>
            <w:r w:rsidR="002F4F30" w:rsidRPr="002F4F30">
              <w:rPr>
                <w:noProof/>
                <w:webHidden/>
                <w:sz w:val="20"/>
                <w:szCs w:val="20"/>
              </w:rPr>
              <w:fldChar w:fldCharType="end"/>
            </w:r>
          </w:hyperlink>
        </w:p>
        <w:p w14:paraId="44DF2642" w14:textId="7C618A38"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38" w:history="1">
            <w:r w:rsidRPr="002F4F30">
              <w:rPr>
                <w:rStyle w:val="Hipervnculo"/>
                <w:noProof/>
                <w:sz w:val="20"/>
                <w:szCs w:val="20"/>
                <w:lang w:val="es-ES"/>
              </w:rPr>
              <w:t>Capítulo 1: introducción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_Toc242721838 \h </w:instrText>
            </w:r>
            <w:r w:rsidRPr="002F4F30">
              <w:rPr>
                <w:noProof/>
                <w:webHidden/>
                <w:sz w:val="20"/>
                <w:szCs w:val="20"/>
              </w:rPr>
            </w:r>
            <w:r w:rsidRPr="002F4F30">
              <w:rPr>
                <w:noProof/>
                <w:webHidden/>
                <w:sz w:val="20"/>
                <w:szCs w:val="20"/>
              </w:rPr>
              <w:fldChar w:fldCharType="separate"/>
            </w:r>
            <w:r>
              <w:rPr>
                <w:noProof/>
                <w:webHidden/>
                <w:sz w:val="20"/>
                <w:szCs w:val="20"/>
              </w:rPr>
              <w:t>10</w:t>
            </w:r>
            <w:r w:rsidRPr="002F4F30">
              <w:rPr>
                <w:noProof/>
                <w:webHidden/>
                <w:sz w:val="20"/>
                <w:szCs w:val="20"/>
              </w:rPr>
              <w:fldChar w:fldCharType="end"/>
            </w:r>
          </w:hyperlink>
        </w:p>
        <w:p w14:paraId="3FCB8718" w14:textId="3E259267"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39" w:history="1">
            <w:r w:rsidRPr="002F4F30">
              <w:rPr>
                <w:rStyle w:val="Hipervnculo"/>
                <w:noProof/>
                <w:sz w:val="20"/>
                <w:szCs w:val="20"/>
                <w:lang w:val="es-ES"/>
              </w:rPr>
              <w:t>1.1. Planteamiento del problema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_Toc242721839 \h </w:instrText>
            </w:r>
            <w:r w:rsidRPr="002F4F30">
              <w:rPr>
                <w:noProof/>
                <w:webHidden/>
                <w:sz w:val="20"/>
                <w:szCs w:val="20"/>
              </w:rPr>
            </w:r>
            <w:r w:rsidRPr="002F4F30">
              <w:rPr>
                <w:noProof/>
                <w:webHidden/>
                <w:sz w:val="20"/>
                <w:szCs w:val="20"/>
              </w:rPr>
              <w:fldChar w:fldCharType="separate"/>
            </w:r>
            <w:r>
              <w:rPr>
                <w:noProof/>
                <w:webHidden/>
                <w:sz w:val="20"/>
                <w:szCs w:val="20"/>
              </w:rPr>
              <w:t>11</w:t>
            </w:r>
            <w:r w:rsidRPr="002F4F30">
              <w:rPr>
                <w:noProof/>
                <w:webHidden/>
                <w:sz w:val="20"/>
                <w:szCs w:val="20"/>
              </w:rPr>
              <w:fldChar w:fldCharType="end"/>
            </w:r>
          </w:hyperlink>
        </w:p>
        <w:p w14:paraId="7E0A8ABE" w14:textId="1D1E00EB"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40" w:history="1">
            <w:r w:rsidRPr="002F4F30">
              <w:rPr>
                <w:rStyle w:val="Hipervnculo"/>
                <w:noProof/>
                <w:sz w:val="20"/>
                <w:szCs w:val="20"/>
                <w:lang w:val="es-ES"/>
              </w:rPr>
              <w:t>1.2. Justificación de la investigación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_Toc242721840 \h </w:instrText>
            </w:r>
            <w:r w:rsidRPr="002F4F30">
              <w:rPr>
                <w:noProof/>
                <w:webHidden/>
                <w:sz w:val="20"/>
                <w:szCs w:val="20"/>
              </w:rPr>
            </w:r>
            <w:r w:rsidRPr="002F4F30">
              <w:rPr>
                <w:noProof/>
                <w:webHidden/>
                <w:sz w:val="20"/>
                <w:szCs w:val="20"/>
              </w:rPr>
              <w:fldChar w:fldCharType="separate"/>
            </w:r>
            <w:r>
              <w:rPr>
                <w:noProof/>
                <w:webHidden/>
                <w:sz w:val="20"/>
                <w:szCs w:val="20"/>
              </w:rPr>
              <w:t>12</w:t>
            </w:r>
            <w:r w:rsidRPr="002F4F30">
              <w:rPr>
                <w:noProof/>
                <w:webHidden/>
                <w:sz w:val="20"/>
                <w:szCs w:val="20"/>
              </w:rPr>
              <w:fldChar w:fldCharType="end"/>
            </w:r>
          </w:hyperlink>
        </w:p>
        <w:p w14:paraId="757991DB" w14:textId="1DF0153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41" w:history="1">
            <w:r w:rsidRPr="002F4F30">
              <w:rPr>
                <w:rStyle w:val="Hipervnculo"/>
                <w:noProof/>
                <w:sz w:val="20"/>
                <w:szCs w:val="20"/>
                <w:lang w:val="es-ES"/>
              </w:rPr>
              <w:t>1.3. Objetivos de la investigación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_Toc242721841 \h </w:instrText>
            </w:r>
            <w:r w:rsidRPr="002F4F30">
              <w:rPr>
                <w:noProof/>
                <w:webHidden/>
                <w:sz w:val="20"/>
                <w:szCs w:val="20"/>
              </w:rPr>
            </w:r>
            <w:r w:rsidRPr="002F4F30">
              <w:rPr>
                <w:noProof/>
                <w:webHidden/>
                <w:sz w:val="20"/>
                <w:szCs w:val="20"/>
              </w:rPr>
              <w:fldChar w:fldCharType="separate"/>
            </w:r>
            <w:r>
              <w:rPr>
                <w:noProof/>
                <w:webHidden/>
                <w:sz w:val="20"/>
                <w:szCs w:val="20"/>
              </w:rPr>
              <w:t>13</w:t>
            </w:r>
            <w:r w:rsidRPr="002F4F30">
              <w:rPr>
                <w:noProof/>
                <w:webHidden/>
                <w:sz w:val="20"/>
                <w:szCs w:val="20"/>
              </w:rPr>
              <w:fldChar w:fldCharType="end"/>
            </w:r>
          </w:hyperlink>
        </w:p>
        <w:p w14:paraId="53DD820F" w14:textId="6650E131"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42" w:history="1">
            <w:r w:rsidRPr="002F4F30">
              <w:rPr>
                <w:rStyle w:val="Hipervnculo"/>
                <w:noProof/>
                <w:sz w:val="20"/>
                <w:szCs w:val="20"/>
                <w:lang w:val="es-ES"/>
              </w:rPr>
              <w:t>1.4. Hipótesis de la investigación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_Toc242721842 \h </w:instrText>
            </w:r>
            <w:r w:rsidRPr="002F4F30">
              <w:rPr>
                <w:noProof/>
                <w:webHidden/>
                <w:sz w:val="20"/>
                <w:szCs w:val="20"/>
              </w:rPr>
            </w:r>
            <w:r w:rsidRPr="002F4F30">
              <w:rPr>
                <w:noProof/>
                <w:webHidden/>
                <w:sz w:val="20"/>
                <w:szCs w:val="20"/>
              </w:rPr>
              <w:fldChar w:fldCharType="separate"/>
            </w:r>
            <w:r>
              <w:rPr>
                <w:noProof/>
                <w:webHidden/>
                <w:sz w:val="20"/>
                <w:szCs w:val="20"/>
              </w:rPr>
              <w:t>14</w:t>
            </w:r>
            <w:r w:rsidRPr="002F4F30">
              <w:rPr>
                <w:noProof/>
                <w:webHidden/>
                <w:sz w:val="20"/>
                <w:szCs w:val="20"/>
              </w:rPr>
              <w:fldChar w:fldCharType="end"/>
            </w:r>
          </w:hyperlink>
        </w:p>
        <w:p w14:paraId="73D34AE5" w14:textId="5EA9155B"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43" w:history="1">
            <w:r w:rsidRPr="002F4F30">
              <w:rPr>
                <w:rStyle w:val="Hipervnculo"/>
                <w:noProof/>
                <w:sz w:val="20"/>
                <w:szCs w:val="20"/>
                <w:lang w:val="es-ES"/>
              </w:rPr>
              <w:t>1.5. Estructura de la tesis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_Toc242721843 \h </w:instrText>
            </w:r>
            <w:r w:rsidRPr="002F4F30">
              <w:rPr>
                <w:noProof/>
                <w:webHidden/>
                <w:sz w:val="20"/>
                <w:szCs w:val="20"/>
              </w:rPr>
            </w:r>
            <w:r w:rsidRPr="002F4F30">
              <w:rPr>
                <w:noProof/>
                <w:webHidden/>
                <w:sz w:val="20"/>
                <w:szCs w:val="20"/>
              </w:rPr>
              <w:fldChar w:fldCharType="separate"/>
            </w:r>
            <w:r>
              <w:rPr>
                <w:noProof/>
                <w:webHidden/>
                <w:sz w:val="20"/>
                <w:szCs w:val="20"/>
              </w:rPr>
              <w:t>16</w:t>
            </w:r>
            <w:r w:rsidRPr="002F4F30">
              <w:rPr>
                <w:noProof/>
                <w:webHidden/>
                <w:sz w:val="20"/>
                <w:szCs w:val="20"/>
              </w:rPr>
              <w:fldChar w:fldCharType="end"/>
            </w:r>
          </w:hyperlink>
        </w:p>
        <w:p w14:paraId="0BED1E0B" w14:textId="376CD037"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44" w:history="1">
            <w:r w:rsidRPr="002F4F30">
              <w:rPr>
                <w:rStyle w:val="Hipervnculo"/>
                <w:noProof/>
                <w:sz w:val="20"/>
                <w:szCs w:val="20"/>
                <w:lang w:val="es-ES"/>
              </w:rPr>
              <w:t>Capítulo 2: estado del arte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_Toc242721844 \h </w:instrText>
            </w:r>
            <w:r w:rsidRPr="002F4F30">
              <w:rPr>
                <w:noProof/>
                <w:webHidden/>
                <w:sz w:val="20"/>
                <w:szCs w:val="20"/>
              </w:rPr>
            </w:r>
            <w:r w:rsidRPr="002F4F30">
              <w:rPr>
                <w:noProof/>
                <w:webHidden/>
                <w:sz w:val="20"/>
                <w:szCs w:val="20"/>
              </w:rPr>
              <w:fldChar w:fldCharType="separate"/>
            </w:r>
            <w:r>
              <w:rPr>
                <w:noProof/>
                <w:webHidden/>
                <w:sz w:val="20"/>
                <w:szCs w:val="20"/>
              </w:rPr>
              <w:t>20</w:t>
            </w:r>
            <w:r w:rsidRPr="002F4F30">
              <w:rPr>
                <w:noProof/>
                <w:webHidden/>
                <w:sz w:val="20"/>
                <w:szCs w:val="20"/>
              </w:rPr>
              <w:fldChar w:fldCharType="end"/>
            </w:r>
          </w:hyperlink>
        </w:p>
        <w:p w14:paraId="22A64060" w14:textId="1BBAE66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45" w:history="1">
            <w:r w:rsidRPr="002F4F30">
              <w:rPr>
                <w:rStyle w:val="Hipervnculo"/>
                <w:noProof/>
                <w:sz w:val="20"/>
                <w:szCs w:val="20"/>
                <w:lang w:val="es-ES"/>
              </w:rPr>
              <w:t>2.1. Fragmentación entre capacidad semántica, estructura y continuidad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_Toc242721845 \h </w:instrText>
            </w:r>
            <w:r w:rsidRPr="002F4F30">
              <w:rPr>
                <w:noProof/>
                <w:webHidden/>
                <w:sz w:val="20"/>
                <w:szCs w:val="20"/>
              </w:rPr>
            </w:r>
            <w:r w:rsidRPr="002F4F30">
              <w:rPr>
                <w:noProof/>
                <w:webHidden/>
                <w:sz w:val="20"/>
                <w:szCs w:val="20"/>
              </w:rPr>
              <w:fldChar w:fldCharType="separate"/>
            </w:r>
            <w:r>
              <w:rPr>
                <w:noProof/>
                <w:webHidden/>
                <w:sz w:val="20"/>
                <w:szCs w:val="20"/>
              </w:rPr>
              <w:t>20</w:t>
            </w:r>
            <w:r w:rsidRPr="002F4F30">
              <w:rPr>
                <w:noProof/>
                <w:webHidden/>
                <w:sz w:val="20"/>
                <w:szCs w:val="20"/>
              </w:rPr>
              <w:fldChar w:fldCharType="end"/>
            </w:r>
          </w:hyperlink>
        </w:p>
        <w:p w14:paraId="5F005513" w14:textId="1C904755"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46" w:history="1">
            <w:r w:rsidRPr="002F4F30">
              <w:rPr>
                <w:rStyle w:val="Hipervnculo"/>
                <w:noProof/>
                <w:sz w:val="20"/>
                <w:szCs w:val="20"/>
                <w:lang w:val="es-ES"/>
              </w:rPr>
              <w:t>2.2. Insuficiencia de los marcos parciales como arquitectura general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_Toc242721846 \h </w:instrText>
            </w:r>
            <w:r w:rsidRPr="002F4F30">
              <w:rPr>
                <w:noProof/>
                <w:webHidden/>
                <w:sz w:val="20"/>
                <w:szCs w:val="20"/>
              </w:rPr>
            </w:r>
            <w:r w:rsidRPr="002F4F30">
              <w:rPr>
                <w:noProof/>
                <w:webHidden/>
                <w:sz w:val="20"/>
                <w:szCs w:val="20"/>
              </w:rPr>
              <w:fldChar w:fldCharType="separate"/>
            </w:r>
            <w:r>
              <w:rPr>
                <w:noProof/>
                <w:webHidden/>
                <w:sz w:val="20"/>
                <w:szCs w:val="20"/>
              </w:rPr>
              <w:t>21</w:t>
            </w:r>
            <w:r w:rsidRPr="002F4F30">
              <w:rPr>
                <w:noProof/>
                <w:webHidden/>
                <w:sz w:val="20"/>
                <w:szCs w:val="20"/>
              </w:rPr>
              <w:fldChar w:fldCharType="end"/>
            </w:r>
          </w:hyperlink>
        </w:p>
        <w:p w14:paraId="2ACCAE91" w14:textId="24D321E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47" w:history="1">
            <w:r w:rsidRPr="002F4F30">
              <w:rPr>
                <w:rStyle w:val="Hipervnculo"/>
                <w:noProof/>
                <w:sz w:val="20"/>
                <w:szCs w:val="20"/>
                <w:lang w:val="es-ES"/>
              </w:rPr>
              <w:t>2.3. Ausencia de conexión estable entre formalización y operatividad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_Toc242721847 \h </w:instrText>
            </w:r>
            <w:r w:rsidRPr="002F4F30">
              <w:rPr>
                <w:noProof/>
                <w:webHidden/>
                <w:sz w:val="20"/>
                <w:szCs w:val="20"/>
              </w:rPr>
            </w:r>
            <w:r w:rsidRPr="002F4F30">
              <w:rPr>
                <w:noProof/>
                <w:webHidden/>
                <w:sz w:val="20"/>
                <w:szCs w:val="20"/>
              </w:rPr>
              <w:fldChar w:fldCharType="separate"/>
            </w:r>
            <w:r>
              <w:rPr>
                <w:noProof/>
                <w:webHidden/>
                <w:sz w:val="20"/>
                <w:szCs w:val="20"/>
              </w:rPr>
              <w:t>22</w:t>
            </w:r>
            <w:r w:rsidRPr="002F4F30">
              <w:rPr>
                <w:noProof/>
                <w:webHidden/>
                <w:sz w:val="20"/>
                <w:szCs w:val="20"/>
              </w:rPr>
              <w:fldChar w:fldCharType="end"/>
            </w:r>
          </w:hyperlink>
        </w:p>
        <w:p w14:paraId="0951C366" w14:textId="08FBDF38"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48" w:history="1">
            <w:r w:rsidRPr="002F4F30">
              <w:rPr>
                <w:rStyle w:val="Hipervnculo"/>
                <w:noProof/>
                <w:sz w:val="20"/>
                <w:szCs w:val="20"/>
                <w:lang w:val="es-ES"/>
              </w:rPr>
              <w:t>2.4. Estado del arte de la externalización, persistencia y autoridad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_Toc242721848 \h </w:instrText>
            </w:r>
            <w:r w:rsidRPr="002F4F30">
              <w:rPr>
                <w:noProof/>
                <w:webHidden/>
                <w:sz w:val="20"/>
                <w:szCs w:val="20"/>
              </w:rPr>
            </w:r>
            <w:r w:rsidRPr="002F4F30">
              <w:rPr>
                <w:noProof/>
                <w:webHidden/>
                <w:sz w:val="20"/>
                <w:szCs w:val="20"/>
              </w:rPr>
              <w:fldChar w:fldCharType="separate"/>
            </w:r>
            <w:r>
              <w:rPr>
                <w:noProof/>
                <w:webHidden/>
                <w:sz w:val="20"/>
                <w:szCs w:val="20"/>
              </w:rPr>
              <w:t>23</w:t>
            </w:r>
            <w:r w:rsidRPr="002F4F30">
              <w:rPr>
                <w:noProof/>
                <w:webHidden/>
                <w:sz w:val="20"/>
                <w:szCs w:val="20"/>
              </w:rPr>
              <w:fldChar w:fldCharType="end"/>
            </w:r>
          </w:hyperlink>
        </w:p>
        <w:p w14:paraId="20C1E7EA" w14:textId="77A464F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49" w:history="1">
            <w:r w:rsidRPr="002F4F30">
              <w:rPr>
                <w:rStyle w:val="Hipervnculo"/>
                <w:noProof/>
                <w:sz w:val="20"/>
                <w:szCs w:val="20"/>
                <w:lang w:val="es-ES"/>
              </w:rPr>
              <w:t>2.5. Síntesis del estado del arte y vacío de investigación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_Toc242721849 \h </w:instrText>
            </w:r>
            <w:r w:rsidRPr="002F4F30">
              <w:rPr>
                <w:noProof/>
                <w:webHidden/>
                <w:sz w:val="20"/>
                <w:szCs w:val="20"/>
              </w:rPr>
            </w:r>
            <w:r w:rsidRPr="002F4F30">
              <w:rPr>
                <w:noProof/>
                <w:webHidden/>
                <w:sz w:val="20"/>
                <w:szCs w:val="20"/>
              </w:rPr>
              <w:fldChar w:fldCharType="separate"/>
            </w:r>
            <w:r>
              <w:rPr>
                <w:noProof/>
                <w:webHidden/>
                <w:sz w:val="20"/>
                <w:szCs w:val="20"/>
              </w:rPr>
              <w:t>24</w:t>
            </w:r>
            <w:r w:rsidRPr="002F4F30">
              <w:rPr>
                <w:noProof/>
                <w:webHidden/>
                <w:sz w:val="20"/>
                <w:szCs w:val="20"/>
              </w:rPr>
              <w:fldChar w:fldCharType="end"/>
            </w:r>
          </w:hyperlink>
        </w:p>
        <w:p w14:paraId="49EAB6E7" w14:textId="29B295DF"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50" w:history="1">
            <w:r w:rsidRPr="002F4F30">
              <w:rPr>
                <w:rStyle w:val="Hipervnculo"/>
                <w:noProof/>
                <w:sz w:val="20"/>
                <w:szCs w:val="20"/>
                <w:lang w:val="es-ES"/>
              </w:rPr>
              <w:t>PARTE II — Formalización del Sistema de Coordenadas Cognitivas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_Toc242721850 \h </w:instrText>
            </w:r>
            <w:r w:rsidRPr="002F4F30">
              <w:rPr>
                <w:noProof/>
                <w:webHidden/>
                <w:sz w:val="20"/>
                <w:szCs w:val="20"/>
              </w:rPr>
            </w:r>
            <w:r w:rsidRPr="002F4F30">
              <w:rPr>
                <w:noProof/>
                <w:webHidden/>
                <w:sz w:val="20"/>
                <w:szCs w:val="20"/>
              </w:rPr>
              <w:fldChar w:fldCharType="separate"/>
            </w:r>
            <w:r>
              <w:rPr>
                <w:noProof/>
                <w:webHidden/>
                <w:sz w:val="20"/>
                <w:szCs w:val="20"/>
              </w:rPr>
              <w:t>26</w:t>
            </w:r>
            <w:r w:rsidRPr="002F4F30">
              <w:rPr>
                <w:noProof/>
                <w:webHidden/>
                <w:sz w:val="20"/>
                <w:szCs w:val="20"/>
              </w:rPr>
              <w:fldChar w:fldCharType="end"/>
            </w:r>
          </w:hyperlink>
        </w:p>
        <w:p w14:paraId="4C778CEA" w14:textId="1649D088"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51" w:history="1">
            <w:r w:rsidRPr="002F4F30">
              <w:rPr>
                <w:rStyle w:val="Hipervnculo"/>
                <w:noProof/>
                <w:sz w:val="20"/>
                <w:szCs w:val="20"/>
                <w:lang w:val="es-ES"/>
              </w:rPr>
              <w:t>Capítulo 3: ¿Cuál es la diferencia entre una idea y un sueño?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_Toc242721851 \h </w:instrText>
            </w:r>
            <w:r w:rsidRPr="002F4F30">
              <w:rPr>
                <w:noProof/>
                <w:webHidden/>
                <w:sz w:val="20"/>
                <w:szCs w:val="20"/>
              </w:rPr>
            </w:r>
            <w:r w:rsidRPr="002F4F30">
              <w:rPr>
                <w:noProof/>
                <w:webHidden/>
                <w:sz w:val="20"/>
                <w:szCs w:val="20"/>
              </w:rPr>
              <w:fldChar w:fldCharType="separate"/>
            </w:r>
            <w:r>
              <w:rPr>
                <w:noProof/>
                <w:webHidden/>
                <w:sz w:val="20"/>
                <w:szCs w:val="20"/>
              </w:rPr>
              <w:t>26</w:t>
            </w:r>
            <w:r w:rsidRPr="002F4F30">
              <w:rPr>
                <w:noProof/>
                <w:webHidden/>
                <w:sz w:val="20"/>
                <w:szCs w:val="20"/>
              </w:rPr>
              <w:fldChar w:fldCharType="end"/>
            </w:r>
          </w:hyperlink>
        </w:p>
        <w:p w14:paraId="2165D469" w14:textId="0C679285"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52" w:history="1">
            <w:r w:rsidRPr="002F4F30">
              <w:rPr>
                <w:rStyle w:val="Hipervnculo"/>
                <w:noProof/>
                <w:sz w:val="20"/>
                <w:szCs w:val="20"/>
                <w:lang w:val="es-ES"/>
              </w:rPr>
              <w:t>Capítulo 4: el corazón de transposición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_Toc242721852 \h </w:instrText>
            </w:r>
            <w:r w:rsidRPr="002F4F30">
              <w:rPr>
                <w:noProof/>
                <w:webHidden/>
                <w:sz w:val="20"/>
                <w:szCs w:val="20"/>
              </w:rPr>
            </w:r>
            <w:r w:rsidRPr="002F4F30">
              <w:rPr>
                <w:noProof/>
                <w:webHidden/>
                <w:sz w:val="20"/>
                <w:szCs w:val="20"/>
              </w:rPr>
              <w:fldChar w:fldCharType="separate"/>
            </w:r>
            <w:r>
              <w:rPr>
                <w:noProof/>
                <w:webHidden/>
                <w:sz w:val="20"/>
                <w:szCs w:val="20"/>
              </w:rPr>
              <w:t>32</w:t>
            </w:r>
            <w:r w:rsidRPr="002F4F30">
              <w:rPr>
                <w:noProof/>
                <w:webHidden/>
                <w:sz w:val="20"/>
                <w:szCs w:val="20"/>
              </w:rPr>
              <w:fldChar w:fldCharType="end"/>
            </w:r>
          </w:hyperlink>
        </w:p>
        <w:p w14:paraId="5A928D18" w14:textId="71604CE5"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53" w:history="1">
            <w:r w:rsidRPr="002F4F30">
              <w:rPr>
                <w:rStyle w:val="Hipervnculo"/>
                <w:noProof/>
                <w:sz w:val="20"/>
                <w:szCs w:val="20"/>
                <w:lang w:val="es-ES"/>
              </w:rPr>
              <w:t>4.1. El nacimiento del pensamiento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_Toc242721853 \h </w:instrText>
            </w:r>
            <w:r w:rsidRPr="002F4F30">
              <w:rPr>
                <w:noProof/>
                <w:webHidden/>
                <w:sz w:val="20"/>
                <w:szCs w:val="20"/>
              </w:rPr>
            </w:r>
            <w:r w:rsidRPr="002F4F30">
              <w:rPr>
                <w:noProof/>
                <w:webHidden/>
                <w:sz w:val="20"/>
                <w:szCs w:val="20"/>
              </w:rPr>
              <w:fldChar w:fldCharType="separate"/>
            </w:r>
            <w:r>
              <w:rPr>
                <w:noProof/>
                <w:webHidden/>
                <w:sz w:val="20"/>
                <w:szCs w:val="20"/>
              </w:rPr>
              <w:t>32</w:t>
            </w:r>
            <w:r w:rsidRPr="002F4F30">
              <w:rPr>
                <w:noProof/>
                <w:webHidden/>
                <w:sz w:val="20"/>
                <w:szCs w:val="20"/>
              </w:rPr>
              <w:fldChar w:fldCharType="end"/>
            </w:r>
          </w:hyperlink>
        </w:p>
        <w:p w14:paraId="433BC077" w14:textId="529F86B6"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54" w:history="1">
            <w:r w:rsidRPr="002F4F30">
              <w:rPr>
                <w:rStyle w:val="Hipervnculo"/>
                <w:noProof/>
                <w:sz w:val="20"/>
                <w:szCs w:val="20"/>
                <w:lang w:val="es-ES"/>
              </w:rPr>
              <w:t>4.2. Del pensamiento a la trayectoria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_Toc242721854 \h </w:instrText>
            </w:r>
            <w:r w:rsidRPr="002F4F30">
              <w:rPr>
                <w:noProof/>
                <w:webHidden/>
                <w:sz w:val="20"/>
                <w:szCs w:val="20"/>
              </w:rPr>
            </w:r>
            <w:r w:rsidRPr="002F4F30">
              <w:rPr>
                <w:noProof/>
                <w:webHidden/>
                <w:sz w:val="20"/>
                <w:szCs w:val="20"/>
              </w:rPr>
              <w:fldChar w:fldCharType="separate"/>
            </w:r>
            <w:r>
              <w:rPr>
                <w:noProof/>
                <w:webHidden/>
                <w:sz w:val="20"/>
                <w:szCs w:val="20"/>
              </w:rPr>
              <w:t>39</w:t>
            </w:r>
            <w:r w:rsidRPr="002F4F30">
              <w:rPr>
                <w:noProof/>
                <w:webHidden/>
                <w:sz w:val="20"/>
                <w:szCs w:val="20"/>
              </w:rPr>
              <w:fldChar w:fldCharType="end"/>
            </w:r>
          </w:hyperlink>
        </w:p>
        <w:p w14:paraId="66535A8A" w14:textId="0FE87B0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55" w:history="1">
            <w:r w:rsidRPr="002F4F30">
              <w:rPr>
                <w:rStyle w:val="Hipervnculo"/>
                <w:noProof/>
                <w:sz w:val="20"/>
                <w:szCs w:val="20"/>
                <w:lang w:val="es-ES"/>
              </w:rPr>
              <w:t>4.3. Pensamiento de pensamiento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_Toc242721855 \h </w:instrText>
            </w:r>
            <w:r w:rsidRPr="002F4F30">
              <w:rPr>
                <w:noProof/>
                <w:webHidden/>
                <w:sz w:val="20"/>
                <w:szCs w:val="20"/>
              </w:rPr>
            </w:r>
            <w:r w:rsidRPr="002F4F30">
              <w:rPr>
                <w:noProof/>
                <w:webHidden/>
                <w:sz w:val="20"/>
                <w:szCs w:val="20"/>
              </w:rPr>
              <w:fldChar w:fldCharType="separate"/>
            </w:r>
            <w:r>
              <w:rPr>
                <w:noProof/>
                <w:webHidden/>
                <w:sz w:val="20"/>
                <w:szCs w:val="20"/>
              </w:rPr>
              <w:t>42</w:t>
            </w:r>
            <w:r w:rsidRPr="002F4F30">
              <w:rPr>
                <w:noProof/>
                <w:webHidden/>
                <w:sz w:val="20"/>
                <w:szCs w:val="20"/>
              </w:rPr>
              <w:fldChar w:fldCharType="end"/>
            </w:r>
          </w:hyperlink>
        </w:p>
        <w:p w14:paraId="26C53AA6" w14:textId="4724560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56" w:history="1">
            <w:r w:rsidRPr="002F4F30">
              <w:rPr>
                <w:rStyle w:val="Hipervnculo"/>
                <w:noProof/>
                <w:sz w:val="20"/>
                <w:szCs w:val="20"/>
                <w:lang w:val="es-ES"/>
              </w:rPr>
              <w:t>4.4. Pensamientos entrelazados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_Toc242721856 \h </w:instrText>
            </w:r>
            <w:r w:rsidRPr="002F4F30">
              <w:rPr>
                <w:noProof/>
                <w:webHidden/>
                <w:sz w:val="20"/>
                <w:szCs w:val="20"/>
              </w:rPr>
            </w:r>
            <w:r w:rsidRPr="002F4F30">
              <w:rPr>
                <w:noProof/>
                <w:webHidden/>
                <w:sz w:val="20"/>
                <w:szCs w:val="20"/>
              </w:rPr>
              <w:fldChar w:fldCharType="separate"/>
            </w:r>
            <w:r>
              <w:rPr>
                <w:noProof/>
                <w:webHidden/>
                <w:sz w:val="20"/>
                <w:szCs w:val="20"/>
              </w:rPr>
              <w:t>45</w:t>
            </w:r>
            <w:r w:rsidRPr="002F4F30">
              <w:rPr>
                <w:noProof/>
                <w:webHidden/>
                <w:sz w:val="20"/>
                <w:szCs w:val="20"/>
              </w:rPr>
              <w:fldChar w:fldCharType="end"/>
            </w:r>
          </w:hyperlink>
        </w:p>
        <w:p w14:paraId="7767B5F6" w14:textId="4263B1D9"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57" w:history="1">
            <w:r w:rsidRPr="002F4F30">
              <w:rPr>
                <w:rStyle w:val="Hipervnculo"/>
                <w:noProof/>
                <w:sz w:val="20"/>
                <w:szCs w:val="20"/>
                <w:lang w:val="es-ES"/>
              </w:rPr>
              <w:t>4.5. Las sendas de invarianza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_Toc242721857 \h </w:instrText>
            </w:r>
            <w:r w:rsidRPr="002F4F30">
              <w:rPr>
                <w:noProof/>
                <w:webHidden/>
                <w:sz w:val="20"/>
                <w:szCs w:val="20"/>
              </w:rPr>
            </w:r>
            <w:r w:rsidRPr="002F4F30">
              <w:rPr>
                <w:noProof/>
                <w:webHidden/>
                <w:sz w:val="20"/>
                <w:szCs w:val="20"/>
              </w:rPr>
              <w:fldChar w:fldCharType="separate"/>
            </w:r>
            <w:r>
              <w:rPr>
                <w:noProof/>
                <w:webHidden/>
                <w:sz w:val="20"/>
                <w:szCs w:val="20"/>
              </w:rPr>
              <w:t>47</w:t>
            </w:r>
            <w:r w:rsidRPr="002F4F30">
              <w:rPr>
                <w:noProof/>
                <w:webHidden/>
                <w:sz w:val="20"/>
                <w:szCs w:val="20"/>
              </w:rPr>
              <w:fldChar w:fldCharType="end"/>
            </w:r>
          </w:hyperlink>
        </w:p>
        <w:p w14:paraId="60BC9F64" w14:textId="7E49A582"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58" w:history="1">
            <w:r w:rsidRPr="002F4F30">
              <w:rPr>
                <w:rStyle w:val="Hipervnculo"/>
                <w:noProof/>
                <w:sz w:val="20"/>
                <w:szCs w:val="20"/>
                <w:lang w:val="es-ES"/>
              </w:rPr>
              <w:t>4.6. Hacerse pensamiento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_Toc242721858 \h </w:instrText>
            </w:r>
            <w:r w:rsidRPr="002F4F30">
              <w:rPr>
                <w:noProof/>
                <w:webHidden/>
                <w:sz w:val="20"/>
                <w:szCs w:val="20"/>
              </w:rPr>
            </w:r>
            <w:r w:rsidRPr="002F4F30">
              <w:rPr>
                <w:noProof/>
                <w:webHidden/>
                <w:sz w:val="20"/>
                <w:szCs w:val="20"/>
              </w:rPr>
              <w:fldChar w:fldCharType="separate"/>
            </w:r>
            <w:r>
              <w:rPr>
                <w:noProof/>
                <w:webHidden/>
                <w:sz w:val="20"/>
                <w:szCs w:val="20"/>
              </w:rPr>
              <w:t>50</w:t>
            </w:r>
            <w:r w:rsidRPr="002F4F30">
              <w:rPr>
                <w:noProof/>
                <w:webHidden/>
                <w:sz w:val="20"/>
                <w:szCs w:val="20"/>
              </w:rPr>
              <w:fldChar w:fldCharType="end"/>
            </w:r>
          </w:hyperlink>
        </w:p>
        <w:p w14:paraId="3F3BB770" w14:textId="694E2F9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59" w:history="1">
            <w:r w:rsidRPr="002F4F30">
              <w:rPr>
                <w:rStyle w:val="Hipervnculo"/>
                <w:noProof/>
                <w:sz w:val="20"/>
                <w:szCs w:val="20"/>
                <w:lang w:val="es-ES"/>
              </w:rPr>
              <w:t>4.7. Cuestión de perspectiva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_Toc242721859 \h </w:instrText>
            </w:r>
            <w:r w:rsidRPr="002F4F30">
              <w:rPr>
                <w:noProof/>
                <w:webHidden/>
                <w:sz w:val="20"/>
                <w:szCs w:val="20"/>
              </w:rPr>
            </w:r>
            <w:r w:rsidRPr="002F4F30">
              <w:rPr>
                <w:noProof/>
                <w:webHidden/>
                <w:sz w:val="20"/>
                <w:szCs w:val="20"/>
              </w:rPr>
              <w:fldChar w:fldCharType="separate"/>
            </w:r>
            <w:r>
              <w:rPr>
                <w:noProof/>
                <w:webHidden/>
                <w:sz w:val="20"/>
                <w:szCs w:val="20"/>
              </w:rPr>
              <w:t>52</w:t>
            </w:r>
            <w:r w:rsidRPr="002F4F30">
              <w:rPr>
                <w:noProof/>
                <w:webHidden/>
                <w:sz w:val="20"/>
                <w:szCs w:val="20"/>
              </w:rPr>
              <w:fldChar w:fldCharType="end"/>
            </w:r>
          </w:hyperlink>
        </w:p>
        <w:p w14:paraId="70F9240B" w14:textId="458D0468"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60" w:history="1">
            <w:r w:rsidRPr="002F4F30">
              <w:rPr>
                <w:rStyle w:val="Hipervnculo"/>
                <w:noProof/>
                <w:sz w:val="20"/>
                <w:szCs w:val="20"/>
                <w:lang w:val="es-ES"/>
              </w:rPr>
              <w:t>4.8. El Atlas de invarianza: la repercusión de compartir pensamientos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_Toc242721860 \h </w:instrText>
            </w:r>
            <w:r w:rsidRPr="002F4F30">
              <w:rPr>
                <w:noProof/>
                <w:webHidden/>
                <w:sz w:val="20"/>
                <w:szCs w:val="20"/>
              </w:rPr>
            </w:r>
            <w:r w:rsidRPr="002F4F30">
              <w:rPr>
                <w:noProof/>
                <w:webHidden/>
                <w:sz w:val="20"/>
                <w:szCs w:val="20"/>
              </w:rPr>
              <w:fldChar w:fldCharType="separate"/>
            </w:r>
            <w:r>
              <w:rPr>
                <w:noProof/>
                <w:webHidden/>
                <w:sz w:val="20"/>
                <w:szCs w:val="20"/>
              </w:rPr>
              <w:t>54</w:t>
            </w:r>
            <w:r w:rsidRPr="002F4F30">
              <w:rPr>
                <w:noProof/>
                <w:webHidden/>
                <w:sz w:val="20"/>
                <w:szCs w:val="20"/>
              </w:rPr>
              <w:fldChar w:fldCharType="end"/>
            </w:r>
          </w:hyperlink>
        </w:p>
        <w:p w14:paraId="20E8AA77" w14:textId="5F62EAA8"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61" w:history="1">
            <w:r w:rsidRPr="002F4F30">
              <w:rPr>
                <w:rStyle w:val="Hipervnculo"/>
                <w:noProof/>
                <w:sz w:val="20"/>
                <w:szCs w:val="20"/>
                <w:lang w:val="es-ES"/>
              </w:rPr>
              <w:t>Capítulo 5: juego de trayectorias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_Toc242721861 \h </w:instrText>
            </w:r>
            <w:r w:rsidRPr="002F4F30">
              <w:rPr>
                <w:noProof/>
                <w:webHidden/>
                <w:sz w:val="20"/>
                <w:szCs w:val="20"/>
              </w:rPr>
            </w:r>
            <w:r w:rsidRPr="002F4F30">
              <w:rPr>
                <w:noProof/>
                <w:webHidden/>
                <w:sz w:val="20"/>
                <w:szCs w:val="20"/>
              </w:rPr>
              <w:fldChar w:fldCharType="separate"/>
            </w:r>
            <w:r>
              <w:rPr>
                <w:noProof/>
                <w:webHidden/>
                <w:sz w:val="20"/>
                <w:szCs w:val="20"/>
              </w:rPr>
              <w:t>57</w:t>
            </w:r>
            <w:r w:rsidRPr="002F4F30">
              <w:rPr>
                <w:noProof/>
                <w:webHidden/>
                <w:sz w:val="20"/>
                <w:szCs w:val="20"/>
              </w:rPr>
              <w:fldChar w:fldCharType="end"/>
            </w:r>
          </w:hyperlink>
        </w:p>
        <w:p w14:paraId="18E0636F" w14:textId="22EE6F67"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62" w:history="1">
            <w:r w:rsidRPr="002F4F30">
              <w:rPr>
                <w:rStyle w:val="Hipervnculo"/>
                <w:noProof/>
                <w:sz w:val="20"/>
                <w:szCs w:val="20"/>
                <w:lang w:val="es-ES"/>
              </w:rPr>
              <w:t>5.1. El orden de las cosas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_Toc242721862 \h </w:instrText>
            </w:r>
            <w:r w:rsidRPr="002F4F30">
              <w:rPr>
                <w:noProof/>
                <w:webHidden/>
                <w:sz w:val="20"/>
                <w:szCs w:val="20"/>
              </w:rPr>
            </w:r>
            <w:r w:rsidRPr="002F4F30">
              <w:rPr>
                <w:noProof/>
                <w:webHidden/>
                <w:sz w:val="20"/>
                <w:szCs w:val="20"/>
              </w:rPr>
              <w:fldChar w:fldCharType="separate"/>
            </w:r>
            <w:r>
              <w:rPr>
                <w:noProof/>
                <w:webHidden/>
                <w:sz w:val="20"/>
                <w:szCs w:val="20"/>
              </w:rPr>
              <w:t>57</w:t>
            </w:r>
            <w:r w:rsidRPr="002F4F30">
              <w:rPr>
                <w:noProof/>
                <w:webHidden/>
                <w:sz w:val="20"/>
                <w:szCs w:val="20"/>
              </w:rPr>
              <w:fldChar w:fldCharType="end"/>
            </w:r>
          </w:hyperlink>
        </w:p>
        <w:p w14:paraId="735368BF" w14:textId="6BD4733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63" w:history="1">
            <w:r w:rsidRPr="002F4F30">
              <w:rPr>
                <w:rStyle w:val="Hipervnculo"/>
                <w:noProof/>
                <w:sz w:val="20"/>
                <w:szCs w:val="20"/>
                <w:lang w:val="es-ES"/>
              </w:rPr>
              <w:t>5.2. Las diversas manifestaciones del pensamiento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_Toc242721863 \h </w:instrText>
            </w:r>
            <w:r w:rsidRPr="002F4F30">
              <w:rPr>
                <w:noProof/>
                <w:webHidden/>
                <w:sz w:val="20"/>
                <w:szCs w:val="20"/>
              </w:rPr>
            </w:r>
            <w:r w:rsidRPr="002F4F30">
              <w:rPr>
                <w:noProof/>
                <w:webHidden/>
                <w:sz w:val="20"/>
                <w:szCs w:val="20"/>
              </w:rPr>
              <w:fldChar w:fldCharType="separate"/>
            </w:r>
            <w:r>
              <w:rPr>
                <w:noProof/>
                <w:webHidden/>
                <w:sz w:val="20"/>
                <w:szCs w:val="20"/>
              </w:rPr>
              <w:t>59</w:t>
            </w:r>
            <w:r w:rsidRPr="002F4F30">
              <w:rPr>
                <w:noProof/>
                <w:webHidden/>
                <w:sz w:val="20"/>
                <w:szCs w:val="20"/>
              </w:rPr>
              <w:fldChar w:fldCharType="end"/>
            </w:r>
          </w:hyperlink>
        </w:p>
        <w:p w14:paraId="61E655E7" w14:textId="03233D64"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64" w:history="1">
            <w:r w:rsidRPr="002F4F30">
              <w:rPr>
                <w:rStyle w:val="Hipervnculo"/>
                <w:noProof/>
                <w:sz w:val="20"/>
                <w:szCs w:val="20"/>
                <w:lang w:val="es-ES"/>
              </w:rPr>
              <w:t>5.3. Permutar trayectorias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_Toc242721864 \h </w:instrText>
            </w:r>
            <w:r w:rsidRPr="002F4F30">
              <w:rPr>
                <w:noProof/>
                <w:webHidden/>
                <w:sz w:val="20"/>
                <w:szCs w:val="20"/>
              </w:rPr>
            </w:r>
            <w:r w:rsidRPr="002F4F30">
              <w:rPr>
                <w:noProof/>
                <w:webHidden/>
                <w:sz w:val="20"/>
                <w:szCs w:val="20"/>
              </w:rPr>
              <w:fldChar w:fldCharType="separate"/>
            </w:r>
            <w:r>
              <w:rPr>
                <w:noProof/>
                <w:webHidden/>
                <w:sz w:val="20"/>
                <w:szCs w:val="20"/>
              </w:rPr>
              <w:t>60</w:t>
            </w:r>
            <w:r w:rsidRPr="002F4F30">
              <w:rPr>
                <w:noProof/>
                <w:webHidden/>
                <w:sz w:val="20"/>
                <w:szCs w:val="20"/>
              </w:rPr>
              <w:fldChar w:fldCharType="end"/>
            </w:r>
          </w:hyperlink>
        </w:p>
        <w:p w14:paraId="5C7A7C1F" w14:textId="0F9FF4B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65" w:history="1">
            <w:r w:rsidRPr="002F4F30">
              <w:rPr>
                <w:rStyle w:val="Hipervnculo"/>
                <w:noProof/>
                <w:sz w:val="20"/>
                <w:szCs w:val="20"/>
                <w:lang w:val="es-ES"/>
              </w:rPr>
              <w:t>5.4. La geometría de las representaciones posibles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_Toc242721865 \h </w:instrText>
            </w:r>
            <w:r w:rsidRPr="002F4F30">
              <w:rPr>
                <w:noProof/>
                <w:webHidden/>
                <w:sz w:val="20"/>
                <w:szCs w:val="20"/>
              </w:rPr>
            </w:r>
            <w:r w:rsidRPr="002F4F30">
              <w:rPr>
                <w:noProof/>
                <w:webHidden/>
                <w:sz w:val="20"/>
                <w:szCs w:val="20"/>
              </w:rPr>
              <w:fldChar w:fldCharType="separate"/>
            </w:r>
            <w:r>
              <w:rPr>
                <w:noProof/>
                <w:webHidden/>
                <w:sz w:val="20"/>
                <w:szCs w:val="20"/>
              </w:rPr>
              <w:t>62</w:t>
            </w:r>
            <w:r w:rsidRPr="002F4F30">
              <w:rPr>
                <w:noProof/>
                <w:webHidden/>
                <w:sz w:val="20"/>
                <w:szCs w:val="20"/>
              </w:rPr>
              <w:fldChar w:fldCharType="end"/>
            </w:r>
          </w:hyperlink>
        </w:p>
        <w:p w14:paraId="61F89F1B" w14:textId="6738CEF1"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66" w:history="1">
            <w:r w:rsidRPr="002F4F30">
              <w:rPr>
                <w:rStyle w:val="Hipervnculo"/>
                <w:noProof/>
                <w:sz w:val="20"/>
                <w:szCs w:val="20"/>
                <w:lang w:val="es-ES"/>
              </w:rPr>
              <w:t>5.5. La distancia entre una trayectoria y su reflejo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_Toc242721866 \h </w:instrText>
            </w:r>
            <w:r w:rsidRPr="002F4F30">
              <w:rPr>
                <w:noProof/>
                <w:webHidden/>
                <w:sz w:val="20"/>
                <w:szCs w:val="20"/>
              </w:rPr>
            </w:r>
            <w:r w:rsidRPr="002F4F30">
              <w:rPr>
                <w:noProof/>
                <w:webHidden/>
                <w:sz w:val="20"/>
                <w:szCs w:val="20"/>
              </w:rPr>
              <w:fldChar w:fldCharType="separate"/>
            </w:r>
            <w:r>
              <w:rPr>
                <w:noProof/>
                <w:webHidden/>
                <w:sz w:val="20"/>
                <w:szCs w:val="20"/>
              </w:rPr>
              <w:t>63</w:t>
            </w:r>
            <w:r w:rsidRPr="002F4F30">
              <w:rPr>
                <w:noProof/>
                <w:webHidden/>
                <w:sz w:val="20"/>
                <w:szCs w:val="20"/>
              </w:rPr>
              <w:fldChar w:fldCharType="end"/>
            </w:r>
          </w:hyperlink>
        </w:p>
        <w:p w14:paraId="19FCB397" w14:textId="71C01EA6"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67" w:history="1">
            <w:r w:rsidRPr="002F4F30">
              <w:rPr>
                <w:rStyle w:val="Hipervnculo"/>
                <w:noProof/>
                <w:sz w:val="20"/>
                <w:szCs w:val="20"/>
                <w:lang w:val="es-ES"/>
              </w:rPr>
              <w:t>5.6. La estructura a través del espejo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_Toc242721867 \h </w:instrText>
            </w:r>
            <w:r w:rsidRPr="002F4F30">
              <w:rPr>
                <w:noProof/>
                <w:webHidden/>
                <w:sz w:val="20"/>
                <w:szCs w:val="20"/>
              </w:rPr>
            </w:r>
            <w:r w:rsidRPr="002F4F30">
              <w:rPr>
                <w:noProof/>
                <w:webHidden/>
                <w:sz w:val="20"/>
                <w:szCs w:val="20"/>
              </w:rPr>
              <w:fldChar w:fldCharType="separate"/>
            </w:r>
            <w:r>
              <w:rPr>
                <w:noProof/>
                <w:webHidden/>
                <w:sz w:val="20"/>
                <w:szCs w:val="20"/>
              </w:rPr>
              <w:t>65</w:t>
            </w:r>
            <w:r w:rsidRPr="002F4F30">
              <w:rPr>
                <w:noProof/>
                <w:webHidden/>
                <w:sz w:val="20"/>
                <w:szCs w:val="20"/>
              </w:rPr>
              <w:fldChar w:fldCharType="end"/>
            </w:r>
          </w:hyperlink>
        </w:p>
        <w:p w14:paraId="0E826719" w14:textId="1C181DE5"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68" w:history="1">
            <w:r w:rsidRPr="002F4F30">
              <w:rPr>
                <w:rStyle w:val="Hipervnculo"/>
                <w:noProof/>
                <w:sz w:val="20"/>
                <w:szCs w:val="20"/>
                <w:lang w:val="es-ES"/>
              </w:rPr>
              <w:t>5.7. Carga de prueba de una trayectoria reconstruida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_Toc242721868 \h </w:instrText>
            </w:r>
            <w:r w:rsidRPr="002F4F30">
              <w:rPr>
                <w:noProof/>
                <w:webHidden/>
                <w:sz w:val="20"/>
                <w:szCs w:val="20"/>
              </w:rPr>
            </w:r>
            <w:r w:rsidRPr="002F4F30">
              <w:rPr>
                <w:noProof/>
                <w:webHidden/>
                <w:sz w:val="20"/>
                <w:szCs w:val="20"/>
              </w:rPr>
              <w:fldChar w:fldCharType="separate"/>
            </w:r>
            <w:r>
              <w:rPr>
                <w:noProof/>
                <w:webHidden/>
                <w:sz w:val="20"/>
                <w:szCs w:val="20"/>
              </w:rPr>
              <w:t>68</w:t>
            </w:r>
            <w:r w:rsidRPr="002F4F30">
              <w:rPr>
                <w:noProof/>
                <w:webHidden/>
                <w:sz w:val="20"/>
                <w:szCs w:val="20"/>
              </w:rPr>
              <w:fldChar w:fldCharType="end"/>
            </w:r>
          </w:hyperlink>
        </w:p>
        <w:p w14:paraId="3BB9E93F" w14:textId="762D5F27"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69" w:history="1">
            <w:r w:rsidRPr="002F4F30">
              <w:rPr>
                <w:rStyle w:val="Hipervnculo"/>
                <w:noProof/>
                <w:sz w:val="20"/>
                <w:szCs w:val="20"/>
                <w:lang w:val="es-ES"/>
              </w:rPr>
              <w:t>Capítulo 6: cierre formal del Sistema de Coordenadas Cognitivas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_Toc242721869 \h </w:instrText>
            </w:r>
            <w:r w:rsidRPr="002F4F30">
              <w:rPr>
                <w:noProof/>
                <w:webHidden/>
                <w:sz w:val="20"/>
                <w:szCs w:val="20"/>
              </w:rPr>
            </w:r>
            <w:r w:rsidRPr="002F4F30">
              <w:rPr>
                <w:noProof/>
                <w:webHidden/>
                <w:sz w:val="20"/>
                <w:szCs w:val="20"/>
              </w:rPr>
              <w:fldChar w:fldCharType="separate"/>
            </w:r>
            <w:r>
              <w:rPr>
                <w:noProof/>
                <w:webHidden/>
                <w:sz w:val="20"/>
                <w:szCs w:val="20"/>
              </w:rPr>
              <w:t>70</w:t>
            </w:r>
            <w:r w:rsidRPr="002F4F30">
              <w:rPr>
                <w:noProof/>
                <w:webHidden/>
                <w:sz w:val="20"/>
                <w:szCs w:val="20"/>
              </w:rPr>
              <w:fldChar w:fldCharType="end"/>
            </w:r>
          </w:hyperlink>
        </w:p>
        <w:p w14:paraId="6635F472" w14:textId="62DDCA4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70" w:history="1">
            <w:r w:rsidRPr="002F4F30">
              <w:rPr>
                <w:rStyle w:val="Hipervnculo"/>
                <w:noProof/>
                <w:sz w:val="20"/>
                <w:szCs w:val="20"/>
                <w:lang w:val="es-ES"/>
              </w:rPr>
              <w:t>6.1. Consecuencias naturales del formalismo: las catorce capacidades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_Toc242721870 \h </w:instrText>
            </w:r>
            <w:r w:rsidRPr="002F4F30">
              <w:rPr>
                <w:noProof/>
                <w:webHidden/>
                <w:sz w:val="20"/>
                <w:szCs w:val="20"/>
              </w:rPr>
            </w:r>
            <w:r w:rsidRPr="002F4F30">
              <w:rPr>
                <w:noProof/>
                <w:webHidden/>
                <w:sz w:val="20"/>
                <w:szCs w:val="20"/>
              </w:rPr>
              <w:fldChar w:fldCharType="separate"/>
            </w:r>
            <w:r>
              <w:rPr>
                <w:noProof/>
                <w:webHidden/>
                <w:sz w:val="20"/>
                <w:szCs w:val="20"/>
              </w:rPr>
              <w:t>70</w:t>
            </w:r>
            <w:r w:rsidRPr="002F4F30">
              <w:rPr>
                <w:noProof/>
                <w:webHidden/>
                <w:sz w:val="20"/>
                <w:szCs w:val="20"/>
              </w:rPr>
              <w:fldChar w:fldCharType="end"/>
            </w:r>
          </w:hyperlink>
        </w:p>
        <w:p w14:paraId="3EEF9C18" w14:textId="6FAF9FC8"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71" w:history="1">
            <w:r w:rsidRPr="002F4F30">
              <w:rPr>
                <w:rStyle w:val="Hipervnculo"/>
                <w:noProof/>
                <w:sz w:val="20"/>
                <w:szCs w:val="20"/>
                <w:lang w:val="es-ES"/>
              </w:rPr>
              <w:t>6.2. Cierre del problema de decisión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_Toc242721871 \h </w:instrText>
            </w:r>
            <w:r w:rsidRPr="002F4F30">
              <w:rPr>
                <w:noProof/>
                <w:webHidden/>
                <w:sz w:val="20"/>
                <w:szCs w:val="20"/>
              </w:rPr>
            </w:r>
            <w:r w:rsidRPr="002F4F30">
              <w:rPr>
                <w:noProof/>
                <w:webHidden/>
                <w:sz w:val="20"/>
                <w:szCs w:val="20"/>
              </w:rPr>
              <w:fldChar w:fldCharType="separate"/>
            </w:r>
            <w:r>
              <w:rPr>
                <w:noProof/>
                <w:webHidden/>
                <w:sz w:val="20"/>
                <w:szCs w:val="20"/>
              </w:rPr>
              <w:t>73</w:t>
            </w:r>
            <w:r w:rsidRPr="002F4F30">
              <w:rPr>
                <w:noProof/>
                <w:webHidden/>
                <w:sz w:val="20"/>
                <w:szCs w:val="20"/>
              </w:rPr>
              <w:fldChar w:fldCharType="end"/>
            </w:r>
          </w:hyperlink>
        </w:p>
        <w:p w14:paraId="09442707" w14:textId="528513D4"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72" w:history="1">
            <w:r w:rsidRPr="002F4F30">
              <w:rPr>
                <w:rStyle w:val="Hipervnculo"/>
                <w:noProof/>
                <w:sz w:val="20"/>
                <w:szCs w:val="20"/>
                <w:lang w:val="es-ES"/>
              </w:rPr>
              <w:t>PARTE III — MDPAR como expresión ejecutable del Sistema de Coordenadas Cognitivas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_Toc242721872 \h </w:instrText>
            </w:r>
            <w:r w:rsidRPr="002F4F30">
              <w:rPr>
                <w:noProof/>
                <w:webHidden/>
                <w:sz w:val="20"/>
                <w:szCs w:val="20"/>
              </w:rPr>
            </w:r>
            <w:r w:rsidRPr="002F4F30">
              <w:rPr>
                <w:noProof/>
                <w:webHidden/>
                <w:sz w:val="20"/>
                <w:szCs w:val="20"/>
              </w:rPr>
              <w:fldChar w:fldCharType="separate"/>
            </w:r>
            <w:r>
              <w:rPr>
                <w:noProof/>
                <w:webHidden/>
                <w:sz w:val="20"/>
                <w:szCs w:val="20"/>
              </w:rPr>
              <w:t>76</w:t>
            </w:r>
            <w:r w:rsidRPr="002F4F30">
              <w:rPr>
                <w:noProof/>
                <w:webHidden/>
                <w:sz w:val="20"/>
                <w:szCs w:val="20"/>
              </w:rPr>
              <w:fldChar w:fldCharType="end"/>
            </w:r>
          </w:hyperlink>
        </w:p>
        <w:p w14:paraId="1699F703" w14:textId="4ECA6635"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73" w:history="1">
            <w:r w:rsidRPr="002F4F30">
              <w:rPr>
                <w:rStyle w:val="Hipervnculo"/>
                <w:noProof/>
                <w:sz w:val="20"/>
                <w:szCs w:val="20"/>
                <w:lang w:val="es-ES"/>
              </w:rPr>
              <w:t>Capítulo 7: src — arquitectura ejecutable del SCC</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_Toc242721873 \h </w:instrText>
            </w:r>
            <w:r w:rsidRPr="002F4F30">
              <w:rPr>
                <w:noProof/>
                <w:webHidden/>
                <w:sz w:val="20"/>
                <w:szCs w:val="20"/>
              </w:rPr>
            </w:r>
            <w:r w:rsidRPr="002F4F30">
              <w:rPr>
                <w:noProof/>
                <w:webHidden/>
                <w:sz w:val="20"/>
                <w:szCs w:val="20"/>
              </w:rPr>
              <w:fldChar w:fldCharType="separate"/>
            </w:r>
            <w:r>
              <w:rPr>
                <w:noProof/>
                <w:webHidden/>
                <w:sz w:val="20"/>
                <w:szCs w:val="20"/>
              </w:rPr>
              <w:t>76</w:t>
            </w:r>
            <w:r w:rsidRPr="002F4F30">
              <w:rPr>
                <w:noProof/>
                <w:webHidden/>
                <w:sz w:val="20"/>
                <w:szCs w:val="20"/>
              </w:rPr>
              <w:fldChar w:fldCharType="end"/>
            </w:r>
          </w:hyperlink>
        </w:p>
        <w:p w14:paraId="2BA5DBCC" w14:textId="6B8264B1"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74" w:history="1">
            <w:r w:rsidRPr="002F4F30">
              <w:rPr>
                <w:rStyle w:val="Hipervnculo"/>
                <w:noProof/>
                <w:sz w:val="20"/>
                <w:szCs w:val="20"/>
                <w:lang w:val="es-ES"/>
              </w:rPr>
              <w:t>7.1. mdpar_core: núcleo formal, cálculo estructural y Atlas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_Toc242721874 \h </w:instrText>
            </w:r>
            <w:r w:rsidRPr="002F4F30">
              <w:rPr>
                <w:noProof/>
                <w:webHidden/>
                <w:sz w:val="20"/>
                <w:szCs w:val="20"/>
              </w:rPr>
            </w:r>
            <w:r w:rsidRPr="002F4F30">
              <w:rPr>
                <w:noProof/>
                <w:webHidden/>
                <w:sz w:val="20"/>
                <w:szCs w:val="20"/>
              </w:rPr>
              <w:fldChar w:fldCharType="separate"/>
            </w:r>
            <w:r>
              <w:rPr>
                <w:noProof/>
                <w:webHidden/>
                <w:sz w:val="20"/>
                <w:szCs w:val="20"/>
              </w:rPr>
              <w:t>77</w:t>
            </w:r>
            <w:r w:rsidRPr="002F4F30">
              <w:rPr>
                <w:noProof/>
                <w:webHidden/>
                <w:sz w:val="20"/>
                <w:szCs w:val="20"/>
              </w:rPr>
              <w:fldChar w:fldCharType="end"/>
            </w:r>
          </w:hyperlink>
        </w:p>
        <w:p w14:paraId="14EDF34F" w14:textId="1C1660C2"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75" w:history="1">
            <w:r w:rsidRPr="002F4F30">
              <w:rPr>
                <w:rStyle w:val="Hipervnculo"/>
                <w:noProof/>
                <w:sz w:val="20"/>
                <w:szCs w:val="20"/>
                <w:lang w:val="es-ES"/>
              </w:rPr>
              <w:t>7.2. mdpar_parser: reconstrucción canónica y permutación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_Toc242721875 \h </w:instrText>
            </w:r>
            <w:r w:rsidRPr="002F4F30">
              <w:rPr>
                <w:noProof/>
                <w:webHidden/>
                <w:sz w:val="20"/>
                <w:szCs w:val="20"/>
              </w:rPr>
            </w:r>
            <w:r w:rsidRPr="002F4F30">
              <w:rPr>
                <w:noProof/>
                <w:webHidden/>
                <w:sz w:val="20"/>
                <w:szCs w:val="20"/>
              </w:rPr>
              <w:fldChar w:fldCharType="separate"/>
            </w:r>
            <w:r>
              <w:rPr>
                <w:noProof/>
                <w:webHidden/>
                <w:sz w:val="20"/>
                <w:szCs w:val="20"/>
              </w:rPr>
              <w:t>77</w:t>
            </w:r>
            <w:r w:rsidRPr="002F4F30">
              <w:rPr>
                <w:noProof/>
                <w:webHidden/>
                <w:sz w:val="20"/>
                <w:szCs w:val="20"/>
              </w:rPr>
              <w:fldChar w:fldCharType="end"/>
            </w:r>
          </w:hyperlink>
        </w:p>
        <w:p w14:paraId="079BDB25" w14:textId="6154D90F"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76" w:history="1">
            <w:r w:rsidRPr="002F4F30">
              <w:rPr>
                <w:rStyle w:val="Hipervnculo"/>
                <w:noProof/>
                <w:sz w:val="20"/>
                <w:szCs w:val="20"/>
                <w:lang w:val="es-ES"/>
              </w:rPr>
              <w:t>7.3. mdpar_engine: evaluación interpretativa y continuidad longitudinal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_Toc242721876 \h </w:instrText>
            </w:r>
            <w:r w:rsidRPr="002F4F30">
              <w:rPr>
                <w:noProof/>
                <w:webHidden/>
                <w:sz w:val="20"/>
                <w:szCs w:val="20"/>
              </w:rPr>
            </w:r>
            <w:r w:rsidRPr="002F4F30">
              <w:rPr>
                <w:noProof/>
                <w:webHidden/>
                <w:sz w:val="20"/>
                <w:szCs w:val="20"/>
              </w:rPr>
              <w:fldChar w:fldCharType="separate"/>
            </w:r>
            <w:r>
              <w:rPr>
                <w:noProof/>
                <w:webHidden/>
                <w:sz w:val="20"/>
                <w:szCs w:val="20"/>
              </w:rPr>
              <w:t>77</w:t>
            </w:r>
            <w:r w:rsidRPr="002F4F30">
              <w:rPr>
                <w:noProof/>
                <w:webHidden/>
                <w:sz w:val="20"/>
                <w:szCs w:val="20"/>
              </w:rPr>
              <w:fldChar w:fldCharType="end"/>
            </w:r>
          </w:hyperlink>
        </w:p>
        <w:p w14:paraId="0132CBD3" w14:textId="2528B288"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77" w:history="1">
            <w:r w:rsidRPr="002F4F30">
              <w:rPr>
                <w:rStyle w:val="Hipervnculo"/>
                <w:noProof/>
                <w:sz w:val="20"/>
                <w:szCs w:val="20"/>
                <w:lang w:val="es-ES"/>
              </w:rPr>
              <w:t>7.4. mdpar_plugins: especialización CLOSED acotada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_Toc242721877 \h </w:instrText>
            </w:r>
            <w:r w:rsidRPr="002F4F30">
              <w:rPr>
                <w:noProof/>
                <w:webHidden/>
                <w:sz w:val="20"/>
                <w:szCs w:val="20"/>
              </w:rPr>
            </w:r>
            <w:r w:rsidRPr="002F4F30">
              <w:rPr>
                <w:noProof/>
                <w:webHidden/>
                <w:sz w:val="20"/>
                <w:szCs w:val="20"/>
              </w:rPr>
              <w:fldChar w:fldCharType="separate"/>
            </w:r>
            <w:r>
              <w:rPr>
                <w:noProof/>
                <w:webHidden/>
                <w:sz w:val="20"/>
                <w:szCs w:val="20"/>
              </w:rPr>
              <w:t>77</w:t>
            </w:r>
            <w:r w:rsidRPr="002F4F30">
              <w:rPr>
                <w:noProof/>
                <w:webHidden/>
                <w:sz w:val="20"/>
                <w:szCs w:val="20"/>
              </w:rPr>
              <w:fldChar w:fldCharType="end"/>
            </w:r>
          </w:hyperlink>
        </w:p>
        <w:p w14:paraId="14C205AB" w14:textId="6585D5E7"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78" w:history="1">
            <w:r w:rsidRPr="002F4F30">
              <w:rPr>
                <w:rStyle w:val="Hipervnculo"/>
                <w:noProof/>
                <w:sz w:val="20"/>
                <w:szCs w:val="20"/>
                <w:lang w:val="es-ES"/>
              </w:rPr>
              <w:t>7.5. mdpar_routing: selección de capacidades y concesión de ruta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_Toc242721878 \h </w:instrText>
            </w:r>
            <w:r w:rsidRPr="002F4F30">
              <w:rPr>
                <w:noProof/>
                <w:webHidden/>
                <w:sz w:val="20"/>
                <w:szCs w:val="20"/>
              </w:rPr>
            </w:r>
            <w:r w:rsidRPr="002F4F30">
              <w:rPr>
                <w:noProof/>
                <w:webHidden/>
                <w:sz w:val="20"/>
                <w:szCs w:val="20"/>
              </w:rPr>
              <w:fldChar w:fldCharType="separate"/>
            </w:r>
            <w:r>
              <w:rPr>
                <w:noProof/>
                <w:webHidden/>
                <w:sz w:val="20"/>
                <w:szCs w:val="20"/>
              </w:rPr>
              <w:t>78</w:t>
            </w:r>
            <w:r w:rsidRPr="002F4F30">
              <w:rPr>
                <w:noProof/>
                <w:webHidden/>
                <w:sz w:val="20"/>
                <w:szCs w:val="20"/>
              </w:rPr>
              <w:fldChar w:fldCharType="end"/>
            </w:r>
          </w:hyperlink>
        </w:p>
        <w:p w14:paraId="72602472" w14:textId="76F435CF"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79" w:history="1">
            <w:r w:rsidRPr="002F4F30">
              <w:rPr>
                <w:rStyle w:val="Hipervnculo"/>
                <w:noProof/>
                <w:sz w:val="20"/>
                <w:szCs w:val="20"/>
                <w:lang w:val="es-ES"/>
              </w:rPr>
              <w:t>7.6. mdpar_input: representación de entradas y procedencia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_Toc242721879 \h </w:instrText>
            </w:r>
            <w:r w:rsidRPr="002F4F30">
              <w:rPr>
                <w:noProof/>
                <w:webHidden/>
                <w:sz w:val="20"/>
                <w:szCs w:val="20"/>
              </w:rPr>
            </w:r>
            <w:r w:rsidRPr="002F4F30">
              <w:rPr>
                <w:noProof/>
                <w:webHidden/>
                <w:sz w:val="20"/>
                <w:szCs w:val="20"/>
              </w:rPr>
              <w:fldChar w:fldCharType="separate"/>
            </w:r>
            <w:r>
              <w:rPr>
                <w:noProof/>
                <w:webHidden/>
                <w:sz w:val="20"/>
                <w:szCs w:val="20"/>
              </w:rPr>
              <w:t>78</w:t>
            </w:r>
            <w:r w:rsidRPr="002F4F30">
              <w:rPr>
                <w:noProof/>
                <w:webHidden/>
                <w:sz w:val="20"/>
                <w:szCs w:val="20"/>
              </w:rPr>
              <w:fldChar w:fldCharType="end"/>
            </w:r>
          </w:hyperlink>
        </w:p>
        <w:p w14:paraId="6D631F03" w14:textId="3D21617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80" w:history="1">
            <w:r w:rsidRPr="002F4F30">
              <w:rPr>
                <w:rStyle w:val="Hipervnculo"/>
                <w:noProof/>
                <w:sz w:val="20"/>
                <w:szCs w:val="20"/>
                <w:lang w:val="es-ES"/>
              </w:rPr>
              <w:t>7.7. mdpar_runtime: orquestación neutral y continuidad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_Toc242721880 \h </w:instrText>
            </w:r>
            <w:r w:rsidRPr="002F4F30">
              <w:rPr>
                <w:noProof/>
                <w:webHidden/>
                <w:sz w:val="20"/>
                <w:szCs w:val="20"/>
              </w:rPr>
            </w:r>
            <w:r w:rsidRPr="002F4F30">
              <w:rPr>
                <w:noProof/>
                <w:webHidden/>
                <w:sz w:val="20"/>
                <w:szCs w:val="20"/>
              </w:rPr>
              <w:fldChar w:fldCharType="separate"/>
            </w:r>
            <w:r>
              <w:rPr>
                <w:noProof/>
                <w:webHidden/>
                <w:sz w:val="20"/>
                <w:szCs w:val="20"/>
              </w:rPr>
              <w:t>78</w:t>
            </w:r>
            <w:r w:rsidRPr="002F4F30">
              <w:rPr>
                <w:noProof/>
                <w:webHidden/>
                <w:sz w:val="20"/>
                <w:szCs w:val="20"/>
              </w:rPr>
              <w:fldChar w:fldCharType="end"/>
            </w:r>
          </w:hyperlink>
        </w:p>
        <w:p w14:paraId="0EA9A669" w14:textId="145DBAC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81" w:history="1">
            <w:r w:rsidRPr="002F4F30">
              <w:rPr>
                <w:rStyle w:val="Hipervnculo"/>
                <w:noProof/>
                <w:sz w:val="20"/>
                <w:szCs w:val="20"/>
                <w:lang w:val="es-ES"/>
              </w:rPr>
              <w:t>7.8. embodimentAnchor: autorización encarnada acotada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_Toc242721881 \h </w:instrText>
            </w:r>
            <w:r w:rsidRPr="002F4F30">
              <w:rPr>
                <w:noProof/>
                <w:webHidden/>
                <w:sz w:val="20"/>
                <w:szCs w:val="20"/>
              </w:rPr>
            </w:r>
            <w:r w:rsidRPr="002F4F30">
              <w:rPr>
                <w:noProof/>
                <w:webHidden/>
                <w:sz w:val="20"/>
                <w:szCs w:val="20"/>
              </w:rPr>
              <w:fldChar w:fldCharType="separate"/>
            </w:r>
            <w:r>
              <w:rPr>
                <w:noProof/>
                <w:webHidden/>
                <w:sz w:val="20"/>
                <w:szCs w:val="20"/>
              </w:rPr>
              <w:t>79</w:t>
            </w:r>
            <w:r w:rsidRPr="002F4F30">
              <w:rPr>
                <w:noProof/>
                <w:webHidden/>
                <w:sz w:val="20"/>
                <w:szCs w:val="20"/>
              </w:rPr>
              <w:fldChar w:fldCharType="end"/>
            </w:r>
          </w:hyperlink>
        </w:p>
        <w:p w14:paraId="1D61C86A" w14:textId="6AEE9B4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82" w:history="1">
            <w:r w:rsidRPr="002F4F30">
              <w:rPr>
                <w:rStyle w:val="Hipervnculo"/>
                <w:noProof/>
                <w:sz w:val="20"/>
                <w:szCs w:val="20"/>
                <w:lang w:val="es-ES"/>
              </w:rPr>
              <w:t>7.9. open: observación semántica externa y publicación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_Toc242721882 \h </w:instrText>
            </w:r>
            <w:r w:rsidRPr="002F4F30">
              <w:rPr>
                <w:noProof/>
                <w:webHidden/>
                <w:sz w:val="20"/>
                <w:szCs w:val="20"/>
              </w:rPr>
            </w:r>
            <w:r w:rsidRPr="002F4F30">
              <w:rPr>
                <w:noProof/>
                <w:webHidden/>
                <w:sz w:val="20"/>
                <w:szCs w:val="20"/>
              </w:rPr>
              <w:fldChar w:fldCharType="separate"/>
            </w:r>
            <w:r>
              <w:rPr>
                <w:noProof/>
                <w:webHidden/>
                <w:sz w:val="20"/>
                <w:szCs w:val="20"/>
              </w:rPr>
              <w:t>79</w:t>
            </w:r>
            <w:r w:rsidRPr="002F4F30">
              <w:rPr>
                <w:noProof/>
                <w:webHidden/>
                <w:sz w:val="20"/>
                <w:szCs w:val="20"/>
              </w:rPr>
              <w:fldChar w:fldCharType="end"/>
            </w:r>
          </w:hyperlink>
        </w:p>
        <w:p w14:paraId="4B523BCF" w14:textId="448EDEF4"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83" w:history="1">
            <w:r w:rsidRPr="002F4F30">
              <w:rPr>
                <w:rStyle w:val="Hipervnculo"/>
                <w:noProof/>
                <w:sz w:val="20"/>
                <w:szCs w:val="20"/>
                <w:lang w:val="es-ES"/>
              </w:rPr>
              <w:t>7.10. mdpar_registry: inventario contractual de operaciones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_Toc242721883 \h </w:instrText>
            </w:r>
            <w:r w:rsidRPr="002F4F30">
              <w:rPr>
                <w:noProof/>
                <w:webHidden/>
                <w:sz w:val="20"/>
                <w:szCs w:val="20"/>
              </w:rPr>
            </w:r>
            <w:r w:rsidRPr="002F4F30">
              <w:rPr>
                <w:noProof/>
                <w:webHidden/>
                <w:sz w:val="20"/>
                <w:szCs w:val="20"/>
              </w:rPr>
              <w:fldChar w:fldCharType="separate"/>
            </w:r>
            <w:r>
              <w:rPr>
                <w:noProof/>
                <w:webHidden/>
                <w:sz w:val="20"/>
                <w:szCs w:val="20"/>
              </w:rPr>
              <w:t>79</w:t>
            </w:r>
            <w:r w:rsidRPr="002F4F30">
              <w:rPr>
                <w:noProof/>
                <w:webHidden/>
                <w:sz w:val="20"/>
                <w:szCs w:val="20"/>
              </w:rPr>
              <w:fldChar w:fldCharType="end"/>
            </w:r>
          </w:hyperlink>
        </w:p>
        <w:p w14:paraId="2CCD61F8" w14:textId="4034C3A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84" w:history="1">
            <w:r w:rsidRPr="002F4F30">
              <w:rPr>
                <w:rStyle w:val="Hipervnculo"/>
                <w:noProof/>
                <w:sz w:val="20"/>
                <w:szCs w:val="20"/>
                <w:lang w:val="es-ES"/>
              </w:rPr>
              <w:t>7.11. mdpar_qa: verificación arquitectónica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_Toc242721884 \h </w:instrText>
            </w:r>
            <w:r w:rsidRPr="002F4F30">
              <w:rPr>
                <w:noProof/>
                <w:webHidden/>
                <w:sz w:val="20"/>
                <w:szCs w:val="20"/>
              </w:rPr>
            </w:r>
            <w:r w:rsidRPr="002F4F30">
              <w:rPr>
                <w:noProof/>
                <w:webHidden/>
                <w:sz w:val="20"/>
                <w:szCs w:val="20"/>
              </w:rPr>
              <w:fldChar w:fldCharType="separate"/>
            </w:r>
            <w:r>
              <w:rPr>
                <w:noProof/>
                <w:webHidden/>
                <w:sz w:val="20"/>
                <w:szCs w:val="20"/>
              </w:rPr>
              <w:t>80</w:t>
            </w:r>
            <w:r w:rsidRPr="002F4F30">
              <w:rPr>
                <w:noProof/>
                <w:webHidden/>
                <w:sz w:val="20"/>
                <w:szCs w:val="20"/>
              </w:rPr>
              <w:fldChar w:fldCharType="end"/>
            </w:r>
          </w:hyperlink>
        </w:p>
        <w:p w14:paraId="5E3444E7" w14:textId="493FF7C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85" w:history="1">
            <w:r w:rsidRPr="002F4F30">
              <w:rPr>
                <w:rStyle w:val="Hipervnculo"/>
                <w:noProof/>
                <w:sz w:val="20"/>
                <w:szCs w:val="20"/>
                <w:lang w:val="es-ES"/>
              </w:rPr>
              <w:t>7.12. pom.xml: identidad y construcción reproducible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_Toc242721885 \h </w:instrText>
            </w:r>
            <w:r w:rsidRPr="002F4F30">
              <w:rPr>
                <w:noProof/>
                <w:webHidden/>
                <w:sz w:val="20"/>
                <w:szCs w:val="20"/>
              </w:rPr>
            </w:r>
            <w:r w:rsidRPr="002F4F30">
              <w:rPr>
                <w:noProof/>
                <w:webHidden/>
                <w:sz w:val="20"/>
                <w:szCs w:val="20"/>
              </w:rPr>
              <w:fldChar w:fldCharType="separate"/>
            </w:r>
            <w:r>
              <w:rPr>
                <w:noProof/>
                <w:webHidden/>
                <w:sz w:val="20"/>
                <w:szCs w:val="20"/>
              </w:rPr>
              <w:t>80</w:t>
            </w:r>
            <w:r w:rsidRPr="002F4F30">
              <w:rPr>
                <w:noProof/>
                <w:webHidden/>
                <w:sz w:val="20"/>
                <w:szCs w:val="20"/>
              </w:rPr>
              <w:fldChar w:fldCharType="end"/>
            </w:r>
          </w:hyperlink>
        </w:p>
        <w:p w14:paraId="16443BA5" w14:textId="67B699D0"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86" w:history="1">
            <w:r w:rsidRPr="002F4F30">
              <w:rPr>
                <w:rStyle w:val="Hipervnculo"/>
                <w:noProof/>
                <w:sz w:val="20"/>
                <w:szCs w:val="20"/>
                <w:lang w:val="es-ES"/>
              </w:rPr>
              <w:t>Capítulo 8: mdpar-ai-adapter — interfaz semántica y experimental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_Toc242721886 \h </w:instrText>
            </w:r>
            <w:r w:rsidRPr="002F4F30">
              <w:rPr>
                <w:noProof/>
                <w:webHidden/>
                <w:sz w:val="20"/>
                <w:szCs w:val="20"/>
              </w:rPr>
            </w:r>
            <w:r w:rsidRPr="002F4F30">
              <w:rPr>
                <w:noProof/>
                <w:webHidden/>
                <w:sz w:val="20"/>
                <w:szCs w:val="20"/>
              </w:rPr>
              <w:fldChar w:fldCharType="separate"/>
            </w:r>
            <w:r>
              <w:rPr>
                <w:noProof/>
                <w:webHidden/>
                <w:sz w:val="20"/>
                <w:szCs w:val="20"/>
              </w:rPr>
              <w:t>80</w:t>
            </w:r>
            <w:r w:rsidRPr="002F4F30">
              <w:rPr>
                <w:noProof/>
                <w:webHidden/>
                <w:sz w:val="20"/>
                <w:szCs w:val="20"/>
              </w:rPr>
              <w:fldChar w:fldCharType="end"/>
            </w:r>
          </w:hyperlink>
        </w:p>
        <w:p w14:paraId="52B0E7BB" w14:textId="6C63D6F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87" w:history="1">
            <w:r w:rsidRPr="002F4F30">
              <w:rPr>
                <w:rStyle w:val="Hipervnculo"/>
                <w:noProof/>
                <w:sz w:val="20"/>
                <w:szCs w:val="20"/>
                <w:lang w:val="es-ES"/>
              </w:rPr>
              <w:t>8.1. app: integración, ejecución y publicación bajo autoridad canónica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_Toc242721887 \h </w:instrText>
            </w:r>
            <w:r w:rsidRPr="002F4F30">
              <w:rPr>
                <w:noProof/>
                <w:webHidden/>
                <w:sz w:val="20"/>
                <w:szCs w:val="20"/>
              </w:rPr>
            </w:r>
            <w:r w:rsidRPr="002F4F30">
              <w:rPr>
                <w:noProof/>
                <w:webHidden/>
                <w:sz w:val="20"/>
                <w:szCs w:val="20"/>
              </w:rPr>
              <w:fldChar w:fldCharType="separate"/>
            </w:r>
            <w:r>
              <w:rPr>
                <w:noProof/>
                <w:webHidden/>
                <w:sz w:val="20"/>
                <w:szCs w:val="20"/>
              </w:rPr>
              <w:t>81</w:t>
            </w:r>
            <w:r w:rsidRPr="002F4F30">
              <w:rPr>
                <w:noProof/>
                <w:webHidden/>
                <w:sz w:val="20"/>
                <w:szCs w:val="20"/>
              </w:rPr>
              <w:fldChar w:fldCharType="end"/>
            </w:r>
          </w:hyperlink>
        </w:p>
        <w:p w14:paraId="67B6D303" w14:textId="4B66660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88" w:history="1">
            <w:r w:rsidRPr="002F4F30">
              <w:rPr>
                <w:rStyle w:val="Hipervnculo"/>
                <w:noProof/>
                <w:sz w:val="20"/>
                <w:szCs w:val="20"/>
                <w:lang w:val="es-ES"/>
              </w:rPr>
              <w:t>8.2. corpus: condiciones experimentales y estímulos reproducibles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_Toc242721888 \h </w:instrText>
            </w:r>
            <w:r w:rsidRPr="002F4F30">
              <w:rPr>
                <w:noProof/>
                <w:webHidden/>
                <w:sz w:val="20"/>
                <w:szCs w:val="20"/>
              </w:rPr>
            </w:r>
            <w:r w:rsidRPr="002F4F30">
              <w:rPr>
                <w:noProof/>
                <w:webHidden/>
                <w:sz w:val="20"/>
                <w:szCs w:val="20"/>
              </w:rPr>
              <w:fldChar w:fldCharType="separate"/>
            </w:r>
            <w:r>
              <w:rPr>
                <w:noProof/>
                <w:webHidden/>
                <w:sz w:val="20"/>
                <w:szCs w:val="20"/>
              </w:rPr>
              <w:t>82</w:t>
            </w:r>
            <w:r w:rsidRPr="002F4F30">
              <w:rPr>
                <w:noProof/>
                <w:webHidden/>
                <w:sz w:val="20"/>
                <w:szCs w:val="20"/>
              </w:rPr>
              <w:fldChar w:fldCharType="end"/>
            </w:r>
          </w:hyperlink>
        </w:p>
        <w:p w14:paraId="6BCA1160" w14:textId="0487E5A4"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89" w:history="1">
            <w:r w:rsidRPr="002F4F30">
              <w:rPr>
                <w:rStyle w:val="Hipervnculo"/>
                <w:noProof/>
                <w:sz w:val="20"/>
                <w:szCs w:val="20"/>
                <w:lang w:val="es-ES"/>
              </w:rPr>
              <w:t>8.3. scripts: ejecución prospectiva y análisis de la evidencia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_Toc242721889 \h </w:instrText>
            </w:r>
            <w:r w:rsidRPr="002F4F30">
              <w:rPr>
                <w:noProof/>
                <w:webHidden/>
                <w:sz w:val="20"/>
                <w:szCs w:val="20"/>
              </w:rPr>
            </w:r>
            <w:r w:rsidRPr="002F4F30">
              <w:rPr>
                <w:noProof/>
                <w:webHidden/>
                <w:sz w:val="20"/>
                <w:szCs w:val="20"/>
              </w:rPr>
              <w:fldChar w:fldCharType="separate"/>
            </w:r>
            <w:r>
              <w:rPr>
                <w:noProof/>
                <w:webHidden/>
                <w:sz w:val="20"/>
                <w:szCs w:val="20"/>
              </w:rPr>
              <w:t>82</w:t>
            </w:r>
            <w:r w:rsidRPr="002F4F30">
              <w:rPr>
                <w:noProof/>
                <w:webHidden/>
                <w:sz w:val="20"/>
                <w:szCs w:val="20"/>
              </w:rPr>
              <w:fldChar w:fldCharType="end"/>
            </w:r>
          </w:hyperlink>
        </w:p>
        <w:p w14:paraId="4209704F" w14:textId="3D6068D6"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90" w:history="1">
            <w:r w:rsidRPr="002F4F30">
              <w:rPr>
                <w:rStyle w:val="Hipervnculo"/>
                <w:noProof/>
                <w:sz w:val="20"/>
                <w:szCs w:val="20"/>
                <w:lang w:val="es-ES"/>
              </w:rPr>
              <w:t>8.4. tests: regresión y conformidad de implementación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_Toc242721890 \h </w:instrText>
            </w:r>
            <w:r w:rsidRPr="002F4F30">
              <w:rPr>
                <w:noProof/>
                <w:webHidden/>
                <w:sz w:val="20"/>
                <w:szCs w:val="20"/>
              </w:rPr>
            </w:r>
            <w:r w:rsidRPr="002F4F30">
              <w:rPr>
                <w:noProof/>
                <w:webHidden/>
                <w:sz w:val="20"/>
                <w:szCs w:val="20"/>
              </w:rPr>
              <w:fldChar w:fldCharType="separate"/>
            </w:r>
            <w:r>
              <w:rPr>
                <w:noProof/>
                <w:webHidden/>
                <w:sz w:val="20"/>
                <w:szCs w:val="20"/>
              </w:rPr>
              <w:t>82</w:t>
            </w:r>
            <w:r w:rsidRPr="002F4F30">
              <w:rPr>
                <w:noProof/>
                <w:webHidden/>
                <w:sz w:val="20"/>
                <w:szCs w:val="20"/>
              </w:rPr>
              <w:fldChar w:fldCharType="end"/>
            </w:r>
          </w:hyperlink>
        </w:p>
        <w:p w14:paraId="7F2657D8" w14:textId="1B09AA38"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91" w:history="1">
            <w:r w:rsidRPr="002F4F30">
              <w:rPr>
                <w:rStyle w:val="Hipervnculo"/>
                <w:noProof/>
                <w:sz w:val="20"/>
                <w:szCs w:val="20"/>
                <w:lang w:val="es-ES"/>
              </w:rPr>
              <w:t>8.5. runs: almacén canónico de campañas y procedencia experimental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_Toc242721891 \h </w:instrText>
            </w:r>
            <w:r w:rsidRPr="002F4F30">
              <w:rPr>
                <w:noProof/>
                <w:webHidden/>
                <w:sz w:val="20"/>
                <w:szCs w:val="20"/>
              </w:rPr>
            </w:r>
            <w:r w:rsidRPr="002F4F30">
              <w:rPr>
                <w:noProof/>
                <w:webHidden/>
                <w:sz w:val="20"/>
                <w:szCs w:val="20"/>
              </w:rPr>
              <w:fldChar w:fldCharType="separate"/>
            </w:r>
            <w:r>
              <w:rPr>
                <w:noProof/>
                <w:webHidden/>
                <w:sz w:val="20"/>
                <w:szCs w:val="20"/>
              </w:rPr>
              <w:t>83</w:t>
            </w:r>
            <w:r w:rsidRPr="002F4F30">
              <w:rPr>
                <w:noProof/>
                <w:webHidden/>
                <w:sz w:val="20"/>
                <w:szCs w:val="20"/>
              </w:rPr>
              <w:fldChar w:fldCharType="end"/>
            </w:r>
          </w:hyperlink>
        </w:p>
        <w:p w14:paraId="7D04EECE" w14:textId="456C6991"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92" w:history="1">
            <w:r w:rsidRPr="002F4F30">
              <w:rPr>
                <w:rStyle w:val="Hipervnculo"/>
                <w:noProof/>
                <w:sz w:val="20"/>
                <w:szCs w:val="20"/>
                <w:lang w:val="es-ES"/>
              </w:rPr>
              <w:t>8.6. verification: contraste independiente e integridad del almacén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_Toc242721892 \h </w:instrText>
            </w:r>
            <w:r w:rsidRPr="002F4F30">
              <w:rPr>
                <w:noProof/>
                <w:webHidden/>
                <w:sz w:val="20"/>
                <w:szCs w:val="20"/>
              </w:rPr>
            </w:r>
            <w:r w:rsidRPr="002F4F30">
              <w:rPr>
                <w:noProof/>
                <w:webHidden/>
                <w:sz w:val="20"/>
                <w:szCs w:val="20"/>
              </w:rPr>
              <w:fldChar w:fldCharType="separate"/>
            </w:r>
            <w:r>
              <w:rPr>
                <w:noProof/>
                <w:webHidden/>
                <w:sz w:val="20"/>
                <w:szCs w:val="20"/>
              </w:rPr>
              <w:t>83</w:t>
            </w:r>
            <w:r w:rsidRPr="002F4F30">
              <w:rPr>
                <w:noProof/>
                <w:webHidden/>
                <w:sz w:val="20"/>
                <w:szCs w:val="20"/>
              </w:rPr>
              <w:fldChar w:fldCharType="end"/>
            </w:r>
          </w:hyperlink>
        </w:p>
        <w:p w14:paraId="414A400F" w14:textId="7A20DC12"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93" w:history="1">
            <w:r w:rsidRPr="002F4F30">
              <w:rPr>
                <w:rStyle w:val="Hipervnculo"/>
                <w:noProof/>
                <w:sz w:val="20"/>
                <w:szCs w:val="20"/>
                <w:lang w:val="es-ES"/>
              </w:rPr>
              <w:t>8.7. fixtures: auxiliares de contraste reproducible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_Toc242721893 \h </w:instrText>
            </w:r>
            <w:r w:rsidRPr="002F4F30">
              <w:rPr>
                <w:noProof/>
                <w:webHidden/>
                <w:sz w:val="20"/>
                <w:szCs w:val="20"/>
              </w:rPr>
            </w:r>
            <w:r w:rsidRPr="002F4F30">
              <w:rPr>
                <w:noProof/>
                <w:webHidden/>
                <w:sz w:val="20"/>
                <w:szCs w:val="20"/>
              </w:rPr>
              <w:fldChar w:fldCharType="separate"/>
            </w:r>
            <w:r>
              <w:rPr>
                <w:noProof/>
                <w:webHidden/>
                <w:sz w:val="20"/>
                <w:szCs w:val="20"/>
              </w:rPr>
              <w:t>83</w:t>
            </w:r>
            <w:r w:rsidRPr="002F4F30">
              <w:rPr>
                <w:noProof/>
                <w:webHidden/>
                <w:sz w:val="20"/>
                <w:szCs w:val="20"/>
              </w:rPr>
              <w:fldChar w:fldCharType="end"/>
            </w:r>
          </w:hyperlink>
        </w:p>
        <w:p w14:paraId="58885697" w14:textId="0F7325E9"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94" w:history="1">
            <w:r w:rsidRPr="002F4F30">
              <w:rPr>
                <w:rStyle w:val="Hipervnculo"/>
                <w:noProof/>
                <w:sz w:val="20"/>
                <w:szCs w:val="20"/>
                <w:lang w:val="es-ES"/>
              </w:rPr>
              <w:t>8.8. Swagger: exposición operacional de un resultado canónico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_Toc242721894 \h </w:instrText>
            </w:r>
            <w:r w:rsidRPr="002F4F30">
              <w:rPr>
                <w:noProof/>
                <w:webHidden/>
                <w:sz w:val="20"/>
                <w:szCs w:val="20"/>
              </w:rPr>
            </w:r>
            <w:r w:rsidRPr="002F4F30">
              <w:rPr>
                <w:noProof/>
                <w:webHidden/>
                <w:sz w:val="20"/>
                <w:szCs w:val="20"/>
              </w:rPr>
              <w:fldChar w:fldCharType="separate"/>
            </w:r>
            <w:r>
              <w:rPr>
                <w:noProof/>
                <w:webHidden/>
                <w:sz w:val="20"/>
                <w:szCs w:val="20"/>
              </w:rPr>
              <w:t>84</w:t>
            </w:r>
            <w:r w:rsidRPr="002F4F30">
              <w:rPr>
                <w:noProof/>
                <w:webHidden/>
                <w:sz w:val="20"/>
                <w:szCs w:val="20"/>
              </w:rPr>
              <w:fldChar w:fldCharType="end"/>
            </w:r>
          </w:hyperlink>
        </w:p>
        <w:p w14:paraId="016EC237" w14:textId="4C62803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95" w:history="1">
            <w:r w:rsidRPr="002F4F30">
              <w:rPr>
                <w:rStyle w:val="Hipervnculo"/>
                <w:noProof/>
                <w:sz w:val="20"/>
                <w:szCs w:val="20"/>
                <w:lang w:val="es-ES"/>
              </w:rPr>
              <w:t>8.9. docs: documentación canónica y materiales de trabajo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_Toc242721895 \h </w:instrText>
            </w:r>
            <w:r w:rsidRPr="002F4F30">
              <w:rPr>
                <w:noProof/>
                <w:webHidden/>
                <w:sz w:val="20"/>
                <w:szCs w:val="20"/>
              </w:rPr>
            </w:r>
            <w:r w:rsidRPr="002F4F30">
              <w:rPr>
                <w:noProof/>
                <w:webHidden/>
                <w:sz w:val="20"/>
                <w:szCs w:val="20"/>
              </w:rPr>
              <w:fldChar w:fldCharType="separate"/>
            </w:r>
            <w:r>
              <w:rPr>
                <w:noProof/>
                <w:webHidden/>
                <w:sz w:val="20"/>
                <w:szCs w:val="20"/>
              </w:rPr>
              <w:t>84</w:t>
            </w:r>
            <w:r w:rsidRPr="002F4F30">
              <w:rPr>
                <w:noProof/>
                <w:webHidden/>
                <w:sz w:val="20"/>
                <w:szCs w:val="20"/>
              </w:rPr>
              <w:fldChar w:fldCharType="end"/>
            </w:r>
          </w:hyperlink>
        </w:p>
        <w:p w14:paraId="111D65EA" w14:textId="61703E69"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96" w:history="1">
            <w:r w:rsidRPr="002F4F30">
              <w:rPr>
                <w:rStyle w:val="Hipervnculo"/>
                <w:noProof/>
                <w:sz w:val="20"/>
                <w:szCs w:val="20"/>
                <w:lang w:val="es-ES"/>
              </w:rPr>
              <w:t>PARTE IV — Valor científico, corporativo-comercial y social de MDPAR</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_Toc242721896 \h </w:instrText>
            </w:r>
            <w:r w:rsidRPr="002F4F30">
              <w:rPr>
                <w:noProof/>
                <w:webHidden/>
                <w:sz w:val="20"/>
                <w:szCs w:val="20"/>
              </w:rPr>
            </w:r>
            <w:r w:rsidRPr="002F4F30">
              <w:rPr>
                <w:noProof/>
                <w:webHidden/>
                <w:sz w:val="20"/>
                <w:szCs w:val="20"/>
              </w:rPr>
              <w:fldChar w:fldCharType="separate"/>
            </w:r>
            <w:r>
              <w:rPr>
                <w:noProof/>
                <w:webHidden/>
                <w:sz w:val="20"/>
                <w:szCs w:val="20"/>
              </w:rPr>
              <w:t>85</w:t>
            </w:r>
            <w:r w:rsidRPr="002F4F30">
              <w:rPr>
                <w:noProof/>
                <w:webHidden/>
                <w:sz w:val="20"/>
                <w:szCs w:val="20"/>
              </w:rPr>
              <w:fldChar w:fldCharType="end"/>
            </w:r>
          </w:hyperlink>
        </w:p>
        <w:p w14:paraId="2FDB82C0" w14:textId="57E9328E"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897" w:history="1">
            <w:r w:rsidRPr="002F4F30">
              <w:rPr>
                <w:rStyle w:val="Hipervnculo"/>
                <w:noProof/>
                <w:sz w:val="20"/>
                <w:szCs w:val="20"/>
                <w:lang w:val="es-ES"/>
              </w:rPr>
              <w:t>Capítulo 9: perfil científico de MDPAR</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_Toc242721897 \h </w:instrText>
            </w:r>
            <w:r w:rsidRPr="002F4F30">
              <w:rPr>
                <w:noProof/>
                <w:webHidden/>
                <w:sz w:val="20"/>
                <w:szCs w:val="20"/>
              </w:rPr>
            </w:r>
            <w:r w:rsidRPr="002F4F30">
              <w:rPr>
                <w:noProof/>
                <w:webHidden/>
                <w:sz w:val="20"/>
                <w:szCs w:val="20"/>
              </w:rPr>
              <w:fldChar w:fldCharType="separate"/>
            </w:r>
            <w:r>
              <w:rPr>
                <w:noProof/>
                <w:webHidden/>
                <w:sz w:val="20"/>
                <w:szCs w:val="20"/>
              </w:rPr>
              <w:t>85</w:t>
            </w:r>
            <w:r w:rsidRPr="002F4F30">
              <w:rPr>
                <w:noProof/>
                <w:webHidden/>
                <w:sz w:val="20"/>
                <w:szCs w:val="20"/>
              </w:rPr>
              <w:fldChar w:fldCharType="end"/>
            </w:r>
          </w:hyperlink>
        </w:p>
        <w:p w14:paraId="1333BC55" w14:textId="09A9F56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98" w:history="1">
            <w:r w:rsidRPr="002F4F30">
              <w:rPr>
                <w:rStyle w:val="Hipervnculo"/>
                <w:noProof/>
                <w:sz w:val="20"/>
                <w:szCs w:val="20"/>
                <w:lang w:val="es-ES"/>
              </w:rPr>
              <w:t>9.1. Una pregunta antigua: ¿qué permanece cuando cambia el contenido?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_Toc242721898 \h </w:instrText>
            </w:r>
            <w:r w:rsidRPr="002F4F30">
              <w:rPr>
                <w:noProof/>
                <w:webHidden/>
                <w:sz w:val="20"/>
                <w:szCs w:val="20"/>
              </w:rPr>
            </w:r>
            <w:r w:rsidRPr="002F4F30">
              <w:rPr>
                <w:noProof/>
                <w:webHidden/>
                <w:sz w:val="20"/>
                <w:szCs w:val="20"/>
              </w:rPr>
              <w:fldChar w:fldCharType="separate"/>
            </w:r>
            <w:r>
              <w:rPr>
                <w:noProof/>
                <w:webHidden/>
                <w:sz w:val="20"/>
                <w:szCs w:val="20"/>
              </w:rPr>
              <w:t>86</w:t>
            </w:r>
            <w:r w:rsidRPr="002F4F30">
              <w:rPr>
                <w:noProof/>
                <w:webHidden/>
                <w:sz w:val="20"/>
                <w:szCs w:val="20"/>
              </w:rPr>
              <w:fldChar w:fldCharType="end"/>
            </w:r>
          </w:hyperlink>
        </w:p>
        <w:p w14:paraId="42CCCA07" w14:textId="67FA495F"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899" w:history="1">
            <w:r w:rsidRPr="002F4F30">
              <w:rPr>
                <w:rStyle w:val="Hipervnculo"/>
                <w:noProof/>
                <w:sz w:val="20"/>
                <w:szCs w:val="20"/>
                <w:lang w:val="es-ES"/>
              </w:rPr>
              <w:t>9.2. Sistematicidad y composicionalidad: la disputa que MDPAR desplaza fuera del modelo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_Toc242721899 \h </w:instrText>
            </w:r>
            <w:r w:rsidRPr="002F4F30">
              <w:rPr>
                <w:noProof/>
                <w:webHidden/>
                <w:sz w:val="20"/>
                <w:szCs w:val="20"/>
              </w:rPr>
            </w:r>
            <w:r w:rsidRPr="002F4F30">
              <w:rPr>
                <w:noProof/>
                <w:webHidden/>
                <w:sz w:val="20"/>
                <w:szCs w:val="20"/>
              </w:rPr>
              <w:fldChar w:fldCharType="separate"/>
            </w:r>
            <w:r>
              <w:rPr>
                <w:noProof/>
                <w:webHidden/>
                <w:sz w:val="20"/>
                <w:szCs w:val="20"/>
              </w:rPr>
              <w:t>86</w:t>
            </w:r>
            <w:r w:rsidRPr="002F4F30">
              <w:rPr>
                <w:noProof/>
                <w:webHidden/>
                <w:sz w:val="20"/>
                <w:szCs w:val="20"/>
              </w:rPr>
              <w:fldChar w:fldCharType="end"/>
            </w:r>
          </w:hyperlink>
        </w:p>
        <w:p w14:paraId="456F5921" w14:textId="60FB9F8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0" w:history="1">
            <w:r w:rsidRPr="002F4F30">
              <w:rPr>
                <w:rStyle w:val="Hipervnculo"/>
                <w:noProof/>
                <w:sz w:val="20"/>
                <w:szCs w:val="20"/>
                <w:lang w:val="es-ES"/>
              </w:rPr>
              <w:t>9.3. Representaciones universales y la invarianza lingüística: un antecedente fuerte y una diferencia crucial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_Toc242721900 \h </w:instrText>
            </w:r>
            <w:r w:rsidRPr="002F4F30">
              <w:rPr>
                <w:noProof/>
                <w:webHidden/>
                <w:sz w:val="20"/>
                <w:szCs w:val="20"/>
              </w:rPr>
            </w:r>
            <w:r w:rsidRPr="002F4F30">
              <w:rPr>
                <w:noProof/>
                <w:webHidden/>
                <w:sz w:val="20"/>
                <w:szCs w:val="20"/>
              </w:rPr>
              <w:fldChar w:fldCharType="separate"/>
            </w:r>
            <w:r>
              <w:rPr>
                <w:noProof/>
                <w:webHidden/>
                <w:sz w:val="20"/>
                <w:szCs w:val="20"/>
              </w:rPr>
              <w:t>87</w:t>
            </w:r>
            <w:r w:rsidRPr="002F4F30">
              <w:rPr>
                <w:noProof/>
                <w:webHidden/>
                <w:sz w:val="20"/>
                <w:szCs w:val="20"/>
              </w:rPr>
              <w:fldChar w:fldCharType="end"/>
            </w:r>
          </w:hyperlink>
        </w:p>
        <w:p w14:paraId="5BBB1C68" w14:textId="0A8B5549"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1" w:history="1">
            <w:r w:rsidRPr="002F4F30">
              <w:rPr>
                <w:rStyle w:val="Hipervnculo"/>
                <w:noProof/>
                <w:sz w:val="20"/>
                <w:szCs w:val="20"/>
                <w:lang w:val="es-ES"/>
              </w:rPr>
              <w:t>9.4. Neuro-symbolic AI: vecino natural, categoría insuficiente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_Toc242721901 \h </w:instrText>
            </w:r>
            <w:r w:rsidRPr="002F4F30">
              <w:rPr>
                <w:noProof/>
                <w:webHidden/>
                <w:sz w:val="20"/>
                <w:szCs w:val="20"/>
              </w:rPr>
            </w:r>
            <w:r w:rsidRPr="002F4F30">
              <w:rPr>
                <w:noProof/>
                <w:webHidden/>
                <w:sz w:val="20"/>
                <w:szCs w:val="20"/>
              </w:rPr>
              <w:fldChar w:fldCharType="separate"/>
            </w:r>
            <w:r>
              <w:rPr>
                <w:noProof/>
                <w:webHidden/>
                <w:sz w:val="20"/>
                <w:szCs w:val="20"/>
              </w:rPr>
              <w:t>87</w:t>
            </w:r>
            <w:r w:rsidRPr="002F4F30">
              <w:rPr>
                <w:noProof/>
                <w:webHidden/>
                <w:sz w:val="20"/>
                <w:szCs w:val="20"/>
              </w:rPr>
              <w:fldChar w:fldCharType="end"/>
            </w:r>
          </w:hyperlink>
        </w:p>
        <w:p w14:paraId="343D9E52" w14:textId="03B7CC9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2" w:history="1">
            <w:r w:rsidRPr="002F4F30">
              <w:rPr>
                <w:rStyle w:val="Hipervnculo"/>
                <w:noProof/>
                <w:sz w:val="20"/>
                <w:szCs w:val="20"/>
                <w:lang w:val="es-ES"/>
              </w:rPr>
              <w:t>9.5. Tree of Thoughts, Graph of Thoughts y agentes: externalizar estructura no es todavía externalizar autoridad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_Toc242721902 \h </w:instrText>
            </w:r>
            <w:r w:rsidRPr="002F4F30">
              <w:rPr>
                <w:noProof/>
                <w:webHidden/>
                <w:sz w:val="20"/>
                <w:szCs w:val="20"/>
              </w:rPr>
            </w:r>
            <w:r w:rsidRPr="002F4F30">
              <w:rPr>
                <w:noProof/>
                <w:webHidden/>
                <w:sz w:val="20"/>
                <w:szCs w:val="20"/>
              </w:rPr>
              <w:fldChar w:fldCharType="separate"/>
            </w:r>
            <w:r>
              <w:rPr>
                <w:noProof/>
                <w:webHidden/>
                <w:sz w:val="20"/>
                <w:szCs w:val="20"/>
              </w:rPr>
              <w:t>87</w:t>
            </w:r>
            <w:r w:rsidRPr="002F4F30">
              <w:rPr>
                <w:noProof/>
                <w:webHidden/>
                <w:sz w:val="20"/>
                <w:szCs w:val="20"/>
              </w:rPr>
              <w:fldChar w:fldCharType="end"/>
            </w:r>
          </w:hyperlink>
        </w:p>
        <w:p w14:paraId="3AEF6FC7" w14:textId="20539309"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3" w:history="1">
            <w:r w:rsidRPr="002F4F30">
              <w:rPr>
                <w:rStyle w:val="Hipervnculo"/>
                <w:noProof/>
                <w:sz w:val="20"/>
                <w:szCs w:val="20"/>
                <w:lang w:val="es-ES"/>
              </w:rPr>
              <w:t>9.6. Routing y test-time compute: MDPAR no inventa la selección adaptativa; cambia la pregunta previa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_Toc242721903 \h </w:instrText>
            </w:r>
            <w:r w:rsidRPr="002F4F30">
              <w:rPr>
                <w:noProof/>
                <w:webHidden/>
                <w:sz w:val="20"/>
                <w:szCs w:val="20"/>
              </w:rPr>
            </w:r>
            <w:r w:rsidRPr="002F4F30">
              <w:rPr>
                <w:noProof/>
                <w:webHidden/>
                <w:sz w:val="20"/>
                <w:szCs w:val="20"/>
              </w:rPr>
              <w:fldChar w:fldCharType="separate"/>
            </w:r>
            <w:r>
              <w:rPr>
                <w:noProof/>
                <w:webHidden/>
                <w:sz w:val="20"/>
                <w:szCs w:val="20"/>
              </w:rPr>
              <w:t>88</w:t>
            </w:r>
            <w:r w:rsidRPr="002F4F30">
              <w:rPr>
                <w:noProof/>
                <w:webHidden/>
                <w:sz w:val="20"/>
                <w:szCs w:val="20"/>
              </w:rPr>
              <w:fldChar w:fldCharType="end"/>
            </w:r>
          </w:hyperlink>
        </w:p>
        <w:p w14:paraId="0EA003C8" w14:textId="48566AD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4" w:history="1">
            <w:r w:rsidRPr="002F4F30">
              <w:rPr>
                <w:rStyle w:val="Hipervnculo"/>
                <w:noProof/>
                <w:sz w:val="20"/>
                <w:szCs w:val="20"/>
                <w:lang w:val="es-ES"/>
              </w:rPr>
              <w:t>9.7. Autoridad: cuando una respuesta correcta deja de tener permiso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_Toc242721904 \h </w:instrText>
            </w:r>
            <w:r w:rsidRPr="002F4F30">
              <w:rPr>
                <w:noProof/>
                <w:webHidden/>
                <w:sz w:val="20"/>
                <w:szCs w:val="20"/>
              </w:rPr>
            </w:r>
            <w:r w:rsidRPr="002F4F30">
              <w:rPr>
                <w:noProof/>
                <w:webHidden/>
                <w:sz w:val="20"/>
                <w:szCs w:val="20"/>
              </w:rPr>
              <w:fldChar w:fldCharType="separate"/>
            </w:r>
            <w:r>
              <w:rPr>
                <w:noProof/>
                <w:webHidden/>
                <w:sz w:val="20"/>
                <w:szCs w:val="20"/>
              </w:rPr>
              <w:t>89</w:t>
            </w:r>
            <w:r w:rsidRPr="002F4F30">
              <w:rPr>
                <w:noProof/>
                <w:webHidden/>
                <w:sz w:val="20"/>
                <w:szCs w:val="20"/>
              </w:rPr>
              <w:fldChar w:fldCharType="end"/>
            </w:r>
          </w:hyperlink>
        </w:p>
        <w:p w14:paraId="2BBDC502" w14:textId="019DAB04"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5" w:history="1">
            <w:r w:rsidRPr="002F4F30">
              <w:rPr>
                <w:rStyle w:val="Hipervnculo"/>
                <w:noProof/>
                <w:sz w:val="20"/>
                <w:szCs w:val="20"/>
                <w:lang w:val="es-ES"/>
              </w:rPr>
              <w:t>9.8. Continuidad, degradación y recuperación: del agente persistente al sistema cognitivo durable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_Toc242721905 \h </w:instrText>
            </w:r>
            <w:r w:rsidRPr="002F4F30">
              <w:rPr>
                <w:noProof/>
                <w:webHidden/>
                <w:sz w:val="20"/>
                <w:szCs w:val="20"/>
              </w:rPr>
            </w:r>
            <w:r w:rsidRPr="002F4F30">
              <w:rPr>
                <w:noProof/>
                <w:webHidden/>
                <w:sz w:val="20"/>
                <w:szCs w:val="20"/>
              </w:rPr>
              <w:fldChar w:fldCharType="separate"/>
            </w:r>
            <w:r>
              <w:rPr>
                <w:noProof/>
                <w:webHidden/>
                <w:sz w:val="20"/>
                <w:szCs w:val="20"/>
              </w:rPr>
              <w:t>90</w:t>
            </w:r>
            <w:r w:rsidRPr="002F4F30">
              <w:rPr>
                <w:noProof/>
                <w:webHidden/>
                <w:sz w:val="20"/>
                <w:szCs w:val="20"/>
              </w:rPr>
              <w:fldChar w:fldCharType="end"/>
            </w:r>
          </w:hyperlink>
        </w:p>
        <w:p w14:paraId="2A3B9DCB" w14:textId="2AE4094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6" w:history="1">
            <w:r w:rsidRPr="002F4F30">
              <w:rPr>
                <w:rStyle w:val="Hipervnculo"/>
                <w:noProof/>
                <w:sz w:val="20"/>
                <w:szCs w:val="20"/>
                <w:lang w:val="es-ES"/>
              </w:rPr>
              <w:t>9.9. Arquitecturas cognitivas y AGI</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_Toc242721906 \h </w:instrText>
            </w:r>
            <w:r w:rsidRPr="002F4F30">
              <w:rPr>
                <w:noProof/>
                <w:webHidden/>
                <w:sz w:val="20"/>
                <w:szCs w:val="20"/>
              </w:rPr>
            </w:r>
            <w:r w:rsidRPr="002F4F30">
              <w:rPr>
                <w:noProof/>
                <w:webHidden/>
                <w:sz w:val="20"/>
                <w:szCs w:val="20"/>
              </w:rPr>
              <w:fldChar w:fldCharType="separate"/>
            </w:r>
            <w:r>
              <w:rPr>
                <w:noProof/>
                <w:webHidden/>
                <w:sz w:val="20"/>
                <w:szCs w:val="20"/>
              </w:rPr>
              <w:t>90</w:t>
            </w:r>
            <w:r w:rsidRPr="002F4F30">
              <w:rPr>
                <w:noProof/>
                <w:webHidden/>
                <w:sz w:val="20"/>
                <w:szCs w:val="20"/>
              </w:rPr>
              <w:fldChar w:fldCharType="end"/>
            </w:r>
          </w:hyperlink>
        </w:p>
        <w:p w14:paraId="4C2133D6" w14:textId="3C15BF61"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7" w:history="1">
            <w:r w:rsidRPr="002F4F30">
              <w:rPr>
                <w:rStyle w:val="Hipervnculo"/>
                <w:noProof/>
                <w:sz w:val="20"/>
                <w:szCs w:val="20"/>
                <w:lang w:val="es-ES"/>
              </w:rPr>
              <w:t>9.10. Dónde queda MDPAR frente a sus vecinos: una conjunción arquitectónica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_Toc242721907 \h </w:instrText>
            </w:r>
            <w:r w:rsidRPr="002F4F30">
              <w:rPr>
                <w:noProof/>
                <w:webHidden/>
                <w:sz w:val="20"/>
                <w:szCs w:val="20"/>
              </w:rPr>
            </w:r>
            <w:r w:rsidRPr="002F4F30">
              <w:rPr>
                <w:noProof/>
                <w:webHidden/>
                <w:sz w:val="20"/>
                <w:szCs w:val="20"/>
              </w:rPr>
              <w:fldChar w:fldCharType="separate"/>
            </w:r>
            <w:r>
              <w:rPr>
                <w:noProof/>
                <w:webHidden/>
                <w:sz w:val="20"/>
                <w:szCs w:val="20"/>
              </w:rPr>
              <w:t>91</w:t>
            </w:r>
            <w:r w:rsidRPr="002F4F30">
              <w:rPr>
                <w:noProof/>
                <w:webHidden/>
                <w:sz w:val="20"/>
                <w:szCs w:val="20"/>
              </w:rPr>
              <w:fldChar w:fldCharType="end"/>
            </w:r>
          </w:hyperlink>
        </w:p>
        <w:p w14:paraId="30CE7056" w14:textId="40A6D097"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8" w:history="1">
            <w:r w:rsidRPr="002F4F30">
              <w:rPr>
                <w:rStyle w:val="Hipervnculo"/>
                <w:noProof/>
                <w:sz w:val="20"/>
                <w:szCs w:val="20"/>
              </w:rPr>
              <w:t>9.11. Cognitive ownership frente a semantic capability</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_Toc242721908 \h </w:instrText>
            </w:r>
            <w:r w:rsidRPr="002F4F30">
              <w:rPr>
                <w:noProof/>
                <w:webHidden/>
                <w:sz w:val="20"/>
                <w:szCs w:val="20"/>
              </w:rPr>
            </w:r>
            <w:r w:rsidRPr="002F4F30">
              <w:rPr>
                <w:noProof/>
                <w:webHidden/>
                <w:sz w:val="20"/>
                <w:szCs w:val="20"/>
              </w:rPr>
              <w:fldChar w:fldCharType="separate"/>
            </w:r>
            <w:r>
              <w:rPr>
                <w:noProof/>
                <w:webHidden/>
                <w:sz w:val="20"/>
                <w:szCs w:val="20"/>
              </w:rPr>
              <w:t>91</w:t>
            </w:r>
            <w:r w:rsidRPr="002F4F30">
              <w:rPr>
                <w:noProof/>
                <w:webHidden/>
                <w:sz w:val="20"/>
                <w:szCs w:val="20"/>
              </w:rPr>
              <w:fldChar w:fldCharType="end"/>
            </w:r>
          </w:hyperlink>
        </w:p>
        <w:p w14:paraId="7AB853AD" w14:textId="581D0466"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09" w:history="1">
            <w:r w:rsidRPr="002F4F30">
              <w:rPr>
                <w:rStyle w:val="Hipervnculo"/>
                <w:noProof/>
                <w:sz w:val="20"/>
                <w:szCs w:val="20"/>
                <w:lang w:val="es-ES"/>
              </w:rPr>
              <w:t>9.12. Ontology-light no significa adapter-free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_Toc242721909 \h </w:instrText>
            </w:r>
            <w:r w:rsidRPr="002F4F30">
              <w:rPr>
                <w:noProof/>
                <w:webHidden/>
                <w:sz w:val="20"/>
                <w:szCs w:val="20"/>
              </w:rPr>
            </w:r>
            <w:r w:rsidRPr="002F4F30">
              <w:rPr>
                <w:noProof/>
                <w:webHidden/>
                <w:sz w:val="20"/>
                <w:szCs w:val="20"/>
              </w:rPr>
              <w:fldChar w:fldCharType="separate"/>
            </w:r>
            <w:r>
              <w:rPr>
                <w:noProof/>
                <w:webHidden/>
                <w:sz w:val="20"/>
                <w:szCs w:val="20"/>
              </w:rPr>
              <w:t>92</w:t>
            </w:r>
            <w:r w:rsidRPr="002F4F30">
              <w:rPr>
                <w:noProof/>
                <w:webHidden/>
                <w:sz w:val="20"/>
                <w:szCs w:val="20"/>
              </w:rPr>
              <w:fldChar w:fldCharType="end"/>
            </w:r>
          </w:hyperlink>
        </w:p>
        <w:p w14:paraId="0C6F1C25" w14:textId="3CB32CE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10" w:history="1">
            <w:r w:rsidRPr="002F4F30">
              <w:rPr>
                <w:rStyle w:val="Hipervnculo"/>
                <w:noProof/>
                <w:sz w:val="20"/>
                <w:szCs w:val="20"/>
                <w:lang w:val="es-ES"/>
              </w:rPr>
              <w:t>9.13. Contestabilidad: el objeto público debe poder ser discutido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_Toc242721910 \h </w:instrText>
            </w:r>
            <w:r w:rsidRPr="002F4F30">
              <w:rPr>
                <w:noProof/>
                <w:webHidden/>
                <w:sz w:val="20"/>
                <w:szCs w:val="20"/>
              </w:rPr>
            </w:r>
            <w:r w:rsidRPr="002F4F30">
              <w:rPr>
                <w:noProof/>
                <w:webHidden/>
                <w:sz w:val="20"/>
                <w:szCs w:val="20"/>
              </w:rPr>
              <w:fldChar w:fldCharType="separate"/>
            </w:r>
            <w:r>
              <w:rPr>
                <w:noProof/>
                <w:webHidden/>
                <w:sz w:val="20"/>
                <w:szCs w:val="20"/>
              </w:rPr>
              <w:t>93</w:t>
            </w:r>
            <w:r w:rsidRPr="002F4F30">
              <w:rPr>
                <w:noProof/>
                <w:webHidden/>
                <w:sz w:val="20"/>
                <w:szCs w:val="20"/>
              </w:rPr>
              <w:fldChar w:fldCharType="end"/>
            </w:r>
          </w:hyperlink>
        </w:p>
        <w:p w14:paraId="1D977A81" w14:textId="21DE0796"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11" w:history="1">
            <w:r w:rsidRPr="002F4F30">
              <w:rPr>
                <w:rStyle w:val="Hipervnculo"/>
                <w:noProof/>
                <w:sz w:val="20"/>
                <w:szCs w:val="20"/>
                <w:lang w:val="es-ES"/>
              </w:rPr>
              <w:t>Capítulo 10: perfil corporativo-comercial de MDPAR</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_Toc242721911 \h </w:instrText>
            </w:r>
            <w:r w:rsidRPr="002F4F30">
              <w:rPr>
                <w:noProof/>
                <w:webHidden/>
                <w:sz w:val="20"/>
                <w:szCs w:val="20"/>
              </w:rPr>
            </w:r>
            <w:r w:rsidRPr="002F4F30">
              <w:rPr>
                <w:noProof/>
                <w:webHidden/>
                <w:sz w:val="20"/>
                <w:szCs w:val="20"/>
              </w:rPr>
              <w:fldChar w:fldCharType="separate"/>
            </w:r>
            <w:r>
              <w:rPr>
                <w:noProof/>
                <w:webHidden/>
                <w:sz w:val="20"/>
                <w:szCs w:val="20"/>
              </w:rPr>
              <w:t>94</w:t>
            </w:r>
            <w:r w:rsidRPr="002F4F30">
              <w:rPr>
                <w:noProof/>
                <w:webHidden/>
                <w:sz w:val="20"/>
                <w:szCs w:val="20"/>
              </w:rPr>
              <w:fldChar w:fldCharType="end"/>
            </w:r>
          </w:hyperlink>
        </w:p>
        <w:p w14:paraId="57437024" w14:textId="6F58E365"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12" w:history="1">
            <w:r w:rsidRPr="002F4F30">
              <w:rPr>
                <w:rStyle w:val="Hipervnculo"/>
                <w:noProof/>
                <w:sz w:val="20"/>
                <w:szCs w:val="20"/>
                <w:lang w:val="es-ES"/>
              </w:rPr>
              <w:t>10.1. Disciplina epistemológica para cuantificar sin convertir escenarios en resultados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_Toc242721912 \h </w:instrText>
            </w:r>
            <w:r w:rsidRPr="002F4F30">
              <w:rPr>
                <w:noProof/>
                <w:webHidden/>
                <w:sz w:val="20"/>
                <w:szCs w:val="20"/>
              </w:rPr>
            </w:r>
            <w:r w:rsidRPr="002F4F30">
              <w:rPr>
                <w:noProof/>
                <w:webHidden/>
                <w:sz w:val="20"/>
                <w:szCs w:val="20"/>
              </w:rPr>
              <w:fldChar w:fldCharType="separate"/>
            </w:r>
            <w:r>
              <w:rPr>
                <w:noProof/>
                <w:webHidden/>
                <w:sz w:val="20"/>
                <w:szCs w:val="20"/>
              </w:rPr>
              <w:t>94</w:t>
            </w:r>
            <w:r w:rsidRPr="002F4F30">
              <w:rPr>
                <w:noProof/>
                <w:webHidden/>
                <w:sz w:val="20"/>
                <w:szCs w:val="20"/>
              </w:rPr>
              <w:fldChar w:fldCharType="end"/>
            </w:r>
          </w:hyperlink>
        </w:p>
        <w:p w14:paraId="513207A5" w14:textId="09C0C45B"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13" w:history="1">
            <w:r w:rsidRPr="002F4F30">
              <w:rPr>
                <w:rStyle w:val="Hipervnculo"/>
                <w:noProof/>
                <w:sz w:val="20"/>
                <w:szCs w:val="20"/>
                <w:lang w:val="es-ES"/>
              </w:rPr>
              <w:t>10.2. El ledger económico: C, T, I, M y Q</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_Toc242721913 \h </w:instrText>
            </w:r>
            <w:r w:rsidRPr="002F4F30">
              <w:rPr>
                <w:noProof/>
                <w:webHidden/>
                <w:sz w:val="20"/>
                <w:szCs w:val="20"/>
              </w:rPr>
            </w:r>
            <w:r w:rsidRPr="002F4F30">
              <w:rPr>
                <w:noProof/>
                <w:webHidden/>
                <w:sz w:val="20"/>
                <w:szCs w:val="20"/>
              </w:rPr>
              <w:fldChar w:fldCharType="separate"/>
            </w:r>
            <w:r>
              <w:rPr>
                <w:noProof/>
                <w:webHidden/>
                <w:sz w:val="20"/>
                <w:szCs w:val="20"/>
              </w:rPr>
              <w:t>94</w:t>
            </w:r>
            <w:r w:rsidRPr="002F4F30">
              <w:rPr>
                <w:noProof/>
                <w:webHidden/>
                <w:sz w:val="20"/>
                <w:szCs w:val="20"/>
              </w:rPr>
              <w:fldChar w:fldCharType="end"/>
            </w:r>
          </w:hyperlink>
        </w:p>
        <w:p w14:paraId="075C145F" w14:textId="144A7B8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14" w:history="1">
            <w:r w:rsidRPr="002F4F30">
              <w:rPr>
                <w:rStyle w:val="Hipervnculo"/>
                <w:noProof/>
                <w:sz w:val="20"/>
                <w:szCs w:val="20"/>
                <w:lang w:val="es-ES"/>
              </w:rPr>
              <w:t>10.3. Lo que C0–C12 ya ponen sobre la mesa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_Toc242721914 \h </w:instrText>
            </w:r>
            <w:r w:rsidRPr="002F4F30">
              <w:rPr>
                <w:noProof/>
                <w:webHidden/>
                <w:sz w:val="20"/>
                <w:szCs w:val="20"/>
              </w:rPr>
            </w:r>
            <w:r w:rsidRPr="002F4F30">
              <w:rPr>
                <w:noProof/>
                <w:webHidden/>
                <w:sz w:val="20"/>
                <w:szCs w:val="20"/>
              </w:rPr>
              <w:fldChar w:fldCharType="separate"/>
            </w:r>
            <w:r>
              <w:rPr>
                <w:noProof/>
                <w:webHidden/>
                <w:sz w:val="20"/>
                <w:szCs w:val="20"/>
              </w:rPr>
              <w:t>95</w:t>
            </w:r>
            <w:r w:rsidRPr="002F4F30">
              <w:rPr>
                <w:noProof/>
                <w:webHidden/>
                <w:sz w:val="20"/>
                <w:szCs w:val="20"/>
              </w:rPr>
              <w:fldChar w:fldCharType="end"/>
            </w:r>
          </w:hyperlink>
        </w:p>
        <w:p w14:paraId="7286224D" w14:textId="64145A5B"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15" w:history="1">
            <w:r w:rsidRPr="002F4F30">
              <w:rPr>
                <w:rStyle w:val="Hipervnculo"/>
                <w:noProof/>
                <w:sz w:val="20"/>
                <w:szCs w:val="20"/>
                <w:lang w:val="es-ES"/>
              </w:rPr>
              <w:t>10.4. C6: el precio real de la cognición longitudinal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_Toc242721915 \h </w:instrText>
            </w:r>
            <w:r w:rsidRPr="002F4F30">
              <w:rPr>
                <w:noProof/>
                <w:webHidden/>
                <w:sz w:val="20"/>
                <w:szCs w:val="20"/>
              </w:rPr>
            </w:r>
            <w:r w:rsidRPr="002F4F30">
              <w:rPr>
                <w:noProof/>
                <w:webHidden/>
                <w:sz w:val="20"/>
                <w:szCs w:val="20"/>
              </w:rPr>
              <w:fldChar w:fldCharType="separate"/>
            </w:r>
            <w:r>
              <w:rPr>
                <w:noProof/>
                <w:webHidden/>
                <w:sz w:val="20"/>
                <w:szCs w:val="20"/>
              </w:rPr>
              <w:t>96</w:t>
            </w:r>
            <w:r w:rsidRPr="002F4F30">
              <w:rPr>
                <w:noProof/>
                <w:webHidden/>
                <w:sz w:val="20"/>
                <w:szCs w:val="20"/>
              </w:rPr>
              <w:fldChar w:fldCharType="end"/>
            </w:r>
          </w:hyperlink>
        </w:p>
        <w:p w14:paraId="1EDEE11B" w14:textId="28265FBB"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16" w:history="1">
            <w:r w:rsidRPr="002F4F30">
              <w:rPr>
                <w:rStyle w:val="Hipervnculo"/>
                <w:noProof/>
                <w:sz w:val="20"/>
                <w:szCs w:val="20"/>
                <w:lang w:val="es-ES"/>
              </w:rPr>
              <w:t>10.5. C7 y C8: economía local y coste de gobernanza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_Toc242721916 \h </w:instrText>
            </w:r>
            <w:r w:rsidRPr="002F4F30">
              <w:rPr>
                <w:noProof/>
                <w:webHidden/>
                <w:sz w:val="20"/>
                <w:szCs w:val="20"/>
              </w:rPr>
            </w:r>
            <w:r w:rsidRPr="002F4F30">
              <w:rPr>
                <w:noProof/>
                <w:webHidden/>
                <w:sz w:val="20"/>
                <w:szCs w:val="20"/>
              </w:rPr>
              <w:fldChar w:fldCharType="separate"/>
            </w:r>
            <w:r>
              <w:rPr>
                <w:noProof/>
                <w:webHidden/>
                <w:sz w:val="20"/>
                <w:szCs w:val="20"/>
              </w:rPr>
              <w:t>96</w:t>
            </w:r>
            <w:r w:rsidRPr="002F4F30">
              <w:rPr>
                <w:noProof/>
                <w:webHidden/>
                <w:sz w:val="20"/>
                <w:szCs w:val="20"/>
              </w:rPr>
              <w:fldChar w:fldCharType="end"/>
            </w:r>
          </w:hyperlink>
        </w:p>
        <w:p w14:paraId="676E8978" w14:textId="410B8986"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17" w:history="1">
            <w:r w:rsidRPr="002F4F30">
              <w:rPr>
                <w:rStyle w:val="Hipervnculo"/>
                <w:noProof/>
                <w:sz w:val="20"/>
                <w:szCs w:val="20"/>
                <w:lang w:val="es-ES"/>
              </w:rPr>
              <w:t>10.6. C9: adquirir la clase de compute adecuada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_Toc242721917 \h </w:instrText>
            </w:r>
            <w:r w:rsidRPr="002F4F30">
              <w:rPr>
                <w:noProof/>
                <w:webHidden/>
                <w:sz w:val="20"/>
                <w:szCs w:val="20"/>
              </w:rPr>
            </w:r>
            <w:r w:rsidRPr="002F4F30">
              <w:rPr>
                <w:noProof/>
                <w:webHidden/>
                <w:sz w:val="20"/>
                <w:szCs w:val="20"/>
              </w:rPr>
              <w:fldChar w:fldCharType="separate"/>
            </w:r>
            <w:r>
              <w:rPr>
                <w:noProof/>
                <w:webHidden/>
                <w:sz w:val="20"/>
                <w:szCs w:val="20"/>
              </w:rPr>
              <w:t>97</w:t>
            </w:r>
            <w:r w:rsidRPr="002F4F30">
              <w:rPr>
                <w:noProof/>
                <w:webHidden/>
                <w:sz w:val="20"/>
                <w:szCs w:val="20"/>
              </w:rPr>
              <w:fldChar w:fldCharType="end"/>
            </w:r>
          </w:hyperlink>
        </w:p>
        <w:p w14:paraId="169CB76F" w14:textId="2379EB34"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18" w:history="1">
            <w:r w:rsidRPr="002F4F30">
              <w:rPr>
                <w:rStyle w:val="Hipervnculo"/>
                <w:noProof/>
                <w:sz w:val="20"/>
                <w:szCs w:val="20"/>
                <w:lang w:val="es-ES"/>
              </w:rPr>
              <w:t>10.7. Concurrencia: tiempo económico, no compute mágico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_Toc242721918 \h </w:instrText>
            </w:r>
            <w:r w:rsidRPr="002F4F30">
              <w:rPr>
                <w:noProof/>
                <w:webHidden/>
                <w:sz w:val="20"/>
                <w:szCs w:val="20"/>
              </w:rPr>
            </w:r>
            <w:r w:rsidRPr="002F4F30">
              <w:rPr>
                <w:noProof/>
                <w:webHidden/>
                <w:sz w:val="20"/>
                <w:szCs w:val="20"/>
              </w:rPr>
              <w:fldChar w:fldCharType="separate"/>
            </w:r>
            <w:r>
              <w:rPr>
                <w:noProof/>
                <w:webHidden/>
                <w:sz w:val="20"/>
                <w:szCs w:val="20"/>
              </w:rPr>
              <w:t>98</w:t>
            </w:r>
            <w:r w:rsidRPr="002F4F30">
              <w:rPr>
                <w:noProof/>
                <w:webHidden/>
                <w:sz w:val="20"/>
                <w:szCs w:val="20"/>
              </w:rPr>
              <w:fldChar w:fldCharType="end"/>
            </w:r>
          </w:hyperlink>
        </w:p>
        <w:p w14:paraId="1535D3F3" w14:textId="2EE0AC2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19" w:history="1">
            <w:r w:rsidRPr="002F4F30">
              <w:rPr>
                <w:rStyle w:val="Hipervnculo"/>
                <w:noProof/>
                <w:sz w:val="20"/>
                <w:szCs w:val="20"/>
                <w:lang w:val="es-ES"/>
              </w:rPr>
              <w:t>10.8. C10: el valor económico de no actuar tarde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_Toc242721919 \h </w:instrText>
            </w:r>
            <w:r w:rsidRPr="002F4F30">
              <w:rPr>
                <w:noProof/>
                <w:webHidden/>
                <w:sz w:val="20"/>
                <w:szCs w:val="20"/>
              </w:rPr>
            </w:r>
            <w:r w:rsidRPr="002F4F30">
              <w:rPr>
                <w:noProof/>
                <w:webHidden/>
                <w:sz w:val="20"/>
                <w:szCs w:val="20"/>
              </w:rPr>
              <w:fldChar w:fldCharType="separate"/>
            </w:r>
            <w:r>
              <w:rPr>
                <w:noProof/>
                <w:webHidden/>
                <w:sz w:val="20"/>
                <w:szCs w:val="20"/>
              </w:rPr>
              <w:t>98</w:t>
            </w:r>
            <w:r w:rsidRPr="002F4F30">
              <w:rPr>
                <w:noProof/>
                <w:webHidden/>
                <w:sz w:val="20"/>
                <w:szCs w:val="20"/>
              </w:rPr>
              <w:fldChar w:fldCharType="end"/>
            </w:r>
          </w:hyperlink>
        </w:p>
        <w:p w14:paraId="4D10D4B6" w14:textId="4A9845B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0" w:history="1">
            <w:r w:rsidRPr="002F4F30">
              <w:rPr>
                <w:rStyle w:val="Hipervnculo"/>
                <w:noProof/>
                <w:sz w:val="20"/>
                <w:szCs w:val="20"/>
                <w:lang w:val="es-ES"/>
              </w:rPr>
              <w:t>10.9. C11–C12: resiliencia como producto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_Toc242721920 \h </w:instrText>
            </w:r>
            <w:r w:rsidRPr="002F4F30">
              <w:rPr>
                <w:noProof/>
                <w:webHidden/>
                <w:sz w:val="20"/>
                <w:szCs w:val="20"/>
              </w:rPr>
            </w:r>
            <w:r w:rsidRPr="002F4F30">
              <w:rPr>
                <w:noProof/>
                <w:webHidden/>
                <w:sz w:val="20"/>
                <w:szCs w:val="20"/>
              </w:rPr>
              <w:fldChar w:fldCharType="separate"/>
            </w:r>
            <w:r>
              <w:rPr>
                <w:noProof/>
                <w:webHidden/>
                <w:sz w:val="20"/>
                <w:szCs w:val="20"/>
              </w:rPr>
              <w:t>99</w:t>
            </w:r>
            <w:r w:rsidRPr="002F4F30">
              <w:rPr>
                <w:noProof/>
                <w:webHidden/>
                <w:sz w:val="20"/>
                <w:szCs w:val="20"/>
              </w:rPr>
              <w:fldChar w:fldCharType="end"/>
            </w:r>
          </w:hyperlink>
        </w:p>
        <w:p w14:paraId="19BD363E" w14:textId="093F55A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1" w:history="1">
            <w:r w:rsidRPr="002F4F30">
              <w:rPr>
                <w:rStyle w:val="Hipervnculo"/>
                <w:noProof/>
                <w:sz w:val="20"/>
                <w:szCs w:val="20"/>
                <w:lang w:val="es-ES"/>
              </w:rPr>
              <w:t>10.10. Edge y BOM: el precio de no exigir siempre el máximo hardware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_Toc242721921 \h </w:instrText>
            </w:r>
            <w:r w:rsidRPr="002F4F30">
              <w:rPr>
                <w:noProof/>
                <w:webHidden/>
                <w:sz w:val="20"/>
                <w:szCs w:val="20"/>
              </w:rPr>
            </w:r>
            <w:r w:rsidRPr="002F4F30">
              <w:rPr>
                <w:noProof/>
                <w:webHidden/>
                <w:sz w:val="20"/>
                <w:szCs w:val="20"/>
              </w:rPr>
              <w:fldChar w:fldCharType="separate"/>
            </w:r>
            <w:r>
              <w:rPr>
                <w:noProof/>
                <w:webHidden/>
                <w:sz w:val="20"/>
                <w:szCs w:val="20"/>
              </w:rPr>
              <w:t>100</w:t>
            </w:r>
            <w:r w:rsidRPr="002F4F30">
              <w:rPr>
                <w:noProof/>
                <w:webHidden/>
                <w:sz w:val="20"/>
                <w:szCs w:val="20"/>
              </w:rPr>
              <w:fldChar w:fldCharType="end"/>
            </w:r>
          </w:hyperlink>
        </w:p>
        <w:p w14:paraId="0AD6A020" w14:textId="11C6A95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2" w:history="1">
            <w:r w:rsidRPr="002F4F30">
              <w:rPr>
                <w:rStyle w:val="Hipervnculo"/>
                <w:noProof/>
                <w:sz w:val="20"/>
                <w:szCs w:val="20"/>
                <w:lang w:val="es-ES"/>
              </w:rPr>
              <w:t>10.11. El tamaño del mercado de problemas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_Toc242721922 \h </w:instrText>
            </w:r>
            <w:r w:rsidRPr="002F4F30">
              <w:rPr>
                <w:noProof/>
                <w:webHidden/>
                <w:sz w:val="20"/>
                <w:szCs w:val="20"/>
              </w:rPr>
            </w:r>
            <w:r w:rsidRPr="002F4F30">
              <w:rPr>
                <w:noProof/>
                <w:webHidden/>
                <w:sz w:val="20"/>
                <w:szCs w:val="20"/>
              </w:rPr>
              <w:fldChar w:fldCharType="separate"/>
            </w:r>
            <w:r>
              <w:rPr>
                <w:noProof/>
                <w:webHidden/>
                <w:sz w:val="20"/>
                <w:szCs w:val="20"/>
              </w:rPr>
              <w:t>101</w:t>
            </w:r>
            <w:r w:rsidRPr="002F4F30">
              <w:rPr>
                <w:noProof/>
                <w:webHidden/>
                <w:sz w:val="20"/>
                <w:szCs w:val="20"/>
              </w:rPr>
              <w:fldChar w:fldCharType="end"/>
            </w:r>
          </w:hyperlink>
        </w:p>
        <w:p w14:paraId="66C9968F" w14:textId="0EACFCB1"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3" w:history="1">
            <w:r w:rsidRPr="002F4F30">
              <w:rPr>
                <w:rStyle w:val="Hipervnculo"/>
                <w:noProof/>
                <w:sz w:val="20"/>
                <w:szCs w:val="20"/>
                <w:lang w:val="es-ES"/>
              </w:rPr>
              <w:t>10.12. Envolvente de sensibilidad: convertir ambición en aritmética auditable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_Toc242721923 \h </w:instrText>
            </w:r>
            <w:r w:rsidRPr="002F4F30">
              <w:rPr>
                <w:noProof/>
                <w:webHidden/>
                <w:sz w:val="20"/>
                <w:szCs w:val="20"/>
              </w:rPr>
            </w:r>
            <w:r w:rsidRPr="002F4F30">
              <w:rPr>
                <w:noProof/>
                <w:webHidden/>
                <w:sz w:val="20"/>
                <w:szCs w:val="20"/>
              </w:rPr>
              <w:fldChar w:fldCharType="separate"/>
            </w:r>
            <w:r>
              <w:rPr>
                <w:noProof/>
                <w:webHidden/>
                <w:sz w:val="20"/>
                <w:szCs w:val="20"/>
              </w:rPr>
              <w:t>101</w:t>
            </w:r>
            <w:r w:rsidRPr="002F4F30">
              <w:rPr>
                <w:noProof/>
                <w:webHidden/>
                <w:sz w:val="20"/>
                <w:szCs w:val="20"/>
              </w:rPr>
              <w:fldChar w:fldCharType="end"/>
            </w:r>
          </w:hyperlink>
        </w:p>
        <w:p w14:paraId="5EA1C8DC" w14:textId="0CF75B5D"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4" w:history="1">
            <w:r w:rsidRPr="002F4F30">
              <w:rPr>
                <w:rStyle w:val="Hipervnculo"/>
                <w:noProof/>
                <w:sz w:val="20"/>
                <w:szCs w:val="20"/>
                <w:lang w:val="es-ES"/>
              </w:rPr>
              <w:t>10.13. Del denominador macro al contrato del cliente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_Toc242721924 \h </w:instrText>
            </w:r>
            <w:r w:rsidRPr="002F4F30">
              <w:rPr>
                <w:noProof/>
                <w:webHidden/>
                <w:sz w:val="20"/>
                <w:szCs w:val="20"/>
              </w:rPr>
            </w:r>
            <w:r w:rsidRPr="002F4F30">
              <w:rPr>
                <w:noProof/>
                <w:webHidden/>
                <w:sz w:val="20"/>
                <w:szCs w:val="20"/>
              </w:rPr>
              <w:fldChar w:fldCharType="separate"/>
            </w:r>
            <w:r>
              <w:rPr>
                <w:noProof/>
                <w:webHidden/>
                <w:sz w:val="20"/>
                <w:szCs w:val="20"/>
              </w:rPr>
              <w:t>102</w:t>
            </w:r>
            <w:r w:rsidRPr="002F4F30">
              <w:rPr>
                <w:noProof/>
                <w:webHidden/>
                <w:sz w:val="20"/>
                <w:szCs w:val="20"/>
              </w:rPr>
              <w:fldChar w:fldCharType="end"/>
            </w:r>
          </w:hyperlink>
        </w:p>
        <w:p w14:paraId="7FA382C0" w14:textId="17BD98A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5" w:history="1">
            <w:r w:rsidRPr="002F4F30">
              <w:rPr>
                <w:rStyle w:val="Hipervnculo"/>
                <w:noProof/>
                <w:sz w:val="20"/>
                <w:szCs w:val="20"/>
                <w:lang w:val="es-ES"/>
              </w:rPr>
              <w:t>10.14. Pricing basado en valor verificado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_Toc242721925 \h </w:instrText>
            </w:r>
            <w:r w:rsidRPr="002F4F30">
              <w:rPr>
                <w:noProof/>
                <w:webHidden/>
                <w:sz w:val="20"/>
                <w:szCs w:val="20"/>
              </w:rPr>
            </w:r>
            <w:r w:rsidRPr="002F4F30">
              <w:rPr>
                <w:noProof/>
                <w:webHidden/>
                <w:sz w:val="20"/>
                <w:szCs w:val="20"/>
              </w:rPr>
              <w:fldChar w:fldCharType="separate"/>
            </w:r>
            <w:r>
              <w:rPr>
                <w:noProof/>
                <w:webHidden/>
                <w:sz w:val="20"/>
                <w:szCs w:val="20"/>
              </w:rPr>
              <w:t>102</w:t>
            </w:r>
            <w:r w:rsidRPr="002F4F30">
              <w:rPr>
                <w:noProof/>
                <w:webHidden/>
                <w:sz w:val="20"/>
                <w:szCs w:val="20"/>
              </w:rPr>
              <w:fldChar w:fldCharType="end"/>
            </w:r>
          </w:hyperlink>
        </w:p>
        <w:p w14:paraId="3EDBEFFE" w14:textId="0218F1B7"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6" w:history="1">
            <w:r w:rsidRPr="002F4F30">
              <w:rPr>
                <w:rStyle w:val="Hipervnculo"/>
                <w:noProof/>
                <w:sz w:val="20"/>
                <w:szCs w:val="20"/>
                <w:lang w:val="es-ES"/>
              </w:rPr>
              <w:t>10.15. Cognitive ownership: alquilar semántica sin alquilar el sistema cognitivo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_Toc242721926 \h </w:instrText>
            </w:r>
            <w:r w:rsidRPr="002F4F30">
              <w:rPr>
                <w:noProof/>
                <w:webHidden/>
                <w:sz w:val="20"/>
                <w:szCs w:val="20"/>
              </w:rPr>
            </w:r>
            <w:r w:rsidRPr="002F4F30">
              <w:rPr>
                <w:noProof/>
                <w:webHidden/>
                <w:sz w:val="20"/>
                <w:szCs w:val="20"/>
              </w:rPr>
              <w:fldChar w:fldCharType="separate"/>
            </w:r>
            <w:r>
              <w:rPr>
                <w:noProof/>
                <w:webHidden/>
                <w:sz w:val="20"/>
                <w:szCs w:val="20"/>
              </w:rPr>
              <w:t>103</w:t>
            </w:r>
            <w:r w:rsidRPr="002F4F30">
              <w:rPr>
                <w:noProof/>
                <w:webHidden/>
                <w:sz w:val="20"/>
                <w:szCs w:val="20"/>
              </w:rPr>
              <w:fldChar w:fldCharType="end"/>
            </w:r>
          </w:hyperlink>
        </w:p>
        <w:p w14:paraId="1692C103" w14:textId="4B068E82"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7" w:history="1">
            <w:r w:rsidRPr="002F4F30">
              <w:rPr>
                <w:rStyle w:val="Hipervnculo"/>
                <w:noProof/>
                <w:sz w:val="20"/>
                <w:szCs w:val="20"/>
                <w:lang w:val="es-ES"/>
              </w:rPr>
              <w:t>10.16. Mantenimiento: la economía todavía pendiente de medir</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_Toc242721927 \h </w:instrText>
            </w:r>
            <w:r w:rsidRPr="002F4F30">
              <w:rPr>
                <w:noProof/>
                <w:webHidden/>
                <w:sz w:val="20"/>
                <w:szCs w:val="20"/>
              </w:rPr>
            </w:r>
            <w:r w:rsidRPr="002F4F30">
              <w:rPr>
                <w:noProof/>
                <w:webHidden/>
                <w:sz w:val="20"/>
                <w:szCs w:val="20"/>
              </w:rPr>
              <w:fldChar w:fldCharType="separate"/>
            </w:r>
            <w:r>
              <w:rPr>
                <w:noProof/>
                <w:webHidden/>
                <w:sz w:val="20"/>
                <w:szCs w:val="20"/>
              </w:rPr>
              <w:t>104</w:t>
            </w:r>
            <w:r w:rsidRPr="002F4F30">
              <w:rPr>
                <w:noProof/>
                <w:webHidden/>
                <w:sz w:val="20"/>
                <w:szCs w:val="20"/>
              </w:rPr>
              <w:fldChar w:fldCharType="end"/>
            </w:r>
          </w:hyperlink>
        </w:p>
        <w:p w14:paraId="17034C7C" w14:textId="71FAAD45"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8" w:history="1">
            <w:r w:rsidRPr="002F4F30">
              <w:rPr>
                <w:rStyle w:val="Hipervnculo"/>
                <w:noProof/>
                <w:sz w:val="20"/>
                <w:szCs w:val="20"/>
                <w:lang w:val="es-ES"/>
              </w:rPr>
              <w:t>10.17. Qué puede sostenerse ante una due diligence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_Toc242721928 \h </w:instrText>
            </w:r>
            <w:r w:rsidRPr="002F4F30">
              <w:rPr>
                <w:noProof/>
                <w:webHidden/>
                <w:sz w:val="20"/>
                <w:szCs w:val="20"/>
              </w:rPr>
            </w:r>
            <w:r w:rsidRPr="002F4F30">
              <w:rPr>
                <w:noProof/>
                <w:webHidden/>
                <w:sz w:val="20"/>
                <w:szCs w:val="20"/>
              </w:rPr>
              <w:fldChar w:fldCharType="separate"/>
            </w:r>
            <w:r>
              <w:rPr>
                <w:noProof/>
                <w:webHidden/>
                <w:sz w:val="20"/>
                <w:szCs w:val="20"/>
              </w:rPr>
              <w:t>104</w:t>
            </w:r>
            <w:r w:rsidRPr="002F4F30">
              <w:rPr>
                <w:noProof/>
                <w:webHidden/>
                <w:sz w:val="20"/>
                <w:szCs w:val="20"/>
              </w:rPr>
              <w:fldChar w:fldCharType="end"/>
            </w:r>
          </w:hyperlink>
        </w:p>
        <w:p w14:paraId="7499F3F4" w14:textId="09E75156"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29" w:history="1">
            <w:r w:rsidRPr="002F4F30">
              <w:rPr>
                <w:rStyle w:val="Hipervnculo"/>
                <w:noProof/>
                <w:sz w:val="20"/>
                <w:szCs w:val="20"/>
                <w:lang w:val="es-ES"/>
              </w:rPr>
              <w:t>10.18. Perfil corporativo-comercial resultante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_Toc242721929 \h </w:instrText>
            </w:r>
            <w:r w:rsidRPr="002F4F30">
              <w:rPr>
                <w:noProof/>
                <w:webHidden/>
                <w:sz w:val="20"/>
                <w:szCs w:val="20"/>
              </w:rPr>
            </w:r>
            <w:r w:rsidRPr="002F4F30">
              <w:rPr>
                <w:noProof/>
                <w:webHidden/>
                <w:sz w:val="20"/>
                <w:szCs w:val="20"/>
              </w:rPr>
              <w:fldChar w:fldCharType="separate"/>
            </w:r>
            <w:r>
              <w:rPr>
                <w:noProof/>
                <w:webHidden/>
                <w:sz w:val="20"/>
                <w:szCs w:val="20"/>
              </w:rPr>
              <w:t>105</w:t>
            </w:r>
            <w:r w:rsidRPr="002F4F30">
              <w:rPr>
                <w:noProof/>
                <w:webHidden/>
                <w:sz w:val="20"/>
                <w:szCs w:val="20"/>
              </w:rPr>
              <w:fldChar w:fldCharType="end"/>
            </w:r>
          </w:hyperlink>
        </w:p>
        <w:p w14:paraId="5130DFB6" w14:textId="3A26B268"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30" w:history="1">
            <w:r w:rsidRPr="002F4F30">
              <w:rPr>
                <w:rStyle w:val="Hipervnculo"/>
                <w:noProof/>
                <w:sz w:val="20"/>
                <w:szCs w:val="20"/>
                <w:lang w:val="es-ES"/>
              </w:rPr>
              <w:t>Capítulo 11: perfil social de MDPAR</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_Toc242721930 \h </w:instrText>
            </w:r>
            <w:r w:rsidRPr="002F4F30">
              <w:rPr>
                <w:noProof/>
                <w:webHidden/>
                <w:sz w:val="20"/>
                <w:szCs w:val="20"/>
              </w:rPr>
            </w:r>
            <w:r w:rsidRPr="002F4F30">
              <w:rPr>
                <w:noProof/>
                <w:webHidden/>
                <w:sz w:val="20"/>
                <w:szCs w:val="20"/>
              </w:rPr>
              <w:fldChar w:fldCharType="separate"/>
            </w:r>
            <w:r>
              <w:rPr>
                <w:noProof/>
                <w:webHidden/>
                <w:sz w:val="20"/>
                <w:szCs w:val="20"/>
              </w:rPr>
              <w:t>107</w:t>
            </w:r>
            <w:r w:rsidRPr="002F4F30">
              <w:rPr>
                <w:noProof/>
                <w:webHidden/>
                <w:sz w:val="20"/>
                <w:szCs w:val="20"/>
              </w:rPr>
              <w:fldChar w:fldCharType="end"/>
            </w:r>
          </w:hyperlink>
        </w:p>
        <w:p w14:paraId="5B031D8F" w14:textId="34C19A4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31" w:history="1">
            <w:r w:rsidRPr="002F4F30">
              <w:rPr>
                <w:rStyle w:val="Hipervnculo"/>
                <w:noProof/>
                <w:sz w:val="20"/>
                <w:szCs w:val="20"/>
                <w:lang w:val="es-ES"/>
              </w:rPr>
              <w:t>11.1. De una salida convincente a una inferencia discutible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_Toc242721931 \h </w:instrText>
            </w:r>
            <w:r w:rsidRPr="002F4F30">
              <w:rPr>
                <w:noProof/>
                <w:webHidden/>
                <w:sz w:val="20"/>
                <w:szCs w:val="20"/>
              </w:rPr>
            </w:r>
            <w:r w:rsidRPr="002F4F30">
              <w:rPr>
                <w:noProof/>
                <w:webHidden/>
                <w:sz w:val="20"/>
                <w:szCs w:val="20"/>
              </w:rPr>
              <w:fldChar w:fldCharType="separate"/>
            </w:r>
            <w:r>
              <w:rPr>
                <w:noProof/>
                <w:webHidden/>
                <w:sz w:val="20"/>
                <w:szCs w:val="20"/>
              </w:rPr>
              <w:t>107</w:t>
            </w:r>
            <w:r w:rsidRPr="002F4F30">
              <w:rPr>
                <w:noProof/>
                <w:webHidden/>
                <w:sz w:val="20"/>
                <w:szCs w:val="20"/>
              </w:rPr>
              <w:fldChar w:fldCharType="end"/>
            </w:r>
          </w:hyperlink>
        </w:p>
        <w:p w14:paraId="2191EBFD" w14:textId="578123C7"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32" w:history="1">
            <w:r w:rsidRPr="002F4F30">
              <w:rPr>
                <w:rStyle w:val="Hipervnculo"/>
                <w:noProof/>
                <w:sz w:val="20"/>
                <w:szCs w:val="20"/>
                <w:lang w:val="es-ES"/>
              </w:rPr>
              <w:t>11.2. El expediente auditable: evidencia, inferencia y calidad técnica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_Toc242721932 \h </w:instrText>
            </w:r>
            <w:r w:rsidRPr="002F4F30">
              <w:rPr>
                <w:noProof/>
                <w:webHidden/>
                <w:sz w:val="20"/>
                <w:szCs w:val="20"/>
              </w:rPr>
            </w:r>
            <w:r w:rsidRPr="002F4F30">
              <w:rPr>
                <w:noProof/>
                <w:webHidden/>
                <w:sz w:val="20"/>
                <w:szCs w:val="20"/>
              </w:rPr>
              <w:fldChar w:fldCharType="separate"/>
            </w:r>
            <w:r>
              <w:rPr>
                <w:noProof/>
                <w:webHidden/>
                <w:sz w:val="20"/>
                <w:szCs w:val="20"/>
              </w:rPr>
              <w:t>108</w:t>
            </w:r>
            <w:r w:rsidRPr="002F4F30">
              <w:rPr>
                <w:noProof/>
                <w:webHidden/>
                <w:sz w:val="20"/>
                <w:szCs w:val="20"/>
              </w:rPr>
              <w:fldChar w:fldCharType="end"/>
            </w:r>
          </w:hyperlink>
        </w:p>
        <w:p w14:paraId="7617181B" w14:textId="79D41B5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33" w:history="1">
            <w:r w:rsidRPr="002F4F30">
              <w:rPr>
                <w:rStyle w:val="Hipervnculo"/>
                <w:noProof/>
                <w:sz w:val="20"/>
                <w:szCs w:val="20"/>
                <w:lang w:val="es-ES"/>
              </w:rPr>
              <w:t>11.3. Calidad pericial y límites de la autoridad computacional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_Toc242721933 \h </w:instrText>
            </w:r>
            <w:r w:rsidRPr="002F4F30">
              <w:rPr>
                <w:noProof/>
                <w:webHidden/>
                <w:sz w:val="20"/>
                <w:szCs w:val="20"/>
              </w:rPr>
            </w:r>
            <w:r w:rsidRPr="002F4F30">
              <w:rPr>
                <w:noProof/>
                <w:webHidden/>
                <w:sz w:val="20"/>
                <w:szCs w:val="20"/>
              </w:rPr>
              <w:fldChar w:fldCharType="separate"/>
            </w:r>
            <w:r>
              <w:rPr>
                <w:noProof/>
                <w:webHidden/>
                <w:sz w:val="20"/>
                <w:szCs w:val="20"/>
              </w:rPr>
              <w:t>109</w:t>
            </w:r>
            <w:r w:rsidRPr="002F4F30">
              <w:rPr>
                <w:noProof/>
                <w:webHidden/>
                <w:sz w:val="20"/>
                <w:szCs w:val="20"/>
              </w:rPr>
              <w:fldChar w:fldCharType="end"/>
            </w:r>
          </w:hyperlink>
        </w:p>
        <w:p w14:paraId="6F04C3C9" w14:textId="0CA444D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34" w:history="1">
            <w:r w:rsidRPr="002F4F30">
              <w:rPr>
                <w:rStyle w:val="Hipervnculo"/>
                <w:noProof/>
                <w:sz w:val="20"/>
                <w:szCs w:val="20"/>
                <w:lang w:val="es-ES"/>
              </w:rPr>
              <w:t>11.4. El profesional y la estructuración del problema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_Toc242721934 \h </w:instrText>
            </w:r>
            <w:r w:rsidRPr="002F4F30">
              <w:rPr>
                <w:noProof/>
                <w:webHidden/>
                <w:sz w:val="20"/>
                <w:szCs w:val="20"/>
              </w:rPr>
            </w:r>
            <w:r w:rsidRPr="002F4F30">
              <w:rPr>
                <w:noProof/>
                <w:webHidden/>
                <w:sz w:val="20"/>
                <w:szCs w:val="20"/>
              </w:rPr>
              <w:fldChar w:fldCharType="separate"/>
            </w:r>
            <w:r>
              <w:rPr>
                <w:noProof/>
                <w:webHidden/>
                <w:sz w:val="20"/>
                <w:szCs w:val="20"/>
              </w:rPr>
              <w:t>109</w:t>
            </w:r>
            <w:r w:rsidRPr="002F4F30">
              <w:rPr>
                <w:noProof/>
                <w:webHidden/>
                <w:sz w:val="20"/>
                <w:szCs w:val="20"/>
              </w:rPr>
              <w:fldChar w:fldCharType="end"/>
            </w:r>
          </w:hyperlink>
        </w:p>
        <w:p w14:paraId="24D7D927" w14:textId="3A8BD2C6"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35" w:history="1">
            <w:r w:rsidRPr="002F4F30">
              <w:rPr>
                <w:rStyle w:val="Hipervnculo"/>
                <w:noProof/>
                <w:sz w:val="20"/>
                <w:szCs w:val="20"/>
                <w:lang w:val="es-ES"/>
              </w:rPr>
              <w:t>11.5. Contestabilidad, incertidumbre y variación neuronal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_Toc242721935 \h </w:instrText>
            </w:r>
            <w:r w:rsidRPr="002F4F30">
              <w:rPr>
                <w:noProof/>
                <w:webHidden/>
                <w:sz w:val="20"/>
                <w:szCs w:val="20"/>
              </w:rPr>
            </w:r>
            <w:r w:rsidRPr="002F4F30">
              <w:rPr>
                <w:noProof/>
                <w:webHidden/>
                <w:sz w:val="20"/>
                <w:szCs w:val="20"/>
              </w:rPr>
              <w:fldChar w:fldCharType="separate"/>
            </w:r>
            <w:r>
              <w:rPr>
                <w:noProof/>
                <w:webHidden/>
                <w:sz w:val="20"/>
                <w:szCs w:val="20"/>
              </w:rPr>
              <w:t>110</w:t>
            </w:r>
            <w:r w:rsidRPr="002F4F30">
              <w:rPr>
                <w:noProof/>
                <w:webHidden/>
                <w:sz w:val="20"/>
                <w:szCs w:val="20"/>
              </w:rPr>
              <w:fldChar w:fldCharType="end"/>
            </w:r>
          </w:hyperlink>
        </w:p>
        <w:p w14:paraId="07B26CA3" w14:textId="2A09E048"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36" w:history="1">
            <w:r w:rsidRPr="002F4F30">
              <w:rPr>
                <w:rStyle w:val="Hipervnculo"/>
                <w:noProof/>
                <w:sz w:val="20"/>
                <w:szCs w:val="20"/>
                <w:lang w:val="es-ES"/>
              </w:rPr>
              <w:t>11.6. Equidad sobre la expresión subjetiva de la misma idea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_Toc242721936 \h </w:instrText>
            </w:r>
            <w:r w:rsidRPr="002F4F30">
              <w:rPr>
                <w:noProof/>
                <w:webHidden/>
                <w:sz w:val="20"/>
                <w:szCs w:val="20"/>
              </w:rPr>
            </w:r>
            <w:r w:rsidRPr="002F4F30">
              <w:rPr>
                <w:noProof/>
                <w:webHidden/>
                <w:sz w:val="20"/>
                <w:szCs w:val="20"/>
              </w:rPr>
              <w:fldChar w:fldCharType="separate"/>
            </w:r>
            <w:r>
              <w:rPr>
                <w:noProof/>
                <w:webHidden/>
                <w:sz w:val="20"/>
                <w:szCs w:val="20"/>
              </w:rPr>
              <w:t>110</w:t>
            </w:r>
            <w:r w:rsidRPr="002F4F30">
              <w:rPr>
                <w:noProof/>
                <w:webHidden/>
                <w:sz w:val="20"/>
                <w:szCs w:val="20"/>
              </w:rPr>
              <w:fldChar w:fldCharType="end"/>
            </w:r>
          </w:hyperlink>
        </w:p>
        <w:p w14:paraId="62FE56EB" w14:textId="5F7B520F"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37" w:history="1">
            <w:r w:rsidRPr="002F4F30">
              <w:rPr>
                <w:rStyle w:val="Hipervnculo"/>
                <w:noProof/>
                <w:sz w:val="20"/>
                <w:szCs w:val="20"/>
                <w:lang w:val="es-ES"/>
              </w:rPr>
              <w:t>11.7. Privacidad del relato, reclamo de la soberanía cognitiva e impacto social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_Toc242721937 \h </w:instrText>
            </w:r>
            <w:r w:rsidRPr="002F4F30">
              <w:rPr>
                <w:noProof/>
                <w:webHidden/>
                <w:sz w:val="20"/>
                <w:szCs w:val="20"/>
              </w:rPr>
            </w:r>
            <w:r w:rsidRPr="002F4F30">
              <w:rPr>
                <w:noProof/>
                <w:webHidden/>
                <w:sz w:val="20"/>
                <w:szCs w:val="20"/>
              </w:rPr>
              <w:fldChar w:fldCharType="separate"/>
            </w:r>
            <w:r>
              <w:rPr>
                <w:noProof/>
                <w:webHidden/>
                <w:sz w:val="20"/>
                <w:szCs w:val="20"/>
              </w:rPr>
              <w:t>111</w:t>
            </w:r>
            <w:r w:rsidRPr="002F4F30">
              <w:rPr>
                <w:noProof/>
                <w:webHidden/>
                <w:sz w:val="20"/>
                <w:szCs w:val="20"/>
              </w:rPr>
              <w:fldChar w:fldCharType="end"/>
            </w:r>
          </w:hyperlink>
        </w:p>
        <w:p w14:paraId="52596DEE" w14:textId="61E61A2D"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38" w:history="1">
            <w:r w:rsidRPr="002F4F30">
              <w:rPr>
                <w:rStyle w:val="Hipervnculo"/>
                <w:noProof/>
                <w:sz w:val="20"/>
                <w:szCs w:val="20"/>
                <w:lang w:val="es-ES"/>
              </w:rPr>
              <w:t>PARTE V — Conclusiones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_Toc242721938 \h </w:instrText>
            </w:r>
            <w:r w:rsidRPr="002F4F30">
              <w:rPr>
                <w:noProof/>
                <w:webHidden/>
                <w:sz w:val="20"/>
                <w:szCs w:val="20"/>
              </w:rPr>
            </w:r>
            <w:r w:rsidRPr="002F4F30">
              <w:rPr>
                <w:noProof/>
                <w:webHidden/>
                <w:sz w:val="20"/>
                <w:szCs w:val="20"/>
              </w:rPr>
              <w:fldChar w:fldCharType="separate"/>
            </w:r>
            <w:r>
              <w:rPr>
                <w:noProof/>
                <w:webHidden/>
                <w:sz w:val="20"/>
                <w:szCs w:val="20"/>
              </w:rPr>
              <w:t>113</w:t>
            </w:r>
            <w:r w:rsidRPr="002F4F30">
              <w:rPr>
                <w:noProof/>
                <w:webHidden/>
                <w:sz w:val="20"/>
                <w:szCs w:val="20"/>
              </w:rPr>
              <w:fldChar w:fldCharType="end"/>
            </w:r>
          </w:hyperlink>
        </w:p>
        <w:p w14:paraId="4BDB2744" w14:textId="040B06A6"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39" w:history="1">
            <w:r w:rsidRPr="002F4F30">
              <w:rPr>
                <w:rStyle w:val="Hipervnculo"/>
                <w:noProof/>
                <w:sz w:val="20"/>
                <w:szCs w:val="20"/>
                <w:lang w:val="es-ES"/>
              </w:rPr>
              <w:t>Capítulo 12: naturaleza, estatuto y alcance de MDPAR</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_Toc242721939 \h </w:instrText>
            </w:r>
            <w:r w:rsidRPr="002F4F30">
              <w:rPr>
                <w:noProof/>
                <w:webHidden/>
                <w:sz w:val="20"/>
                <w:szCs w:val="20"/>
              </w:rPr>
            </w:r>
            <w:r w:rsidRPr="002F4F30">
              <w:rPr>
                <w:noProof/>
                <w:webHidden/>
                <w:sz w:val="20"/>
                <w:szCs w:val="20"/>
              </w:rPr>
              <w:fldChar w:fldCharType="separate"/>
            </w:r>
            <w:r>
              <w:rPr>
                <w:noProof/>
                <w:webHidden/>
                <w:sz w:val="20"/>
                <w:szCs w:val="20"/>
              </w:rPr>
              <w:t>113</w:t>
            </w:r>
            <w:r w:rsidRPr="002F4F30">
              <w:rPr>
                <w:noProof/>
                <w:webHidden/>
                <w:sz w:val="20"/>
                <w:szCs w:val="20"/>
              </w:rPr>
              <w:fldChar w:fldCharType="end"/>
            </w:r>
          </w:hyperlink>
        </w:p>
        <w:p w14:paraId="317E3372" w14:textId="56514079"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40" w:history="1">
            <w:r w:rsidRPr="002F4F30">
              <w:rPr>
                <w:rStyle w:val="Hipervnculo"/>
                <w:noProof/>
                <w:sz w:val="20"/>
                <w:szCs w:val="20"/>
                <w:lang w:val="es-ES"/>
              </w:rPr>
              <w:t>Capítulo 13: Repercusiones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_Toc242721940 \h </w:instrText>
            </w:r>
            <w:r w:rsidRPr="002F4F30">
              <w:rPr>
                <w:noProof/>
                <w:webHidden/>
                <w:sz w:val="20"/>
                <w:szCs w:val="20"/>
              </w:rPr>
            </w:r>
            <w:r w:rsidRPr="002F4F30">
              <w:rPr>
                <w:noProof/>
                <w:webHidden/>
                <w:sz w:val="20"/>
                <w:szCs w:val="20"/>
              </w:rPr>
              <w:fldChar w:fldCharType="separate"/>
            </w:r>
            <w:r>
              <w:rPr>
                <w:noProof/>
                <w:webHidden/>
                <w:sz w:val="20"/>
                <w:szCs w:val="20"/>
              </w:rPr>
              <w:t>117</w:t>
            </w:r>
            <w:r w:rsidRPr="002F4F30">
              <w:rPr>
                <w:noProof/>
                <w:webHidden/>
                <w:sz w:val="20"/>
                <w:szCs w:val="20"/>
              </w:rPr>
              <w:fldChar w:fldCharType="end"/>
            </w:r>
          </w:hyperlink>
        </w:p>
        <w:p w14:paraId="51886ACA" w14:textId="126BDF42"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41" w:history="1">
            <w:r w:rsidRPr="002F4F30">
              <w:rPr>
                <w:rStyle w:val="Hipervnculo"/>
                <w:noProof/>
                <w:sz w:val="20"/>
                <w:szCs w:val="20"/>
                <w:lang w:val="es-ES"/>
              </w:rPr>
              <w:t>13.1. Filología y lingüística: de la interlingua semántica a la senda de invariancia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_Toc242721941 \h </w:instrText>
            </w:r>
            <w:r w:rsidRPr="002F4F30">
              <w:rPr>
                <w:noProof/>
                <w:webHidden/>
                <w:sz w:val="20"/>
                <w:szCs w:val="20"/>
              </w:rPr>
            </w:r>
            <w:r w:rsidRPr="002F4F30">
              <w:rPr>
                <w:noProof/>
                <w:webHidden/>
                <w:sz w:val="20"/>
                <w:szCs w:val="20"/>
              </w:rPr>
              <w:fldChar w:fldCharType="separate"/>
            </w:r>
            <w:r>
              <w:rPr>
                <w:noProof/>
                <w:webHidden/>
                <w:sz w:val="20"/>
                <w:szCs w:val="20"/>
              </w:rPr>
              <w:t>117</w:t>
            </w:r>
            <w:r w:rsidRPr="002F4F30">
              <w:rPr>
                <w:noProof/>
                <w:webHidden/>
                <w:sz w:val="20"/>
                <w:szCs w:val="20"/>
              </w:rPr>
              <w:fldChar w:fldCharType="end"/>
            </w:r>
          </w:hyperlink>
        </w:p>
        <w:p w14:paraId="7975A112" w14:textId="46BC1534"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42" w:history="1">
            <w:r w:rsidRPr="002F4F30">
              <w:rPr>
                <w:rStyle w:val="Hipervnculo"/>
                <w:noProof/>
                <w:sz w:val="20"/>
                <w:szCs w:val="20"/>
                <w:lang w:val="es-ES"/>
              </w:rPr>
              <w:t>13.2. Matemáticas: de describir inferencias a calcular propiedades de trayectorias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_Toc242721942 \h </w:instrText>
            </w:r>
            <w:r w:rsidRPr="002F4F30">
              <w:rPr>
                <w:noProof/>
                <w:webHidden/>
                <w:sz w:val="20"/>
                <w:szCs w:val="20"/>
              </w:rPr>
            </w:r>
            <w:r w:rsidRPr="002F4F30">
              <w:rPr>
                <w:noProof/>
                <w:webHidden/>
                <w:sz w:val="20"/>
                <w:szCs w:val="20"/>
              </w:rPr>
              <w:fldChar w:fldCharType="separate"/>
            </w:r>
            <w:r>
              <w:rPr>
                <w:noProof/>
                <w:webHidden/>
                <w:sz w:val="20"/>
                <w:szCs w:val="20"/>
              </w:rPr>
              <w:t>118</w:t>
            </w:r>
            <w:r w:rsidRPr="002F4F30">
              <w:rPr>
                <w:noProof/>
                <w:webHidden/>
                <w:sz w:val="20"/>
                <w:szCs w:val="20"/>
              </w:rPr>
              <w:fldChar w:fldCharType="end"/>
            </w:r>
          </w:hyperlink>
        </w:p>
        <w:p w14:paraId="30B119A4" w14:textId="10DD97BD"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43" w:history="1">
            <w:r w:rsidRPr="002F4F30">
              <w:rPr>
                <w:rStyle w:val="Hipervnculo"/>
                <w:noProof/>
                <w:sz w:val="20"/>
                <w:szCs w:val="20"/>
                <w:lang w:val="es-ES"/>
              </w:rPr>
              <w:t>13.3. Ciencias cognitivas e inteligencia artificial: del modelo que razona al sistema que conserva el razonamiento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_Toc242721943 \h </w:instrText>
            </w:r>
            <w:r w:rsidRPr="002F4F30">
              <w:rPr>
                <w:noProof/>
                <w:webHidden/>
                <w:sz w:val="20"/>
                <w:szCs w:val="20"/>
              </w:rPr>
            </w:r>
            <w:r w:rsidRPr="002F4F30">
              <w:rPr>
                <w:noProof/>
                <w:webHidden/>
                <w:sz w:val="20"/>
                <w:szCs w:val="20"/>
              </w:rPr>
              <w:fldChar w:fldCharType="separate"/>
            </w:r>
            <w:r>
              <w:rPr>
                <w:noProof/>
                <w:webHidden/>
                <w:sz w:val="20"/>
                <w:szCs w:val="20"/>
              </w:rPr>
              <w:t>119</w:t>
            </w:r>
            <w:r w:rsidRPr="002F4F30">
              <w:rPr>
                <w:noProof/>
                <w:webHidden/>
                <w:sz w:val="20"/>
                <w:szCs w:val="20"/>
              </w:rPr>
              <w:fldChar w:fldCharType="end"/>
            </w:r>
          </w:hyperlink>
        </w:p>
        <w:p w14:paraId="153163D9" w14:textId="12870888"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44" w:history="1">
            <w:r w:rsidRPr="002F4F30">
              <w:rPr>
                <w:rStyle w:val="Hipervnculo"/>
                <w:noProof/>
                <w:sz w:val="20"/>
                <w:szCs w:val="20"/>
                <w:lang w:val="es-ES"/>
              </w:rPr>
              <w:t>13.4. Epistemología y metodología científica: de producir respuestas a conservar las condiciones de discusión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_Toc242721944 \h </w:instrText>
            </w:r>
            <w:r w:rsidRPr="002F4F30">
              <w:rPr>
                <w:noProof/>
                <w:webHidden/>
                <w:sz w:val="20"/>
                <w:szCs w:val="20"/>
              </w:rPr>
            </w:r>
            <w:r w:rsidRPr="002F4F30">
              <w:rPr>
                <w:noProof/>
                <w:webHidden/>
                <w:sz w:val="20"/>
                <w:szCs w:val="20"/>
              </w:rPr>
              <w:fldChar w:fldCharType="separate"/>
            </w:r>
            <w:r>
              <w:rPr>
                <w:noProof/>
                <w:webHidden/>
                <w:sz w:val="20"/>
                <w:szCs w:val="20"/>
              </w:rPr>
              <w:t>121</w:t>
            </w:r>
            <w:r w:rsidRPr="002F4F30">
              <w:rPr>
                <w:noProof/>
                <w:webHidden/>
                <w:sz w:val="20"/>
                <w:szCs w:val="20"/>
              </w:rPr>
              <w:fldChar w:fldCharType="end"/>
            </w:r>
          </w:hyperlink>
        </w:p>
        <w:p w14:paraId="22D0494F" w14:textId="163D431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45" w:history="1">
            <w:r w:rsidRPr="002F4F30">
              <w:rPr>
                <w:rStyle w:val="Hipervnculo"/>
                <w:noProof/>
                <w:sz w:val="20"/>
                <w:szCs w:val="20"/>
                <w:lang w:val="es-ES"/>
              </w:rPr>
              <w:t>13.5. Ingeniería de software y sistemas distribuidos: de integrar componentes a preservar identidad cognitiva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_Toc242721945 \h </w:instrText>
            </w:r>
            <w:r w:rsidRPr="002F4F30">
              <w:rPr>
                <w:noProof/>
                <w:webHidden/>
                <w:sz w:val="20"/>
                <w:szCs w:val="20"/>
              </w:rPr>
            </w:r>
            <w:r w:rsidRPr="002F4F30">
              <w:rPr>
                <w:noProof/>
                <w:webHidden/>
                <w:sz w:val="20"/>
                <w:szCs w:val="20"/>
              </w:rPr>
              <w:fldChar w:fldCharType="separate"/>
            </w:r>
            <w:r>
              <w:rPr>
                <w:noProof/>
                <w:webHidden/>
                <w:sz w:val="20"/>
                <w:szCs w:val="20"/>
              </w:rPr>
              <w:t>122</w:t>
            </w:r>
            <w:r w:rsidRPr="002F4F30">
              <w:rPr>
                <w:noProof/>
                <w:webHidden/>
                <w:sz w:val="20"/>
                <w:szCs w:val="20"/>
              </w:rPr>
              <w:fldChar w:fldCharType="end"/>
            </w:r>
          </w:hyperlink>
        </w:p>
        <w:p w14:paraId="2B992E7F" w14:textId="6ECE92BD"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46" w:history="1">
            <w:r w:rsidRPr="002F4F30">
              <w:rPr>
                <w:rStyle w:val="Hipervnculo"/>
                <w:noProof/>
                <w:sz w:val="20"/>
                <w:szCs w:val="20"/>
                <w:lang w:val="es-ES"/>
              </w:rPr>
              <w:t>13.6. Interoperabilidad tecnológica: de compartir formatos a compartir contratos estructurales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_Toc242721946 \h </w:instrText>
            </w:r>
            <w:r w:rsidRPr="002F4F30">
              <w:rPr>
                <w:noProof/>
                <w:webHidden/>
                <w:sz w:val="20"/>
                <w:szCs w:val="20"/>
              </w:rPr>
            </w:r>
            <w:r w:rsidRPr="002F4F30">
              <w:rPr>
                <w:noProof/>
                <w:webHidden/>
                <w:sz w:val="20"/>
                <w:szCs w:val="20"/>
              </w:rPr>
              <w:fldChar w:fldCharType="separate"/>
            </w:r>
            <w:r>
              <w:rPr>
                <w:noProof/>
                <w:webHidden/>
                <w:sz w:val="20"/>
                <w:szCs w:val="20"/>
              </w:rPr>
              <w:t>123</w:t>
            </w:r>
            <w:r w:rsidRPr="002F4F30">
              <w:rPr>
                <w:noProof/>
                <w:webHidden/>
                <w:sz w:val="20"/>
                <w:szCs w:val="20"/>
              </w:rPr>
              <w:fldChar w:fldCharType="end"/>
            </w:r>
          </w:hyperlink>
        </w:p>
        <w:p w14:paraId="2E998CF6" w14:textId="0BE9F584"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47" w:history="1">
            <w:r w:rsidRPr="002F4F30">
              <w:rPr>
                <w:rStyle w:val="Hipervnculo"/>
                <w:noProof/>
                <w:sz w:val="20"/>
                <w:szCs w:val="20"/>
                <w:lang w:val="es-ES"/>
              </w:rPr>
              <w:t>13.7. Organización y empresa: de adquirir inteligencia a gobernar responsabilidad cognitiva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_Toc242721947 \h </w:instrText>
            </w:r>
            <w:r w:rsidRPr="002F4F30">
              <w:rPr>
                <w:noProof/>
                <w:webHidden/>
                <w:sz w:val="20"/>
                <w:szCs w:val="20"/>
              </w:rPr>
            </w:r>
            <w:r w:rsidRPr="002F4F30">
              <w:rPr>
                <w:noProof/>
                <w:webHidden/>
                <w:sz w:val="20"/>
                <w:szCs w:val="20"/>
              </w:rPr>
              <w:fldChar w:fldCharType="separate"/>
            </w:r>
            <w:r>
              <w:rPr>
                <w:noProof/>
                <w:webHidden/>
                <w:sz w:val="20"/>
                <w:szCs w:val="20"/>
              </w:rPr>
              <w:t>124</w:t>
            </w:r>
            <w:r w:rsidRPr="002F4F30">
              <w:rPr>
                <w:noProof/>
                <w:webHidden/>
                <w:sz w:val="20"/>
                <w:szCs w:val="20"/>
              </w:rPr>
              <w:fldChar w:fldCharType="end"/>
            </w:r>
          </w:hyperlink>
        </w:p>
        <w:p w14:paraId="53C19681" w14:textId="2703820A"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48" w:history="1">
            <w:r w:rsidRPr="002F4F30">
              <w:rPr>
                <w:rStyle w:val="Hipervnculo"/>
                <w:noProof/>
                <w:sz w:val="20"/>
                <w:szCs w:val="20"/>
                <w:lang w:val="es-ES"/>
              </w:rPr>
              <w:t>13.8. Economía de la computación: del modelo único a la adquisición situada de capacidad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_Toc242721948 \h </w:instrText>
            </w:r>
            <w:r w:rsidRPr="002F4F30">
              <w:rPr>
                <w:noProof/>
                <w:webHidden/>
                <w:sz w:val="20"/>
                <w:szCs w:val="20"/>
              </w:rPr>
            </w:r>
            <w:r w:rsidRPr="002F4F30">
              <w:rPr>
                <w:noProof/>
                <w:webHidden/>
                <w:sz w:val="20"/>
                <w:szCs w:val="20"/>
              </w:rPr>
              <w:fldChar w:fldCharType="separate"/>
            </w:r>
            <w:r>
              <w:rPr>
                <w:noProof/>
                <w:webHidden/>
                <w:sz w:val="20"/>
                <w:szCs w:val="20"/>
              </w:rPr>
              <w:t>125</w:t>
            </w:r>
            <w:r w:rsidRPr="002F4F30">
              <w:rPr>
                <w:noProof/>
                <w:webHidden/>
                <w:sz w:val="20"/>
                <w:szCs w:val="20"/>
              </w:rPr>
              <w:fldChar w:fldCharType="end"/>
            </w:r>
          </w:hyperlink>
        </w:p>
        <w:p w14:paraId="44B7A43C" w14:textId="471B3C92"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49" w:history="1">
            <w:r w:rsidRPr="002F4F30">
              <w:rPr>
                <w:rStyle w:val="Hipervnculo"/>
                <w:noProof/>
                <w:sz w:val="20"/>
                <w:szCs w:val="20"/>
                <w:lang w:val="es-ES"/>
              </w:rPr>
              <w:t>13.9. Trabajo profesional y derecho: de automatizar el juicio a estructurar el problema previo al juicio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_Toc242721949 \h </w:instrText>
            </w:r>
            <w:r w:rsidRPr="002F4F30">
              <w:rPr>
                <w:noProof/>
                <w:webHidden/>
                <w:sz w:val="20"/>
                <w:szCs w:val="20"/>
              </w:rPr>
            </w:r>
            <w:r w:rsidRPr="002F4F30">
              <w:rPr>
                <w:noProof/>
                <w:webHidden/>
                <w:sz w:val="20"/>
                <w:szCs w:val="20"/>
              </w:rPr>
              <w:fldChar w:fldCharType="separate"/>
            </w:r>
            <w:r>
              <w:rPr>
                <w:noProof/>
                <w:webHidden/>
                <w:sz w:val="20"/>
                <w:szCs w:val="20"/>
              </w:rPr>
              <w:t>126</w:t>
            </w:r>
            <w:r w:rsidRPr="002F4F30">
              <w:rPr>
                <w:noProof/>
                <w:webHidden/>
                <w:sz w:val="20"/>
                <w:szCs w:val="20"/>
              </w:rPr>
              <w:fldChar w:fldCharType="end"/>
            </w:r>
          </w:hyperlink>
        </w:p>
        <w:p w14:paraId="542475AD" w14:textId="4FC8F1E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50" w:history="1">
            <w:r w:rsidRPr="002F4F30">
              <w:rPr>
                <w:rStyle w:val="Hipervnculo"/>
                <w:noProof/>
                <w:sz w:val="20"/>
                <w:szCs w:val="20"/>
                <w:lang w:val="es-ES"/>
              </w:rPr>
              <w:t>13.10. Sociedad y soberanía cognitiva: de la persuasión privada al expediente discutible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_Toc242721950 \h </w:instrText>
            </w:r>
            <w:r w:rsidRPr="002F4F30">
              <w:rPr>
                <w:noProof/>
                <w:webHidden/>
                <w:sz w:val="20"/>
                <w:szCs w:val="20"/>
              </w:rPr>
            </w:r>
            <w:r w:rsidRPr="002F4F30">
              <w:rPr>
                <w:noProof/>
                <w:webHidden/>
                <w:sz w:val="20"/>
                <w:szCs w:val="20"/>
              </w:rPr>
              <w:fldChar w:fldCharType="separate"/>
            </w:r>
            <w:r>
              <w:rPr>
                <w:noProof/>
                <w:webHidden/>
                <w:sz w:val="20"/>
                <w:szCs w:val="20"/>
              </w:rPr>
              <w:t>127</w:t>
            </w:r>
            <w:r w:rsidRPr="002F4F30">
              <w:rPr>
                <w:noProof/>
                <w:webHidden/>
                <w:sz w:val="20"/>
                <w:szCs w:val="20"/>
              </w:rPr>
              <w:fldChar w:fldCharType="end"/>
            </w:r>
          </w:hyperlink>
        </w:p>
        <w:p w14:paraId="15C34C8F" w14:textId="71944C4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51" w:history="1">
            <w:r w:rsidRPr="002F4F30">
              <w:rPr>
                <w:rStyle w:val="Hipervnculo"/>
                <w:noProof/>
                <w:sz w:val="20"/>
                <w:szCs w:val="20"/>
                <w:lang w:val="es-ES"/>
              </w:rPr>
              <w:t>13.11. Filosofía de la mente y ontología de los sistemas cognitivos: del horizonte del pensamiento a la identidad de una inteligencia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_Toc242721951 \h </w:instrText>
            </w:r>
            <w:r w:rsidRPr="002F4F30">
              <w:rPr>
                <w:noProof/>
                <w:webHidden/>
                <w:sz w:val="20"/>
                <w:szCs w:val="20"/>
              </w:rPr>
            </w:r>
            <w:r w:rsidRPr="002F4F30">
              <w:rPr>
                <w:noProof/>
                <w:webHidden/>
                <w:sz w:val="20"/>
                <w:szCs w:val="20"/>
              </w:rPr>
              <w:fldChar w:fldCharType="separate"/>
            </w:r>
            <w:r>
              <w:rPr>
                <w:noProof/>
                <w:webHidden/>
                <w:sz w:val="20"/>
                <w:szCs w:val="20"/>
              </w:rPr>
              <w:t>127</w:t>
            </w:r>
            <w:r w:rsidRPr="002F4F30">
              <w:rPr>
                <w:noProof/>
                <w:webHidden/>
                <w:sz w:val="20"/>
                <w:szCs w:val="20"/>
              </w:rPr>
              <w:fldChar w:fldCharType="end"/>
            </w:r>
          </w:hyperlink>
        </w:p>
        <w:p w14:paraId="005CD435" w14:textId="6B7FCBC3"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52" w:history="1">
            <w:r w:rsidRPr="002F4F30">
              <w:rPr>
                <w:rStyle w:val="Hipervnculo"/>
                <w:noProof/>
                <w:sz w:val="20"/>
                <w:szCs w:val="20"/>
                <w:lang w:val="es-ES"/>
              </w:rPr>
              <w:t>Capítulo 14: programa de investigación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_Toc242721952 \h </w:instrText>
            </w:r>
            <w:r w:rsidRPr="002F4F30">
              <w:rPr>
                <w:noProof/>
                <w:webHidden/>
                <w:sz w:val="20"/>
                <w:szCs w:val="20"/>
              </w:rPr>
            </w:r>
            <w:r w:rsidRPr="002F4F30">
              <w:rPr>
                <w:noProof/>
                <w:webHidden/>
                <w:sz w:val="20"/>
                <w:szCs w:val="20"/>
              </w:rPr>
              <w:fldChar w:fldCharType="separate"/>
            </w:r>
            <w:r>
              <w:rPr>
                <w:noProof/>
                <w:webHidden/>
                <w:sz w:val="20"/>
                <w:szCs w:val="20"/>
              </w:rPr>
              <w:t>133</w:t>
            </w:r>
            <w:r w:rsidRPr="002F4F30">
              <w:rPr>
                <w:noProof/>
                <w:webHidden/>
                <w:sz w:val="20"/>
                <w:szCs w:val="20"/>
              </w:rPr>
              <w:fldChar w:fldCharType="end"/>
            </w:r>
          </w:hyperlink>
        </w:p>
        <w:p w14:paraId="0445A8F5" w14:textId="6ED4E092"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53" w:history="1">
            <w:r w:rsidRPr="002F4F30">
              <w:rPr>
                <w:rStyle w:val="Hipervnculo"/>
                <w:rFonts w:cs="Times New Roman"/>
                <w:noProof/>
                <w:sz w:val="20"/>
                <w:szCs w:val="20"/>
                <w:lang w:val="es-ES"/>
              </w:rPr>
              <w:t>14.1. Primera prioridad: contraste human-grounded de la dirección estructural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_Toc242721953 \h </w:instrText>
            </w:r>
            <w:r w:rsidRPr="002F4F30">
              <w:rPr>
                <w:noProof/>
                <w:webHidden/>
                <w:sz w:val="20"/>
                <w:szCs w:val="20"/>
              </w:rPr>
            </w:r>
            <w:r w:rsidRPr="002F4F30">
              <w:rPr>
                <w:noProof/>
                <w:webHidden/>
                <w:sz w:val="20"/>
                <w:szCs w:val="20"/>
              </w:rPr>
              <w:fldChar w:fldCharType="separate"/>
            </w:r>
            <w:r>
              <w:rPr>
                <w:noProof/>
                <w:webHidden/>
                <w:sz w:val="20"/>
                <w:szCs w:val="20"/>
              </w:rPr>
              <w:t>133</w:t>
            </w:r>
            <w:r w:rsidRPr="002F4F30">
              <w:rPr>
                <w:noProof/>
                <w:webHidden/>
                <w:sz w:val="20"/>
                <w:szCs w:val="20"/>
              </w:rPr>
              <w:fldChar w:fldCharType="end"/>
            </w:r>
          </w:hyperlink>
        </w:p>
        <w:p w14:paraId="7F6F7F37" w14:textId="71CE634D"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54" w:history="1">
            <w:r w:rsidRPr="002F4F30">
              <w:rPr>
                <w:rStyle w:val="Hipervnculo"/>
                <w:rFonts w:cs="Times New Roman"/>
                <w:noProof/>
                <w:sz w:val="20"/>
                <w:szCs w:val="20"/>
                <w:lang w:val="es-ES"/>
              </w:rPr>
              <w:t>14.2. Segunda prioridad: cierre formal de la invariancia lingüística y extrapolación a ciberseguridad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_Toc242721954 \h </w:instrText>
            </w:r>
            <w:r w:rsidRPr="002F4F30">
              <w:rPr>
                <w:noProof/>
                <w:webHidden/>
                <w:sz w:val="20"/>
                <w:szCs w:val="20"/>
              </w:rPr>
            </w:r>
            <w:r w:rsidRPr="002F4F30">
              <w:rPr>
                <w:noProof/>
                <w:webHidden/>
                <w:sz w:val="20"/>
                <w:szCs w:val="20"/>
              </w:rPr>
              <w:fldChar w:fldCharType="separate"/>
            </w:r>
            <w:r>
              <w:rPr>
                <w:noProof/>
                <w:webHidden/>
                <w:sz w:val="20"/>
                <w:szCs w:val="20"/>
              </w:rPr>
              <w:t>134</w:t>
            </w:r>
            <w:r w:rsidRPr="002F4F30">
              <w:rPr>
                <w:noProof/>
                <w:webHidden/>
                <w:sz w:val="20"/>
                <w:szCs w:val="20"/>
              </w:rPr>
              <w:fldChar w:fldCharType="end"/>
            </w:r>
          </w:hyperlink>
        </w:p>
        <w:p w14:paraId="737062BD" w14:textId="2C7485ED"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55" w:history="1">
            <w:r w:rsidRPr="002F4F30">
              <w:rPr>
                <w:rStyle w:val="Hipervnculo"/>
                <w:rFonts w:cs="Times New Roman"/>
                <w:noProof/>
                <w:sz w:val="20"/>
                <w:szCs w:val="20"/>
                <w:lang w:val="es-ES"/>
              </w:rPr>
              <w:t>14.3. Tercera prioridad: integración simbólica heterogénea y posterior embodiment</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_Toc242721955 \h </w:instrText>
            </w:r>
            <w:r w:rsidRPr="002F4F30">
              <w:rPr>
                <w:noProof/>
                <w:webHidden/>
                <w:sz w:val="20"/>
                <w:szCs w:val="20"/>
              </w:rPr>
            </w:r>
            <w:r w:rsidRPr="002F4F30">
              <w:rPr>
                <w:noProof/>
                <w:webHidden/>
                <w:sz w:val="20"/>
                <w:szCs w:val="20"/>
              </w:rPr>
              <w:fldChar w:fldCharType="separate"/>
            </w:r>
            <w:r>
              <w:rPr>
                <w:noProof/>
                <w:webHidden/>
                <w:sz w:val="20"/>
                <w:szCs w:val="20"/>
              </w:rPr>
              <w:t>136</w:t>
            </w:r>
            <w:r w:rsidRPr="002F4F30">
              <w:rPr>
                <w:noProof/>
                <w:webHidden/>
                <w:sz w:val="20"/>
                <w:szCs w:val="20"/>
              </w:rPr>
              <w:fldChar w:fldCharType="end"/>
            </w:r>
          </w:hyperlink>
        </w:p>
        <w:p w14:paraId="3988ED2A" w14:textId="51102C7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56" w:history="1">
            <w:r w:rsidRPr="002F4F30">
              <w:rPr>
                <w:rStyle w:val="Hipervnculo"/>
                <w:rFonts w:cs="Times New Roman"/>
                <w:noProof/>
                <w:sz w:val="20"/>
                <w:szCs w:val="20"/>
                <w:lang w:val="es-ES"/>
              </w:rPr>
              <w:t>14.4. Cuarta prioridad: cierre funcional del problema de decisión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_Toc242721956 \h </w:instrText>
            </w:r>
            <w:r w:rsidRPr="002F4F30">
              <w:rPr>
                <w:noProof/>
                <w:webHidden/>
                <w:sz w:val="20"/>
                <w:szCs w:val="20"/>
              </w:rPr>
            </w:r>
            <w:r w:rsidRPr="002F4F30">
              <w:rPr>
                <w:noProof/>
                <w:webHidden/>
                <w:sz w:val="20"/>
                <w:szCs w:val="20"/>
              </w:rPr>
              <w:fldChar w:fldCharType="separate"/>
            </w:r>
            <w:r>
              <w:rPr>
                <w:noProof/>
                <w:webHidden/>
                <w:sz w:val="20"/>
                <w:szCs w:val="20"/>
              </w:rPr>
              <w:t>136</w:t>
            </w:r>
            <w:r w:rsidRPr="002F4F30">
              <w:rPr>
                <w:noProof/>
                <w:webHidden/>
                <w:sz w:val="20"/>
                <w:szCs w:val="20"/>
              </w:rPr>
              <w:fldChar w:fldCharType="end"/>
            </w:r>
          </w:hyperlink>
        </w:p>
        <w:p w14:paraId="54FF2B83" w14:textId="46A940FF"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57" w:history="1">
            <w:r w:rsidRPr="002F4F30">
              <w:rPr>
                <w:rStyle w:val="Hipervnculo"/>
                <w:noProof/>
                <w:sz w:val="20"/>
                <w:szCs w:val="20"/>
                <w:lang w:val="es-ES"/>
              </w:rPr>
              <w:t>PARTE VI — C13</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_Toc242721957 \h </w:instrText>
            </w:r>
            <w:r w:rsidRPr="002F4F30">
              <w:rPr>
                <w:noProof/>
                <w:webHidden/>
                <w:sz w:val="20"/>
                <w:szCs w:val="20"/>
              </w:rPr>
            </w:r>
            <w:r w:rsidRPr="002F4F30">
              <w:rPr>
                <w:noProof/>
                <w:webHidden/>
                <w:sz w:val="20"/>
                <w:szCs w:val="20"/>
              </w:rPr>
              <w:fldChar w:fldCharType="separate"/>
            </w:r>
            <w:r>
              <w:rPr>
                <w:noProof/>
                <w:webHidden/>
                <w:sz w:val="20"/>
                <w:szCs w:val="20"/>
              </w:rPr>
              <w:t>139</w:t>
            </w:r>
            <w:r w:rsidRPr="002F4F30">
              <w:rPr>
                <w:noProof/>
                <w:webHidden/>
                <w:sz w:val="20"/>
                <w:szCs w:val="20"/>
              </w:rPr>
              <w:fldChar w:fldCharType="end"/>
            </w:r>
          </w:hyperlink>
        </w:p>
        <w:p w14:paraId="5C3536D3" w14:textId="41C197E3"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58" w:history="1">
            <w:r w:rsidRPr="002F4F30">
              <w:rPr>
                <w:rStyle w:val="Hipervnculo"/>
                <w:noProof/>
                <w:sz w:val="20"/>
                <w:szCs w:val="20"/>
                <w:lang w:val="es-ES"/>
              </w:rPr>
              <w:t>Capítulo 15: fundamentos de C13</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_Toc242721958 \h </w:instrText>
            </w:r>
            <w:r w:rsidRPr="002F4F30">
              <w:rPr>
                <w:noProof/>
                <w:webHidden/>
                <w:sz w:val="20"/>
                <w:szCs w:val="20"/>
              </w:rPr>
            </w:r>
            <w:r w:rsidRPr="002F4F30">
              <w:rPr>
                <w:noProof/>
                <w:webHidden/>
                <w:sz w:val="20"/>
                <w:szCs w:val="20"/>
              </w:rPr>
              <w:fldChar w:fldCharType="separate"/>
            </w:r>
            <w:r>
              <w:rPr>
                <w:noProof/>
                <w:webHidden/>
                <w:sz w:val="20"/>
                <w:szCs w:val="20"/>
              </w:rPr>
              <w:t>139</w:t>
            </w:r>
            <w:r w:rsidRPr="002F4F30">
              <w:rPr>
                <w:noProof/>
                <w:webHidden/>
                <w:sz w:val="20"/>
                <w:szCs w:val="20"/>
              </w:rPr>
              <w:fldChar w:fldCharType="end"/>
            </w:r>
          </w:hyperlink>
        </w:p>
        <w:p w14:paraId="00852E9F" w14:textId="2642FA5F"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59" w:history="1">
            <w:r w:rsidRPr="002F4F30">
              <w:rPr>
                <w:rStyle w:val="Hipervnculo"/>
                <w:noProof/>
                <w:sz w:val="20"/>
                <w:szCs w:val="20"/>
                <w:lang w:val="es-ES"/>
              </w:rPr>
              <w:t>Capítulo 16: logros matemáticos derivados desde C13</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_Toc242721959 \h </w:instrText>
            </w:r>
            <w:r w:rsidRPr="002F4F30">
              <w:rPr>
                <w:noProof/>
                <w:webHidden/>
                <w:sz w:val="20"/>
                <w:szCs w:val="20"/>
              </w:rPr>
            </w:r>
            <w:r w:rsidRPr="002F4F30">
              <w:rPr>
                <w:noProof/>
                <w:webHidden/>
                <w:sz w:val="20"/>
                <w:szCs w:val="20"/>
              </w:rPr>
              <w:fldChar w:fldCharType="separate"/>
            </w:r>
            <w:r>
              <w:rPr>
                <w:noProof/>
                <w:webHidden/>
                <w:sz w:val="20"/>
                <w:szCs w:val="20"/>
              </w:rPr>
              <w:t>145</w:t>
            </w:r>
            <w:r w:rsidRPr="002F4F30">
              <w:rPr>
                <w:noProof/>
                <w:webHidden/>
                <w:sz w:val="20"/>
                <w:szCs w:val="20"/>
              </w:rPr>
              <w:fldChar w:fldCharType="end"/>
            </w:r>
          </w:hyperlink>
        </w:p>
        <w:p w14:paraId="105A47CE" w14:textId="7B1BA4D9"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60" w:history="1">
            <w:r w:rsidRPr="002F4F30">
              <w:rPr>
                <w:rStyle w:val="Hipervnculo"/>
                <w:noProof/>
                <w:sz w:val="20"/>
                <w:szCs w:val="20"/>
                <w:lang w:val="es-ES"/>
              </w:rPr>
              <w:t>Capítulo 17: ecos del algoritmo maestro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_Toc242721960 \h </w:instrText>
            </w:r>
            <w:r w:rsidRPr="002F4F30">
              <w:rPr>
                <w:noProof/>
                <w:webHidden/>
                <w:sz w:val="20"/>
                <w:szCs w:val="20"/>
              </w:rPr>
            </w:r>
            <w:r w:rsidRPr="002F4F30">
              <w:rPr>
                <w:noProof/>
                <w:webHidden/>
                <w:sz w:val="20"/>
                <w:szCs w:val="20"/>
              </w:rPr>
              <w:fldChar w:fldCharType="separate"/>
            </w:r>
            <w:r>
              <w:rPr>
                <w:noProof/>
                <w:webHidden/>
                <w:sz w:val="20"/>
                <w:szCs w:val="20"/>
              </w:rPr>
              <w:t>152</w:t>
            </w:r>
            <w:r w:rsidRPr="002F4F30">
              <w:rPr>
                <w:noProof/>
                <w:webHidden/>
                <w:sz w:val="20"/>
                <w:szCs w:val="20"/>
              </w:rPr>
              <w:fldChar w:fldCharType="end"/>
            </w:r>
          </w:hyperlink>
        </w:p>
        <w:p w14:paraId="72816C98" w14:textId="293FBE77"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61" w:history="1">
            <w:r w:rsidRPr="002F4F30">
              <w:rPr>
                <w:rStyle w:val="Hipervnculo"/>
                <w:noProof/>
                <w:sz w:val="20"/>
                <w:szCs w:val="20"/>
              </w:rPr>
              <w:t>REFERENCIAS BIBLIOGRÁFICAS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_Toc242721961 \h </w:instrText>
            </w:r>
            <w:r w:rsidRPr="002F4F30">
              <w:rPr>
                <w:noProof/>
                <w:webHidden/>
                <w:sz w:val="20"/>
                <w:szCs w:val="20"/>
              </w:rPr>
            </w:r>
            <w:r w:rsidRPr="002F4F30">
              <w:rPr>
                <w:noProof/>
                <w:webHidden/>
                <w:sz w:val="20"/>
                <w:szCs w:val="20"/>
              </w:rPr>
              <w:fldChar w:fldCharType="separate"/>
            </w:r>
            <w:r>
              <w:rPr>
                <w:noProof/>
                <w:webHidden/>
                <w:sz w:val="20"/>
                <w:szCs w:val="20"/>
              </w:rPr>
              <w:t>156</w:t>
            </w:r>
            <w:r w:rsidRPr="002F4F30">
              <w:rPr>
                <w:noProof/>
                <w:webHidden/>
                <w:sz w:val="20"/>
                <w:szCs w:val="20"/>
              </w:rPr>
              <w:fldChar w:fldCharType="end"/>
            </w:r>
          </w:hyperlink>
        </w:p>
        <w:p w14:paraId="6A3008DA" w14:textId="36D4CCF9"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62" w:history="1">
            <w:r w:rsidRPr="002F4F30">
              <w:rPr>
                <w:rStyle w:val="Hipervnculo"/>
                <w:noProof/>
                <w:sz w:val="20"/>
                <w:szCs w:val="20"/>
                <w:lang w:val="es-ES"/>
              </w:rPr>
              <w:t>ANEXOS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_Toc242721962 \h </w:instrText>
            </w:r>
            <w:r w:rsidRPr="002F4F30">
              <w:rPr>
                <w:noProof/>
                <w:webHidden/>
                <w:sz w:val="20"/>
                <w:szCs w:val="20"/>
              </w:rPr>
            </w:r>
            <w:r w:rsidRPr="002F4F30">
              <w:rPr>
                <w:noProof/>
                <w:webHidden/>
                <w:sz w:val="20"/>
                <w:szCs w:val="20"/>
              </w:rPr>
              <w:fldChar w:fldCharType="separate"/>
            </w:r>
            <w:r>
              <w:rPr>
                <w:noProof/>
                <w:webHidden/>
                <w:sz w:val="20"/>
                <w:szCs w:val="20"/>
              </w:rPr>
              <w:t>162</w:t>
            </w:r>
            <w:r w:rsidRPr="002F4F30">
              <w:rPr>
                <w:noProof/>
                <w:webHidden/>
                <w:sz w:val="20"/>
                <w:szCs w:val="20"/>
              </w:rPr>
              <w:fldChar w:fldCharType="end"/>
            </w:r>
          </w:hyperlink>
        </w:p>
        <w:p w14:paraId="4FD07E91" w14:textId="46FC08C9"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63" w:history="1">
            <w:r w:rsidRPr="002F4F30">
              <w:rPr>
                <w:rStyle w:val="Hipervnculo"/>
                <w:noProof/>
                <w:sz w:val="20"/>
                <w:szCs w:val="20"/>
                <w:lang w:val="es-ES"/>
              </w:rPr>
              <w:t>ANEXO A — Perfil experimental C0–C12</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_Toc242721963 \h </w:instrText>
            </w:r>
            <w:r w:rsidRPr="002F4F30">
              <w:rPr>
                <w:noProof/>
                <w:webHidden/>
                <w:sz w:val="20"/>
                <w:szCs w:val="20"/>
              </w:rPr>
            </w:r>
            <w:r w:rsidRPr="002F4F30">
              <w:rPr>
                <w:noProof/>
                <w:webHidden/>
                <w:sz w:val="20"/>
                <w:szCs w:val="20"/>
              </w:rPr>
              <w:fldChar w:fldCharType="separate"/>
            </w:r>
            <w:r>
              <w:rPr>
                <w:noProof/>
                <w:webHidden/>
                <w:sz w:val="20"/>
                <w:szCs w:val="20"/>
              </w:rPr>
              <w:t>162</w:t>
            </w:r>
            <w:r w:rsidRPr="002F4F30">
              <w:rPr>
                <w:noProof/>
                <w:webHidden/>
                <w:sz w:val="20"/>
                <w:szCs w:val="20"/>
              </w:rPr>
              <w:fldChar w:fldCharType="end"/>
            </w:r>
          </w:hyperlink>
        </w:p>
        <w:p w14:paraId="0C9465AF" w14:textId="21332049"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64" w:history="1">
            <w:r w:rsidRPr="002F4F30">
              <w:rPr>
                <w:rStyle w:val="Hipervnculo"/>
                <w:noProof/>
                <w:sz w:val="20"/>
                <w:szCs w:val="20"/>
                <w:lang w:val="es-ES"/>
              </w:rPr>
              <w:t>C0 — Contractual Reproducibility</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_Toc242721964 \h </w:instrText>
            </w:r>
            <w:r w:rsidRPr="002F4F30">
              <w:rPr>
                <w:noProof/>
                <w:webHidden/>
                <w:sz w:val="20"/>
                <w:szCs w:val="20"/>
              </w:rPr>
            </w:r>
            <w:r w:rsidRPr="002F4F30">
              <w:rPr>
                <w:noProof/>
                <w:webHidden/>
                <w:sz w:val="20"/>
                <w:szCs w:val="20"/>
              </w:rPr>
              <w:fldChar w:fldCharType="separate"/>
            </w:r>
            <w:r>
              <w:rPr>
                <w:noProof/>
                <w:webHidden/>
                <w:sz w:val="20"/>
                <w:szCs w:val="20"/>
              </w:rPr>
              <w:t>162</w:t>
            </w:r>
            <w:r w:rsidRPr="002F4F30">
              <w:rPr>
                <w:noProof/>
                <w:webHidden/>
                <w:sz w:val="20"/>
                <w:szCs w:val="20"/>
              </w:rPr>
              <w:fldChar w:fldCharType="end"/>
            </w:r>
          </w:hyperlink>
        </w:p>
        <w:p w14:paraId="340D985B" w14:textId="26350E8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65" w:history="1">
            <w:r w:rsidRPr="002F4F30">
              <w:rPr>
                <w:rStyle w:val="Hipervnculo"/>
                <w:noProof/>
                <w:sz w:val="20"/>
                <w:szCs w:val="20"/>
                <w:lang w:val="es-ES"/>
              </w:rPr>
              <w:t>C1 — Structural Identification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_Toc242721965 \h </w:instrText>
            </w:r>
            <w:r w:rsidRPr="002F4F30">
              <w:rPr>
                <w:noProof/>
                <w:webHidden/>
                <w:sz w:val="20"/>
                <w:szCs w:val="20"/>
              </w:rPr>
            </w:r>
            <w:r w:rsidRPr="002F4F30">
              <w:rPr>
                <w:noProof/>
                <w:webHidden/>
                <w:sz w:val="20"/>
                <w:szCs w:val="20"/>
              </w:rPr>
              <w:fldChar w:fldCharType="separate"/>
            </w:r>
            <w:r>
              <w:rPr>
                <w:noProof/>
                <w:webHidden/>
                <w:sz w:val="20"/>
                <w:szCs w:val="20"/>
              </w:rPr>
              <w:t>163</w:t>
            </w:r>
            <w:r w:rsidRPr="002F4F30">
              <w:rPr>
                <w:noProof/>
                <w:webHidden/>
                <w:sz w:val="20"/>
                <w:szCs w:val="20"/>
              </w:rPr>
              <w:fldChar w:fldCharType="end"/>
            </w:r>
          </w:hyperlink>
        </w:p>
        <w:p w14:paraId="089AB43A" w14:textId="4E4D81F1"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66" w:history="1">
            <w:r w:rsidRPr="002F4F30">
              <w:rPr>
                <w:rStyle w:val="Hipervnculo"/>
                <w:noProof/>
                <w:sz w:val="20"/>
                <w:szCs w:val="20"/>
                <w:lang w:val="es-ES"/>
              </w:rPr>
              <w:t>C2 — Structural Metrology</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_Toc242721966 \h </w:instrText>
            </w:r>
            <w:r w:rsidRPr="002F4F30">
              <w:rPr>
                <w:noProof/>
                <w:webHidden/>
                <w:sz w:val="20"/>
                <w:szCs w:val="20"/>
              </w:rPr>
            </w:r>
            <w:r w:rsidRPr="002F4F30">
              <w:rPr>
                <w:noProof/>
                <w:webHidden/>
                <w:sz w:val="20"/>
                <w:szCs w:val="20"/>
              </w:rPr>
              <w:fldChar w:fldCharType="separate"/>
            </w:r>
            <w:r>
              <w:rPr>
                <w:noProof/>
                <w:webHidden/>
                <w:sz w:val="20"/>
                <w:szCs w:val="20"/>
              </w:rPr>
              <w:t>164</w:t>
            </w:r>
            <w:r w:rsidRPr="002F4F30">
              <w:rPr>
                <w:noProof/>
                <w:webHidden/>
                <w:sz w:val="20"/>
                <w:szCs w:val="20"/>
              </w:rPr>
              <w:fldChar w:fldCharType="end"/>
            </w:r>
          </w:hyperlink>
        </w:p>
        <w:p w14:paraId="3200CE64" w14:textId="30EC25EB"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67" w:history="1">
            <w:r w:rsidRPr="002F4F30">
              <w:rPr>
                <w:rStyle w:val="Hipervnculo"/>
                <w:noProof/>
                <w:sz w:val="20"/>
                <w:szCs w:val="20"/>
                <w:lang w:val="es-ES"/>
              </w:rPr>
              <w:t>C3 — Structural Calculus y Directional Continuity</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_Toc242721967 \h </w:instrText>
            </w:r>
            <w:r w:rsidRPr="002F4F30">
              <w:rPr>
                <w:noProof/>
                <w:webHidden/>
                <w:sz w:val="20"/>
                <w:szCs w:val="20"/>
              </w:rPr>
            </w:r>
            <w:r w:rsidRPr="002F4F30">
              <w:rPr>
                <w:noProof/>
                <w:webHidden/>
                <w:sz w:val="20"/>
                <w:szCs w:val="20"/>
              </w:rPr>
              <w:fldChar w:fldCharType="separate"/>
            </w:r>
            <w:r>
              <w:rPr>
                <w:noProof/>
                <w:webHidden/>
                <w:sz w:val="20"/>
                <w:szCs w:val="20"/>
              </w:rPr>
              <w:t>165</w:t>
            </w:r>
            <w:r w:rsidRPr="002F4F30">
              <w:rPr>
                <w:noProof/>
                <w:webHidden/>
                <w:sz w:val="20"/>
                <w:szCs w:val="20"/>
              </w:rPr>
              <w:fldChar w:fldCharType="end"/>
            </w:r>
          </w:hyperlink>
        </w:p>
        <w:p w14:paraId="63FAAA71" w14:textId="7719425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68" w:history="1">
            <w:r w:rsidRPr="002F4F30">
              <w:rPr>
                <w:rStyle w:val="Hipervnculo"/>
                <w:noProof/>
                <w:sz w:val="20"/>
                <w:szCs w:val="20"/>
                <w:lang w:val="es-ES"/>
              </w:rPr>
              <w:t>C4 — Structural Transformation and Invariance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_Toc242721968 \h </w:instrText>
            </w:r>
            <w:r w:rsidRPr="002F4F30">
              <w:rPr>
                <w:noProof/>
                <w:webHidden/>
                <w:sz w:val="20"/>
                <w:szCs w:val="20"/>
              </w:rPr>
            </w:r>
            <w:r w:rsidRPr="002F4F30">
              <w:rPr>
                <w:noProof/>
                <w:webHidden/>
                <w:sz w:val="20"/>
                <w:szCs w:val="20"/>
              </w:rPr>
              <w:fldChar w:fldCharType="separate"/>
            </w:r>
            <w:r>
              <w:rPr>
                <w:noProof/>
                <w:webHidden/>
                <w:sz w:val="20"/>
                <w:szCs w:val="20"/>
              </w:rPr>
              <w:t>166</w:t>
            </w:r>
            <w:r w:rsidRPr="002F4F30">
              <w:rPr>
                <w:noProof/>
                <w:webHidden/>
                <w:sz w:val="20"/>
                <w:szCs w:val="20"/>
              </w:rPr>
              <w:fldChar w:fldCharType="end"/>
            </w:r>
          </w:hyperlink>
        </w:p>
        <w:p w14:paraId="2269A245" w14:textId="1F3985CF"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69" w:history="1">
            <w:r w:rsidRPr="002F4F30">
              <w:rPr>
                <w:rStyle w:val="Hipervnculo"/>
                <w:noProof/>
                <w:sz w:val="20"/>
                <w:szCs w:val="20"/>
                <w:lang w:val="es-ES"/>
              </w:rPr>
              <w:t>C5 — Contextual Cooperation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_Toc242721969 \h </w:instrText>
            </w:r>
            <w:r w:rsidRPr="002F4F30">
              <w:rPr>
                <w:noProof/>
                <w:webHidden/>
                <w:sz w:val="20"/>
                <w:szCs w:val="20"/>
              </w:rPr>
            </w:r>
            <w:r w:rsidRPr="002F4F30">
              <w:rPr>
                <w:noProof/>
                <w:webHidden/>
                <w:sz w:val="20"/>
                <w:szCs w:val="20"/>
              </w:rPr>
              <w:fldChar w:fldCharType="separate"/>
            </w:r>
            <w:r>
              <w:rPr>
                <w:noProof/>
                <w:webHidden/>
                <w:sz w:val="20"/>
                <w:szCs w:val="20"/>
              </w:rPr>
              <w:t>167</w:t>
            </w:r>
            <w:r w:rsidRPr="002F4F30">
              <w:rPr>
                <w:noProof/>
                <w:webHidden/>
                <w:sz w:val="20"/>
                <w:szCs w:val="20"/>
              </w:rPr>
              <w:fldChar w:fldCharType="end"/>
            </w:r>
          </w:hyperlink>
        </w:p>
        <w:p w14:paraId="4982F626" w14:textId="315379C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70" w:history="1">
            <w:r w:rsidRPr="002F4F30">
              <w:rPr>
                <w:rStyle w:val="Hipervnculo"/>
                <w:noProof/>
                <w:sz w:val="20"/>
                <w:szCs w:val="20"/>
              </w:rPr>
              <w:t>C6 — Longitudinal Cognition and Epistemic Timing</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_Toc242721970 \h </w:instrText>
            </w:r>
            <w:r w:rsidRPr="002F4F30">
              <w:rPr>
                <w:noProof/>
                <w:webHidden/>
                <w:sz w:val="20"/>
                <w:szCs w:val="20"/>
              </w:rPr>
            </w:r>
            <w:r w:rsidRPr="002F4F30">
              <w:rPr>
                <w:noProof/>
                <w:webHidden/>
                <w:sz w:val="20"/>
                <w:szCs w:val="20"/>
              </w:rPr>
              <w:fldChar w:fldCharType="separate"/>
            </w:r>
            <w:r>
              <w:rPr>
                <w:noProof/>
                <w:webHidden/>
                <w:sz w:val="20"/>
                <w:szCs w:val="20"/>
              </w:rPr>
              <w:t>169</w:t>
            </w:r>
            <w:r w:rsidRPr="002F4F30">
              <w:rPr>
                <w:noProof/>
                <w:webHidden/>
                <w:sz w:val="20"/>
                <w:szCs w:val="20"/>
              </w:rPr>
              <w:fldChar w:fldCharType="end"/>
            </w:r>
          </w:hyperlink>
        </w:p>
        <w:p w14:paraId="4029FBC7" w14:textId="44AAA558"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71" w:history="1">
            <w:r w:rsidRPr="002F4F30">
              <w:rPr>
                <w:rStyle w:val="Hipervnculo"/>
                <w:noProof/>
                <w:sz w:val="20"/>
                <w:szCs w:val="20"/>
              </w:rPr>
              <w:t>C7 — Bounded and Heterogeneous CLOSED Intelligence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_Toc242721971 \h </w:instrText>
            </w:r>
            <w:r w:rsidRPr="002F4F30">
              <w:rPr>
                <w:noProof/>
                <w:webHidden/>
                <w:sz w:val="20"/>
                <w:szCs w:val="20"/>
              </w:rPr>
            </w:r>
            <w:r w:rsidRPr="002F4F30">
              <w:rPr>
                <w:noProof/>
                <w:webHidden/>
                <w:sz w:val="20"/>
                <w:szCs w:val="20"/>
              </w:rPr>
              <w:fldChar w:fldCharType="separate"/>
            </w:r>
            <w:r>
              <w:rPr>
                <w:noProof/>
                <w:webHidden/>
                <w:sz w:val="20"/>
                <w:szCs w:val="20"/>
              </w:rPr>
              <w:t>170</w:t>
            </w:r>
            <w:r w:rsidRPr="002F4F30">
              <w:rPr>
                <w:noProof/>
                <w:webHidden/>
                <w:sz w:val="20"/>
                <w:szCs w:val="20"/>
              </w:rPr>
              <w:fldChar w:fldCharType="end"/>
            </w:r>
          </w:hyperlink>
        </w:p>
        <w:p w14:paraId="25ACD151" w14:textId="510BB126"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72" w:history="1">
            <w:r w:rsidRPr="002F4F30">
              <w:rPr>
                <w:rStyle w:val="Hipervnculo"/>
                <w:noProof/>
                <w:sz w:val="20"/>
                <w:szCs w:val="20"/>
                <w:lang w:val="es-ES"/>
              </w:rPr>
              <w:t>C8 — CLOSED/OPEN Cooperative Composition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_Toc242721972 \h </w:instrText>
            </w:r>
            <w:r w:rsidRPr="002F4F30">
              <w:rPr>
                <w:noProof/>
                <w:webHidden/>
                <w:sz w:val="20"/>
                <w:szCs w:val="20"/>
              </w:rPr>
            </w:r>
            <w:r w:rsidRPr="002F4F30">
              <w:rPr>
                <w:noProof/>
                <w:webHidden/>
                <w:sz w:val="20"/>
                <w:szCs w:val="20"/>
              </w:rPr>
              <w:fldChar w:fldCharType="separate"/>
            </w:r>
            <w:r>
              <w:rPr>
                <w:noProof/>
                <w:webHidden/>
                <w:sz w:val="20"/>
                <w:szCs w:val="20"/>
              </w:rPr>
              <w:t>171</w:t>
            </w:r>
            <w:r w:rsidRPr="002F4F30">
              <w:rPr>
                <w:noProof/>
                <w:webHidden/>
                <w:sz w:val="20"/>
                <w:szCs w:val="20"/>
              </w:rPr>
              <w:fldChar w:fldCharType="end"/>
            </w:r>
          </w:hyperlink>
        </w:p>
        <w:p w14:paraId="71E6E9F6" w14:textId="0395CCA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73" w:history="1">
            <w:r w:rsidRPr="002F4F30">
              <w:rPr>
                <w:rStyle w:val="Hipervnculo"/>
                <w:noProof/>
                <w:sz w:val="20"/>
                <w:szCs w:val="20"/>
                <w:lang w:val="es-ES"/>
              </w:rPr>
              <w:t>C9 — Adaptive and Concurrent Cognition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_Toc242721973 \h </w:instrText>
            </w:r>
            <w:r w:rsidRPr="002F4F30">
              <w:rPr>
                <w:noProof/>
                <w:webHidden/>
                <w:sz w:val="20"/>
                <w:szCs w:val="20"/>
              </w:rPr>
            </w:r>
            <w:r w:rsidRPr="002F4F30">
              <w:rPr>
                <w:noProof/>
                <w:webHidden/>
                <w:sz w:val="20"/>
                <w:szCs w:val="20"/>
              </w:rPr>
              <w:fldChar w:fldCharType="separate"/>
            </w:r>
            <w:r>
              <w:rPr>
                <w:noProof/>
                <w:webHidden/>
                <w:sz w:val="20"/>
                <w:szCs w:val="20"/>
              </w:rPr>
              <w:t>172</w:t>
            </w:r>
            <w:r w:rsidRPr="002F4F30">
              <w:rPr>
                <w:noProof/>
                <w:webHidden/>
                <w:sz w:val="20"/>
                <w:szCs w:val="20"/>
              </w:rPr>
              <w:fldChar w:fldCharType="end"/>
            </w:r>
          </w:hyperlink>
        </w:p>
        <w:p w14:paraId="42AA84E4" w14:textId="478670A1"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74" w:history="1">
            <w:r w:rsidRPr="002F4F30">
              <w:rPr>
                <w:rStyle w:val="Hipervnculo"/>
                <w:noProof/>
                <w:sz w:val="20"/>
                <w:szCs w:val="20"/>
                <w:lang w:val="es-ES"/>
              </w:rPr>
              <w:t>C10 — Temporal Authority and Embodiment</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_Toc242721974 \h </w:instrText>
            </w:r>
            <w:r w:rsidRPr="002F4F30">
              <w:rPr>
                <w:noProof/>
                <w:webHidden/>
                <w:sz w:val="20"/>
                <w:szCs w:val="20"/>
              </w:rPr>
            </w:r>
            <w:r w:rsidRPr="002F4F30">
              <w:rPr>
                <w:noProof/>
                <w:webHidden/>
                <w:sz w:val="20"/>
                <w:szCs w:val="20"/>
              </w:rPr>
              <w:fldChar w:fldCharType="separate"/>
            </w:r>
            <w:r>
              <w:rPr>
                <w:noProof/>
                <w:webHidden/>
                <w:sz w:val="20"/>
                <w:szCs w:val="20"/>
              </w:rPr>
              <w:t>174</w:t>
            </w:r>
            <w:r w:rsidRPr="002F4F30">
              <w:rPr>
                <w:noProof/>
                <w:webHidden/>
                <w:sz w:val="20"/>
                <w:szCs w:val="20"/>
              </w:rPr>
              <w:fldChar w:fldCharType="end"/>
            </w:r>
          </w:hyperlink>
        </w:p>
        <w:p w14:paraId="22B908DB" w14:textId="6E38664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75" w:history="1">
            <w:r w:rsidRPr="002F4F30">
              <w:rPr>
                <w:rStyle w:val="Hipervnculo"/>
                <w:noProof/>
                <w:sz w:val="20"/>
                <w:szCs w:val="20"/>
                <w:lang w:val="es-ES"/>
              </w:rPr>
              <w:t>C11 — Degradation, Continuity and Recovery</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_Toc242721975 \h </w:instrText>
            </w:r>
            <w:r w:rsidRPr="002F4F30">
              <w:rPr>
                <w:noProof/>
                <w:webHidden/>
                <w:sz w:val="20"/>
                <w:szCs w:val="20"/>
              </w:rPr>
            </w:r>
            <w:r w:rsidRPr="002F4F30">
              <w:rPr>
                <w:noProof/>
                <w:webHidden/>
                <w:sz w:val="20"/>
                <w:szCs w:val="20"/>
              </w:rPr>
              <w:fldChar w:fldCharType="separate"/>
            </w:r>
            <w:r>
              <w:rPr>
                <w:noProof/>
                <w:webHidden/>
                <w:sz w:val="20"/>
                <w:szCs w:val="20"/>
              </w:rPr>
              <w:t>175</w:t>
            </w:r>
            <w:r w:rsidRPr="002F4F30">
              <w:rPr>
                <w:noProof/>
                <w:webHidden/>
                <w:sz w:val="20"/>
                <w:szCs w:val="20"/>
              </w:rPr>
              <w:fldChar w:fldCharType="end"/>
            </w:r>
          </w:hyperlink>
        </w:p>
        <w:p w14:paraId="2F956DDC" w14:textId="63769566"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76" w:history="1">
            <w:r w:rsidRPr="002F4F30">
              <w:rPr>
                <w:rStyle w:val="Hipervnculo"/>
                <w:noProof/>
                <w:sz w:val="20"/>
                <w:szCs w:val="20"/>
                <w:lang w:val="es-ES"/>
              </w:rPr>
              <w:t>C12 — Sustained System Cooperation Capstone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_Toc242721976 \h </w:instrText>
            </w:r>
            <w:r w:rsidRPr="002F4F30">
              <w:rPr>
                <w:noProof/>
                <w:webHidden/>
                <w:sz w:val="20"/>
                <w:szCs w:val="20"/>
              </w:rPr>
            </w:r>
            <w:r w:rsidRPr="002F4F30">
              <w:rPr>
                <w:noProof/>
                <w:webHidden/>
                <w:sz w:val="20"/>
                <w:szCs w:val="20"/>
              </w:rPr>
              <w:fldChar w:fldCharType="separate"/>
            </w:r>
            <w:r>
              <w:rPr>
                <w:noProof/>
                <w:webHidden/>
                <w:sz w:val="20"/>
                <w:szCs w:val="20"/>
              </w:rPr>
              <w:t>176</w:t>
            </w:r>
            <w:r w:rsidRPr="002F4F30">
              <w:rPr>
                <w:noProof/>
                <w:webHidden/>
                <w:sz w:val="20"/>
                <w:szCs w:val="20"/>
              </w:rPr>
              <w:fldChar w:fldCharType="end"/>
            </w:r>
          </w:hyperlink>
        </w:p>
        <w:p w14:paraId="12A46286" w14:textId="70E895DA"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77" w:history="1">
            <w:r w:rsidRPr="002F4F30">
              <w:rPr>
                <w:rStyle w:val="Hipervnculo"/>
                <w:noProof/>
                <w:sz w:val="20"/>
                <w:szCs w:val="20"/>
                <w:lang w:val="es-ES"/>
              </w:rPr>
              <w:t>ANEXO B — Especificación técnica, operación experimental y reproducibilidad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_Toc242721977 \h </w:instrText>
            </w:r>
            <w:r w:rsidRPr="002F4F30">
              <w:rPr>
                <w:noProof/>
                <w:webHidden/>
                <w:sz w:val="20"/>
                <w:szCs w:val="20"/>
              </w:rPr>
            </w:r>
            <w:r w:rsidRPr="002F4F30">
              <w:rPr>
                <w:noProof/>
                <w:webHidden/>
                <w:sz w:val="20"/>
                <w:szCs w:val="20"/>
              </w:rPr>
              <w:fldChar w:fldCharType="separate"/>
            </w:r>
            <w:r>
              <w:rPr>
                <w:noProof/>
                <w:webHidden/>
                <w:sz w:val="20"/>
                <w:szCs w:val="20"/>
              </w:rPr>
              <w:t>179</w:t>
            </w:r>
            <w:r w:rsidRPr="002F4F30">
              <w:rPr>
                <w:noProof/>
                <w:webHidden/>
                <w:sz w:val="20"/>
                <w:szCs w:val="20"/>
              </w:rPr>
              <w:fldChar w:fldCharType="end"/>
            </w:r>
          </w:hyperlink>
        </w:p>
        <w:p w14:paraId="47645ABD" w14:textId="47BC2D5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78" w:history="1">
            <w:r w:rsidRPr="002F4F30">
              <w:rPr>
                <w:rStyle w:val="Hipervnculo"/>
                <w:noProof/>
                <w:sz w:val="20"/>
                <w:szCs w:val="20"/>
                <w:lang w:val="es-ES"/>
              </w:rPr>
              <w:t>B.1. Identidad del entorno reproducible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_Toc242721978 \h </w:instrText>
            </w:r>
            <w:r w:rsidRPr="002F4F30">
              <w:rPr>
                <w:noProof/>
                <w:webHidden/>
                <w:sz w:val="20"/>
                <w:szCs w:val="20"/>
              </w:rPr>
            </w:r>
            <w:r w:rsidRPr="002F4F30">
              <w:rPr>
                <w:noProof/>
                <w:webHidden/>
                <w:sz w:val="20"/>
                <w:szCs w:val="20"/>
              </w:rPr>
              <w:fldChar w:fldCharType="separate"/>
            </w:r>
            <w:r>
              <w:rPr>
                <w:noProof/>
                <w:webHidden/>
                <w:sz w:val="20"/>
                <w:szCs w:val="20"/>
              </w:rPr>
              <w:t>179</w:t>
            </w:r>
            <w:r w:rsidRPr="002F4F30">
              <w:rPr>
                <w:noProof/>
                <w:webHidden/>
                <w:sz w:val="20"/>
                <w:szCs w:val="20"/>
              </w:rPr>
              <w:fldChar w:fldCharType="end"/>
            </w:r>
          </w:hyperlink>
        </w:p>
        <w:p w14:paraId="6FF9D701" w14:textId="39B5161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79" w:history="1">
            <w:r w:rsidRPr="002F4F30">
              <w:rPr>
                <w:rStyle w:val="Hipervnculo"/>
                <w:noProof/>
                <w:sz w:val="20"/>
                <w:szCs w:val="20"/>
                <w:lang w:val="es-ES"/>
              </w:rPr>
              <w:t>B.2. requirements.txt — dependencias directas reproducibles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_Toc242721979 \h </w:instrText>
            </w:r>
            <w:r w:rsidRPr="002F4F30">
              <w:rPr>
                <w:noProof/>
                <w:webHidden/>
                <w:sz w:val="20"/>
                <w:szCs w:val="20"/>
              </w:rPr>
            </w:r>
            <w:r w:rsidRPr="002F4F30">
              <w:rPr>
                <w:noProof/>
                <w:webHidden/>
                <w:sz w:val="20"/>
                <w:szCs w:val="20"/>
              </w:rPr>
              <w:fldChar w:fldCharType="separate"/>
            </w:r>
            <w:r>
              <w:rPr>
                <w:noProof/>
                <w:webHidden/>
                <w:sz w:val="20"/>
                <w:szCs w:val="20"/>
              </w:rPr>
              <w:t>179</w:t>
            </w:r>
            <w:r w:rsidRPr="002F4F30">
              <w:rPr>
                <w:noProof/>
                <w:webHidden/>
                <w:sz w:val="20"/>
                <w:szCs w:val="20"/>
              </w:rPr>
              <w:fldChar w:fldCharType="end"/>
            </w:r>
          </w:hyperlink>
        </w:p>
        <w:p w14:paraId="5EBA331A" w14:textId="60B55AC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0" w:history="1">
            <w:r w:rsidRPr="002F4F30">
              <w:rPr>
                <w:rStyle w:val="Hipervnculo"/>
                <w:noProof/>
                <w:sz w:val="20"/>
                <w:szCs w:val="20"/>
                <w:lang w:val="es-ES"/>
              </w:rPr>
              <w:t>B.3. Maven, pom.xml y QA arquitectónico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_Toc242721980 \h </w:instrText>
            </w:r>
            <w:r w:rsidRPr="002F4F30">
              <w:rPr>
                <w:noProof/>
                <w:webHidden/>
                <w:sz w:val="20"/>
                <w:szCs w:val="20"/>
              </w:rPr>
            </w:r>
            <w:r w:rsidRPr="002F4F30">
              <w:rPr>
                <w:noProof/>
                <w:webHidden/>
                <w:sz w:val="20"/>
                <w:szCs w:val="20"/>
              </w:rPr>
              <w:fldChar w:fldCharType="separate"/>
            </w:r>
            <w:r>
              <w:rPr>
                <w:noProof/>
                <w:webHidden/>
                <w:sz w:val="20"/>
                <w:szCs w:val="20"/>
              </w:rPr>
              <w:t>179</w:t>
            </w:r>
            <w:r w:rsidRPr="002F4F30">
              <w:rPr>
                <w:noProof/>
                <w:webHidden/>
                <w:sz w:val="20"/>
                <w:szCs w:val="20"/>
              </w:rPr>
              <w:fldChar w:fldCharType="end"/>
            </w:r>
          </w:hyperlink>
        </w:p>
        <w:p w14:paraId="28476276" w14:textId="72DD1619"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1" w:history="1">
            <w:r w:rsidRPr="002F4F30">
              <w:rPr>
                <w:rStyle w:val="Hipervnculo"/>
                <w:noProof/>
                <w:sz w:val="20"/>
                <w:szCs w:val="20"/>
              </w:rPr>
              <w:t>B.4. Entorno Python y pytest</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_Toc242721981 \h </w:instrText>
            </w:r>
            <w:r w:rsidRPr="002F4F30">
              <w:rPr>
                <w:noProof/>
                <w:webHidden/>
                <w:sz w:val="20"/>
                <w:szCs w:val="20"/>
              </w:rPr>
            </w:r>
            <w:r w:rsidRPr="002F4F30">
              <w:rPr>
                <w:noProof/>
                <w:webHidden/>
                <w:sz w:val="20"/>
                <w:szCs w:val="20"/>
              </w:rPr>
              <w:fldChar w:fldCharType="separate"/>
            </w:r>
            <w:r>
              <w:rPr>
                <w:noProof/>
                <w:webHidden/>
                <w:sz w:val="20"/>
                <w:szCs w:val="20"/>
              </w:rPr>
              <w:t>180</w:t>
            </w:r>
            <w:r w:rsidRPr="002F4F30">
              <w:rPr>
                <w:noProof/>
                <w:webHidden/>
                <w:sz w:val="20"/>
                <w:szCs w:val="20"/>
              </w:rPr>
              <w:fldChar w:fldCharType="end"/>
            </w:r>
          </w:hyperlink>
        </w:p>
        <w:p w14:paraId="5598FF90" w14:textId="3DF13B9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2" w:history="1">
            <w:r w:rsidRPr="002F4F30">
              <w:rPr>
                <w:rStyle w:val="Hipervnculo"/>
                <w:noProof/>
                <w:sz w:val="20"/>
                <w:szCs w:val="20"/>
                <w:lang w:val="es-ES"/>
              </w:rPr>
              <w:t>B.5. Contrato estructural del adapter</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_Toc242721982 \h </w:instrText>
            </w:r>
            <w:r w:rsidRPr="002F4F30">
              <w:rPr>
                <w:noProof/>
                <w:webHidden/>
                <w:sz w:val="20"/>
                <w:szCs w:val="20"/>
              </w:rPr>
            </w:r>
            <w:r w:rsidRPr="002F4F30">
              <w:rPr>
                <w:noProof/>
                <w:webHidden/>
                <w:sz w:val="20"/>
                <w:szCs w:val="20"/>
              </w:rPr>
              <w:fldChar w:fldCharType="separate"/>
            </w:r>
            <w:r>
              <w:rPr>
                <w:noProof/>
                <w:webHidden/>
                <w:sz w:val="20"/>
                <w:szCs w:val="20"/>
              </w:rPr>
              <w:t>180</w:t>
            </w:r>
            <w:r w:rsidRPr="002F4F30">
              <w:rPr>
                <w:noProof/>
                <w:webHidden/>
                <w:sz w:val="20"/>
                <w:szCs w:val="20"/>
              </w:rPr>
              <w:fldChar w:fldCharType="end"/>
            </w:r>
          </w:hyperlink>
        </w:p>
        <w:p w14:paraId="69912814" w14:textId="512CE65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3" w:history="1">
            <w:r w:rsidRPr="002F4F30">
              <w:rPr>
                <w:rStyle w:val="Hipervnculo"/>
                <w:noProof/>
                <w:sz w:val="20"/>
                <w:szCs w:val="20"/>
                <w:lang w:val="es-ES"/>
              </w:rPr>
              <w:t>B.6. Estándar cooperativo de benchmarking</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_Toc242721983 \h </w:instrText>
            </w:r>
            <w:r w:rsidRPr="002F4F30">
              <w:rPr>
                <w:noProof/>
                <w:webHidden/>
                <w:sz w:val="20"/>
                <w:szCs w:val="20"/>
              </w:rPr>
            </w:r>
            <w:r w:rsidRPr="002F4F30">
              <w:rPr>
                <w:noProof/>
                <w:webHidden/>
                <w:sz w:val="20"/>
                <w:szCs w:val="20"/>
              </w:rPr>
              <w:fldChar w:fldCharType="separate"/>
            </w:r>
            <w:r>
              <w:rPr>
                <w:noProof/>
                <w:webHidden/>
                <w:sz w:val="20"/>
                <w:szCs w:val="20"/>
              </w:rPr>
              <w:t>181</w:t>
            </w:r>
            <w:r w:rsidRPr="002F4F30">
              <w:rPr>
                <w:noProof/>
                <w:webHidden/>
                <w:sz w:val="20"/>
                <w:szCs w:val="20"/>
              </w:rPr>
              <w:fldChar w:fldCharType="end"/>
            </w:r>
          </w:hyperlink>
        </w:p>
        <w:p w14:paraId="00BB6F45" w14:textId="70B7B6B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4" w:history="1">
            <w:r w:rsidRPr="002F4F30">
              <w:rPr>
                <w:rStyle w:val="Hipervnculo"/>
                <w:noProof/>
                <w:sz w:val="20"/>
                <w:szCs w:val="20"/>
                <w:lang w:val="es-ES"/>
              </w:rPr>
              <w:t>B.7. Estándar transversal de medición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_Toc242721984 \h </w:instrText>
            </w:r>
            <w:r w:rsidRPr="002F4F30">
              <w:rPr>
                <w:noProof/>
                <w:webHidden/>
                <w:sz w:val="20"/>
                <w:szCs w:val="20"/>
              </w:rPr>
            </w:r>
            <w:r w:rsidRPr="002F4F30">
              <w:rPr>
                <w:noProof/>
                <w:webHidden/>
                <w:sz w:val="20"/>
                <w:szCs w:val="20"/>
              </w:rPr>
              <w:fldChar w:fldCharType="separate"/>
            </w:r>
            <w:r>
              <w:rPr>
                <w:noProof/>
                <w:webHidden/>
                <w:sz w:val="20"/>
                <w:szCs w:val="20"/>
              </w:rPr>
              <w:t>181</w:t>
            </w:r>
            <w:r w:rsidRPr="002F4F30">
              <w:rPr>
                <w:noProof/>
                <w:webHidden/>
                <w:sz w:val="20"/>
                <w:szCs w:val="20"/>
              </w:rPr>
              <w:fldChar w:fldCharType="end"/>
            </w:r>
          </w:hyperlink>
        </w:p>
        <w:p w14:paraId="31A8620A" w14:textId="09CFDF3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5" w:history="1">
            <w:r w:rsidRPr="002F4F30">
              <w:rPr>
                <w:rStyle w:val="Hipervnculo"/>
                <w:noProof/>
                <w:sz w:val="20"/>
                <w:szCs w:val="20"/>
              </w:rPr>
              <w:t>B.8. Hardware profile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_Toc242721985 \h </w:instrText>
            </w:r>
            <w:r w:rsidRPr="002F4F30">
              <w:rPr>
                <w:noProof/>
                <w:webHidden/>
                <w:sz w:val="20"/>
                <w:szCs w:val="20"/>
              </w:rPr>
            </w:r>
            <w:r w:rsidRPr="002F4F30">
              <w:rPr>
                <w:noProof/>
                <w:webHidden/>
                <w:sz w:val="20"/>
                <w:szCs w:val="20"/>
              </w:rPr>
              <w:fldChar w:fldCharType="separate"/>
            </w:r>
            <w:r>
              <w:rPr>
                <w:noProof/>
                <w:webHidden/>
                <w:sz w:val="20"/>
                <w:szCs w:val="20"/>
              </w:rPr>
              <w:t>181</w:t>
            </w:r>
            <w:r w:rsidRPr="002F4F30">
              <w:rPr>
                <w:noProof/>
                <w:webHidden/>
                <w:sz w:val="20"/>
                <w:szCs w:val="20"/>
              </w:rPr>
              <w:fldChar w:fldCharType="end"/>
            </w:r>
          </w:hyperlink>
        </w:p>
        <w:p w14:paraId="23C5E769" w14:textId="41805B37"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6" w:history="1">
            <w:r w:rsidRPr="002F4F30">
              <w:rPr>
                <w:rStyle w:val="Hipervnculo"/>
                <w:noProof/>
                <w:sz w:val="20"/>
                <w:szCs w:val="20"/>
                <w:lang w:val="es-ES"/>
              </w:rPr>
              <w:t>B.9. Evidence store, inmutabilidad e índice SHA-256</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_Toc242721986 \h </w:instrText>
            </w:r>
            <w:r w:rsidRPr="002F4F30">
              <w:rPr>
                <w:noProof/>
                <w:webHidden/>
                <w:sz w:val="20"/>
                <w:szCs w:val="20"/>
              </w:rPr>
            </w:r>
            <w:r w:rsidRPr="002F4F30">
              <w:rPr>
                <w:noProof/>
                <w:webHidden/>
                <w:sz w:val="20"/>
                <w:szCs w:val="20"/>
              </w:rPr>
              <w:fldChar w:fldCharType="separate"/>
            </w:r>
            <w:r>
              <w:rPr>
                <w:noProof/>
                <w:webHidden/>
                <w:sz w:val="20"/>
                <w:szCs w:val="20"/>
              </w:rPr>
              <w:t>182</w:t>
            </w:r>
            <w:r w:rsidRPr="002F4F30">
              <w:rPr>
                <w:noProof/>
                <w:webHidden/>
                <w:sz w:val="20"/>
                <w:szCs w:val="20"/>
              </w:rPr>
              <w:fldChar w:fldCharType="end"/>
            </w:r>
          </w:hyperlink>
        </w:p>
        <w:p w14:paraId="7A4B7AF3" w14:textId="2B8EDCEF"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7" w:history="1">
            <w:r w:rsidRPr="002F4F30">
              <w:rPr>
                <w:rStyle w:val="Hipervnculo"/>
                <w:noProof/>
                <w:sz w:val="20"/>
                <w:szCs w:val="20"/>
                <w:lang w:val="es-ES"/>
              </w:rPr>
              <w:t>B.10. Configuración de proveedores no ligada a Swagger</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_Toc242721987 \h </w:instrText>
            </w:r>
            <w:r w:rsidRPr="002F4F30">
              <w:rPr>
                <w:noProof/>
                <w:webHidden/>
                <w:sz w:val="20"/>
                <w:szCs w:val="20"/>
              </w:rPr>
            </w:r>
            <w:r w:rsidRPr="002F4F30">
              <w:rPr>
                <w:noProof/>
                <w:webHidden/>
                <w:sz w:val="20"/>
                <w:szCs w:val="20"/>
              </w:rPr>
              <w:fldChar w:fldCharType="separate"/>
            </w:r>
            <w:r>
              <w:rPr>
                <w:noProof/>
                <w:webHidden/>
                <w:sz w:val="20"/>
                <w:szCs w:val="20"/>
              </w:rPr>
              <w:t>183</w:t>
            </w:r>
            <w:r w:rsidRPr="002F4F30">
              <w:rPr>
                <w:noProof/>
                <w:webHidden/>
                <w:sz w:val="20"/>
                <w:szCs w:val="20"/>
              </w:rPr>
              <w:fldChar w:fldCharType="end"/>
            </w:r>
          </w:hyperlink>
        </w:p>
        <w:p w14:paraId="3CB8AFA1" w14:textId="020067F4"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8" w:history="1">
            <w:r w:rsidRPr="002F4F30">
              <w:rPr>
                <w:rStyle w:val="Hipervnculo"/>
                <w:noProof/>
                <w:sz w:val="20"/>
                <w:szCs w:val="20"/>
                <w:lang w:val="es-ES"/>
              </w:rPr>
              <w:t>B.11. Reproducibilidad, auditoría y falsabilidad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_Toc242721988 \h </w:instrText>
            </w:r>
            <w:r w:rsidRPr="002F4F30">
              <w:rPr>
                <w:noProof/>
                <w:webHidden/>
                <w:sz w:val="20"/>
                <w:szCs w:val="20"/>
              </w:rPr>
            </w:r>
            <w:r w:rsidRPr="002F4F30">
              <w:rPr>
                <w:noProof/>
                <w:webHidden/>
                <w:sz w:val="20"/>
                <w:szCs w:val="20"/>
              </w:rPr>
              <w:fldChar w:fldCharType="separate"/>
            </w:r>
            <w:r>
              <w:rPr>
                <w:noProof/>
                <w:webHidden/>
                <w:sz w:val="20"/>
                <w:szCs w:val="20"/>
              </w:rPr>
              <w:t>183</w:t>
            </w:r>
            <w:r w:rsidRPr="002F4F30">
              <w:rPr>
                <w:noProof/>
                <w:webHidden/>
                <w:sz w:val="20"/>
                <w:szCs w:val="20"/>
              </w:rPr>
              <w:fldChar w:fldCharType="end"/>
            </w:r>
          </w:hyperlink>
        </w:p>
        <w:p w14:paraId="14369293" w14:textId="055F0D1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89" w:history="1">
            <w:r w:rsidRPr="002F4F30">
              <w:rPr>
                <w:rStyle w:val="Hipervnculo"/>
                <w:noProof/>
                <w:sz w:val="20"/>
                <w:szCs w:val="20"/>
                <w:lang w:val="es-ES"/>
              </w:rPr>
              <w:t>B.12. Procedimiento mínimo de falsación</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_Toc242721989 \h </w:instrText>
            </w:r>
            <w:r w:rsidRPr="002F4F30">
              <w:rPr>
                <w:noProof/>
                <w:webHidden/>
                <w:sz w:val="20"/>
                <w:szCs w:val="20"/>
              </w:rPr>
            </w:r>
            <w:r w:rsidRPr="002F4F30">
              <w:rPr>
                <w:noProof/>
                <w:webHidden/>
                <w:sz w:val="20"/>
                <w:szCs w:val="20"/>
              </w:rPr>
              <w:fldChar w:fldCharType="separate"/>
            </w:r>
            <w:r>
              <w:rPr>
                <w:noProof/>
                <w:webHidden/>
                <w:sz w:val="20"/>
                <w:szCs w:val="20"/>
              </w:rPr>
              <w:t>183</w:t>
            </w:r>
            <w:r w:rsidRPr="002F4F30">
              <w:rPr>
                <w:noProof/>
                <w:webHidden/>
                <w:sz w:val="20"/>
                <w:szCs w:val="20"/>
              </w:rPr>
              <w:fldChar w:fldCharType="end"/>
            </w:r>
          </w:hyperlink>
        </w:p>
        <w:p w14:paraId="0CA1D823" w14:textId="552B12C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90" w:history="1">
            <w:r w:rsidRPr="002F4F30">
              <w:rPr>
                <w:rStyle w:val="Hipervnculo"/>
                <w:noProof/>
                <w:sz w:val="20"/>
                <w:szCs w:val="20"/>
                <w:lang w:val="es-ES"/>
              </w:rPr>
              <w:t>B.13. Regla de evidencia y madurez</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_Toc242721990 \h </w:instrText>
            </w:r>
            <w:r w:rsidRPr="002F4F30">
              <w:rPr>
                <w:noProof/>
                <w:webHidden/>
                <w:sz w:val="20"/>
                <w:szCs w:val="20"/>
              </w:rPr>
            </w:r>
            <w:r w:rsidRPr="002F4F30">
              <w:rPr>
                <w:noProof/>
                <w:webHidden/>
                <w:sz w:val="20"/>
                <w:szCs w:val="20"/>
              </w:rPr>
              <w:fldChar w:fldCharType="separate"/>
            </w:r>
            <w:r>
              <w:rPr>
                <w:noProof/>
                <w:webHidden/>
                <w:sz w:val="20"/>
                <w:szCs w:val="20"/>
              </w:rPr>
              <w:t>184</w:t>
            </w:r>
            <w:r w:rsidRPr="002F4F30">
              <w:rPr>
                <w:noProof/>
                <w:webHidden/>
                <w:sz w:val="20"/>
                <w:szCs w:val="20"/>
              </w:rPr>
              <w:fldChar w:fldCharType="end"/>
            </w:r>
          </w:hyperlink>
        </w:p>
        <w:p w14:paraId="37ED7C2D" w14:textId="5521C3BF"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91" w:history="1">
            <w:r w:rsidRPr="002F4F30">
              <w:rPr>
                <w:rStyle w:val="Hipervnculo"/>
                <w:noProof/>
                <w:sz w:val="20"/>
                <w:szCs w:val="20"/>
                <w:lang w:val="es-ES"/>
              </w:rPr>
              <w:t>B.14. Frontera de ownership de la evidencia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_Toc242721991 \h </w:instrText>
            </w:r>
            <w:r w:rsidRPr="002F4F30">
              <w:rPr>
                <w:noProof/>
                <w:webHidden/>
                <w:sz w:val="20"/>
                <w:szCs w:val="20"/>
              </w:rPr>
            </w:r>
            <w:r w:rsidRPr="002F4F30">
              <w:rPr>
                <w:noProof/>
                <w:webHidden/>
                <w:sz w:val="20"/>
                <w:szCs w:val="20"/>
              </w:rPr>
              <w:fldChar w:fldCharType="separate"/>
            </w:r>
            <w:r>
              <w:rPr>
                <w:noProof/>
                <w:webHidden/>
                <w:sz w:val="20"/>
                <w:szCs w:val="20"/>
              </w:rPr>
              <w:t>184</w:t>
            </w:r>
            <w:r w:rsidRPr="002F4F30">
              <w:rPr>
                <w:noProof/>
                <w:webHidden/>
                <w:sz w:val="20"/>
                <w:szCs w:val="20"/>
              </w:rPr>
              <w:fldChar w:fldCharType="end"/>
            </w:r>
          </w:hyperlink>
        </w:p>
        <w:p w14:paraId="2CC18C70" w14:textId="657571A2" w:rsidR="002F4F30" w:rsidRPr="002F4F30" w:rsidRDefault="002F4F30" w:rsidP="002F4F30">
          <w:pPr>
            <w:pStyle w:val="TDC1"/>
            <w:tabs>
              <w:tab w:val="right" w:leader="dot" w:pos="8778"/>
            </w:tabs>
            <w:spacing w:after="0" w:line="240" w:lineRule="auto"/>
            <w:jc w:val="both"/>
            <w:rPr>
              <w:rFonts w:asciiTheme="minorHAnsi" w:hAnsiTheme="minorHAnsi"/>
              <w:noProof/>
              <w:sz w:val="20"/>
              <w:szCs w:val="20"/>
              <w:lang w:val="es-ES" w:eastAsia="es-ES"/>
            </w:rPr>
          </w:pPr>
          <w:hyperlink w:anchor="_Toc242721992" w:history="1">
            <w:r w:rsidRPr="002F4F30">
              <w:rPr>
                <w:rStyle w:val="Hipervnculo"/>
                <w:noProof/>
                <w:sz w:val="20"/>
                <w:szCs w:val="20"/>
                <w:lang w:val="es-ES"/>
              </w:rPr>
              <w:t>ANEXO C — Superficie operacional Swagger, plantilla canónica y exposición controlada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_Toc242721992 \h </w:instrText>
            </w:r>
            <w:r w:rsidRPr="002F4F30">
              <w:rPr>
                <w:noProof/>
                <w:webHidden/>
                <w:sz w:val="20"/>
                <w:szCs w:val="20"/>
              </w:rPr>
            </w:r>
            <w:r w:rsidRPr="002F4F30">
              <w:rPr>
                <w:noProof/>
                <w:webHidden/>
                <w:sz w:val="20"/>
                <w:szCs w:val="20"/>
              </w:rPr>
              <w:fldChar w:fldCharType="separate"/>
            </w:r>
            <w:r>
              <w:rPr>
                <w:noProof/>
                <w:webHidden/>
                <w:sz w:val="20"/>
                <w:szCs w:val="20"/>
              </w:rPr>
              <w:t>185</w:t>
            </w:r>
            <w:r w:rsidRPr="002F4F30">
              <w:rPr>
                <w:noProof/>
                <w:webHidden/>
                <w:sz w:val="20"/>
                <w:szCs w:val="20"/>
              </w:rPr>
              <w:fldChar w:fldCharType="end"/>
            </w:r>
          </w:hyperlink>
        </w:p>
        <w:p w14:paraId="1835601C" w14:textId="29D550A5"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93" w:history="1">
            <w:r w:rsidRPr="002F4F30">
              <w:rPr>
                <w:rStyle w:val="Hipervnculo"/>
                <w:noProof/>
                <w:sz w:val="20"/>
                <w:szCs w:val="20"/>
              </w:rPr>
              <w:t>C.1. Identidad operacional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_Toc242721993 \h </w:instrText>
            </w:r>
            <w:r w:rsidRPr="002F4F30">
              <w:rPr>
                <w:noProof/>
                <w:webHidden/>
                <w:sz w:val="20"/>
                <w:szCs w:val="20"/>
              </w:rPr>
            </w:r>
            <w:r w:rsidRPr="002F4F30">
              <w:rPr>
                <w:noProof/>
                <w:webHidden/>
                <w:sz w:val="20"/>
                <w:szCs w:val="20"/>
              </w:rPr>
              <w:fldChar w:fldCharType="separate"/>
            </w:r>
            <w:r>
              <w:rPr>
                <w:noProof/>
                <w:webHidden/>
                <w:sz w:val="20"/>
                <w:szCs w:val="20"/>
              </w:rPr>
              <w:t>185</w:t>
            </w:r>
            <w:r w:rsidRPr="002F4F30">
              <w:rPr>
                <w:noProof/>
                <w:webHidden/>
                <w:sz w:val="20"/>
                <w:szCs w:val="20"/>
              </w:rPr>
              <w:fldChar w:fldCharType="end"/>
            </w:r>
          </w:hyperlink>
        </w:p>
        <w:p w14:paraId="52B4C738" w14:textId="0B32BAC1"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94" w:history="1">
            <w:r w:rsidRPr="002F4F30">
              <w:rPr>
                <w:rStyle w:val="Hipervnculo"/>
                <w:noProof/>
                <w:sz w:val="20"/>
                <w:szCs w:val="20"/>
                <w:lang w:val="es-ES"/>
              </w:rPr>
              <w:t>C.2. Rutas públicas y separación de ingeniería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_Toc242721994 \h </w:instrText>
            </w:r>
            <w:r w:rsidRPr="002F4F30">
              <w:rPr>
                <w:noProof/>
                <w:webHidden/>
                <w:sz w:val="20"/>
                <w:szCs w:val="20"/>
              </w:rPr>
            </w:r>
            <w:r w:rsidRPr="002F4F30">
              <w:rPr>
                <w:noProof/>
                <w:webHidden/>
                <w:sz w:val="20"/>
                <w:szCs w:val="20"/>
              </w:rPr>
              <w:fldChar w:fldCharType="separate"/>
            </w:r>
            <w:r>
              <w:rPr>
                <w:noProof/>
                <w:webHidden/>
                <w:sz w:val="20"/>
                <w:szCs w:val="20"/>
              </w:rPr>
              <w:t>185</w:t>
            </w:r>
            <w:r w:rsidRPr="002F4F30">
              <w:rPr>
                <w:noProof/>
                <w:webHidden/>
                <w:sz w:val="20"/>
                <w:szCs w:val="20"/>
              </w:rPr>
              <w:fldChar w:fldCharType="end"/>
            </w:r>
          </w:hyperlink>
        </w:p>
        <w:p w14:paraId="7C4BA042" w14:textId="29365439"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95" w:history="1">
            <w:r w:rsidRPr="002F4F30">
              <w:rPr>
                <w:rStyle w:val="Hipervnculo"/>
                <w:noProof/>
                <w:sz w:val="20"/>
                <w:szCs w:val="20"/>
                <w:lang w:val="es-ES"/>
              </w:rPr>
              <w:t>C.3. /health y /runtime: vida del servicio frente a identidad estructural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_Toc242721995 \h </w:instrText>
            </w:r>
            <w:r w:rsidRPr="002F4F30">
              <w:rPr>
                <w:noProof/>
                <w:webHidden/>
                <w:sz w:val="20"/>
                <w:szCs w:val="20"/>
              </w:rPr>
            </w:r>
            <w:r w:rsidRPr="002F4F30">
              <w:rPr>
                <w:noProof/>
                <w:webHidden/>
                <w:sz w:val="20"/>
                <w:szCs w:val="20"/>
              </w:rPr>
              <w:fldChar w:fldCharType="separate"/>
            </w:r>
            <w:r>
              <w:rPr>
                <w:noProof/>
                <w:webHidden/>
                <w:sz w:val="20"/>
                <w:szCs w:val="20"/>
              </w:rPr>
              <w:t>186</w:t>
            </w:r>
            <w:r w:rsidRPr="002F4F30">
              <w:rPr>
                <w:noProof/>
                <w:webHidden/>
                <w:sz w:val="20"/>
                <w:szCs w:val="20"/>
              </w:rPr>
              <w:fldChar w:fldCharType="end"/>
            </w:r>
          </w:hyperlink>
        </w:p>
        <w:p w14:paraId="7C4FF9E9" w14:textId="3DAE0B1B"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96" w:history="1">
            <w:r w:rsidRPr="002F4F30">
              <w:rPr>
                <w:rStyle w:val="Hipervnculo"/>
                <w:noProof/>
                <w:sz w:val="20"/>
                <w:szCs w:val="20"/>
              </w:rPr>
              <w:t>C.4. POST /assessment: campos del contrato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_Toc242721996 \h </w:instrText>
            </w:r>
            <w:r w:rsidRPr="002F4F30">
              <w:rPr>
                <w:noProof/>
                <w:webHidden/>
                <w:sz w:val="20"/>
                <w:szCs w:val="20"/>
              </w:rPr>
            </w:r>
            <w:r w:rsidRPr="002F4F30">
              <w:rPr>
                <w:noProof/>
                <w:webHidden/>
                <w:sz w:val="20"/>
                <w:szCs w:val="20"/>
              </w:rPr>
              <w:fldChar w:fldCharType="separate"/>
            </w:r>
            <w:r>
              <w:rPr>
                <w:noProof/>
                <w:webHidden/>
                <w:sz w:val="20"/>
                <w:szCs w:val="20"/>
              </w:rPr>
              <w:t>186</w:t>
            </w:r>
            <w:r w:rsidRPr="002F4F30">
              <w:rPr>
                <w:noProof/>
                <w:webHidden/>
                <w:sz w:val="20"/>
                <w:szCs w:val="20"/>
              </w:rPr>
              <w:fldChar w:fldCharType="end"/>
            </w:r>
          </w:hyperlink>
        </w:p>
        <w:p w14:paraId="23335C41" w14:textId="14E3F0C5"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97" w:history="1">
            <w:r w:rsidRPr="002F4F30">
              <w:rPr>
                <w:rStyle w:val="Hipervnculo"/>
                <w:noProof/>
                <w:sz w:val="20"/>
                <w:szCs w:val="20"/>
                <w:lang w:val="es-ES"/>
              </w:rPr>
              <w:t>C.5. evidence_metadata: contexto sin autoridad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_Toc242721997 \h </w:instrText>
            </w:r>
            <w:r w:rsidRPr="002F4F30">
              <w:rPr>
                <w:noProof/>
                <w:webHidden/>
                <w:sz w:val="20"/>
                <w:szCs w:val="20"/>
              </w:rPr>
            </w:r>
            <w:r w:rsidRPr="002F4F30">
              <w:rPr>
                <w:noProof/>
                <w:webHidden/>
                <w:sz w:val="20"/>
                <w:szCs w:val="20"/>
              </w:rPr>
              <w:fldChar w:fldCharType="separate"/>
            </w:r>
            <w:r>
              <w:rPr>
                <w:noProof/>
                <w:webHidden/>
                <w:sz w:val="20"/>
                <w:szCs w:val="20"/>
              </w:rPr>
              <w:t>187</w:t>
            </w:r>
            <w:r w:rsidRPr="002F4F30">
              <w:rPr>
                <w:noProof/>
                <w:webHidden/>
                <w:sz w:val="20"/>
                <w:szCs w:val="20"/>
              </w:rPr>
              <w:fldChar w:fldCharType="end"/>
            </w:r>
          </w:hyperlink>
        </w:p>
        <w:p w14:paraId="0466DFCA" w14:textId="7F24C418"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98" w:history="1">
            <w:r w:rsidRPr="002F4F30">
              <w:rPr>
                <w:rStyle w:val="Hipervnculo"/>
                <w:noProof/>
                <w:sz w:val="20"/>
                <w:szCs w:val="20"/>
                <w:lang w:val="es-ES"/>
              </w:rPr>
              <w:t>C.6. Tipos de archivo, extracción y frontera de observabilidad</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_Toc242721998 \h </w:instrText>
            </w:r>
            <w:r w:rsidRPr="002F4F30">
              <w:rPr>
                <w:noProof/>
                <w:webHidden/>
                <w:sz w:val="20"/>
                <w:szCs w:val="20"/>
              </w:rPr>
            </w:r>
            <w:r w:rsidRPr="002F4F30">
              <w:rPr>
                <w:noProof/>
                <w:webHidden/>
                <w:sz w:val="20"/>
                <w:szCs w:val="20"/>
              </w:rPr>
              <w:fldChar w:fldCharType="separate"/>
            </w:r>
            <w:r>
              <w:rPr>
                <w:noProof/>
                <w:webHidden/>
                <w:sz w:val="20"/>
                <w:szCs w:val="20"/>
              </w:rPr>
              <w:t>187</w:t>
            </w:r>
            <w:r w:rsidRPr="002F4F30">
              <w:rPr>
                <w:noProof/>
                <w:webHidden/>
                <w:sz w:val="20"/>
                <w:szCs w:val="20"/>
              </w:rPr>
              <w:fldChar w:fldCharType="end"/>
            </w:r>
          </w:hyperlink>
        </w:p>
        <w:p w14:paraId="79A4085E" w14:textId="18EC676B"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1999" w:history="1">
            <w:r w:rsidRPr="002F4F30">
              <w:rPr>
                <w:rStyle w:val="Hipervnculo"/>
                <w:noProof/>
                <w:sz w:val="20"/>
                <w:szCs w:val="20"/>
                <w:lang w:val="es-ES"/>
              </w:rPr>
              <w:t>C.7. Flujo operacional canónico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_Toc242721999 \h </w:instrText>
            </w:r>
            <w:r w:rsidRPr="002F4F30">
              <w:rPr>
                <w:noProof/>
                <w:webHidden/>
                <w:sz w:val="20"/>
                <w:szCs w:val="20"/>
              </w:rPr>
            </w:r>
            <w:r w:rsidRPr="002F4F30">
              <w:rPr>
                <w:noProof/>
                <w:webHidden/>
                <w:sz w:val="20"/>
                <w:szCs w:val="20"/>
              </w:rPr>
              <w:fldChar w:fldCharType="separate"/>
            </w:r>
            <w:r>
              <w:rPr>
                <w:noProof/>
                <w:webHidden/>
                <w:sz w:val="20"/>
                <w:szCs w:val="20"/>
              </w:rPr>
              <w:t>187</w:t>
            </w:r>
            <w:r w:rsidRPr="002F4F30">
              <w:rPr>
                <w:noProof/>
                <w:webHidden/>
                <w:sz w:val="20"/>
                <w:szCs w:val="20"/>
              </w:rPr>
              <w:fldChar w:fldCharType="end"/>
            </w:r>
          </w:hyperlink>
        </w:p>
        <w:p w14:paraId="24E20300" w14:textId="2D3F5A4E"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0" w:history="1">
            <w:r w:rsidRPr="002F4F30">
              <w:rPr>
                <w:rStyle w:val="Hipervnculo"/>
                <w:noProof/>
                <w:sz w:val="20"/>
                <w:szCs w:val="20"/>
                <w:lang w:val="es-ES"/>
              </w:rPr>
              <w:t>C.8. Fuente de verdad y derivación de informes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_Toc242722000 \h </w:instrText>
            </w:r>
            <w:r w:rsidRPr="002F4F30">
              <w:rPr>
                <w:noProof/>
                <w:webHidden/>
                <w:sz w:val="20"/>
                <w:szCs w:val="20"/>
              </w:rPr>
            </w:r>
            <w:r w:rsidRPr="002F4F30">
              <w:rPr>
                <w:noProof/>
                <w:webHidden/>
                <w:sz w:val="20"/>
                <w:szCs w:val="20"/>
              </w:rPr>
              <w:fldChar w:fldCharType="separate"/>
            </w:r>
            <w:r>
              <w:rPr>
                <w:noProof/>
                <w:webHidden/>
                <w:sz w:val="20"/>
                <w:szCs w:val="20"/>
              </w:rPr>
              <w:t>188</w:t>
            </w:r>
            <w:r w:rsidRPr="002F4F30">
              <w:rPr>
                <w:noProof/>
                <w:webHidden/>
                <w:sz w:val="20"/>
                <w:szCs w:val="20"/>
              </w:rPr>
              <w:fldChar w:fldCharType="end"/>
            </w:r>
          </w:hyperlink>
        </w:p>
        <w:p w14:paraId="0D99CC6D" w14:textId="069E5F12"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1" w:history="1">
            <w:r w:rsidRPr="002F4F30">
              <w:rPr>
                <w:rStyle w:val="Hipervnculo"/>
                <w:noProof/>
                <w:sz w:val="20"/>
                <w:szCs w:val="20"/>
                <w:lang w:val="es-ES"/>
              </w:rPr>
              <w:t>C.9. Audit provenance</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_Toc242722001 \h </w:instrText>
            </w:r>
            <w:r w:rsidRPr="002F4F30">
              <w:rPr>
                <w:noProof/>
                <w:webHidden/>
                <w:sz w:val="20"/>
                <w:szCs w:val="20"/>
              </w:rPr>
            </w:r>
            <w:r w:rsidRPr="002F4F30">
              <w:rPr>
                <w:noProof/>
                <w:webHidden/>
                <w:sz w:val="20"/>
                <w:szCs w:val="20"/>
              </w:rPr>
              <w:fldChar w:fldCharType="separate"/>
            </w:r>
            <w:r>
              <w:rPr>
                <w:noProof/>
                <w:webHidden/>
                <w:sz w:val="20"/>
                <w:szCs w:val="20"/>
              </w:rPr>
              <w:t>188</w:t>
            </w:r>
            <w:r w:rsidRPr="002F4F30">
              <w:rPr>
                <w:noProof/>
                <w:webHidden/>
                <w:sz w:val="20"/>
                <w:szCs w:val="20"/>
              </w:rPr>
              <w:fldChar w:fldCharType="end"/>
            </w:r>
          </w:hyperlink>
        </w:p>
        <w:p w14:paraId="604438A1" w14:textId="38DA8967"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2" w:history="1">
            <w:r w:rsidRPr="002F4F30">
              <w:rPr>
                <w:rStyle w:val="Hipervnculo"/>
                <w:noProof/>
                <w:sz w:val="20"/>
                <w:szCs w:val="20"/>
                <w:lang w:val="es-ES"/>
              </w:rPr>
              <w:t>C.10. Plantilla canónica agnóstica de assessment</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_Toc242722002 \h </w:instrText>
            </w:r>
            <w:r w:rsidRPr="002F4F30">
              <w:rPr>
                <w:noProof/>
                <w:webHidden/>
                <w:sz w:val="20"/>
                <w:szCs w:val="20"/>
              </w:rPr>
            </w:r>
            <w:r w:rsidRPr="002F4F30">
              <w:rPr>
                <w:noProof/>
                <w:webHidden/>
                <w:sz w:val="20"/>
                <w:szCs w:val="20"/>
              </w:rPr>
              <w:fldChar w:fldCharType="separate"/>
            </w:r>
            <w:r>
              <w:rPr>
                <w:noProof/>
                <w:webHidden/>
                <w:sz w:val="20"/>
                <w:szCs w:val="20"/>
              </w:rPr>
              <w:t>189</w:t>
            </w:r>
            <w:r w:rsidRPr="002F4F30">
              <w:rPr>
                <w:noProof/>
                <w:webHidden/>
                <w:sz w:val="20"/>
                <w:szCs w:val="20"/>
              </w:rPr>
              <w:fldChar w:fldCharType="end"/>
            </w:r>
          </w:hyperlink>
        </w:p>
        <w:p w14:paraId="343D59D2" w14:textId="557E3339"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3" w:history="1">
            <w:r w:rsidRPr="002F4F30">
              <w:rPr>
                <w:rStyle w:val="Hipervnculo"/>
                <w:noProof/>
                <w:sz w:val="20"/>
                <w:szCs w:val="20"/>
                <w:lang w:val="es-ES"/>
              </w:rPr>
              <w:t>C.11. Plantilla mínima de evidence_metadata</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_Toc242722003 \h </w:instrText>
            </w:r>
            <w:r w:rsidRPr="002F4F30">
              <w:rPr>
                <w:noProof/>
                <w:webHidden/>
                <w:sz w:val="20"/>
                <w:szCs w:val="20"/>
              </w:rPr>
            </w:r>
            <w:r w:rsidRPr="002F4F30">
              <w:rPr>
                <w:noProof/>
                <w:webHidden/>
                <w:sz w:val="20"/>
                <w:szCs w:val="20"/>
              </w:rPr>
              <w:fldChar w:fldCharType="separate"/>
            </w:r>
            <w:r>
              <w:rPr>
                <w:noProof/>
                <w:webHidden/>
                <w:sz w:val="20"/>
                <w:szCs w:val="20"/>
              </w:rPr>
              <w:t>190</w:t>
            </w:r>
            <w:r w:rsidRPr="002F4F30">
              <w:rPr>
                <w:noProof/>
                <w:webHidden/>
                <w:sz w:val="20"/>
                <w:szCs w:val="20"/>
              </w:rPr>
              <w:fldChar w:fldCharType="end"/>
            </w:r>
          </w:hyperlink>
        </w:p>
        <w:p w14:paraId="30ABA542" w14:textId="76AD34D7"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4" w:history="1">
            <w:r w:rsidRPr="002F4F30">
              <w:rPr>
                <w:rStyle w:val="Hipervnculo"/>
                <w:noProof/>
                <w:sz w:val="20"/>
                <w:szCs w:val="20"/>
                <w:lang w:val="es-ES"/>
              </w:rPr>
              <w:t>C.12. Exposición controlada de datos no sensibles</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_Toc242722004 \h </w:instrText>
            </w:r>
            <w:r w:rsidRPr="002F4F30">
              <w:rPr>
                <w:noProof/>
                <w:webHidden/>
                <w:sz w:val="20"/>
                <w:szCs w:val="20"/>
              </w:rPr>
            </w:r>
            <w:r w:rsidRPr="002F4F30">
              <w:rPr>
                <w:noProof/>
                <w:webHidden/>
                <w:sz w:val="20"/>
                <w:szCs w:val="20"/>
              </w:rPr>
              <w:fldChar w:fldCharType="separate"/>
            </w:r>
            <w:r>
              <w:rPr>
                <w:noProof/>
                <w:webHidden/>
                <w:sz w:val="20"/>
                <w:szCs w:val="20"/>
              </w:rPr>
              <w:t>191</w:t>
            </w:r>
            <w:r w:rsidRPr="002F4F30">
              <w:rPr>
                <w:noProof/>
                <w:webHidden/>
                <w:sz w:val="20"/>
                <w:szCs w:val="20"/>
              </w:rPr>
              <w:fldChar w:fldCharType="end"/>
            </w:r>
          </w:hyperlink>
        </w:p>
        <w:p w14:paraId="43EF91E5" w14:textId="089FA6D0"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5" w:history="1">
            <w:r w:rsidRPr="002F4F30">
              <w:rPr>
                <w:rStyle w:val="Hipervnculo"/>
                <w:noProof/>
                <w:sz w:val="20"/>
                <w:szCs w:val="20"/>
                <w:lang w:val="es-ES"/>
              </w:rPr>
              <w:t>C.13. Matriz de fallos y respuesta operacional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_Toc242722005 \h </w:instrText>
            </w:r>
            <w:r w:rsidRPr="002F4F30">
              <w:rPr>
                <w:noProof/>
                <w:webHidden/>
                <w:sz w:val="20"/>
                <w:szCs w:val="20"/>
              </w:rPr>
            </w:r>
            <w:r w:rsidRPr="002F4F30">
              <w:rPr>
                <w:noProof/>
                <w:webHidden/>
                <w:sz w:val="20"/>
                <w:szCs w:val="20"/>
              </w:rPr>
              <w:fldChar w:fldCharType="separate"/>
            </w:r>
            <w:r>
              <w:rPr>
                <w:noProof/>
                <w:webHidden/>
                <w:sz w:val="20"/>
                <w:szCs w:val="20"/>
              </w:rPr>
              <w:t>191</w:t>
            </w:r>
            <w:r w:rsidRPr="002F4F30">
              <w:rPr>
                <w:noProof/>
                <w:webHidden/>
                <w:sz w:val="20"/>
                <w:szCs w:val="20"/>
              </w:rPr>
              <w:fldChar w:fldCharType="end"/>
            </w:r>
          </w:hyperlink>
        </w:p>
        <w:p w14:paraId="58BCCB84" w14:textId="7C724E1C"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6" w:history="1">
            <w:r w:rsidRPr="002F4F30">
              <w:rPr>
                <w:rStyle w:val="Hipervnculo"/>
                <w:noProof/>
                <w:sz w:val="20"/>
                <w:szCs w:val="20"/>
                <w:lang w:val="es-ES"/>
              </w:rPr>
              <w:t>C.14. Diferencia auditable entre MDPAR+LLM y LLM directo</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_Toc242722006 \h </w:instrText>
            </w:r>
            <w:r w:rsidRPr="002F4F30">
              <w:rPr>
                <w:noProof/>
                <w:webHidden/>
                <w:sz w:val="20"/>
                <w:szCs w:val="20"/>
              </w:rPr>
            </w:r>
            <w:r w:rsidRPr="002F4F30">
              <w:rPr>
                <w:noProof/>
                <w:webHidden/>
                <w:sz w:val="20"/>
                <w:szCs w:val="20"/>
              </w:rPr>
              <w:fldChar w:fldCharType="separate"/>
            </w:r>
            <w:r>
              <w:rPr>
                <w:noProof/>
                <w:webHidden/>
                <w:sz w:val="20"/>
                <w:szCs w:val="20"/>
              </w:rPr>
              <w:t>192</w:t>
            </w:r>
            <w:r w:rsidRPr="002F4F30">
              <w:rPr>
                <w:noProof/>
                <w:webHidden/>
                <w:sz w:val="20"/>
                <w:szCs w:val="20"/>
              </w:rPr>
              <w:fldChar w:fldCharType="end"/>
            </w:r>
          </w:hyperlink>
        </w:p>
        <w:p w14:paraId="5DD8722D" w14:textId="46A33913"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7" w:history="1">
            <w:r w:rsidRPr="002F4F30">
              <w:rPr>
                <w:rStyle w:val="Hipervnculo"/>
                <w:noProof/>
                <w:sz w:val="20"/>
                <w:szCs w:val="20"/>
                <w:lang w:val="es-ES"/>
              </w:rPr>
              <w:t>C.15. Checklist de cierre de un assessment</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_Toc242722007 \h </w:instrText>
            </w:r>
            <w:r w:rsidRPr="002F4F30">
              <w:rPr>
                <w:noProof/>
                <w:webHidden/>
                <w:sz w:val="20"/>
                <w:szCs w:val="20"/>
              </w:rPr>
            </w:r>
            <w:r w:rsidRPr="002F4F30">
              <w:rPr>
                <w:noProof/>
                <w:webHidden/>
                <w:sz w:val="20"/>
                <w:szCs w:val="20"/>
              </w:rPr>
              <w:fldChar w:fldCharType="separate"/>
            </w:r>
            <w:r>
              <w:rPr>
                <w:noProof/>
                <w:webHidden/>
                <w:sz w:val="20"/>
                <w:szCs w:val="20"/>
              </w:rPr>
              <w:t>192</w:t>
            </w:r>
            <w:r w:rsidRPr="002F4F30">
              <w:rPr>
                <w:noProof/>
                <w:webHidden/>
                <w:sz w:val="20"/>
                <w:szCs w:val="20"/>
              </w:rPr>
              <w:fldChar w:fldCharType="end"/>
            </w:r>
          </w:hyperlink>
        </w:p>
        <w:p w14:paraId="53A0FF6A" w14:textId="416362C2"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8" w:history="1">
            <w:r w:rsidRPr="002F4F30">
              <w:rPr>
                <w:rStyle w:val="Hipervnculo"/>
                <w:noProof/>
                <w:sz w:val="20"/>
                <w:szCs w:val="20"/>
                <w:lang w:val="es-ES"/>
              </w:rPr>
              <w:t>C.16. Metrología económica y temporal de una ejecución operacional</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_Toc242722008 \h </w:instrText>
            </w:r>
            <w:r w:rsidRPr="002F4F30">
              <w:rPr>
                <w:noProof/>
                <w:webHidden/>
                <w:sz w:val="20"/>
                <w:szCs w:val="20"/>
              </w:rPr>
            </w:r>
            <w:r w:rsidRPr="002F4F30">
              <w:rPr>
                <w:noProof/>
                <w:webHidden/>
                <w:sz w:val="20"/>
                <w:szCs w:val="20"/>
              </w:rPr>
              <w:fldChar w:fldCharType="separate"/>
            </w:r>
            <w:r>
              <w:rPr>
                <w:noProof/>
                <w:webHidden/>
                <w:sz w:val="20"/>
                <w:szCs w:val="20"/>
              </w:rPr>
              <w:t>192</w:t>
            </w:r>
            <w:r w:rsidRPr="002F4F30">
              <w:rPr>
                <w:noProof/>
                <w:webHidden/>
                <w:sz w:val="20"/>
                <w:szCs w:val="20"/>
              </w:rPr>
              <w:fldChar w:fldCharType="end"/>
            </w:r>
          </w:hyperlink>
        </w:p>
        <w:p w14:paraId="627361E5" w14:textId="05D1EDB5" w:rsidR="002F4F30" w:rsidRPr="002F4F30" w:rsidRDefault="002F4F30" w:rsidP="002F4F30">
          <w:pPr>
            <w:pStyle w:val="TDC2"/>
            <w:tabs>
              <w:tab w:val="right" w:leader="dot" w:pos="8778"/>
            </w:tabs>
            <w:spacing w:after="0" w:line="240" w:lineRule="auto"/>
            <w:jc w:val="both"/>
            <w:rPr>
              <w:rFonts w:asciiTheme="minorHAnsi" w:hAnsiTheme="minorHAnsi"/>
              <w:noProof/>
              <w:sz w:val="20"/>
              <w:szCs w:val="20"/>
              <w:lang w:val="es-ES" w:eastAsia="es-ES"/>
            </w:rPr>
          </w:pPr>
          <w:hyperlink w:anchor="_Toc242722009" w:history="1">
            <w:r w:rsidRPr="002F4F30">
              <w:rPr>
                <w:rStyle w:val="Hipervnculo"/>
                <w:noProof/>
                <w:sz w:val="20"/>
                <w:szCs w:val="20"/>
                <w:lang w:val="es-ES"/>
              </w:rPr>
              <w:t>C.17. Regla final del Anexo C</w:t>
            </w:r>
            <w:r w:rsidRPr="002F4F30">
              <w:rPr>
                <w:noProof/>
                <w:webHidden/>
                <w:sz w:val="20"/>
                <w:szCs w:val="20"/>
              </w:rPr>
              <w:tab/>
            </w:r>
            <w:r w:rsidRPr="002F4F30">
              <w:rPr>
                <w:noProof/>
                <w:webHidden/>
                <w:sz w:val="20"/>
                <w:szCs w:val="20"/>
              </w:rPr>
              <w:fldChar w:fldCharType="begin"/>
            </w:r>
            <w:r w:rsidRPr="002F4F30">
              <w:rPr>
                <w:noProof/>
                <w:webHidden/>
                <w:sz w:val="20"/>
                <w:szCs w:val="20"/>
              </w:rPr>
              <w:instrText xml:space="preserve"> PAGEREF _Toc242722009 \h </w:instrText>
            </w:r>
            <w:r w:rsidRPr="002F4F30">
              <w:rPr>
                <w:noProof/>
                <w:webHidden/>
                <w:sz w:val="20"/>
                <w:szCs w:val="20"/>
              </w:rPr>
            </w:r>
            <w:r w:rsidRPr="002F4F30">
              <w:rPr>
                <w:noProof/>
                <w:webHidden/>
                <w:sz w:val="20"/>
                <w:szCs w:val="20"/>
              </w:rPr>
              <w:fldChar w:fldCharType="separate"/>
            </w:r>
            <w:r>
              <w:rPr>
                <w:noProof/>
                <w:webHidden/>
                <w:sz w:val="20"/>
                <w:szCs w:val="20"/>
              </w:rPr>
              <w:t>193</w:t>
            </w:r>
            <w:r w:rsidRPr="002F4F30">
              <w:rPr>
                <w:noProof/>
                <w:webHidden/>
                <w:sz w:val="20"/>
                <w:szCs w:val="20"/>
              </w:rPr>
              <w:fldChar w:fldCharType="end"/>
            </w:r>
          </w:hyperlink>
        </w:p>
        <w:p w14:paraId="34215B66" w14:textId="7F7F669A" w:rsidR="00A45FBF" w:rsidRDefault="00A45FBF" w:rsidP="00CC40E9">
          <w:pPr>
            <w:spacing w:line="240" w:lineRule="auto"/>
            <w:jc w:val="both"/>
          </w:pPr>
          <w:r w:rsidRPr="002A529F">
            <w:rPr>
              <w:rFonts w:cs="Times New Roman"/>
              <w:sz w:val="20"/>
              <w:szCs w:val="20"/>
              <w:lang w:val="es-MX"/>
            </w:rPr>
            <w:fldChar w:fldCharType="end"/>
          </w:r>
        </w:p>
      </w:sdtContent>
    </w:sdt>
    <w:p w14:paraId="7EBC1B09" w14:textId="77777777" w:rsidR="00970FBC" w:rsidRDefault="00970FBC">
      <w:pPr>
        <w:spacing w:after="200" w:line="276" w:lineRule="auto"/>
        <w:rPr>
          <w:b/>
          <w:lang w:val="es-ES"/>
        </w:rPr>
      </w:pPr>
      <w:r>
        <w:rPr>
          <w:b/>
          <w:lang w:val="es-ES"/>
        </w:rPr>
        <w:br w:type="page"/>
      </w:r>
    </w:p>
    <w:p w14:paraId="11663750" w14:textId="77777777" w:rsidR="0088522B" w:rsidRPr="00E74E40" w:rsidRDefault="00C2590C" w:rsidP="00E74E40">
      <w:pPr>
        <w:jc w:val="center"/>
        <w:outlineLvl w:val="0"/>
        <w:rPr>
          <w:lang w:val="es-ES"/>
        </w:rPr>
      </w:pPr>
      <w:bookmarkStart w:id="0" w:name="_Toc242721837"/>
      <w:r w:rsidRPr="00E74E40">
        <w:rPr>
          <w:b/>
          <w:lang w:val="es-ES"/>
        </w:rPr>
        <w:lastRenderedPageBreak/>
        <w:t>PARTE I — Delimitación del problema y estado del arte</w:t>
      </w:r>
      <w:bookmarkEnd w:id="0"/>
    </w:p>
    <w:p w14:paraId="1964A21A" w14:textId="77777777" w:rsidR="00E74E40" w:rsidRDefault="00E74E40">
      <w:pPr>
        <w:rPr>
          <w:b/>
          <w:lang w:val="es-ES"/>
        </w:rPr>
      </w:pPr>
    </w:p>
    <w:p w14:paraId="44AB6F1A" w14:textId="77777777" w:rsidR="0088522B" w:rsidRPr="00E74E40" w:rsidRDefault="00C2590C" w:rsidP="00E74E40">
      <w:pPr>
        <w:outlineLvl w:val="0"/>
        <w:rPr>
          <w:lang w:val="es-ES"/>
        </w:rPr>
      </w:pPr>
      <w:bookmarkStart w:id="1" w:name="_Toc242721838"/>
      <w:r w:rsidRPr="00E74E40">
        <w:rPr>
          <w:b/>
          <w:lang w:val="es-ES"/>
        </w:rPr>
        <w:t>Capítulo 1: introducción</w:t>
      </w:r>
      <w:bookmarkEnd w:id="1"/>
    </w:p>
    <w:p w14:paraId="7FD20000" w14:textId="77777777" w:rsidR="00E74E40" w:rsidRDefault="00E74E40">
      <w:pPr>
        <w:ind w:firstLine="709"/>
        <w:jc w:val="both"/>
        <w:rPr>
          <w:lang w:val="es-ES"/>
        </w:rPr>
      </w:pPr>
    </w:p>
    <w:p w14:paraId="3656EBBF" w14:textId="77777777" w:rsidR="0088522B" w:rsidRPr="00E74E40" w:rsidRDefault="00C2590C">
      <w:pPr>
        <w:ind w:firstLine="709"/>
        <w:jc w:val="both"/>
        <w:rPr>
          <w:lang w:val="es-ES"/>
        </w:rPr>
      </w:pPr>
      <w:r w:rsidRPr="00E74E40">
        <w:rPr>
          <w:lang w:val="es-ES"/>
        </w:rPr>
        <w:t>La inteligencia artificial contemporánea ha alcanzado una capacidad notable para interpretar lenguaje, producir soluciones, combinar fuentes y adaptarse a tareas que no han sido programadas mediante reglas exhaustivas. Sin embargo, ese aumento de capacidad no resuelve automáticamente una cuestión arquitectónica más elemental: dónde reside la organización de un proceso cognitivo cuando la capacidad que lo interpreta puede cambiar, desaparecer, degradarse o ser sustituida. Un sistema puede producir respuestas excelentes y, al mismo tiempo, carecer de una representación pública y persistente de qué estados ha atravesado, qué relaciones han sido establecidas, qué parte de la inferencia permanece abierta y qué autoridad conserva cada conclusión.</w:t>
      </w:r>
    </w:p>
    <w:p w14:paraId="3F9EE005" w14:textId="77777777" w:rsidR="0088522B" w:rsidRPr="00E74E40" w:rsidRDefault="00C2590C">
      <w:pPr>
        <w:ind w:firstLine="709"/>
        <w:jc w:val="both"/>
        <w:rPr>
          <w:lang w:val="es-ES"/>
        </w:rPr>
      </w:pPr>
      <w:r w:rsidRPr="00E74E40">
        <w:rPr>
          <w:lang w:val="es-ES"/>
        </w:rPr>
        <w:t>La presente tesis parte de esa dificultad y propone el Modelo de Dirección de Pensamiento Ampliado y Refinado (MDPAR) como sistema experimental para estudiar si determinadas propiedades de la organización inferencial pueden conservarse fuera del componente que aporta semántica. El propósito no es describir el código que realiza el sistema, del mismo modo que una teoría física no se identifica con el programa utilizado para calcularla. La implementación funciona como instrumento experimental. El objeto científico es la arquitectura de representación, continuidad, transformación y autoridad que permite formular preguntas reproducibles sobre procesos cognitivos heterogéneos.</w:t>
      </w:r>
    </w:p>
    <w:p w14:paraId="4D04ED4B" w14:textId="77777777" w:rsidR="0088522B" w:rsidRPr="00E74E40" w:rsidRDefault="00C2590C">
      <w:pPr>
        <w:ind w:firstLine="709"/>
        <w:jc w:val="both"/>
        <w:rPr>
          <w:lang w:val="es-ES"/>
        </w:rPr>
      </w:pPr>
      <w:r w:rsidRPr="00E74E40">
        <w:rPr>
          <w:lang w:val="es-ES"/>
        </w:rPr>
        <w:t>La dificultad se amplía cuando se intenta evitar una solución trivial. Una representación común puede obtenerse imponiendo un vocabulario suficientemente extenso o construyendo una ontología que absorba las particularidades de cada dominio. Pero cuanto mayor es la cantidad de semántica incorporada a la infraestructura compartida, menor es la fuerza de cualquier afirmación de generalidad estructural. La cuestión no consiste simplemente en representar más conocimiento, sino en determinar cuánto conocimiento específico puede permanecer fuera sin perder la posibilidad de comparar, continuar y operar sobre la organización inferencial.</w:t>
      </w:r>
    </w:p>
    <w:p w14:paraId="5110290B" w14:textId="77777777" w:rsidR="0088522B" w:rsidRDefault="00C2590C">
      <w:pPr>
        <w:ind w:firstLine="709"/>
        <w:jc w:val="both"/>
        <w:rPr>
          <w:lang w:val="es-ES"/>
        </w:rPr>
      </w:pPr>
      <w:r w:rsidRPr="00E74E40">
        <w:rPr>
          <w:lang w:val="es-ES"/>
        </w:rPr>
        <w:t xml:space="preserve">A partir de este problema, la investigación adquiere dos movimientos complementarios. El primero es constructivo: formular una arquitectura suficientemente explícita para distinguir contenido, estructura, continuidad y autoridad y convertir esas distinciones en objetos calculables. El segundo es experimental: someter esa arquitectura a cambios de dominio, proveedor, tiempo, disponibilidad, transformación y superficie </w:t>
      </w:r>
      <w:r w:rsidRPr="00E74E40">
        <w:rPr>
          <w:lang w:val="es-ES"/>
        </w:rPr>
        <w:lastRenderedPageBreak/>
        <w:t>operacional. La relación entre ambos movimientos no debe ser circular. La formalización establece qué propiedades se afirma poder conservar; la campaña experimental determina hasta dónde esa pretensión resiste condiciones que podrían hacerla fracasar.</w:t>
      </w:r>
    </w:p>
    <w:p w14:paraId="740359D1" w14:textId="77777777" w:rsidR="00E74E40" w:rsidRPr="00E74E40" w:rsidRDefault="00E74E40">
      <w:pPr>
        <w:ind w:firstLine="709"/>
        <w:jc w:val="both"/>
        <w:rPr>
          <w:lang w:val="es-ES"/>
        </w:rPr>
      </w:pPr>
    </w:p>
    <w:p w14:paraId="3F99AA6D" w14:textId="77777777" w:rsidR="0088522B" w:rsidRPr="00E74E40" w:rsidRDefault="00C2590C" w:rsidP="00E74E40">
      <w:pPr>
        <w:ind w:firstLine="709"/>
        <w:outlineLvl w:val="1"/>
        <w:rPr>
          <w:lang w:val="es-ES"/>
        </w:rPr>
      </w:pPr>
      <w:bookmarkStart w:id="2" w:name="_Toc242721839"/>
      <w:r w:rsidRPr="00E74E40">
        <w:rPr>
          <w:b/>
          <w:lang w:val="es-ES"/>
        </w:rPr>
        <w:t>1.1. Planteamiento del problema</w:t>
      </w:r>
      <w:bookmarkEnd w:id="2"/>
    </w:p>
    <w:p w14:paraId="052BE90C" w14:textId="77777777" w:rsidR="0088522B" w:rsidRPr="00E74E40" w:rsidRDefault="00C2590C">
      <w:pPr>
        <w:ind w:firstLine="709"/>
        <w:jc w:val="both"/>
        <w:rPr>
          <w:lang w:val="es-ES"/>
        </w:rPr>
      </w:pPr>
      <w:r w:rsidRPr="00E74E40">
        <w:rPr>
          <w:lang w:val="es-ES"/>
        </w:rPr>
        <w:t>El primer problema de investigación es la concentración de responsabilidades cognitivas. En numerosos sistemas actuales, el mismo modelo interpreta la entrada, genera la respuesta, conserva implícitamente parte del contexto y determina qué relaciones son suficientes para continuar. Esta concentración es eficaz mientras el modelo, su ventana contextual y sus condiciones de ejecución permanecen estables. Se vuelve problemática cuando el sistema necesita sustituir capacidad, reanudar un proceso, comparar realizaciones o distinguir entre lo que el modelo ha dicho y lo que la arquitectura puede afirmar independientemente de él.</w:t>
      </w:r>
    </w:p>
    <w:p w14:paraId="009835D9" w14:textId="77777777" w:rsidR="0088522B" w:rsidRPr="00E74E40" w:rsidRDefault="00C2590C">
      <w:pPr>
        <w:ind w:firstLine="709"/>
        <w:jc w:val="both"/>
        <w:rPr>
          <w:lang w:val="es-ES"/>
        </w:rPr>
      </w:pPr>
      <w:r w:rsidRPr="00E74E40">
        <w:rPr>
          <w:lang w:val="es-ES"/>
        </w:rPr>
        <w:t>El segundo problema es la heterogeneidad. Dominios diferentes describen objetos distintos, utilizan vocabularios incompatibles y atribuyen autoridad a fuentes diferentes. La interoperabilidad puede alcanzarse mediante alineación ontológica, pero esa estrategia no responde a una pregunta más austera: si dos procesos semánticamente distintos pueden compartir propiedades de organización sin compartir una ontología completa. Si la respuesta exige introducir en el núcleo las particularidades de cada dominio, la generalidad obtenida sería s</w:t>
      </w:r>
      <w:r w:rsidR="0056088A">
        <w:rPr>
          <w:lang w:val="es-ES"/>
        </w:rPr>
        <w:t>ol</w:t>
      </w:r>
      <w:r w:rsidRPr="00E74E40">
        <w:rPr>
          <w:lang w:val="es-ES"/>
        </w:rPr>
        <w:t>o aparente.</w:t>
      </w:r>
    </w:p>
    <w:p w14:paraId="6A567A0E" w14:textId="77777777" w:rsidR="0088522B" w:rsidRPr="00E74E40" w:rsidRDefault="00C2590C">
      <w:pPr>
        <w:ind w:firstLine="709"/>
        <w:jc w:val="both"/>
        <w:rPr>
          <w:lang w:val="es-ES"/>
        </w:rPr>
      </w:pPr>
      <w:r w:rsidRPr="00E74E40">
        <w:rPr>
          <w:lang w:val="es-ES"/>
        </w:rPr>
        <w:t>El tercer problema es la comparabilidad. La semejanza textual, la coincidencia de respuesta o la equivalencia funcional no determinan por sí mismas que dos procesos posean la misma estructura. Del mismo modo, dos realizaciones expresadas con léxicos diferentes pueden conservar relaciones equivalentes. Una teoría de comparabilidad necesita distinguir qué pertenece a la ocurrencia concreta y qué puede transportarse entre representaciones, así como especificar cuándo una transformación preserva estructura y cuándo la destruye.</w:t>
      </w:r>
    </w:p>
    <w:p w14:paraId="12955C15" w14:textId="77777777" w:rsidR="0088522B" w:rsidRPr="00E74E40" w:rsidRDefault="00C2590C">
      <w:pPr>
        <w:ind w:firstLine="709"/>
        <w:jc w:val="both"/>
        <w:rPr>
          <w:lang w:val="es-ES"/>
        </w:rPr>
      </w:pPr>
      <w:r w:rsidRPr="00E74E40">
        <w:rPr>
          <w:lang w:val="es-ES"/>
        </w:rPr>
        <w:t>El cuarto problema es longitudinal. La cognición aplicada no se reduce a episodios independientes. Los procesos permanecen abiertos, reciben evidencia posterior, atraviesan interrupciones y pueden continuar bajo recursos diferentes. Conservar un transcript o un resumen no equivale necesariamente a conservar el estado del proceso. La continuidad exige distinguir historia, estado vigente, incertidumbre pendiente, información que debe ser re</w:t>
      </w:r>
      <w:r w:rsidR="0056088A">
        <w:rPr>
          <w:lang w:val="es-ES"/>
        </w:rPr>
        <w:t>-</w:t>
      </w:r>
      <w:r w:rsidRPr="00E74E40">
        <w:rPr>
          <w:lang w:val="es-ES"/>
        </w:rPr>
        <w:t>observada y conclusiones que pueden permanecer registradas</w:t>
      </w:r>
      <w:r w:rsidR="0056088A">
        <w:rPr>
          <w:lang w:val="es-ES"/>
        </w:rPr>
        <w:t>,</w:t>
      </w:r>
      <w:r w:rsidRPr="00E74E40">
        <w:rPr>
          <w:lang w:val="es-ES"/>
        </w:rPr>
        <w:t xml:space="preserve"> aunque hayan perdido vigencia operacional.</w:t>
      </w:r>
    </w:p>
    <w:p w14:paraId="06FA4D47" w14:textId="77777777" w:rsidR="0088522B" w:rsidRPr="00E74E40" w:rsidRDefault="00C2590C">
      <w:pPr>
        <w:ind w:firstLine="709"/>
        <w:jc w:val="both"/>
        <w:rPr>
          <w:lang w:val="es-ES"/>
        </w:rPr>
      </w:pPr>
      <w:r w:rsidRPr="00E74E40">
        <w:rPr>
          <w:lang w:val="es-ES"/>
        </w:rPr>
        <w:lastRenderedPageBreak/>
        <w:t>El quinto problema es la autoridad. Capacidad semántica, validez inferencial y permiso de actuación son propiedades diferentes. Un componente puede producir una interpretación plausible sin estar autorizado para convertirla en hecho; una competencia especializada puede ser válida s</w:t>
      </w:r>
      <w:r w:rsidR="0056088A">
        <w:rPr>
          <w:lang w:val="es-ES"/>
        </w:rPr>
        <w:t>o</w:t>
      </w:r>
      <w:r w:rsidRPr="00E74E40">
        <w:rPr>
          <w:lang w:val="es-ES"/>
        </w:rPr>
        <w:t>lo dentro de un dominio; una conclusión correcta puede llegar demasiado tarde para actuar; y un recurso de fallback puede estar disponible sin adquirir por ello la responsabilidad sobre el proceso. Una arquitectura que no explicite estas fronteras corre el riesgo de confundir fluidez con autoridad.</w:t>
      </w:r>
    </w:p>
    <w:p w14:paraId="4B734062" w14:textId="77777777" w:rsidR="0088522B" w:rsidRPr="00E74E40" w:rsidRDefault="00C2590C">
      <w:pPr>
        <w:ind w:firstLine="709"/>
        <w:jc w:val="both"/>
        <w:rPr>
          <w:lang w:val="es-ES"/>
        </w:rPr>
      </w:pPr>
      <w:r w:rsidRPr="00E74E40">
        <w:rPr>
          <w:lang w:val="es-ES"/>
        </w:rPr>
        <w:t>El sexto problema es experimental. Una arquitectura puede parecer general porque sus propios tests han sido diseñados alrededor de sus categorías. La generalidad s</w:t>
      </w:r>
      <w:r w:rsidR="0056088A">
        <w:rPr>
          <w:lang w:val="es-ES"/>
        </w:rPr>
        <w:t>o</w:t>
      </w:r>
      <w:r w:rsidRPr="00E74E40">
        <w:rPr>
          <w:lang w:val="es-ES"/>
        </w:rPr>
        <w:t>lo adquiere contenido científico cuando existen condiciones que podrían obligar a restringirla: dominios no previstos, representaciones incompatibles, observadores diferentes, pérdida de continuidad, transformaciones que no preservan las propiedades esperadas o necesidad creciente de introducir conocimiento específico en la infraestructura compartida.</w:t>
      </w:r>
    </w:p>
    <w:p w14:paraId="1F79D428" w14:textId="77777777" w:rsidR="0088522B" w:rsidRDefault="00C2590C">
      <w:pPr>
        <w:ind w:firstLine="709"/>
        <w:jc w:val="both"/>
        <w:rPr>
          <w:lang w:val="es-ES"/>
        </w:rPr>
      </w:pPr>
      <w:r w:rsidRPr="00E74E40">
        <w:rPr>
          <w:lang w:val="es-ES"/>
        </w:rPr>
        <w:t>Por tanto, el problema general de la investigación consiste en determinar si puede construirse una representación inferencial explícita y persistente que conserve propiedades útiles de organización, continuidad y autoridad a través de realizaciones semánticas heterogéneas sin absorber progresivamente las ontologías particulares de los dominios que pretende conectar. La pregunta incluye necesariamente su reverso: bajo qué condiciones esa separación deja de ser sostenible.</w:t>
      </w:r>
    </w:p>
    <w:p w14:paraId="1FCCD33B" w14:textId="77777777" w:rsidR="00104B57" w:rsidRPr="00E74E40" w:rsidRDefault="00104B57">
      <w:pPr>
        <w:ind w:firstLine="709"/>
        <w:jc w:val="both"/>
        <w:rPr>
          <w:lang w:val="es-ES"/>
        </w:rPr>
      </w:pPr>
    </w:p>
    <w:p w14:paraId="0FD049F7" w14:textId="77777777" w:rsidR="0088522B" w:rsidRPr="00E74E40" w:rsidRDefault="00C2590C" w:rsidP="00104B57">
      <w:pPr>
        <w:ind w:firstLine="709"/>
        <w:outlineLvl w:val="1"/>
        <w:rPr>
          <w:lang w:val="es-ES"/>
        </w:rPr>
      </w:pPr>
      <w:bookmarkStart w:id="3" w:name="_Toc242721840"/>
      <w:r w:rsidRPr="00E74E40">
        <w:rPr>
          <w:b/>
          <w:lang w:val="es-ES"/>
        </w:rPr>
        <w:t>1.2. Justificación de la investigación</w:t>
      </w:r>
      <w:bookmarkEnd w:id="3"/>
    </w:p>
    <w:p w14:paraId="44B23FCE" w14:textId="77777777" w:rsidR="0088522B" w:rsidRPr="00E74E40" w:rsidRDefault="00C2590C">
      <w:pPr>
        <w:ind w:firstLine="709"/>
        <w:jc w:val="both"/>
        <w:rPr>
          <w:lang w:val="es-ES"/>
        </w:rPr>
      </w:pPr>
      <w:r w:rsidRPr="00E74E40">
        <w:rPr>
          <w:lang w:val="es-ES"/>
        </w:rPr>
        <w:t>La investigación se justifica, en primer lugar, por una necesidad de integración arquitectónica. La capacidad de los modelos aumenta con rapidez, pero un sistema compuesto necesita algo más que capacidad puntual: debe decidir qué persiste cuando una capacidad cambia, qué estado pertenece al sistema y qué información debe volver a adquirirse. Separar estas responsabilidades permite estudiar la diferencia entre capacidad del modelo y capacidad del sistema sin asumir que ambas sean equivalentes.</w:t>
      </w:r>
    </w:p>
    <w:p w14:paraId="054688B9" w14:textId="77777777" w:rsidR="0088522B" w:rsidRPr="00E74E40" w:rsidRDefault="00C2590C">
      <w:pPr>
        <w:ind w:firstLine="709"/>
        <w:jc w:val="both"/>
        <w:rPr>
          <w:lang w:val="es-ES"/>
        </w:rPr>
      </w:pPr>
      <w:r w:rsidRPr="00E74E40">
        <w:rPr>
          <w:lang w:val="es-ES"/>
        </w:rPr>
        <w:t>En segundo lugar, existe una necesidad de formalización. Expresiones como trayectoria de razonamiento, dirección, cierre, recurrencia, equivalencia o continuidad se utilizan con frecuencia de forma intuitiva. Mientras permanezcan en ese nivel, dos observadores pueden atribuir la misma palabra a objetos diferentes. La tesis requiere convertir esas intuiciones en entidades y relaciones explícitas, con propiedades calculables y condiciones de invalidez.</w:t>
      </w:r>
    </w:p>
    <w:p w14:paraId="7DF7CE3C" w14:textId="77777777" w:rsidR="0088522B" w:rsidRPr="00E74E40" w:rsidRDefault="00C2590C">
      <w:pPr>
        <w:ind w:firstLine="709"/>
        <w:jc w:val="both"/>
        <w:rPr>
          <w:lang w:val="es-ES"/>
        </w:rPr>
      </w:pPr>
      <w:r w:rsidRPr="00E74E40">
        <w:rPr>
          <w:lang w:val="es-ES"/>
        </w:rPr>
        <w:lastRenderedPageBreak/>
        <w:t>En tercer lugar, la investigación se justifica por una necesidad de interoperabilidad. La cooperación entre modelos neuronales, capacidades locales, sistemas simbólicos, perfiles especializados y futuros observadores multimodales no exige necesariamente que todos compartan representación interna. Puede exigir una interfaz común más austera, capaz de recibir observaciones heterogéneas sin convertirse en una ontología universal de sus contenidos.</w:t>
      </w:r>
    </w:p>
    <w:p w14:paraId="26AFDA5F" w14:textId="77777777" w:rsidR="0088522B" w:rsidRPr="00E74E40" w:rsidRDefault="00C2590C">
      <w:pPr>
        <w:ind w:firstLine="709"/>
        <w:jc w:val="both"/>
        <w:rPr>
          <w:lang w:val="es-ES"/>
        </w:rPr>
      </w:pPr>
      <w:r w:rsidRPr="00E74E40">
        <w:rPr>
          <w:lang w:val="es-ES"/>
        </w:rPr>
        <w:t>La cuarta justificación es epistemológica. La explicabilidad no se agota en producir una narración posterior sobre por qué una respuesta parece razonable. Una arquitectura auditable necesita conservar la separación entre evidencia, observación, transformación, inferencia y autoridad. El objetivo no es garantizar verdad por diseño, sino hacer reconstruible qué ocurrió, qué componente intervino, qué propiedad fue calculada y qué incertidumbre permaneció abierta.</w:t>
      </w:r>
    </w:p>
    <w:p w14:paraId="43592AAE" w14:textId="77777777" w:rsidR="0088522B" w:rsidRPr="00E74E40" w:rsidRDefault="00C2590C">
      <w:pPr>
        <w:ind w:firstLine="709"/>
        <w:jc w:val="both"/>
        <w:rPr>
          <w:lang w:val="es-ES"/>
        </w:rPr>
      </w:pPr>
      <w:r w:rsidRPr="00E74E40">
        <w:rPr>
          <w:lang w:val="es-ES"/>
        </w:rPr>
        <w:t>La quinta justificación es experimental. El problema puede implementarse y someterse a condiciones de fallo. La existencia de una realización ejecutable permite pasar de la discusión conceptual a pruebas sobre identificación, transformación, persistencia, concurrencia, degradación y recuperación. La implementación no valida la teoría por sí misma, pero hace posible exponerla a observaciones que una formulación puramente verbal podría reinterpretar indefinidamente.</w:t>
      </w:r>
    </w:p>
    <w:p w14:paraId="4EC72994" w14:textId="77777777" w:rsidR="0088522B" w:rsidRPr="00E74E40" w:rsidRDefault="00C2590C">
      <w:pPr>
        <w:ind w:firstLine="709"/>
        <w:jc w:val="both"/>
        <w:rPr>
          <w:lang w:val="es-ES"/>
        </w:rPr>
      </w:pPr>
      <w:r w:rsidRPr="00E74E40">
        <w:rPr>
          <w:lang w:val="es-ES"/>
        </w:rPr>
        <w:t>La sexta justificación es tecnológica y económica. Si determinadas responsabilidades pueden resolverse mediante cálculo explícito, capacidades especializadas o recursos locales, no toda operación necesita adquirir la misma clase de inferencia neuronal. Esta posibilidad afecta a coste, latencia, resiliencia, privacidad, dependencia de proveedor y requisitos de hardware. La tesis no presupone un ahorro universal; establece una arquitectura en la que esas magnitudes pueden medirse sin confundirlas con calidad semántica.</w:t>
      </w:r>
    </w:p>
    <w:p w14:paraId="499300D6" w14:textId="77777777" w:rsidR="0088522B" w:rsidRDefault="00C2590C">
      <w:pPr>
        <w:ind w:firstLine="709"/>
        <w:jc w:val="both"/>
        <w:rPr>
          <w:lang w:val="es-ES"/>
        </w:rPr>
      </w:pPr>
      <w:r w:rsidRPr="00E74E40">
        <w:rPr>
          <w:lang w:val="es-ES"/>
        </w:rPr>
        <w:t>Finalmente, la investigación se justifica por una exigencia de falsabilidad. Una representación que pudiera absorber cualquier resultado mediante excepciones ad hoc carecería de fuerza explicativa. La propuesta debe perder alcance si cada nuevo dominio exige introducir su ontología en la infraestructura común, si la comparabilidad depende sistemáticamente del proveedor o del idioma, si la continuidad requiere conservar el estado interno del mismo observador o si transformaciones supuestamente invariantes producen incompatibilidades persistentes.</w:t>
      </w:r>
    </w:p>
    <w:p w14:paraId="2793E510" w14:textId="77777777" w:rsidR="00104B57" w:rsidRPr="00E74E40" w:rsidRDefault="00104B57">
      <w:pPr>
        <w:ind w:firstLine="709"/>
        <w:jc w:val="both"/>
        <w:rPr>
          <w:lang w:val="es-ES"/>
        </w:rPr>
      </w:pPr>
    </w:p>
    <w:p w14:paraId="6FC7700D" w14:textId="77777777" w:rsidR="0088522B" w:rsidRPr="00E74E40" w:rsidRDefault="00C2590C" w:rsidP="00104B57">
      <w:pPr>
        <w:ind w:firstLine="709"/>
        <w:outlineLvl w:val="1"/>
        <w:rPr>
          <w:lang w:val="es-ES"/>
        </w:rPr>
      </w:pPr>
      <w:bookmarkStart w:id="4" w:name="_Toc242721841"/>
      <w:r w:rsidRPr="00E74E40">
        <w:rPr>
          <w:b/>
          <w:lang w:val="es-ES"/>
        </w:rPr>
        <w:t>1.3. Objetivos de la investigación</w:t>
      </w:r>
      <w:bookmarkEnd w:id="4"/>
    </w:p>
    <w:p w14:paraId="51228960" w14:textId="77777777" w:rsidR="0088522B" w:rsidRPr="00E74E40" w:rsidRDefault="00C2590C">
      <w:pPr>
        <w:ind w:firstLine="709"/>
        <w:jc w:val="both"/>
        <w:rPr>
          <w:lang w:val="es-ES"/>
        </w:rPr>
      </w:pPr>
      <w:r w:rsidRPr="00E74E40">
        <w:rPr>
          <w:lang w:val="es-ES"/>
        </w:rPr>
        <w:lastRenderedPageBreak/>
        <w:t>El objetivo general es desarrollar y someter a análisis crítico una arquitectura experimental capaz de representar de manera explícita determinadas propiedades de la organización inferencial, conservarlas a través del tiempo y compararlas entre realizaciones semánticas heterogéneas, estableciendo simultáneamente los límites bajo los que esa pretensión debe restringirse o abandonarse.</w:t>
      </w:r>
    </w:p>
    <w:p w14:paraId="34FCFC05" w14:textId="77777777" w:rsidR="0088522B" w:rsidRPr="00104B57" w:rsidRDefault="00C2590C" w:rsidP="00104B57">
      <w:pPr>
        <w:pStyle w:val="Prrafodelista"/>
        <w:numPr>
          <w:ilvl w:val="0"/>
          <w:numId w:val="10"/>
        </w:numPr>
        <w:jc w:val="both"/>
        <w:rPr>
          <w:lang w:val="es-ES"/>
        </w:rPr>
      </w:pPr>
      <w:r w:rsidRPr="00104B57">
        <w:rPr>
          <w:lang w:val="es-ES"/>
        </w:rPr>
        <w:t>Delimitar conceptualmente la diferencia entre capacidad semántica, estructura inferencial, continuidad y autoridad.</w:t>
      </w:r>
    </w:p>
    <w:p w14:paraId="685D24FB" w14:textId="77777777" w:rsidR="0088522B" w:rsidRPr="00104B57" w:rsidRDefault="00C2590C" w:rsidP="00104B57">
      <w:pPr>
        <w:pStyle w:val="Prrafodelista"/>
        <w:numPr>
          <w:ilvl w:val="0"/>
          <w:numId w:val="10"/>
        </w:numPr>
        <w:jc w:val="both"/>
        <w:rPr>
          <w:lang w:val="es-ES"/>
        </w:rPr>
      </w:pPr>
      <w:r w:rsidRPr="00104B57">
        <w:rPr>
          <w:lang w:val="es-ES"/>
        </w:rPr>
        <w:t>Construir un formalismo explícito para representar ocurrencias, estados, relaciones y trayectorias sin identificar estructura con contenido semántico.</w:t>
      </w:r>
    </w:p>
    <w:p w14:paraId="586090DE" w14:textId="77777777" w:rsidR="0088522B" w:rsidRPr="00104B57" w:rsidRDefault="00C2590C" w:rsidP="00104B57">
      <w:pPr>
        <w:pStyle w:val="Prrafodelista"/>
        <w:numPr>
          <w:ilvl w:val="0"/>
          <w:numId w:val="10"/>
        </w:numPr>
        <w:jc w:val="both"/>
        <w:rPr>
          <w:lang w:val="es-ES"/>
        </w:rPr>
      </w:pPr>
      <w:r w:rsidRPr="00104B57">
        <w:rPr>
          <w:lang w:val="es-ES"/>
        </w:rPr>
        <w:t>Definir propiedades de dirección, profundidad, recurrencia, cierre, transformación, correspondencia, equivalencia e invariancia de manera calculable.</w:t>
      </w:r>
    </w:p>
    <w:p w14:paraId="0BA26CC5" w14:textId="77777777" w:rsidR="0088522B" w:rsidRPr="00104B57" w:rsidRDefault="00C2590C" w:rsidP="00104B57">
      <w:pPr>
        <w:pStyle w:val="Prrafodelista"/>
        <w:numPr>
          <w:ilvl w:val="0"/>
          <w:numId w:val="10"/>
        </w:numPr>
        <w:jc w:val="both"/>
        <w:rPr>
          <w:lang w:val="es-ES"/>
        </w:rPr>
      </w:pPr>
      <w:r w:rsidRPr="00104B57">
        <w:rPr>
          <w:lang w:val="es-ES"/>
        </w:rPr>
        <w:t>Establecer una arquitectura en la que capacidades heterogéneas puedan observar o intervenir sin adquirir automáticamente la propiedad del estado longitudinal del sistema.</w:t>
      </w:r>
    </w:p>
    <w:p w14:paraId="7133660E" w14:textId="77777777" w:rsidR="0088522B" w:rsidRPr="00104B57" w:rsidRDefault="00C2590C" w:rsidP="00104B57">
      <w:pPr>
        <w:pStyle w:val="Prrafodelista"/>
        <w:numPr>
          <w:ilvl w:val="0"/>
          <w:numId w:val="10"/>
        </w:numPr>
        <w:jc w:val="both"/>
        <w:rPr>
          <w:lang w:val="es-ES"/>
        </w:rPr>
      </w:pPr>
      <w:r w:rsidRPr="00104B57">
        <w:rPr>
          <w:lang w:val="es-ES"/>
        </w:rPr>
        <w:t>Determinar qué información debe persistir fuera de un proveedor semántico para que la sustitución de capacidad no implique la reconstrucción completa del proceso.</w:t>
      </w:r>
    </w:p>
    <w:p w14:paraId="5BDF1288" w14:textId="77777777" w:rsidR="0088522B" w:rsidRPr="00104B57" w:rsidRDefault="00C2590C" w:rsidP="00104B57">
      <w:pPr>
        <w:pStyle w:val="Prrafodelista"/>
        <w:numPr>
          <w:ilvl w:val="0"/>
          <w:numId w:val="10"/>
        </w:numPr>
        <w:jc w:val="both"/>
        <w:rPr>
          <w:lang w:val="es-ES"/>
        </w:rPr>
      </w:pPr>
      <w:r w:rsidRPr="00104B57">
        <w:rPr>
          <w:lang w:val="es-ES"/>
        </w:rPr>
        <w:t>Evaluar la representación propuesta mediante una campaña progresiva de pruebas sobre reproducibilidad, identificación, cálculo, transformación, cooperación, longitudinalidad, concurrencia, temporalidad, degradación y recuperación.</w:t>
      </w:r>
    </w:p>
    <w:p w14:paraId="17D6D788" w14:textId="77777777" w:rsidR="0088522B" w:rsidRPr="00104B57" w:rsidRDefault="00C2590C" w:rsidP="00104B57">
      <w:pPr>
        <w:pStyle w:val="Prrafodelista"/>
        <w:numPr>
          <w:ilvl w:val="0"/>
          <w:numId w:val="10"/>
        </w:numPr>
        <w:jc w:val="both"/>
        <w:rPr>
          <w:lang w:val="es-ES"/>
        </w:rPr>
      </w:pPr>
      <w:r w:rsidRPr="00104B57">
        <w:rPr>
          <w:lang w:val="es-ES"/>
        </w:rPr>
        <w:t>Conservar resultados negativos, estados no evaluables y fallos de contrato como parte de la evidencia experimental.</w:t>
      </w:r>
    </w:p>
    <w:p w14:paraId="28173401" w14:textId="77777777" w:rsidR="0088522B" w:rsidRPr="00104B57" w:rsidRDefault="00C2590C" w:rsidP="00104B57">
      <w:pPr>
        <w:pStyle w:val="MDPARThesisBody"/>
        <w:numPr>
          <w:ilvl w:val="0"/>
          <w:numId w:val="10"/>
        </w:numPr>
        <w:rPr>
          <w:lang w:val="es-ES"/>
        </w:rPr>
      </w:pPr>
      <w:r w:rsidRPr="003E4238">
        <w:rPr>
          <w:lang w:val="es-ES"/>
        </w:rPr>
        <w:t>Examinar la transferencia desde entornos de benchmark hacia evidencia documental mediante una superficie operacional auditable.</w:t>
      </w:r>
    </w:p>
    <w:p w14:paraId="1D32DBAA" w14:textId="77777777" w:rsidR="0088522B" w:rsidRPr="00104B57" w:rsidRDefault="00C2590C" w:rsidP="00104B57">
      <w:pPr>
        <w:pStyle w:val="Prrafodelista"/>
        <w:numPr>
          <w:ilvl w:val="0"/>
          <w:numId w:val="10"/>
        </w:numPr>
        <w:jc w:val="both"/>
        <w:rPr>
          <w:lang w:val="es-ES"/>
        </w:rPr>
      </w:pPr>
      <w:r w:rsidRPr="00104B57">
        <w:rPr>
          <w:lang w:val="es-ES"/>
        </w:rPr>
        <w:t>Comparar la propuesta con antecedentes suficientemente fuertes de representación del conocimiento, arquitecturas cognitivas, sistemas de transición, razonamiento externalizado, routing, memoria, provenance y runtime assurance.</w:t>
      </w:r>
    </w:p>
    <w:p w14:paraId="4321BF4E" w14:textId="77777777" w:rsidR="0088522B" w:rsidRPr="00104B57" w:rsidRDefault="00C2590C" w:rsidP="00104B57">
      <w:pPr>
        <w:pStyle w:val="Prrafodelista"/>
        <w:numPr>
          <w:ilvl w:val="0"/>
          <w:numId w:val="10"/>
        </w:numPr>
        <w:jc w:val="both"/>
        <w:rPr>
          <w:lang w:val="es-ES"/>
        </w:rPr>
      </w:pPr>
      <w:r w:rsidRPr="00104B57">
        <w:rPr>
          <w:lang w:val="es-ES"/>
        </w:rPr>
        <w:t>Establecer condiciones explícitas de falsación, restricción y reformulación que permitan distinguir utilidad técnica de generalidad científica.</w:t>
      </w:r>
    </w:p>
    <w:p w14:paraId="00B4F62C" w14:textId="77777777" w:rsidR="0088522B" w:rsidRDefault="00C2590C" w:rsidP="00104B57">
      <w:pPr>
        <w:pStyle w:val="Prrafodelista"/>
        <w:numPr>
          <w:ilvl w:val="0"/>
          <w:numId w:val="10"/>
        </w:numPr>
        <w:jc w:val="both"/>
        <w:rPr>
          <w:lang w:val="es-ES"/>
        </w:rPr>
      </w:pPr>
      <w:r w:rsidRPr="00104B57">
        <w:rPr>
          <w:lang w:val="es-ES"/>
        </w:rPr>
        <w:t>Analizar las consecuencias científicas, tecnológicas, sociales y económicas que se seguirían si una parte de la organización inferencial pudiera mantenerse independiente del proveedor semántico.</w:t>
      </w:r>
    </w:p>
    <w:p w14:paraId="39549980" w14:textId="77777777" w:rsidR="00104B57" w:rsidRDefault="00104B57">
      <w:pPr>
        <w:rPr>
          <w:b/>
          <w:lang w:val="es-ES"/>
        </w:rPr>
      </w:pPr>
    </w:p>
    <w:p w14:paraId="7D91A115" w14:textId="77777777" w:rsidR="0088522B" w:rsidRPr="00E74E40" w:rsidRDefault="00C2590C" w:rsidP="00104B57">
      <w:pPr>
        <w:ind w:firstLine="709"/>
        <w:outlineLvl w:val="1"/>
        <w:rPr>
          <w:lang w:val="es-ES"/>
        </w:rPr>
      </w:pPr>
      <w:bookmarkStart w:id="5" w:name="_Toc242721842"/>
      <w:r w:rsidRPr="00E74E40">
        <w:rPr>
          <w:b/>
          <w:lang w:val="es-ES"/>
        </w:rPr>
        <w:t>1.4. Hipótesis de la investigación</w:t>
      </w:r>
      <w:bookmarkEnd w:id="5"/>
    </w:p>
    <w:p w14:paraId="56DDA946" w14:textId="77777777" w:rsidR="000F6ED6" w:rsidRDefault="000F6ED6">
      <w:pPr>
        <w:ind w:firstLine="709"/>
        <w:jc w:val="both"/>
        <w:rPr>
          <w:lang w:val="es-ES"/>
        </w:rPr>
      </w:pPr>
    </w:p>
    <w:p w14:paraId="10B3CC02" w14:textId="77777777" w:rsidR="000F6ED6" w:rsidRPr="000F6ED6" w:rsidRDefault="000F6ED6" w:rsidP="000F6ED6">
      <w:pPr>
        <w:ind w:firstLine="709"/>
        <w:jc w:val="both"/>
        <w:rPr>
          <w:lang w:val="es-ES"/>
        </w:rPr>
      </w:pPr>
      <w:r w:rsidRPr="002A7BB8">
        <w:rPr>
          <w:lang w:val="es-ES"/>
        </w:rPr>
        <w:lastRenderedPageBreak/>
        <w:t>A partir del objetivo general y de los objetivos específicos planteados, se formula una hipótesis general y once hipótesis específicas. Cada una constituye la operativización contrastable del objetivo correspondiente, pero no todas exigen la misma forma de justificación. Las proposiciones de existencia y derivación interna deberán sostenerse mediante construcción y demostración formal; las relativas a realización arquitectónica, continuidad, transferencia y comportamiento deberán someterse a verificación computacional, contraste experimental u observación operacional según corresponda; y las afirmaciones de alcance deberán conservar condiciones explícitas de restricción y falsación externa. Esta distinción evita tratar como una única escala epistemológica la demostración de una propiedad, su realización ejecutable y la extensión del dominio en el que puede mantenerse.</w:t>
      </w:r>
    </w:p>
    <w:p w14:paraId="5CA61994" w14:textId="77777777" w:rsidR="000F6ED6" w:rsidRPr="000F6ED6" w:rsidRDefault="000F6ED6" w:rsidP="000F6ED6">
      <w:pPr>
        <w:ind w:firstLine="709"/>
        <w:jc w:val="both"/>
        <w:rPr>
          <w:lang w:val="es-ES"/>
        </w:rPr>
      </w:pPr>
      <w:r w:rsidRPr="000F6ED6">
        <w:rPr>
          <w:b/>
          <w:bCs/>
          <w:lang w:val="es-ES"/>
        </w:rPr>
        <w:t>Hipótesis general.</w:t>
      </w:r>
      <w:r w:rsidRPr="000F6ED6">
        <w:rPr>
          <w:lang w:val="es-ES"/>
        </w:rPr>
        <w:t xml:space="preserve"> Existe una estructura inferencial suficientemente general para admitir representaciones estructuralmente comparables a través de dominios, perfiles y modalidades heterogéneos, sin requerir que dichos dominios compartan una ontología semántica global.</w:t>
      </w:r>
    </w:p>
    <w:p w14:paraId="6B302D16" w14:textId="77777777" w:rsidR="000F6ED6" w:rsidRPr="000F6ED6" w:rsidRDefault="000F6ED6" w:rsidP="000F6ED6">
      <w:pPr>
        <w:ind w:firstLine="709"/>
        <w:jc w:val="both"/>
        <w:rPr>
          <w:lang w:val="es-ES"/>
        </w:rPr>
      </w:pPr>
      <w:r w:rsidRPr="000F6ED6">
        <w:rPr>
          <w:b/>
          <w:bCs/>
          <w:lang w:val="es-ES"/>
        </w:rPr>
        <w:t>Hipótesis específica 1.</w:t>
      </w:r>
      <w:r w:rsidRPr="000F6ED6">
        <w:rPr>
          <w:lang w:val="es-ES"/>
        </w:rPr>
        <w:t xml:space="preserve"> La capacidad semántica, la estructura inferencial, la continuidad y la autoridad constituyen dimensiones funcionalmente diferenciables de un sistema cognitivo y pueden, por tanto, ser representadas y gestionadas sin que deban permanecer necesariamente concentradas en un mismo componente.</w:t>
      </w:r>
    </w:p>
    <w:p w14:paraId="323E9B88" w14:textId="77777777" w:rsidR="000F6ED6" w:rsidRPr="000F6ED6" w:rsidRDefault="000F6ED6" w:rsidP="000F6ED6">
      <w:pPr>
        <w:ind w:firstLine="709"/>
        <w:jc w:val="both"/>
        <w:rPr>
          <w:lang w:val="es-ES"/>
        </w:rPr>
      </w:pPr>
      <w:r w:rsidRPr="000F6ED6">
        <w:rPr>
          <w:b/>
          <w:bCs/>
          <w:lang w:val="es-ES"/>
        </w:rPr>
        <w:t>Hipótesis específica 2.</w:t>
      </w:r>
      <w:r w:rsidRPr="000F6ED6">
        <w:rPr>
          <w:lang w:val="es-ES"/>
        </w:rPr>
        <w:t xml:space="preserve"> Es posible construir un formalismo explícito capaz de representar ocurrencias, estados, relaciones y trayectorias inferenciales sin identificar la estructura representada con el contenido semántico particular mediante el que se manifiesta.</w:t>
      </w:r>
    </w:p>
    <w:p w14:paraId="26E171AC" w14:textId="77777777" w:rsidR="000F6ED6" w:rsidRPr="000F6ED6" w:rsidRDefault="000F6ED6" w:rsidP="000F6ED6">
      <w:pPr>
        <w:ind w:firstLine="709"/>
        <w:jc w:val="both"/>
        <w:rPr>
          <w:lang w:val="es-ES"/>
        </w:rPr>
      </w:pPr>
      <w:r w:rsidRPr="000F6ED6">
        <w:rPr>
          <w:b/>
          <w:bCs/>
          <w:lang w:val="es-ES"/>
        </w:rPr>
        <w:t>Hipótesis específica 3.</w:t>
      </w:r>
      <w:r w:rsidRPr="000F6ED6">
        <w:rPr>
          <w:lang w:val="es-ES"/>
        </w:rPr>
        <w:t xml:space="preserve"> Las propiedades de dirección, profundidad, recurrencia, cierre, transformación, correspondencia, equivalencia e invariancia pueden definirse mediante operaciones calculables sobre una representación estructural, de manera que su identificación no dependa exclusivamente de una interpretación semántica posterior.</w:t>
      </w:r>
    </w:p>
    <w:p w14:paraId="31D28EFB" w14:textId="77777777" w:rsidR="000F6ED6" w:rsidRPr="000F6ED6" w:rsidRDefault="000F6ED6" w:rsidP="000F6ED6">
      <w:pPr>
        <w:ind w:firstLine="709"/>
        <w:jc w:val="both"/>
        <w:rPr>
          <w:lang w:val="es-ES"/>
        </w:rPr>
      </w:pPr>
      <w:r w:rsidRPr="000F6ED6">
        <w:rPr>
          <w:b/>
          <w:bCs/>
          <w:lang w:val="es-ES"/>
        </w:rPr>
        <w:t>Hipótesis específica 4.</w:t>
      </w:r>
      <w:r w:rsidRPr="000F6ED6">
        <w:rPr>
          <w:lang w:val="es-ES"/>
        </w:rPr>
        <w:t xml:space="preserve"> Capacidades heterogéneas pueden observar, complementar o modificar un proceso cognitivo compartido sin adquirir</w:t>
      </w:r>
      <w:r>
        <w:rPr>
          <w:lang w:val="es-ES"/>
        </w:rPr>
        <w:t>,</w:t>
      </w:r>
      <w:r w:rsidRPr="000F6ED6">
        <w:rPr>
          <w:lang w:val="es-ES"/>
        </w:rPr>
        <w:t xml:space="preserve"> por ello</w:t>
      </w:r>
      <w:r>
        <w:rPr>
          <w:lang w:val="es-ES"/>
        </w:rPr>
        <w:t>,</w:t>
      </w:r>
      <w:r w:rsidRPr="000F6ED6">
        <w:rPr>
          <w:lang w:val="es-ES"/>
        </w:rPr>
        <w:t xml:space="preserve"> automáticamente la propiedad de su estado longitudinal ni la autoridad global sobre su continuidad.</w:t>
      </w:r>
    </w:p>
    <w:p w14:paraId="75C3EF33" w14:textId="77777777" w:rsidR="000F6ED6" w:rsidRPr="000F6ED6" w:rsidRDefault="000F6ED6" w:rsidP="000F6ED6">
      <w:pPr>
        <w:ind w:firstLine="709"/>
        <w:jc w:val="both"/>
        <w:rPr>
          <w:lang w:val="es-ES"/>
        </w:rPr>
      </w:pPr>
      <w:r w:rsidRPr="000F6ED6">
        <w:rPr>
          <w:b/>
          <w:bCs/>
          <w:lang w:val="es-ES"/>
        </w:rPr>
        <w:t>Hipótesis específica 5.</w:t>
      </w:r>
      <w:r w:rsidRPr="000F6ED6">
        <w:rPr>
          <w:lang w:val="es-ES"/>
        </w:rPr>
        <w:t xml:space="preserve"> La continuidad de un proceso puede preservarse ante la sustitución, pérdida o recuperación de una capacidad semántica cuando la información estructural necesaria para reconstruir su estado permanece representada independientemente de dicha capacidad.</w:t>
      </w:r>
    </w:p>
    <w:p w14:paraId="78BC6452" w14:textId="77777777" w:rsidR="000F6ED6" w:rsidRPr="000F6ED6" w:rsidRDefault="000F6ED6" w:rsidP="000F6ED6">
      <w:pPr>
        <w:ind w:firstLine="709"/>
        <w:jc w:val="both"/>
        <w:rPr>
          <w:lang w:val="es-ES"/>
        </w:rPr>
      </w:pPr>
      <w:r w:rsidRPr="000F6ED6">
        <w:rPr>
          <w:b/>
          <w:bCs/>
          <w:lang w:val="es-ES"/>
        </w:rPr>
        <w:lastRenderedPageBreak/>
        <w:t>Hipótesis específica 6.</w:t>
      </w:r>
      <w:r w:rsidRPr="000F6ED6">
        <w:rPr>
          <w:lang w:val="es-ES"/>
        </w:rPr>
        <w:t xml:space="preserve"> Una representación estructural común puede conservar propiedades identificables a través de condiciones experimentales progresivamente heterogéneas relativas a reproducibilidad, identificación, cálculo, transformación, cooperación, longitudinalidad, concurrencia, temporalidad, degradación y recuperación.</w:t>
      </w:r>
    </w:p>
    <w:p w14:paraId="6E619419" w14:textId="77777777" w:rsidR="000F6ED6" w:rsidRPr="000F6ED6" w:rsidRDefault="000F6ED6" w:rsidP="000F6ED6">
      <w:pPr>
        <w:ind w:firstLine="709"/>
        <w:jc w:val="both"/>
        <w:rPr>
          <w:lang w:val="es-ES"/>
        </w:rPr>
      </w:pPr>
      <w:r w:rsidRPr="000F6ED6">
        <w:rPr>
          <w:b/>
          <w:bCs/>
          <w:lang w:val="es-ES"/>
        </w:rPr>
        <w:t>Hipótesis específica 7.</w:t>
      </w:r>
      <w:r w:rsidRPr="000F6ED6">
        <w:rPr>
          <w:lang w:val="es-ES"/>
        </w:rPr>
        <w:t xml:space="preserve"> Los resultados negativos, los estados no evaluables y los fallos de contrato pueden conservarse como estados informativos de la propia arquitectura experimental sin necesidad de ser reinterpretados retrospectivamente como resultados favorables ni eliminados de la evidencia.</w:t>
      </w:r>
    </w:p>
    <w:p w14:paraId="307B7C18" w14:textId="77777777" w:rsidR="000F6ED6" w:rsidRPr="000F6ED6" w:rsidRDefault="000F6ED6" w:rsidP="000F6ED6">
      <w:pPr>
        <w:pStyle w:val="MDPARThesisBody"/>
        <w:rPr>
          <w:lang w:val="es-ES"/>
        </w:rPr>
      </w:pPr>
      <w:r w:rsidRPr="003F69C2">
        <w:rPr>
          <w:b/>
          <w:bCs/>
          <w:lang w:val="es-ES"/>
        </w:rPr>
        <w:t>Hipótesis específica 8.</w:t>
      </w:r>
      <w:r w:rsidRPr="003E4238">
        <w:rPr>
          <w:lang w:val="es-ES"/>
        </w:rPr>
        <w:t xml:space="preserve"> Las propiedades estructurales observadas en entornos experimentales controlados pueden trasladarse a una superficie operacional aplicada a evidencia documental, manteniendo la reconstruibilidad de la estructura, la procedencia y los límites de autoridad del análisis.</w:t>
      </w:r>
    </w:p>
    <w:p w14:paraId="0C5465AF" w14:textId="77777777" w:rsidR="000F6ED6" w:rsidRPr="000F6ED6" w:rsidRDefault="000F6ED6" w:rsidP="000F6ED6">
      <w:pPr>
        <w:ind w:firstLine="709"/>
        <w:jc w:val="both"/>
        <w:rPr>
          <w:lang w:val="es-ES"/>
        </w:rPr>
      </w:pPr>
      <w:r w:rsidRPr="000F6ED6">
        <w:rPr>
          <w:b/>
          <w:bCs/>
          <w:lang w:val="es-ES"/>
        </w:rPr>
        <w:t>Hipótesis específica 9.</w:t>
      </w:r>
      <w:r w:rsidRPr="000F6ED6">
        <w:rPr>
          <w:lang w:val="es-ES"/>
        </w:rPr>
        <w:t xml:space="preserve"> La combinación de representación estructural, continuidad longitudinal, cooperación entre capacidades heterogéneas y separación explícita de autoridad constituye un objeto arquitectónico distinguible de los mecanismos parciales descritos por la representación del conocimiento, las arquitecturas cognitivas, los sistemas de transición, el razonamiento externalizado, el </w:t>
      </w:r>
      <w:r w:rsidRPr="000F6ED6">
        <w:rPr>
          <w:i/>
          <w:iCs/>
          <w:lang w:val="es-ES"/>
        </w:rPr>
        <w:t>routing</w:t>
      </w:r>
      <w:r w:rsidRPr="000F6ED6">
        <w:rPr>
          <w:lang w:val="es-ES"/>
        </w:rPr>
        <w:t xml:space="preserve">, la memoria, la </w:t>
      </w:r>
      <w:r w:rsidRPr="000F6ED6">
        <w:rPr>
          <w:i/>
          <w:iCs/>
          <w:lang w:val="es-ES"/>
        </w:rPr>
        <w:t>provenance</w:t>
      </w:r>
      <w:r w:rsidRPr="000F6ED6">
        <w:rPr>
          <w:lang w:val="es-ES"/>
        </w:rPr>
        <w:t xml:space="preserve"> y el </w:t>
      </w:r>
      <w:r w:rsidRPr="000F6ED6">
        <w:rPr>
          <w:i/>
          <w:iCs/>
          <w:lang w:val="es-ES"/>
        </w:rPr>
        <w:t>runtime assurance</w:t>
      </w:r>
      <w:r w:rsidRPr="000F6ED6">
        <w:rPr>
          <w:lang w:val="es-ES"/>
        </w:rPr>
        <w:t>.</w:t>
      </w:r>
    </w:p>
    <w:p w14:paraId="1CCDB08F" w14:textId="77777777" w:rsidR="000F6ED6" w:rsidRPr="000F6ED6" w:rsidRDefault="000F6ED6" w:rsidP="000F6ED6">
      <w:pPr>
        <w:ind w:firstLine="709"/>
        <w:jc w:val="both"/>
        <w:rPr>
          <w:lang w:val="es-ES"/>
        </w:rPr>
      </w:pPr>
      <w:r w:rsidRPr="000F6ED6">
        <w:rPr>
          <w:b/>
          <w:bCs/>
          <w:lang w:val="es-ES"/>
        </w:rPr>
        <w:t>Hipótesis específica 10.</w:t>
      </w:r>
      <w:r w:rsidRPr="000F6ED6">
        <w:rPr>
          <w:lang w:val="es-ES"/>
        </w:rPr>
        <w:t xml:space="preserve"> La generalidad científica de la arquitectura puede someterse a condiciones explícitas de falsación, restricción y reformulación, permitiendo distinguir empíricamente entre la utilidad técnica de una implementación y la existencia de propiedades estructurales que se mantengan a través de realizaciones heterogéneas.</w:t>
      </w:r>
    </w:p>
    <w:p w14:paraId="19FB2A74" w14:textId="77777777" w:rsidR="000F6ED6" w:rsidRPr="000F6ED6" w:rsidRDefault="000F6ED6" w:rsidP="000F6ED6">
      <w:pPr>
        <w:ind w:firstLine="709"/>
        <w:jc w:val="both"/>
        <w:rPr>
          <w:lang w:val="es-ES"/>
        </w:rPr>
      </w:pPr>
      <w:r w:rsidRPr="000F6ED6">
        <w:rPr>
          <w:b/>
          <w:bCs/>
          <w:lang w:val="es-ES"/>
        </w:rPr>
        <w:t>Hipótesis específica 11.</w:t>
      </w:r>
      <w:r w:rsidRPr="000F6ED6">
        <w:rPr>
          <w:lang w:val="es-ES"/>
        </w:rPr>
        <w:t xml:space="preserve"> La separación parcial entre organización inferencial y proveedor semántico produce consecuencias científicas, tecnológicas, sociales y económicas observables o derivables en ámbitos como la interoperabilidad, la trazabilidad, la resiliencia, la dependencia de proveedor, el uso de recursos computacionales y la distribución de autoridad entre componentes cognitivos.</w:t>
      </w:r>
    </w:p>
    <w:p w14:paraId="53986913" w14:textId="77777777" w:rsidR="00057167" w:rsidRPr="00E74E40" w:rsidRDefault="00057167">
      <w:pPr>
        <w:ind w:firstLine="709"/>
        <w:jc w:val="both"/>
        <w:rPr>
          <w:lang w:val="es-ES"/>
        </w:rPr>
      </w:pPr>
    </w:p>
    <w:p w14:paraId="1903DBF1" w14:textId="77777777" w:rsidR="00EE2B06" w:rsidRDefault="00C2590C" w:rsidP="000F6ED6">
      <w:pPr>
        <w:ind w:firstLine="709"/>
        <w:outlineLvl w:val="1"/>
        <w:rPr>
          <w:lang w:val="es-ES"/>
        </w:rPr>
      </w:pPr>
      <w:bookmarkStart w:id="6" w:name="_Toc242721843"/>
      <w:r w:rsidRPr="00E74E40">
        <w:rPr>
          <w:b/>
          <w:lang w:val="es-ES"/>
        </w:rPr>
        <w:t>1.5. Estructura de la tesis</w:t>
      </w:r>
      <w:bookmarkEnd w:id="6"/>
    </w:p>
    <w:p w14:paraId="44195E74" w14:textId="77777777" w:rsidR="0088522B" w:rsidRDefault="00EE2B06">
      <w:pPr>
        <w:pStyle w:val="MDPARThesisBody"/>
        <w:rPr>
          <w:lang w:val="es-ES"/>
        </w:rPr>
      </w:pPr>
      <w:r w:rsidRPr="002F4F30">
        <w:rPr>
          <w:lang w:val="es-ES"/>
        </w:rPr>
        <w:t xml:space="preserve">La tesis se organiza en seis partes que reproducen la trayectoria epistemológica de la investigación: delimitación del problema, construcción del formalismo, realización ejecutable, evaluación de su valor, cierre crítico y extensión constructiva hacia la complejidad computacional. Tras ellas se incorporan las Referencias bibliográficas y tres </w:t>
      </w:r>
      <w:r w:rsidRPr="002F4F30">
        <w:rPr>
          <w:lang w:val="es-ES"/>
        </w:rPr>
        <w:lastRenderedPageBreak/>
        <w:t>anexos destinados a conservar, fuera del argumento principal, la granularidad experimental, reproducible y operacional necesaria para auditarlo.</w:t>
      </w:r>
    </w:p>
    <w:p w14:paraId="1C4960EF" w14:textId="77777777" w:rsidR="00EE2B06" w:rsidRDefault="00EE2B06">
      <w:pPr>
        <w:ind w:firstLine="709"/>
        <w:jc w:val="both"/>
        <w:rPr>
          <w:lang w:val="es-ES"/>
        </w:rPr>
      </w:pPr>
      <w:r w:rsidRPr="00DF463F">
        <w:rPr>
          <w:lang w:val="es-ES"/>
        </w:rPr>
        <w:t>La Parte I, Delimitación del problema y estado del arte, comprende los capítulos 1 y 2. El Capítulo 1 formula el problema de investigación, justifica su relevancia y establece el sistema de objetivos e hipótesis que será auditado retrospectivamente en las conclusiones. El Capítulo 2 reconstruye los antecedentes de representación del conocimiento, arquitecturas cognitivas, sistemas de transición, externalización del razonamiento, routing, memoria, provenance y runtime assurance. Su función no es anticipar la solución, sino determinar qué componentes del problema poseen antecedentes consolidados y qué discontinuidad permanece entre semántica, estructura, continuidad y autoridad.</w:t>
      </w:r>
    </w:p>
    <w:p w14:paraId="46186DAA" w14:textId="77777777" w:rsidR="00EE2B06" w:rsidRDefault="00EE2B06">
      <w:pPr>
        <w:ind w:firstLine="709"/>
        <w:jc w:val="both"/>
        <w:rPr>
          <w:lang w:val="es-ES"/>
        </w:rPr>
      </w:pPr>
      <w:r w:rsidRPr="00CC40E9">
        <w:rPr>
          <w:lang w:val="es-ES"/>
        </w:rPr>
        <w:t>La Parte II, Formalización del Sistema de Coordenadas Cognitivas, comprende los capítulos 3 a 6 y constituye el núcleo teórico de la tesis. El Capítulo 3 parte de la intuición de la trayectoria interpretativa y del horizonte como frontera para construir el problema que hará necesaria una representación estructural. El Capítulo 4, «El corazón de transposición», desarrolla desde las coordenadas y la trayectoria hasta su geometría, cierre, correspondencias, sendas de invarianza, realizaciones poliédricas, entrelazamiento y Atlas estructural. El Capítulo 5, «Juego de trayectorias», estudia las diversas representaciones de una trayectoria, las permutaciones admisibles, la geometría de sus fibras, las distancias de reconfiguración y las condiciones matemáticas que justifican una reconstrucción. El Capítulo 6 determina el alcance del formalismo: deriva sus trece capacidades naturales, establece el estatuto formal de la hipótesis general, explicita condiciones de invalidez, incorpora el tratamiento matemático de las transformaciones ya establecido en el capítulo 4 y cierra representacionalmente el problema de decisión al demostrar que la pluralidad de trayectorias puede conservarse sin incorporar al SCC el criterio externo que finalmente deba seleccionarlas. La Parte II termina donde la definición deja de ser suficiente y comienza la necesidad de realización experimental.</w:t>
      </w:r>
    </w:p>
    <w:p w14:paraId="3233FF7B" w14:textId="77777777" w:rsidR="00EE2B06" w:rsidRDefault="00EE2B06">
      <w:pPr>
        <w:ind w:firstLine="709"/>
        <w:jc w:val="both"/>
        <w:rPr>
          <w:lang w:val="es-ES"/>
        </w:rPr>
      </w:pPr>
      <w:r w:rsidRPr="00DF463F">
        <w:rPr>
          <w:lang w:val="es-ES"/>
        </w:rPr>
        <w:t xml:space="preserve">La Parte III, MDPAR como expresión ejecutable del Sistema de Coordenadas Cognitivas, comprende los capítulos 7 y 8. Por primera vez el formalismo se convierte aquí en sistema computacional. El Capítulo 7 examina la rama src y muestra cómo la arquitectura Java distribuye las responsabilidades de representación, cálculo, observación, routing, especialización CLOSED, reconstrucción canónica, continuidad longitudinal, observación OPEN, runtime y autorización encarnada. El Capítulo 8 presenta mdpar-ai-adapter como interfaz semántica y experimental: conecta el runtime con proveedores externos, corpus, protocolos, scripts, tests, evidence store y superficie operacional sin </w:t>
      </w:r>
      <w:r w:rsidRPr="00DF463F">
        <w:rPr>
          <w:lang w:val="es-ES"/>
        </w:rPr>
        <w:lastRenderedPageBreak/>
        <w:t>trasladar a esa capa la autoridad para redefinir el SCC. La finalidad de esta parte no es documentar el repositorio clase por clase, sino establecer la correspondencia entre propiedades formales y responsabilidades ejecutables que convierte MDPAR en instrumento contrastable.</w:t>
      </w:r>
    </w:p>
    <w:p w14:paraId="0FDCDAAB" w14:textId="77777777" w:rsidR="000F6ED6" w:rsidRDefault="000F6ED6">
      <w:pPr>
        <w:ind w:firstLine="709"/>
        <w:jc w:val="both"/>
        <w:rPr>
          <w:lang w:val="es-ES"/>
        </w:rPr>
      </w:pPr>
      <w:r w:rsidRPr="00DF463F">
        <w:rPr>
          <w:lang w:val="es-ES"/>
        </w:rPr>
        <w:t xml:space="preserve">La Parte IV, Valor científico, corporativo-comercial y social de MDPAR, comprende los capítulos 9 a 11 y cambia deliberadamente de pregunta: una vez construido el instrumento, determina qué conocimiento y qué consecuencias autoriza la evidencia disponible. El Capítulo 9 sitúa MDPAR frente al estado del arte y examina la campaña C0–C12 como evidencia de desarrollo, separando cierre formal, soporte experimental y generalidad externa. El Capítulo 10 analiza sus consecuencias corporativo-comerciales mediante los ejes de coste/compute, tiempo, infraestructura, mantenimiento y capacidad/calidad, distinguiendo magnitudes medidas, derivadas y escenarios. El Capítulo 11 estudia su valor social a través de trazabilidad, contestabilidad, UNKNOWN, privacidad, interoperabilidad entre inteligencias y distribución de autoridad, incorporando la superficie Swagger como demostración operacional de cómo evidencia y </w:t>
      </w:r>
      <w:r w:rsidR="0005674F" w:rsidRPr="00DF463F">
        <w:rPr>
          <w:lang w:val="es-ES"/>
        </w:rPr>
        <w:t>lenguajes heterogéneos</w:t>
      </w:r>
      <w:r w:rsidRPr="00DF463F">
        <w:rPr>
          <w:lang w:val="es-ES"/>
        </w:rPr>
        <w:t xml:space="preserve"> pueden convertirse en un expediente estructurado sin transferir al software la autoridad profesional o institucional.</w:t>
      </w:r>
    </w:p>
    <w:p w14:paraId="26BD8274" w14:textId="77777777" w:rsidR="00E52084" w:rsidRPr="00567F5A" w:rsidRDefault="004D49ED">
      <w:pPr>
        <w:pStyle w:val="MDPARThesisBody"/>
        <w:rPr>
          <w:lang w:val="es-ES"/>
        </w:rPr>
      </w:pPr>
      <w:r w:rsidRPr="00CC40E9">
        <w:rPr>
          <w:lang w:val="es-ES"/>
        </w:rPr>
        <w:t>La Parte V, Conclusiones, comprende los capítulos 12 a 14. El capítulo 12 distingue el estatuto del SCC como propuesta matemática, el de MDPAR como arquitectura ejecutable y el de su articulación como programa contrastable; su alcance externo permanece sujeto a la finalización de C13 y a la revisión de la evidencia de los anexos A y C. El capítulo 13 expone las repercusiones disciplinares y las fronteras de esas tres contribuciones. El capítulo 14 establece cuatro prioridades: contraste human-grounded de una manipulación estructural definida; resolución formal, condicionada y falsable de la invariancia lingüística, seguida de su extrapolación a ciberseguridad; integración con sistemas simbólicos heterogéneos y, tras su corroboración, despliegue en embodiment; y cierre funcional del problema de decisión, separado del cierre representacional ya alcanzado. Las conclusiones distinguen lo demostrado, lo ensayado internamente y las validaciones todavía pendientes.</w:t>
      </w:r>
    </w:p>
    <w:p w14:paraId="4F4255AF" w14:textId="77777777" w:rsidR="00707529" w:rsidRPr="002F4F30" w:rsidRDefault="00C026F8">
      <w:pPr>
        <w:pStyle w:val="MDPARThesisBody"/>
        <w:rPr>
          <w:lang w:val="es-ES"/>
        </w:rPr>
      </w:pPr>
      <w:r w:rsidRPr="002F4F30">
        <w:rPr>
          <w:lang w:val="es-ES"/>
        </w:rPr>
        <w:t xml:space="preserve">La Parte VI, C13, comprende los capítulos 15 a 17 y prolonga el formalismo hacia problemas </w:t>
      </w:r>
      <w:r w:rsidRPr="002F4F30">
        <w:rPr>
          <w:lang w:val="es-ES"/>
        </w:rPr>
        <w:t>constructivos y de complejidad. El capítulo 15 establece el origen de C13 en las exigencias de reconstrucción, búsqueda y verificación del Atlas, y presenta las primeras construcciones sobre espacios combinatorios implícitos. El capítulo 16 desarrolla la e</w:t>
      </w:r>
      <w:r w:rsidRPr="002F4F30">
        <w:rPr>
          <w:lang w:val="es-ES"/>
        </w:rPr>
        <w:t xml:space="preserve">scalada adversarial desde la búsqueda exacta y las representaciones simbólicas hasta SAT, </w:t>
      </w:r>
      <w:r w:rsidRPr="002F4F30">
        <w:rPr>
          <w:lang w:val="es-ES"/>
        </w:rPr>
        <w:lastRenderedPageBreak/>
        <w:t>ATLAS-BOUND, UNSAT y QBF, distinguiendo resultados demostrados, contratos experimentales y problemas abiertos. El capítulo 17, «Ecos del algoritmo maestro», examina l</w:t>
      </w:r>
      <w:r w:rsidRPr="002F4F30">
        <w:rPr>
          <w:lang w:val="es-ES"/>
        </w:rPr>
        <w:t>as conexiones de C13 con las contribuciones anteriores y delimita la aspiración de una síntesis algorítmica general sin presentar su existencia ni su alcance como demostrados.</w:t>
      </w:r>
    </w:p>
    <w:p w14:paraId="3EDE0798" w14:textId="77777777" w:rsidR="00AB2F00" w:rsidRDefault="000F6ED6">
      <w:pPr>
        <w:ind w:firstLine="709"/>
        <w:jc w:val="both"/>
        <w:rPr>
          <w:lang w:val="es-ES"/>
        </w:rPr>
      </w:pPr>
      <w:r w:rsidRPr="00DF463F">
        <w:rPr>
          <w:lang w:val="es-ES"/>
        </w:rPr>
        <w:t>Las Referencias bibliográficas reúnen las fuentes científicas citadas a lo largo del texto.</w:t>
      </w:r>
    </w:p>
    <w:p w14:paraId="66D63712" w14:textId="77777777" w:rsidR="000F6ED6" w:rsidRDefault="000F6ED6">
      <w:pPr>
        <w:ind w:firstLine="709"/>
        <w:jc w:val="both"/>
        <w:rPr>
          <w:lang w:val="es-ES"/>
        </w:rPr>
      </w:pPr>
      <w:r w:rsidRPr="00DF463F">
        <w:rPr>
          <w:lang w:val="es-ES"/>
        </w:rPr>
        <w:t xml:space="preserve">Los </w:t>
      </w:r>
      <w:r w:rsidR="0005674F">
        <w:rPr>
          <w:lang w:val="es-ES"/>
        </w:rPr>
        <w:t>A</w:t>
      </w:r>
      <w:r w:rsidRPr="00DF463F">
        <w:rPr>
          <w:lang w:val="es-ES"/>
        </w:rPr>
        <w:t>nexos preservan la auditabilidad sin convertir el cuerpo de la tesis en documentación de repositorio. El Anexo A conserva el perfil experimental C0–C12, incluidos contratos, resultados favorables y adversos, límites y contrastes multiversión. El Anexo B documenta especificación técnica, dependencias, hardware, build, comandos canónicos, evidence store y procedimientos de reproducción y falsación. El Anexo C formaliza la superficie operacional Swagger, el contrato de assessment, las plantillas agnósticas, la metrología temporal y económica y las reglas de exposición controlada. En conjunto, permiten reconstruir cómo se obtuvo la evidencia sin confundir reproducibilidad del instrumento con demostración de la hipótesis.</w:t>
      </w:r>
    </w:p>
    <w:p w14:paraId="430B9A1C" w14:textId="77777777" w:rsidR="000F6ED6" w:rsidRPr="000F6ED6" w:rsidRDefault="000F6ED6">
      <w:pPr>
        <w:pStyle w:val="MDPARThesisBody"/>
        <w:rPr>
          <w:lang w:val="es-ES"/>
        </w:rPr>
      </w:pPr>
    </w:p>
    <w:p w14:paraId="2F240594" w14:textId="77777777" w:rsidR="0088522B" w:rsidRPr="00E74E40" w:rsidRDefault="00C2590C" w:rsidP="00057167">
      <w:pPr>
        <w:pageBreakBefore/>
        <w:outlineLvl w:val="0"/>
        <w:rPr>
          <w:lang w:val="es-ES"/>
        </w:rPr>
      </w:pPr>
      <w:bookmarkStart w:id="7" w:name="_Toc242721844"/>
      <w:r w:rsidRPr="00E74E40">
        <w:rPr>
          <w:b/>
          <w:lang w:val="es-ES"/>
        </w:rPr>
        <w:lastRenderedPageBreak/>
        <w:t>Capítulo 2: estado del arte</w:t>
      </w:r>
      <w:bookmarkEnd w:id="7"/>
    </w:p>
    <w:p w14:paraId="13F6DDB4" w14:textId="77777777" w:rsidR="00057167" w:rsidRDefault="00057167">
      <w:pPr>
        <w:ind w:firstLine="709"/>
        <w:jc w:val="both"/>
        <w:rPr>
          <w:lang w:val="es-ES"/>
        </w:rPr>
      </w:pPr>
    </w:p>
    <w:p w14:paraId="00A3FB31" w14:textId="77777777" w:rsidR="0088522B" w:rsidRPr="00E74E40" w:rsidRDefault="00C2590C">
      <w:pPr>
        <w:ind w:firstLine="709"/>
        <w:jc w:val="both"/>
        <w:rPr>
          <w:lang w:val="es-ES"/>
        </w:rPr>
      </w:pPr>
      <w:r w:rsidRPr="00E74E40">
        <w:rPr>
          <w:lang w:val="es-ES"/>
        </w:rPr>
        <w:t>El problema planteado en el capítulo anterior no aparece en un vacío científico. La inteligencia artificial, la ciencia cognitiva, la ingeniería del conocimiento, los sistemas distribuidos y la teoría de la computación han desarrollado soluciones parciales para separar conocimiento e inferencia, representar relaciones, coordinar componentes, conservar memoria, formalizar transiciones y limitar autoridad. La cuestión relevante no es, por tanto, si existen antecedentes para cada una de estas operaciones, sino qué problema resuelve cada tradición y qué permanece sin conectar cuando se consideran conjuntamente.</w:t>
      </w:r>
    </w:p>
    <w:p w14:paraId="2DE82E24" w14:textId="77777777" w:rsidR="0088522B" w:rsidRDefault="00C2590C">
      <w:pPr>
        <w:ind w:firstLine="709"/>
        <w:jc w:val="both"/>
        <w:rPr>
          <w:lang w:val="es-ES"/>
        </w:rPr>
      </w:pPr>
      <w:r w:rsidRPr="00E74E40">
        <w:rPr>
          <w:lang w:val="es-ES"/>
        </w:rPr>
        <w:t>La revisión se organiza desde esa perspectiva. Examina las familias conceptuales que han intentado hacer explícita la organización de procesos cognitivos y las condiciones bajo las que dicha organización puede reutilizarse, persistir o transferirse. Esta estrategia permite separar antecedentes reales de semejanzas terminológicas y evita atribuir novedad a componentes que poseen una historia científica consolidada.</w:t>
      </w:r>
    </w:p>
    <w:p w14:paraId="3F3EDC6B" w14:textId="77777777" w:rsidR="00057167" w:rsidRPr="00E74E40" w:rsidRDefault="00057167">
      <w:pPr>
        <w:ind w:firstLine="709"/>
        <w:jc w:val="both"/>
        <w:rPr>
          <w:lang w:val="es-ES"/>
        </w:rPr>
      </w:pPr>
    </w:p>
    <w:p w14:paraId="699AC2D5" w14:textId="77777777" w:rsidR="0088522B" w:rsidRPr="00E74E40" w:rsidRDefault="00C2590C" w:rsidP="00D93DC2">
      <w:pPr>
        <w:ind w:firstLine="709"/>
        <w:outlineLvl w:val="1"/>
        <w:rPr>
          <w:lang w:val="es-ES"/>
        </w:rPr>
      </w:pPr>
      <w:bookmarkStart w:id="8" w:name="_Toc242721845"/>
      <w:r w:rsidRPr="00E74E40">
        <w:rPr>
          <w:b/>
          <w:lang w:val="es-ES"/>
        </w:rPr>
        <w:t>2.1. Fragmentación entre capacidad semántica, estructura y continuidad</w:t>
      </w:r>
      <w:bookmarkEnd w:id="8"/>
    </w:p>
    <w:p w14:paraId="71315252" w14:textId="77777777" w:rsidR="0088522B" w:rsidRPr="00E74E40" w:rsidRDefault="00C2590C">
      <w:pPr>
        <w:ind w:firstLine="709"/>
        <w:jc w:val="both"/>
        <w:rPr>
          <w:lang w:val="es-ES"/>
        </w:rPr>
      </w:pPr>
      <w:r w:rsidRPr="00E74E40">
        <w:rPr>
          <w:lang w:val="es-ES"/>
        </w:rPr>
        <w:t>Una primera tradición relevante procede del estudio de la analogía y de la systematicity. Structure-Mapping Theory propone que una correspondencia entre dominios puede preservar sistemas de relaciones</w:t>
      </w:r>
      <w:r w:rsidR="00D93DC2">
        <w:rPr>
          <w:lang w:val="es-ES"/>
        </w:rPr>
        <w:t>,</w:t>
      </w:r>
      <w:r w:rsidRPr="00E74E40">
        <w:rPr>
          <w:lang w:val="es-ES"/>
        </w:rPr>
        <w:t xml:space="preserve"> aunque los objetos concretos difieran, privilegiando organización relacional frente a atributos aislados (Gentner, 1983). El interés de este antecedente reside en mostrar que contenido y estructura no son necesariamente inseparables: dos dominios pueden compartir una organización relacional sin compartir sus entidades.</w:t>
      </w:r>
    </w:p>
    <w:p w14:paraId="0C30180A" w14:textId="77777777" w:rsidR="0088522B" w:rsidRPr="00E74E40" w:rsidRDefault="00C2590C">
      <w:pPr>
        <w:ind w:firstLine="709"/>
        <w:jc w:val="both"/>
        <w:rPr>
          <w:lang w:val="es-ES"/>
        </w:rPr>
      </w:pPr>
      <w:r w:rsidRPr="00E74E40">
        <w:rPr>
          <w:lang w:val="es-ES"/>
        </w:rPr>
        <w:t>La systematicity amplía el problema hacia la arquitectura cognitiva. Fodor y Pylyshyn (1988) utilizaron la productividad y la organización sistemática del pensamiento para exigir mecanismos capaces de explicar por qué ciertas capacidades aparecen relacionadas. En aprendizaje profundo, la misma preocupación reaparece como compositional generalization y transferencia fuera de distribución. Estas líneas no establecen una representación universal del razonamiento, pero muestran que la generalidad no puede evaluarse únicamente por la corrección de outputs aislados.</w:t>
      </w:r>
    </w:p>
    <w:p w14:paraId="2C17020A" w14:textId="77777777" w:rsidR="0088522B" w:rsidRPr="00E74E40" w:rsidRDefault="00C2590C">
      <w:pPr>
        <w:ind w:firstLine="709"/>
        <w:jc w:val="both"/>
        <w:rPr>
          <w:lang w:val="es-ES"/>
        </w:rPr>
      </w:pPr>
      <w:r w:rsidRPr="00E74E40">
        <w:rPr>
          <w:lang w:val="es-ES"/>
        </w:rPr>
        <w:t xml:space="preserve">La ingeniería del conocimiento abordó desde otro ángulo la separación entre conocimiento específico y procedimientos de inferencia. Los Generic Tasks de Chandrasekaran y, posteriormente, KADS, CommonKADS y los Problem-Solving Methods buscaron componentes reutilizables para familias de tareas, distinguiendo </w:t>
      </w:r>
      <w:r w:rsidRPr="00E74E40">
        <w:rPr>
          <w:lang w:val="es-ES"/>
        </w:rPr>
        <w:lastRenderedPageBreak/>
        <w:t>conocimiento de dominio, roles, inferencias y métodos de resolución (Chandrasekaran, 1986; Bylander y Chandrasekaran, 1987; Wielinga et al., 1992; Schreiber et al., 2000; Fensel, 2000). Esta tradición constituye un antecedente directo de cualquier pretensión de desacoplar parcialmente contenido y proceso.</w:t>
      </w:r>
    </w:p>
    <w:p w14:paraId="09B5FB46" w14:textId="77777777" w:rsidR="0088522B" w:rsidRPr="00E74E40" w:rsidRDefault="00C2590C">
      <w:pPr>
        <w:ind w:firstLine="709"/>
        <w:jc w:val="both"/>
        <w:rPr>
          <w:lang w:val="es-ES"/>
        </w:rPr>
      </w:pPr>
      <w:r w:rsidRPr="00E74E40">
        <w:rPr>
          <w:lang w:val="es-ES"/>
        </w:rPr>
        <w:t>Su límite para el problema presente se encuentra en el nivel de compromiso semántico. Los métodos reutilizables siguen definiéndose respecto de tareas, roles de conocimiento y supuestos de competencia. La adaptación a un nuevo dominio requiere especificar qué entidades satisfacen esos roles. Permanece abierta una pregunta más austera: cuánto puede reducirse el compromiso semántico de una representación común sin perder propiedades suficientes para describir organización, transformación y continuidad.</w:t>
      </w:r>
    </w:p>
    <w:p w14:paraId="25756467" w14:textId="77777777" w:rsidR="0088522B" w:rsidRDefault="00C2590C">
      <w:pPr>
        <w:ind w:firstLine="709"/>
        <w:jc w:val="both"/>
        <w:rPr>
          <w:lang w:val="es-ES"/>
        </w:rPr>
      </w:pPr>
      <w:r w:rsidRPr="00E74E40">
        <w:rPr>
          <w:lang w:val="es-ES"/>
        </w:rPr>
        <w:t>Los grafos de conocimiento y las representaciones semánticas explícitas muestran igualmente que entidades y relaciones pueden hacerse públicas y computables. Su potencia procede precisamente de dotar a los nodos y relaciones de significado mediante esquemas, vocabularios u ontologías. Esa virtud define también su frontera respecto del problema aquí tratado: la interoperabilidad semántica se obtiene alineando significado, no preguntando qué propiedades podrían persistir antes o al margen de una ontología global.</w:t>
      </w:r>
    </w:p>
    <w:p w14:paraId="23999132" w14:textId="77777777" w:rsidR="00D93DC2" w:rsidRPr="00E74E40" w:rsidRDefault="00D93DC2">
      <w:pPr>
        <w:ind w:firstLine="709"/>
        <w:jc w:val="both"/>
        <w:rPr>
          <w:lang w:val="es-ES"/>
        </w:rPr>
      </w:pPr>
    </w:p>
    <w:p w14:paraId="5563F378" w14:textId="77777777" w:rsidR="0088522B" w:rsidRPr="00E74E40" w:rsidRDefault="00C2590C" w:rsidP="00D93DC2">
      <w:pPr>
        <w:ind w:firstLine="709"/>
        <w:outlineLvl w:val="1"/>
        <w:rPr>
          <w:lang w:val="es-ES"/>
        </w:rPr>
      </w:pPr>
      <w:bookmarkStart w:id="9" w:name="_Toc242721846"/>
      <w:r w:rsidRPr="00E74E40">
        <w:rPr>
          <w:b/>
          <w:lang w:val="es-ES"/>
        </w:rPr>
        <w:t>2.2. Insuficiencia de los marcos parciales como arquitectura general</w:t>
      </w:r>
      <w:bookmarkEnd w:id="9"/>
    </w:p>
    <w:p w14:paraId="7680274B" w14:textId="77777777" w:rsidR="0088522B" w:rsidRPr="00E74E40" w:rsidRDefault="00C2590C">
      <w:pPr>
        <w:ind w:firstLine="709"/>
        <w:jc w:val="both"/>
        <w:rPr>
          <w:lang w:val="es-ES"/>
        </w:rPr>
      </w:pPr>
      <w:r w:rsidRPr="00E74E40">
        <w:rPr>
          <w:lang w:val="es-ES"/>
        </w:rPr>
        <w:t>Las blackboard architectures demostraron tempranamente que múltiples fuentes de conocimiento podían cooperar mediante un estado compartido y un mecanismo de control externo (Hayes-Roth, 1985). La importancia de este paradigma no reside s</w:t>
      </w:r>
      <w:r w:rsidR="00D93DC2">
        <w:rPr>
          <w:lang w:val="es-ES"/>
        </w:rPr>
        <w:t>o</w:t>
      </w:r>
      <w:r w:rsidRPr="00E74E40">
        <w:rPr>
          <w:lang w:val="es-ES"/>
        </w:rPr>
        <w:t>lo en la metáfora del tablero, sino en separar la competencia de cada fuente del problema de coordinación. Un sistema puede, por tanto, distribuir conocimiento y conservar una instancia distinta encargada de decidir qué contribución se utiliza.</w:t>
      </w:r>
    </w:p>
    <w:p w14:paraId="2D706D3F" w14:textId="77777777" w:rsidR="0088522B" w:rsidRPr="00E74E40" w:rsidRDefault="00C2590C">
      <w:pPr>
        <w:ind w:firstLine="709"/>
        <w:jc w:val="both"/>
        <w:rPr>
          <w:lang w:val="es-ES"/>
        </w:rPr>
      </w:pPr>
      <w:r w:rsidRPr="00E74E40">
        <w:rPr>
          <w:lang w:val="es-ES"/>
        </w:rPr>
        <w:t>Las arquitecturas cognitivas generales, como Soar y ACT-R, ampliaron esa ambición hacia memoria, aprendizaje, decisión y acción. La propuesta de un Standard Model of the Mind sintetiza precisamente la búsqueda de regularidades arquitectónicas compartidas entre inteligencia artificial, ciencia cognitiva, neurociencia y robótica (Laird et al., 2017). Estas arquitecturas muestran que persistencia, control y memoria no son problemas nuevos y que cualquier propuesta contemporánea debe situarse frente a una tradición de integración cognitiva madura.</w:t>
      </w:r>
    </w:p>
    <w:p w14:paraId="4D1BCD3F" w14:textId="77777777" w:rsidR="0088522B" w:rsidRPr="00E74E40" w:rsidRDefault="00C2590C">
      <w:pPr>
        <w:ind w:firstLine="709"/>
        <w:jc w:val="both"/>
        <w:rPr>
          <w:lang w:val="es-ES"/>
        </w:rPr>
      </w:pPr>
      <w:r w:rsidRPr="00E74E40">
        <w:rPr>
          <w:lang w:val="es-ES"/>
        </w:rPr>
        <w:t xml:space="preserve">Sin embargo, una arquitectura cognitiva completa y una infraestructura de interoperabilidad no son el mismo objeto. La primera intenta especificar mecanismos generales de cognición; la segunda puede limitarse a conservar propiedades públicas que </w:t>
      </w:r>
      <w:r w:rsidRPr="00E74E40">
        <w:rPr>
          <w:lang w:val="es-ES"/>
        </w:rPr>
        <w:lastRenderedPageBreak/>
        <w:t>permitan coordinar capacidades diferentes. El problema abierto no exige demostrar qué arquitectura posee una mente, sino qué organización mínima necesita un sistema para mantener continuidad y comparabilidad cuando las capacidades que lo alimentan no comparten representación interna.</w:t>
      </w:r>
    </w:p>
    <w:p w14:paraId="3E9DCF0A" w14:textId="77777777" w:rsidR="0088522B" w:rsidRPr="00E74E40" w:rsidRDefault="00C2590C">
      <w:pPr>
        <w:ind w:firstLine="709"/>
        <w:jc w:val="both"/>
        <w:rPr>
          <w:lang w:val="es-ES"/>
        </w:rPr>
      </w:pPr>
      <w:r w:rsidRPr="00E74E40">
        <w:rPr>
          <w:lang w:val="es-ES"/>
        </w:rPr>
        <w:t>La teoría de sistemas de transición y event structures proporciona una base formal complementaria. La distinción entre estados, eventos, causalidad, concurrencia y transiciones posee una literatura extensa (Winskel, 1987, 1990). Los argumentation frameworks muestran, además, que una estructura relacional puede recibir una semántica formal específica y permitir calcular propiedades de aceptabilidad sin representar todo el contenido del dominio (Dung, 1995). Estas tradiciones impiden confundir el uso de grafos, equivalencias o relaciones tipadas con una innovación por sí misma.</w:t>
      </w:r>
    </w:p>
    <w:p w14:paraId="471C94B7" w14:textId="77777777" w:rsidR="0088522B" w:rsidRDefault="00C2590C">
      <w:pPr>
        <w:ind w:firstLine="709"/>
        <w:jc w:val="both"/>
        <w:rPr>
          <w:lang w:val="es-ES"/>
        </w:rPr>
      </w:pPr>
      <w:r w:rsidRPr="00E74E40">
        <w:rPr>
          <w:lang w:val="es-ES"/>
        </w:rPr>
        <w:t>La consecuencia es metodológica. Si el problema puede expresarse completamente mediante un formalismo estándar existente, la solución científicamente correcta es mapearse sobre él. Una nueva terminología s</w:t>
      </w:r>
      <w:r w:rsidR="00BB7D98">
        <w:rPr>
          <w:lang w:val="es-ES"/>
        </w:rPr>
        <w:t>o</w:t>
      </w:r>
      <w:r w:rsidRPr="00E74E40">
        <w:rPr>
          <w:lang w:val="es-ES"/>
        </w:rPr>
        <w:t>lo se justifica cuando identifica un objeto distinto, combina restricciones que los formalismos previos no reúnen o permite formular experimentos que de otro modo permanecerían ambiguos.</w:t>
      </w:r>
    </w:p>
    <w:p w14:paraId="2E820168" w14:textId="77777777" w:rsidR="00BB7D98" w:rsidRPr="00E74E40" w:rsidRDefault="00BB7D98">
      <w:pPr>
        <w:ind w:firstLine="709"/>
        <w:jc w:val="both"/>
        <w:rPr>
          <w:lang w:val="es-ES"/>
        </w:rPr>
      </w:pPr>
    </w:p>
    <w:p w14:paraId="4C7CACDA" w14:textId="77777777" w:rsidR="0088522B" w:rsidRPr="00E74E40" w:rsidRDefault="00C2590C" w:rsidP="00BB7D98">
      <w:pPr>
        <w:ind w:firstLine="709"/>
        <w:outlineLvl w:val="1"/>
        <w:rPr>
          <w:lang w:val="es-ES"/>
        </w:rPr>
      </w:pPr>
      <w:bookmarkStart w:id="10" w:name="_Toc242721847"/>
      <w:r w:rsidRPr="00E74E40">
        <w:rPr>
          <w:b/>
          <w:lang w:val="es-ES"/>
        </w:rPr>
        <w:t>2.3. Ausencia de conexión estable entre formalización y operatividad</w:t>
      </w:r>
      <w:bookmarkEnd w:id="10"/>
    </w:p>
    <w:p w14:paraId="65FFF844" w14:textId="77777777" w:rsidR="0088522B" w:rsidRPr="00E74E40" w:rsidRDefault="00C2590C">
      <w:pPr>
        <w:ind w:firstLine="709"/>
        <w:jc w:val="both"/>
        <w:rPr>
          <w:lang w:val="es-ES"/>
        </w:rPr>
      </w:pPr>
      <w:r w:rsidRPr="00E74E40">
        <w:rPr>
          <w:lang w:val="es-ES"/>
        </w:rPr>
        <w:t>Una representación aplicada necesita algo más que describir estados: debe explicar cómo una observación entra en el sistema, qué autoridad posee, qué transformaciones están permitidas y qué consecuencias pueden ejecutarse. Esta transición entre representación y operación aparece fragmentada en tradiciones diferentes. Los formalismos lingüísticos universales, como AMR, UCCA y Universal Dependencies, permiten proyectar construcciones diversas sobre inventarios estructurales compartidos (Banarescu et al., 2013; Abend y Rappoport, 2013; Nivre et al., 2016), pero su objetivo permanece ligado a la representación lingüística.</w:t>
      </w:r>
    </w:p>
    <w:p w14:paraId="27E43713" w14:textId="77777777" w:rsidR="0088522B" w:rsidRPr="00E74E40" w:rsidRDefault="00C2590C">
      <w:pPr>
        <w:ind w:firstLine="709"/>
        <w:jc w:val="both"/>
        <w:rPr>
          <w:lang w:val="es-ES"/>
        </w:rPr>
      </w:pPr>
      <w:r w:rsidRPr="00E74E40">
        <w:rPr>
          <w:lang w:val="es-ES"/>
        </w:rPr>
        <w:t>Conceptual Spaces introduce otra forma de formalización al representar conceptos mediante regiones y dimensiones de calidad, haciendo de la distancia una propiedad de similitud conceptual (Gärdenfors, 2000). En paralelo, la interpretabilidad neuronal estudia representaciones y trayectorias dentro de espacios latentes. La geometría puede, por tanto, utilizarse para describir organización conceptual o dinámica interna, pero la existencia de una geometría no determina por sí sola qué significa una coordenada, cómo se conserva entre sistemas o quién posee autoridad para modificarla.</w:t>
      </w:r>
    </w:p>
    <w:p w14:paraId="79219CBB" w14:textId="77777777" w:rsidR="0088522B" w:rsidRPr="00E74E40" w:rsidRDefault="00C2590C">
      <w:pPr>
        <w:ind w:firstLine="709"/>
        <w:jc w:val="both"/>
        <w:rPr>
          <w:lang w:val="es-ES"/>
        </w:rPr>
      </w:pPr>
      <w:r w:rsidRPr="00E74E40">
        <w:rPr>
          <w:lang w:val="es-ES"/>
        </w:rPr>
        <w:lastRenderedPageBreak/>
        <w:t>La aparición de los grandes modelos de lenguaje ha hecho especialmente visible esta discontinuidad. Chain-of-Thought, Tree of Thoughts y Graph of Thoughts externalizan pasos o topologías de deliberación y permiten operar sobre ellos mediante búsqueda, ramificación, combinación o feedback (Yao et al., 2023; Besta et al., 2024). Estos trabajos constituyen antecedentes directos de la representación explícita de procesos de reasoning. Su finalidad principal, no obstante, es mejorar la resolución de tareas mediante la organización de generaciones del modelo.</w:t>
      </w:r>
    </w:p>
    <w:p w14:paraId="1986A10E" w14:textId="77777777" w:rsidR="0088522B" w:rsidRPr="00E74E40" w:rsidRDefault="00C2590C">
      <w:pPr>
        <w:ind w:firstLine="709"/>
        <w:jc w:val="both"/>
        <w:rPr>
          <w:lang w:val="es-ES"/>
        </w:rPr>
      </w:pPr>
      <w:r w:rsidRPr="00E74E40">
        <w:rPr>
          <w:lang w:val="es-ES"/>
        </w:rPr>
        <w:t>La externalización contemporánea se extiende también a agent harnesses, herramientas, memoria, skills y workflows. El contexto de un sistema puede almacenarse fuera de la ventana activa del modelo y recuperarse en ejecuciones posteriores. Pero persistencia de información y continuidad de proceso no son equivalentes. Conservar un transcript, un vector o un resumen no determina necesariamente qué estado sigue vigente, qué observación ha caducado, qué inferencia necesita reabrirse ni qué autoridad puede ejercerse.</w:t>
      </w:r>
    </w:p>
    <w:p w14:paraId="5CDD57F2" w14:textId="77777777" w:rsidR="0088522B" w:rsidRDefault="00C2590C">
      <w:pPr>
        <w:ind w:firstLine="709"/>
        <w:jc w:val="both"/>
        <w:rPr>
          <w:lang w:val="es-ES"/>
        </w:rPr>
      </w:pPr>
      <w:r w:rsidRPr="00E74E40">
        <w:rPr>
          <w:lang w:val="es-ES"/>
        </w:rPr>
        <w:t>En consecuencia, persiste una discontinuidad entre formalización y operatividad. Existen representaciones estructurales potentes y existen infraestructuras capaces de ejecutar procesos complejos, pero la conexión entre observación, estructura pública, persistencia, transformación y autoridad suele depender de decisiones locales de cada sistema. El vacío no es ausencia de herramientas, sino ausencia de una gramática común suficientemente explícita para someter esa conexión a prueba.</w:t>
      </w:r>
    </w:p>
    <w:p w14:paraId="3283D228" w14:textId="77777777" w:rsidR="00BB7D98" w:rsidRPr="00E74E40" w:rsidRDefault="00BB7D98">
      <w:pPr>
        <w:ind w:firstLine="709"/>
        <w:jc w:val="both"/>
        <w:rPr>
          <w:lang w:val="es-ES"/>
        </w:rPr>
      </w:pPr>
    </w:p>
    <w:p w14:paraId="062209F3" w14:textId="77777777" w:rsidR="0088522B" w:rsidRPr="00E74E40" w:rsidRDefault="00C2590C" w:rsidP="00BC1088">
      <w:pPr>
        <w:ind w:firstLine="709"/>
        <w:outlineLvl w:val="1"/>
        <w:rPr>
          <w:lang w:val="es-ES"/>
        </w:rPr>
      </w:pPr>
      <w:bookmarkStart w:id="11" w:name="_Toc242721848"/>
      <w:r w:rsidRPr="00E74E40">
        <w:rPr>
          <w:b/>
          <w:lang w:val="es-ES"/>
        </w:rPr>
        <w:t>2.4. Estado del arte de la externalización, persistencia y autoridad</w:t>
      </w:r>
      <w:bookmarkEnd w:id="11"/>
    </w:p>
    <w:p w14:paraId="62E45258" w14:textId="77777777" w:rsidR="0088522B" w:rsidRPr="00E74E40" w:rsidRDefault="00C2590C">
      <w:pPr>
        <w:ind w:firstLine="709"/>
        <w:jc w:val="both"/>
        <w:rPr>
          <w:lang w:val="es-ES"/>
        </w:rPr>
      </w:pPr>
      <w:r w:rsidRPr="00E74E40">
        <w:rPr>
          <w:lang w:val="es-ES"/>
        </w:rPr>
        <w:t>La selección dinámica de modelos constituye un antecedente importante para cualquier arquitectura que distribuya capacidad. Cascades, ensembles y sistemas como FrugalGPT muestran que distintas consultas pueden asignarse a modelos diferentes para optimizar coste y rendimiento (Chen et al., 2024). La elección de proveedor, por tanto, no constituye una novedad conceptual. Lo relevante es qué información debe poseer el router y qué estado permanece estable cuando la capacidad seleccionada cambia.</w:t>
      </w:r>
    </w:p>
    <w:p w14:paraId="6C37D41B" w14:textId="77777777" w:rsidR="0088522B" w:rsidRPr="00E74E40" w:rsidRDefault="00C2590C">
      <w:pPr>
        <w:ind w:firstLine="709"/>
        <w:jc w:val="both"/>
        <w:rPr>
          <w:lang w:val="es-ES"/>
        </w:rPr>
      </w:pPr>
      <w:r w:rsidRPr="00E74E40">
        <w:rPr>
          <w:lang w:val="es-ES"/>
        </w:rPr>
        <w:t>La provenance aporta una segunda tradición madura. Bases de datos, workflows científicos y sistemas distribuidos han desarrollado mecanismos para conservar origen, transformación e identidad de artefactos. Registrar de dónde procede una observación no es novedoso. La dificultad aparece cuando esa procedencia debe integrarse con una historia inferencial: no s</w:t>
      </w:r>
      <w:r w:rsidR="00BC1088">
        <w:rPr>
          <w:lang w:val="es-ES"/>
        </w:rPr>
        <w:t>o</w:t>
      </w:r>
      <w:r w:rsidRPr="00E74E40">
        <w:rPr>
          <w:lang w:val="es-ES"/>
        </w:rPr>
        <w:t xml:space="preserve">lo qué dato existe, sino qué papel desempeñó, qué transformación sufrió, </w:t>
      </w:r>
      <w:r w:rsidRPr="00E74E40">
        <w:rPr>
          <w:lang w:val="es-ES"/>
        </w:rPr>
        <w:lastRenderedPageBreak/>
        <w:t>qué conclusión dependió de él y si una reemisión posterior puede modificar legítimamente el estado presente.</w:t>
      </w:r>
    </w:p>
    <w:p w14:paraId="34D0FD5B" w14:textId="77777777" w:rsidR="0088522B" w:rsidRPr="00E74E40" w:rsidRDefault="00C2590C">
      <w:pPr>
        <w:ind w:firstLine="709"/>
        <w:jc w:val="both"/>
        <w:rPr>
          <w:lang w:val="es-ES"/>
        </w:rPr>
      </w:pPr>
      <w:r w:rsidRPr="00E74E40">
        <w:rPr>
          <w:lang w:val="es-ES"/>
        </w:rPr>
        <w:t>La separación entre capacidad y autoridad posee igualmente antecedentes fuertes en sistemas safety-critical. La arquitectura Simplex y la literatura de Runtime Assurance permiten que un controlador avanzado opere bajo supervisión de mecanismos que conservan la autoridad última sobre la ejecución. Esta tradición demuestra que disponer de una capacidad no equivale a estar autorizado para utilizarla en cualquier condición. La misma separación puede plantearse antes de la acción física, distinguiendo elegibilidad de una fuente, validez de una observación, vigencia temporal y permiso de ejecución.</w:t>
      </w:r>
    </w:p>
    <w:p w14:paraId="5094551D" w14:textId="77777777" w:rsidR="0088522B" w:rsidRPr="00E74E40" w:rsidRDefault="00C2590C">
      <w:pPr>
        <w:ind w:firstLine="709"/>
        <w:jc w:val="both"/>
        <w:rPr>
          <w:lang w:val="es-ES"/>
        </w:rPr>
      </w:pPr>
      <w:r w:rsidRPr="00E74E40">
        <w:rPr>
          <w:lang w:val="es-ES"/>
        </w:rPr>
        <w:t>Estas líneas convergen sobre un problema de propiedad del estado. Cuando un sistema adquiere capacidad de un modelo externo, puede delegar interpretación sin necesidad de delegar toda su memoria, control o autoridad. Sin embargo, la literatura distribuye esta cuestión entre memoria de agentes, routing, orchestration, provenance, seguridad y control. No existe una única métrica aceptada que determine cuándo la sustitución de un proveedor conserva el mismo proceso cognitivo y cuándo produce, en la práctica, un sistema distinto.</w:t>
      </w:r>
    </w:p>
    <w:p w14:paraId="65921732" w14:textId="77777777" w:rsidR="0088522B" w:rsidRDefault="00C2590C">
      <w:pPr>
        <w:ind w:firstLine="709"/>
        <w:jc w:val="both"/>
        <w:rPr>
          <w:lang w:val="es-ES"/>
        </w:rPr>
      </w:pPr>
      <w:r w:rsidRPr="00E74E40">
        <w:rPr>
          <w:lang w:val="es-ES"/>
        </w:rPr>
        <w:t>La dimensión temporal intensifica el problema. Una conclusión puede seguir formando parte de la historia y haber perdido autoridad para actuar; una capacidad puede desaparecer y reaparecer; un fallback puede producir información útil sin heredar automáticamente las responsabilidades del componente ausente. La continuidad exige, por tanto, distinguir persistencia, vigencia, recuperación y reescritura retrospectiva. Esta distinción será central para cualquier intento de evaluar arquitecturas cognitivas cooperativas en condiciones reales.</w:t>
      </w:r>
    </w:p>
    <w:p w14:paraId="3090B4F4" w14:textId="77777777" w:rsidR="00BC1088" w:rsidRPr="00E74E40" w:rsidRDefault="00BC1088">
      <w:pPr>
        <w:ind w:firstLine="709"/>
        <w:jc w:val="both"/>
        <w:rPr>
          <w:lang w:val="es-ES"/>
        </w:rPr>
      </w:pPr>
    </w:p>
    <w:p w14:paraId="3A7ABBAC" w14:textId="77777777" w:rsidR="0088522B" w:rsidRPr="00E74E40" w:rsidRDefault="00C2590C" w:rsidP="00BC1088">
      <w:pPr>
        <w:ind w:firstLine="709"/>
        <w:outlineLvl w:val="1"/>
        <w:rPr>
          <w:lang w:val="es-ES"/>
        </w:rPr>
      </w:pPr>
      <w:bookmarkStart w:id="12" w:name="_Toc242721849"/>
      <w:r w:rsidRPr="00E74E40">
        <w:rPr>
          <w:b/>
          <w:lang w:val="es-ES"/>
        </w:rPr>
        <w:t>2.5. Síntesis del estado del arte y vacío de investigación</w:t>
      </w:r>
      <w:bookmarkEnd w:id="12"/>
    </w:p>
    <w:p w14:paraId="117E96D2" w14:textId="77777777" w:rsidR="0088522B" w:rsidRPr="00E74E40" w:rsidRDefault="00C2590C">
      <w:pPr>
        <w:ind w:firstLine="709"/>
        <w:jc w:val="both"/>
        <w:rPr>
          <w:lang w:val="es-ES"/>
        </w:rPr>
      </w:pPr>
      <w:r w:rsidRPr="00E74E40">
        <w:rPr>
          <w:lang w:val="es-ES"/>
        </w:rPr>
        <w:t>El estado del arte permite descartar una lectura simplista del problema. No falta teoría sobre relaciones, ni métodos reutilizables de inferencia, ni arquitecturas de coordinación, ni grafos, ni memoria externa, ni routing, ni provenance, ni mecanismos de autoridad. Cada una de esas piezas posee antecedentes sólidos. La dificultad aparece en la discontinuidad entre ellas y en el nivel de compromiso semántico que exige su integración.</w:t>
      </w:r>
    </w:p>
    <w:p w14:paraId="406CA7E4" w14:textId="77777777" w:rsidR="0088522B" w:rsidRPr="00E74E40" w:rsidRDefault="00C2590C">
      <w:pPr>
        <w:ind w:firstLine="709"/>
        <w:jc w:val="both"/>
        <w:rPr>
          <w:lang w:val="es-ES"/>
        </w:rPr>
      </w:pPr>
      <w:r w:rsidRPr="00E74E40">
        <w:rPr>
          <w:lang w:val="es-ES"/>
        </w:rPr>
        <w:t xml:space="preserve">El primer vacío es estructural. Las representaciones más expresivas suelen obtener su poder mediante semántica explícita, ontologías, roles de conocimiento o estados internos ligados a una arquitectura concreta. Permanece abierta la posibilidad de una </w:t>
      </w:r>
      <w:r w:rsidRPr="00E74E40">
        <w:rPr>
          <w:lang w:val="es-ES"/>
        </w:rPr>
        <w:lastRenderedPageBreak/>
        <w:t>representación más austera que conserve propiedades de organización inferencial entre dominios heterogéneos sin convertirse por ello en una ontología universal.</w:t>
      </w:r>
    </w:p>
    <w:p w14:paraId="2371B91C" w14:textId="77777777" w:rsidR="0088522B" w:rsidRPr="00E74E40" w:rsidRDefault="00C2590C">
      <w:pPr>
        <w:ind w:firstLine="709"/>
        <w:jc w:val="both"/>
        <w:rPr>
          <w:lang w:val="es-ES"/>
        </w:rPr>
      </w:pPr>
      <w:r w:rsidRPr="00E74E40">
        <w:rPr>
          <w:lang w:val="es-ES"/>
        </w:rPr>
        <w:t>El segundo vacío es longitudinal y operativo. La externalización contemporánea permite conservar memoria, herramientas y workflows, pero no establece por sí misma una identidad estructural del proceso que sobreviva a cambios de proveedor, degradación, reanudación y transformación. Tampoco garantiza que validez, vigencia y autoridad permanezcan separadas a lo largo de esa historia.</w:t>
      </w:r>
    </w:p>
    <w:p w14:paraId="5CD7347F" w14:textId="77777777" w:rsidR="0088522B" w:rsidRPr="00E74E40" w:rsidRDefault="00C2590C">
      <w:pPr>
        <w:ind w:firstLine="709"/>
        <w:jc w:val="both"/>
        <w:rPr>
          <w:lang w:val="es-ES"/>
        </w:rPr>
      </w:pPr>
      <w:r w:rsidRPr="00E74E40">
        <w:rPr>
          <w:lang w:val="es-ES"/>
        </w:rPr>
        <w:t>El tercer vacío es experimental. Una arquitectura que afirma generalidad debe demostrar que sus propiedades no proceden simplemente de haber diseñado el benchmark alrededor de sus propias categorías. Se necesitan pruebas capaces de distinguir estructura de semejanza semántica, continuidad de mera persistencia textual, invariancia de tolerancia informal y autoridad de simple disponibilidad de una capacidad.</w:t>
      </w:r>
    </w:p>
    <w:p w14:paraId="4705D75C" w14:textId="77777777" w:rsidR="0088522B" w:rsidRPr="00E74E40" w:rsidRDefault="00C2590C">
      <w:pPr>
        <w:ind w:firstLine="709"/>
        <w:jc w:val="both"/>
        <w:rPr>
          <w:lang w:val="es-ES"/>
        </w:rPr>
      </w:pPr>
      <w:r w:rsidRPr="00E74E40">
        <w:rPr>
          <w:lang w:val="es-ES"/>
        </w:rPr>
        <w:t>Estos vacíos convergen en una pregunta única: si puede construirse una infraestructura cognitiva en la que capacidades semánticas heterogéneas participen sobre una organización explícita, persistente y auditable sin que la infraestructura necesite apropiarse de la ontología completa de cada participante. La literatura revisada proporciona los componentes conceptuales necesarios para formular el problema, pero no elimina la necesidad de una construcción que lo haga operable y falsable.</w:t>
      </w:r>
    </w:p>
    <w:p w14:paraId="4623BB7D" w14:textId="77777777" w:rsidR="0088522B" w:rsidRDefault="00C2590C">
      <w:pPr>
        <w:ind w:firstLine="709"/>
        <w:jc w:val="both"/>
        <w:rPr>
          <w:lang w:val="es-ES"/>
        </w:rPr>
      </w:pPr>
      <w:r w:rsidRPr="002A7BB8">
        <w:rPr>
          <w:lang w:val="es-ES"/>
        </w:rPr>
        <w:t>Con esta delimitación, la Parte II puede proceder a formalizar el objeto estructural mediante el que la pregunta será sometida a cálculo. La Parte III convertirá ese formalismo en un instrumento ejecutable y contrastable; la Parte IV examinará la evidencia producida y determinará qué alcance científico, corporativo-comercial y social autorizan los resultados. La secuencia es deliberada: la conclusión no se presupone en el estado del arte, sino que debe emerger de la relación entre formalización, realización, evidencia y crítica.</w:t>
      </w:r>
    </w:p>
    <w:p w14:paraId="63DC86CB" w14:textId="77777777" w:rsidR="006256EE" w:rsidRPr="00E74E40" w:rsidRDefault="006256EE">
      <w:pPr>
        <w:ind w:firstLine="709"/>
        <w:jc w:val="both"/>
        <w:rPr>
          <w:lang w:val="es-ES"/>
        </w:rPr>
      </w:pPr>
    </w:p>
    <w:p w14:paraId="1E2C1887" w14:textId="77777777" w:rsidR="005227D8" w:rsidRPr="000947D0" w:rsidRDefault="00E4314B" w:rsidP="000947D0">
      <w:pPr>
        <w:pageBreakBefore/>
        <w:jc w:val="center"/>
        <w:outlineLvl w:val="0"/>
        <w:rPr>
          <w:lang w:val="es-ES"/>
        </w:rPr>
      </w:pPr>
      <w:bookmarkStart w:id="13" w:name="_Toc242721850"/>
      <w:r w:rsidRPr="000947D0">
        <w:rPr>
          <w:b/>
          <w:lang w:val="es-ES"/>
        </w:rPr>
        <w:lastRenderedPageBreak/>
        <w:t>PARTE II — Formalización del Sistema de Coordenadas Cognitivas</w:t>
      </w:r>
      <w:bookmarkEnd w:id="13"/>
    </w:p>
    <w:p w14:paraId="1CB5B369" w14:textId="77777777" w:rsidR="000947D0" w:rsidRPr="000947D0" w:rsidRDefault="000947D0">
      <w:pPr>
        <w:rPr>
          <w:b/>
          <w:lang w:val="es-ES"/>
        </w:rPr>
      </w:pPr>
    </w:p>
    <w:p w14:paraId="01B077C0" w14:textId="77777777" w:rsidR="005227D8" w:rsidRDefault="00E4314B" w:rsidP="000947D0">
      <w:pPr>
        <w:outlineLvl w:val="0"/>
        <w:rPr>
          <w:b/>
          <w:lang w:val="es-ES"/>
        </w:rPr>
      </w:pPr>
      <w:bookmarkStart w:id="14" w:name="_Toc242721851"/>
      <w:r w:rsidRPr="000947D0">
        <w:rPr>
          <w:b/>
          <w:lang w:val="es-ES"/>
        </w:rPr>
        <w:t>Capítulo 3: ¿Cuál es la diferencia entre una idea y un sueño?</w:t>
      </w:r>
      <w:bookmarkEnd w:id="14"/>
    </w:p>
    <w:p w14:paraId="69EEA17E" w14:textId="77777777" w:rsidR="000947D0" w:rsidRPr="000947D0" w:rsidRDefault="000947D0">
      <w:pPr>
        <w:rPr>
          <w:lang w:val="es-ES"/>
        </w:rPr>
      </w:pPr>
    </w:p>
    <w:p w14:paraId="02B64714" w14:textId="77777777" w:rsidR="005227D8" w:rsidRPr="000947D0" w:rsidRDefault="00E4314B">
      <w:pPr>
        <w:ind w:firstLine="709"/>
        <w:jc w:val="both"/>
        <w:rPr>
          <w:lang w:val="es-ES"/>
        </w:rPr>
      </w:pPr>
      <w:r w:rsidRPr="000947D0">
        <w:rPr>
          <w:lang w:val="es-ES"/>
        </w:rPr>
        <w:t>¿Cuál es la diferencia entre una idea y un sueño? La respuesta está en conseguir alcanzar la línea donde el cielo y la tierra parecen tocarse. Y sobrepasarla.</w:t>
      </w:r>
    </w:p>
    <w:p w14:paraId="25D18EC1" w14:textId="77777777" w:rsidR="005227D8" w:rsidRPr="000947D0" w:rsidRDefault="00E4314B">
      <w:pPr>
        <w:ind w:firstLine="709"/>
        <w:jc w:val="both"/>
        <w:rPr>
          <w:lang w:val="es-ES"/>
        </w:rPr>
      </w:pPr>
      <w:r w:rsidRPr="000947D0">
        <w:rPr>
          <w:lang w:val="es-ES"/>
        </w:rPr>
        <w:t xml:space="preserve">Mientras permanece en la distancia, el horizonte posee una cualidad extraña. Parece una frontera y, sin embargo, retrocede a medida que avanzamos. Ordena el paisaje sin formar parte de él. Separa lo visible de aquello que todavía no podemos ver, pero no existe como una pared que pueda </w:t>
      </w:r>
      <w:r w:rsidR="000947D0">
        <w:rPr>
          <w:lang w:val="es-ES"/>
        </w:rPr>
        <w:t xml:space="preserve">sentirse </w:t>
      </w:r>
      <w:r w:rsidRPr="000947D0">
        <w:rPr>
          <w:lang w:val="es-ES"/>
        </w:rPr>
        <w:t>con la mano. Desde lejos, el cielo parece terminar allí y la tierra parece comenzar exactamente en el mismo punto. Basta caminar hacia esa línea para descubrir que nunca estuvo donde parecía. El horizonte no era un lugar. Era una relación entre una posición, una mirada y aquello que todavía quedaba fuera de ella.</w:t>
      </w:r>
    </w:p>
    <w:p w14:paraId="735E3656" w14:textId="77777777" w:rsidR="005227D8" w:rsidRPr="000947D0" w:rsidRDefault="00E4314B">
      <w:pPr>
        <w:ind w:firstLine="709"/>
        <w:jc w:val="both"/>
        <w:rPr>
          <w:lang w:val="es-ES"/>
        </w:rPr>
      </w:pPr>
      <w:r w:rsidRPr="000947D0">
        <w:rPr>
          <w:lang w:val="es-ES"/>
        </w:rPr>
        <w:t>Un sueño puede vivir indefinidamente de esa distancia. Puede contemplar el horizonte sin exigir que exista un camino hasta él. Puede imaginar lo que hay detrás, sustituirlo, deformarlo o reconstruirlo sin pagar el precio de atravesar ninguna frontera. Una idea empieza a ser otra cosa cuando acepta ese precio. Cuando deja de conformarse con señalar una posibilidad y se compromete con un recorrido capaz de acercarse a ella, equivocarse, corregirse y continuar. La diferencia no está necesariamente en el contenido. Dos personas pueden soñar y pensar exactamente lo mismo. La diferencia aparece cuando una representación adquiere dirección y acepta que avanzar hacia ella modificará la posición desde la que era contemplada.</w:t>
      </w:r>
    </w:p>
    <w:p w14:paraId="0057893E" w14:textId="77777777" w:rsidR="005227D8" w:rsidRPr="000947D0" w:rsidRDefault="00E4314B">
      <w:pPr>
        <w:ind w:firstLine="709"/>
        <w:jc w:val="both"/>
        <w:rPr>
          <w:lang w:val="es-ES"/>
        </w:rPr>
      </w:pPr>
      <w:r w:rsidRPr="000947D0">
        <w:rPr>
          <w:lang w:val="es-ES"/>
        </w:rPr>
        <w:t>Toda interpretación presupone, en este sentido, una trayectoria. Antes de existir una conclusión, una explicación, una decisión o una acción, debe existir un proceso capaz de recorrer un conjunto de posibilidades y reducir progresivamente aquellas que dejan de resultar compatibles con la representación observada. El pensamiento no aparece inicialmente como una respuesta. Aparece como una trayectoria de estabilización.</w:t>
      </w:r>
    </w:p>
    <w:p w14:paraId="3938B6B6" w14:textId="77777777" w:rsidR="005227D8" w:rsidRPr="000947D0" w:rsidRDefault="00E4314B">
      <w:pPr>
        <w:ind w:firstLine="709"/>
        <w:jc w:val="both"/>
        <w:rPr>
          <w:lang w:val="es-ES"/>
        </w:rPr>
      </w:pPr>
      <w:r w:rsidRPr="000947D0">
        <w:rPr>
          <w:lang w:val="es-ES"/>
        </w:rPr>
        <w:t>Esta afirmación no obliga todavía a decidir qué es el pensamiento ni dónde reside. Tampoco exige identificarlo con el lenguaje, con una cadena de inferencias conscientes o con la actividad de un mecanismo particular. Basta una intuición más elemental: interpretar implica dejar de poder sostener simultáneamente todas las posibilidades con la misma fuerza. Algo cambia entre el instante en que una representación admite múltiples lecturas y el instante en que una de ellas puede sostenerse con mayor estabilidad. Pensar es también atravesar esa diferencia.</w:t>
      </w:r>
    </w:p>
    <w:p w14:paraId="4FC63DE2" w14:textId="77777777" w:rsidR="005227D8" w:rsidRPr="000947D0" w:rsidRDefault="00E4314B">
      <w:pPr>
        <w:ind w:firstLine="709"/>
        <w:jc w:val="both"/>
        <w:rPr>
          <w:lang w:val="es-ES"/>
        </w:rPr>
      </w:pPr>
      <w:r w:rsidRPr="000947D0">
        <w:rPr>
          <w:lang w:val="es-ES"/>
        </w:rPr>
        <w:lastRenderedPageBreak/>
        <w:t>A ese dominio previo a la estabilización puede llamársele espacio interpretativo. No es un lugar físico. No es una región del cerebro ni una imagen escondida detrás de las palabras. Es el nombre provisional de aquello que debe existir conceptualmente para que tenga sentido hablar de posibilidades todavía abiertas. Una representación no llega al pensamiento como una pieza terminada. Abre un campo: puede ser algo, puede significar algo, puede relacionarse con algo, puede exigir una causa, una identidad, un mecanismo, una circunstancia o una consecuencia. Mientras esas posibilidades permanezcan abiertas, la interpretación todavía no ha terminado de tomar posición.</w:t>
      </w:r>
    </w:p>
    <w:p w14:paraId="0340E032" w14:textId="77777777" w:rsidR="005227D8" w:rsidRPr="000947D0" w:rsidRDefault="00E4314B">
      <w:pPr>
        <w:ind w:firstLine="709"/>
        <w:jc w:val="both"/>
        <w:rPr>
          <w:lang w:val="es-ES"/>
        </w:rPr>
      </w:pPr>
      <w:r w:rsidRPr="000947D0">
        <w:rPr>
          <w:lang w:val="es-ES"/>
        </w:rPr>
        <w:t xml:space="preserve">La palabra </w:t>
      </w:r>
      <w:r w:rsidR="00C7418C" w:rsidRPr="00C7418C">
        <w:rPr>
          <w:lang w:val="es-ES"/>
        </w:rPr>
        <w:t>«</w:t>
      </w:r>
      <w:r w:rsidRPr="000947D0">
        <w:rPr>
          <w:lang w:val="es-ES"/>
        </w:rPr>
        <w:t>espacio</w:t>
      </w:r>
      <w:r w:rsidR="00C7418C" w:rsidRPr="00C7418C">
        <w:rPr>
          <w:lang w:val="es-ES"/>
        </w:rPr>
        <w:t>»</w:t>
      </w:r>
      <w:r w:rsidRPr="000947D0">
        <w:rPr>
          <w:lang w:val="es-ES"/>
        </w:rPr>
        <w:t xml:space="preserve"> importa preci</w:t>
      </w:r>
      <w:r w:rsidR="00C7418C">
        <w:rPr>
          <w:lang w:val="es-ES"/>
        </w:rPr>
        <w:t>s</w:t>
      </w:r>
      <w:r w:rsidRPr="000947D0">
        <w:rPr>
          <w:lang w:val="es-ES"/>
        </w:rPr>
        <w:t>amente porque impide reducir este proceso a una lista. Una lista enumera posibilidades, pero no dice nada acerca de la relación que mantienen entre sí. No explica por qué una interpretación puede acercarse a otra, por qué dos lecturas pueden resultar incompatibles, por qué una posibilidad puede contener a otra o por qué una observación posterior puede obligarnos a abandonar una posición que antes parecía estable. Hablar de espacio introduce una exigencia más fuerte: aquello que puede recorrerse debe poseer algún tipo de organización.</w:t>
      </w:r>
    </w:p>
    <w:p w14:paraId="6AE59083" w14:textId="77777777" w:rsidR="005227D8" w:rsidRPr="000947D0" w:rsidRDefault="00E4314B">
      <w:pPr>
        <w:ind w:firstLine="709"/>
        <w:jc w:val="both"/>
        <w:rPr>
          <w:lang w:val="es-ES"/>
        </w:rPr>
      </w:pPr>
      <w:r w:rsidRPr="000947D0">
        <w:rPr>
          <w:lang w:val="es-ES"/>
        </w:rPr>
        <w:t>Henri Poincaré comprendió con una profundidad extraordinaria que la geometría no debía confundirse ingenuamente con una fotografía del mundo. La aparición de geometrías alternativas había roto la seguridad de que una única forma del espacio pudiera imponerse como evidencia anterior a toda experiencia. Para Poincaré, la geometría podía entenderse como un sistema de relaciones cuya elección estaba guiada por la experiencia sin quedar reducida a una simple copia de ella. Esta intuición resulta decisiva aquí, no porque proporcione una geometría del pensamiento, sino porque libera la pregunta correcta: antes de preguntar qué forma tiene una realidad, puede preguntarse qué sistema de relaciones permite orientarse dentro de una representación de esa realidad (Poincaré, 1905).</w:t>
      </w:r>
    </w:p>
    <w:p w14:paraId="03E5F432" w14:textId="77777777" w:rsidR="005227D8" w:rsidRPr="000947D0" w:rsidRDefault="00E4314B">
      <w:pPr>
        <w:ind w:firstLine="709"/>
        <w:jc w:val="both"/>
        <w:rPr>
          <w:lang w:val="es-ES"/>
        </w:rPr>
      </w:pPr>
      <w:r w:rsidRPr="000947D0">
        <w:rPr>
          <w:lang w:val="es-ES"/>
        </w:rPr>
        <w:t>El mapa, por tanto, no necesita convertirse en el territorio para ser verdadero en aquello que le corresponde. Alfred Korzybski condensó esta separación en una formulación que sobrevivió a su propio contexto intelectual: el mapa no es el territorio. La frase suele utilizarse como advertencia contra la confusión entre representación y realidad, pero contiene una consecuencia adicional. Si el mapa no es el territorio, entonces el mapa puede ser estudiado como objeto. Puede tener regiones, fronteras, caminos, vacíos y errores sin que ninguno de ellos deba confundirse con aquello que representa. Una interpretación puede ser examinada por la forma en que se orienta sin que esa forma pretenda sustituir al mundo sobre el que interpreta (Korzybski, 1933/1994).</w:t>
      </w:r>
    </w:p>
    <w:p w14:paraId="27D5DD49" w14:textId="77777777" w:rsidR="005227D8" w:rsidRPr="000947D0" w:rsidRDefault="00E4314B">
      <w:pPr>
        <w:ind w:firstLine="709"/>
        <w:jc w:val="both"/>
        <w:rPr>
          <w:lang w:val="es-ES"/>
        </w:rPr>
      </w:pPr>
      <w:r w:rsidRPr="000947D0">
        <w:rPr>
          <w:lang w:val="es-ES"/>
        </w:rPr>
        <w:lastRenderedPageBreak/>
        <w:t>Esta separación resulta fundamental. Una representación puede ser incompleta y, aun así, estar organizada. Puede ser falsa y, aun así, haber seguido una dirección reconocible. Puede contener una incertidumbre legítima sin ser caótica. Puede incluso conservar la forma de una pregunta cuando todavía no existe información suficiente para responderla. Si s</w:t>
      </w:r>
      <w:r w:rsidR="000947D0">
        <w:rPr>
          <w:lang w:val="es-ES"/>
        </w:rPr>
        <w:t>o</w:t>
      </w:r>
      <w:r w:rsidRPr="000947D0">
        <w:rPr>
          <w:lang w:val="es-ES"/>
        </w:rPr>
        <w:t>lo se observase el contenido final, todas estas diferencias desaparecerían. El proceso quedaría reducido al éxito o al fracaso de una respuesta. Pero una idea no se agota en el lugar al que llega. También está constituida por la manera en que ha podido llegar hasta allí.</w:t>
      </w:r>
    </w:p>
    <w:p w14:paraId="5296F90F" w14:textId="77777777" w:rsidR="005227D8" w:rsidRPr="000947D0" w:rsidRDefault="00E4314B">
      <w:pPr>
        <w:ind w:firstLine="709"/>
        <w:jc w:val="both"/>
        <w:rPr>
          <w:lang w:val="es-ES"/>
        </w:rPr>
      </w:pPr>
      <w:r w:rsidRPr="000947D0">
        <w:rPr>
          <w:lang w:val="es-ES"/>
        </w:rPr>
        <w:t>Kurt Lewin ofreció otra intuición indispensable al insistir en que el comportamiento no podía comprenderse adecuadamente mediante elementos aislados. Su teoría de campo trató la situación como una totalidad estructurada en la que las posibilidades de acción dependen de la configuración conjunta de persona y entorno. No es necesario trasladar su psicología al problema presente para conservar lo esencial de esa intuición: una posición adquiere significado por las relaciones que mantiene con el campo del que forma parte. Cambiar el campo puede alterar lo que esa misma posición permite, impide o favorece (Lewin, 1936).</w:t>
      </w:r>
    </w:p>
    <w:p w14:paraId="04DD8F7E" w14:textId="77777777" w:rsidR="005227D8" w:rsidRPr="000947D0" w:rsidRDefault="00E4314B">
      <w:pPr>
        <w:ind w:firstLine="709"/>
        <w:jc w:val="both"/>
        <w:rPr>
          <w:lang w:val="es-ES"/>
        </w:rPr>
      </w:pPr>
      <w:r w:rsidRPr="000947D0">
        <w:rPr>
          <w:lang w:val="es-ES"/>
        </w:rPr>
        <w:t>La interpretación posee una propiedad semejante. Una palabra aislada no determina por sí misma la trayectoria que seguirá una idea. Tampoco lo hace un dato, una imagen o una afirmación. Cada elemento modifica y es modificado por el conjunto de posibilidades que permanecen abiertas alrededor de él. Algunas observaciones estrechan el campo. Otras lo ensanchan. Algunas obligan a volver sobre una posibilidad descartada. Otras desplazan el problema hacia una región que antes ni siquiera era visible. Pensar no consiste únicamente en acumular elementos, sino en experimentar cómo cambia el campo de posibilidades cuando cada elemento entra en relación con los demás.</w:t>
      </w:r>
    </w:p>
    <w:p w14:paraId="42D67C7C" w14:textId="77777777" w:rsidR="005227D8" w:rsidRPr="000947D0" w:rsidRDefault="00E4314B">
      <w:pPr>
        <w:ind w:firstLine="709"/>
        <w:jc w:val="both"/>
        <w:rPr>
          <w:lang w:val="es-ES"/>
        </w:rPr>
      </w:pPr>
      <w:r w:rsidRPr="000947D0">
        <w:rPr>
          <w:lang w:val="es-ES"/>
        </w:rPr>
        <w:t>Esta intuición permite comprender por qué la incertidumbre no equivale a ausencia de estructura. Lo desconocido no es necesariamente vacío. A menudo posee bordes extraordinariamente precisos. Podemos saber exactamente qué no sabemos; podemos conocer qué tipo de observación falta; podemos reconocer que dos explicaciones siguen abiertas y que una tercera ha dejado de ser compatible con lo observado. La incertidumbre puede estar organizada mucho antes de que exista una respuesta. En ese sentido, la estabilización no crea estructura a partir de la nada: hace visible una organización que antes s</w:t>
      </w:r>
      <w:r w:rsidR="000947D0">
        <w:rPr>
          <w:lang w:val="es-ES"/>
        </w:rPr>
        <w:t>o</w:t>
      </w:r>
      <w:r w:rsidRPr="000947D0">
        <w:rPr>
          <w:lang w:val="es-ES"/>
        </w:rPr>
        <w:t>lo podía expresarse como posibilidad.</w:t>
      </w:r>
    </w:p>
    <w:p w14:paraId="3972853A" w14:textId="77777777" w:rsidR="005227D8" w:rsidRPr="000947D0" w:rsidRDefault="00E4314B">
      <w:pPr>
        <w:ind w:firstLine="709"/>
        <w:jc w:val="both"/>
        <w:rPr>
          <w:lang w:val="es-ES"/>
        </w:rPr>
      </w:pPr>
      <w:r w:rsidRPr="002A7BB8">
        <w:rPr>
          <w:lang w:val="es-ES"/>
        </w:rPr>
        <w:t xml:space="preserve">La física moderna ofrece una analogía útil para pensar la estabilización siempre que se preserve con rigor su estatuto: no constituye una derivación física de la cognición. La </w:t>
      </w:r>
      <w:r w:rsidRPr="002A7BB8">
        <w:rPr>
          <w:lang w:val="es-ES"/>
        </w:rPr>
        <w:lastRenderedPageBreak/>
        <w:t>lección relevante es más austera. Una observación puede modificar el conjunto de posibilidades que una descripción permite sostener, de modo que interpretar no equivale a contemplar pasivamente una respuesta ya terminada. En el espacio interpretativo, cada observación introduce restricciones y cada restricción modifica los recorridos que siguen abiertos.</w:t>
      </w:r>
    </w:p>
    <w:p w14:paraId="796DD649" w14:textId="77777777" w:rsidR="005227D8" w:rsidRPr="000947D0" w:rsidRDefault="00E4314B">
      <w:pPr>
        <w:ind w:firstLine="709"/>
        <w:jc w:val="both"/>
        <w:rPr>
          <w:lang w:val="es-ES"/>
        </w:rPr>
      </w:pPr>
      <w:r w:rsidRPr="000947D0">
        <w:rPr>
          <w:lang w:val="es-ES"/>
        </w:rPr>
        <w:t>La palabra estabilización adquiere</w:t>
      </w:r>
      <w:r w:rsidR="00381541">
        <w:rPr>
          <w:lang w:val="es-ES"/>
        </w:rPr>
        <w:t>,</w:t>
      </w:r>
      <w:r w:rsidRPr="000947D0">
        <w:rPr>
          <w:lang w:val="es-ES"/>
        </w:rPr>
        <w:t xml:space="preserve"> entonces</w:t>
      </w:r>
      <w:r w:rsidR="00381541">
        <w:rPr>
          <w:lang w:val="es-ES"/>
        </w:rPr>
        <w:t>,</w:t>
      </w:r>
      <w:r w:rsidRPr="000947D0">
        <w:rPr>
          <w:lang w:val="es-ES"/>
        </w:rPr>
        <w:t xml:space="preserve"> un sentido más profundo. Richard Hamilton introdujo el flujo de Ricci para estudiar cómo una geometría puede evolucionar al redistribuir sus irregularidades; décadas después, Grigori Perelman utilizó ese marco en la resolución de la Conjetura de Poincaré. Sería incorrecto convertir ese proceso matemático en un modelo del pensamiento. Su valor aquí es intelectual: muestra que comprender una estructura puede requerir observar cómo se transforma hasta que propiedades globales que estaban ocultas por irregularidades locales se vuelven reconocibles (Hamilton, 1982; Perelman, 2002).</w:t>
      </w:r>
    </w:p>
    <w:p w14:paraId="05C2B505" w14:textId="77777777" w:rsidR="005227D8" w:rsidRPr="000947D0" w:rsidRDefault="00E4314B">
      <w:pPr>
        <w:ind w:firstLine="709"/>
        <w:jc w:val="both"/>
        <w:rPr>
          <w:lang w:val="es-ES"/>
        </w:rPr>
      </w:pPr>
      <w:r w:rsidRPr="000947D0">
        <w:rPr>
          <w:lang w:val="es-ES"/>
        </w:rPr>
        <w:t>La interpretación también puede pensarse así, no porque obedezca al flujo de Ricci, sino porque su inteligibilidad no tiene por qué encontrarse en cada fragmento considerado aisladamente. Una representación inicialmente confusa puede adquirir coherencia cuando sus elementos dejan de competir de la misma manera. Una explicación puede estabilizarse no porque desaparezca toda incertidumbre, sino porque ciertas relaciones comienzan a persistir frente a variaciones locales. La estabilidad no significa inmovilidad. Significa que algo conserva suficiente identidad mientras el resto continúa cambiando.</w:t>
      </w:r>
    </w:p>
    <w:p w14:paraId="19A73618" w14:textId="77777777" w:rsidR="005227D8" w:rsidRPr="000947D0" w:rsidRDefault="00E4314B">
      <w:pPr>
        <w:ind w:firstLine="709"/>
        <w:jc w:val="both"/>
        <w:rPr>
          <w:lang w:val="es-ES"/>
        </w:rPr>
      </w:pPr>
      <w:r w:rsidRPr="000947D0">
        <w:rPr>
          <w:lang w:val="es-ES"/>
        </w:rPr>
        <w:t>Poincaré había formulado, desde otro lugar, una pregunta que vuelve a aparecer aquí: ¿cómo reconocer una organización global a partir de propiedades internas? La grandeza de esa pregunta excede la conjetura que lleva su nombre. Obliga a pensar que una estructura no se conoce únicamente enumerando sus partes. Hay propiedades que s</w:t>
      </w:r>
      <w:r w:rsidR="0018303D">
        <w:rPr>
          <w:lang w:val="es-ES"/>
        </w:rPr>
        <w:t>o</w:t>
      </w:r>
      <w:r w:rsidRPr="000947D0">
        <w:rPr>
          <w:lang w:val="es-ES"/>
        </w:rPr>
        <w:t>lo aparecen cuando se contempla cómo esas partes pueden relacionarse, deformarse o recorrerse sin que la identidad global desaparezca. Para una teoría de la interpretación, la consecuencia filosófica es inmediata: quizá una idea no deba definirse exclusivamente por los elementos que contiene, sino también por aquello que permanece reconocible mientras su representación cambia.</w:t>
      </w:r>
    </w:p>
    <w:p w14:paraId="3ED2EFD1" w14:textId="77777777" w:rsidR="005227D8" w:rsidRPr="000947D0" w:rsidRDefault="00E4314B">
      <w:pPr>
        <w:ind w:firstLine="709"/>
        <w:jc w:val="both"/>
        <w:rPr>
          <w:lang w:val="es-ES"/>
        </w:rPr>
      </w:pPr>
      <w:r w:rsidRPr="000947D0">
        <w:rPr>
          <w:lang w:val="es-ES"/>
        </w:rPr>
        <w:t xml:space="preserve">Esto devuelve el problema al horizonte. Desde una posición concreta, el horizonte organiza todo lo visible. Pero el horizonte no pertenece a ninguno de los objetos que vemos. Si avanzamos, los objetos cambian de relación, aparecen regiones antes ocultas y desaparecen otras detrás de nosotros. El horizonte se desplaza con la trayectoria. Nunca </w:t>
      </w:r>
      <w:r w:rsidRPr="000947D0">
        <w:rPr>
          <w:lang w:val="es-ES"/>
        </w:rPr>
        <w:lastRenderedPageBreak/>
        <w:t>constituye una respuesta; constituye el límite desde el que una respuesta puede empezar a ser buscada.</w:t>
      </w:r>
    </w:p>
    <w:p w14:paraId="3D46E823" w14:textId="77777777" w:rsidR="005227D8" w:rsidRPr="000947D0" w:rsidRDefault="00E4314B">
      <w:pPr>
        <w:ind w:firstLine="709"/>
        <w:jc w:val="both"/>
        <w:rPr>
          <w:lang w:val="es-ES"/>
        </w:rPr>
      </w:pPr>
      <w:r w:rsidRPr="002A7BB8">
        <w:rPr>
          <w:lang w:val="es-ES"/>
        </w:rPr>
        <w:t>La noción física de horizonte de sucesos permite precisar una última propiedad de la metáfora: una frontera puede separar regímenes de posibilidad sin ser una pared material (Hawking y Ellis, 1973). La analogía termina ahí. En el problema interpretativo, atravesar un horizonte significa que una distinción ya incorporada a la trayectoria modifica desde dónde puede continuar la representación; no implica identidad con ningún proceso físico.</w:t>
      </w:r>
    </w:p>
    <w:p w14:paraId="64445DEE" w14:textId="77777777" w:rsidR="005227D8" w:rsidRPr="000947D0" w:rsidRDefault="00E4314B">
      <w:pPr>
        <w:ind w:firstLine="709"/>
        <w:jc w:val="both"/>
        <w:rPr>
          <w:lang w:val="es-ES"/>
        </w:rPr>
      </w:pPr>
      <w:r w:rsidRPr="002A7BB8">
        <w:rPr>
          <w:lang w:val="es-ES"/>
        </w:rPr>
        <w:t>El horizonte funciona, por tanto, como límite relacional y no como contenido. Antes de atravesarlo</w:t>
      </w:r>
      <w:r w:rsidR="00381541">
        <w:rPr>
          <w:lang w:val="es-ES"/>
        </w:rPr>
        <w:t>,</w:t>
      </w:r>
      <w:r w:rsidRPr="002A7BB8">
        <w:rPr>
          <w:lang w:val="es-ES"/>
        </w:rPr>
        <w:t xml:space="preserve"> organiza lo que todavía puede permanecer abierto; después, forma parte de la historia desde la que se proyecta el siguiente recorrido. Esta asimetría basta para explicar por qué una idea puede revisar una posición sin restaurar la ignorancia desde la que esa posición fue alcanzada.</w:t>
      </w:r>
    </w:p>
    <w:p w14:paraId="2DD45DC9" w14:textId="77777777" w:rsidR="005227D8" w:rsidRPr="000947D0" w:rsidRDefault="00E4314B">
      <w:pPr>
        <w:ind w:firstLine="709"/>
        <w:jc w:val="both"/>
        <w:rPr>
          <w:lang w:val="es-ES"/>
        </w:rPr>
      </w:pPr>
      <w:r w:rsidRPr="000947D0">
        <w:rPr>
          <w:lang w:val="es-ES"/>
        </w:rPr>
        <w:t>Llegados a este punto, la diferencia entre idea y sueño puede expresarse de otra manera. El sueño contempla posibilidades sin estar obligado a conservar el camino que las separa. La idea atraviesa fronteras y queda transformada por ellas. Cada paso reduce algunas posibilidades, abre otras y modifica la posición desde la que se comprende lo anterior. Una idea posee historia porque no puede regresar inocentemente al instante previo a cada distinción. Puede revisar una conclusión, pero la revisión misma forma parte de su recorrido.</w:t>
      </w:r>
    </w:p>
    <w:p w14:paraId="471EB831" w14:textId="77777777" w:rsidR="005227D8" w:rsidRPr="000947D0" w:rsidRDefault="00E4314B">
      <w:pPr>
        <w:ind w:firstLine="709"/>
        <w:jc w:val="both"/>
        <w:rPr>
          <w:lang w:val="es-ES"/>
        </w:rPr>
      </w:pPr>
      <w:r w:rsidRPr="000947D0">
        <w:rPr>
          <w:lang w:val="es-ES"/>
        </w:rPr>
        <w:t>Por eso</w:t>
      </w:r>
      <w:r w:rsidR="00381541">
        <w:rPr>
          <w:lang w:val="es-ES"/>
        </w:rPr>
        <w:t>,</w:t>
      </w:r>
      <w:r w:rsidRPr="000947D0">
        <w:rPr>
          <w:lang w:val="es-ES"/>
        </w:rPr>
        <w:t xml:space="preserve"> recordar no equivale a volver atrás. Una trayectoria interpretativa puede regresar sobre una cuestión anterior, pero lo hace desde una posición que ya contiene aquello que ocurrió después. La misma pregunta formulada de nuevo no es necesariamente la misma pregunta. Ha cambiado el horizonte desde el que se formula. El pasado puede recuperarse como posición de referencia, pero no puede restaurarse como ignorancia original sin eliminar parte de la historia que hace posible el presente.</w:t>
      </w:r>
    </w:p>
    <w:p w14:paraId="008D1748" w14:textId="77777777" w:rsidR="005227D8" w:rsidRPr="000947D0" w:rsidRDefault="00E4314B">
      <w:pPr>
        <w:ind w:firstLine="709"/>
        <w:jc w:val="both"/>
        <w:rPr>
          <w:lang w:val="es-ES"/>
        </w:rPr>
      </w:pPr>
      <w:r w:rsidRPr="000947D0">
        <w:rPr>
          <w:lang w:val="es-ES"/>
        </w:rPr>
        <w:t>Esta asimetría entre avanzar y regresar resulta esencial para comprender por qué el pensamiento necesita algo más que una colección de contenidos. Si una representación s</w:t>
      </w:r>
      <w:r w:rsidR="0018303D">
        <w:rPr>
          <w:lang w:val="es-ES"/>
        </w:rPr>
        <w:t>o</w:t>
      </w:r>
      <w:r w:rsidRPr="000947D0">
        <w:rPr>
          <w:lang w:val="es-ES"/>
        </w:rPr>
        <w:t>lo almacenase respuestas, no podría distinguir una conclusión alcanzada demasiado pronto de otra alcanzada cuando la evidencia ya la autorizaba. Tampoco podría distinguir una incertidumbre resuelta de una incertidumbre simplemente olvidada. La trayectoria aporta una dimensión epistemológica: no s</w:t>
      </w:r>
      <w:r w:rsidR="0018303D">
        <w:rPr>
          <w:lang w:val="es-ES"/>
        </w:rPr>
        <w:t>o</w:t>
      </w:r>
      <w:r w:rsidRPr="000947D0">
        <w:rPr>
          <w:lang w:val="es-ES"/>
        </w:rPr>
        <w:t>lo qué se sostiene, sino desde qué recorrido ha llegado a poder sostenerse.</w:t>
      </w:r>
    </w:p>
    <w:p w14:paraId="3FC2D2B7" w14:textId="77777777" w:rsidR="005227D8" w:rsidRPr="000947D0" w:rsidRDefault="00E4314B">
      <w:pPr>
        <w:ind w:firstLine="709"/>
        <w:jc w:val="both"/>
        <w:rPr>
          <w:lang w:val="es-ES"/>
        </w:rPr>
      </w:pPr>
      <w:r w:rsidRPr="000947D0">
        <w:rPr>
          <w:lang w:val="es-ES"/>
        </w:rPr>
        <w:t xml:space="preserve">El horizonte introduce, además, una paradoja fecunda. Para iniciar una búsqueda necesitamos un límite que todavía no podemos alcanzar. Si pudiéramos describir </w:t>
      </w:r>
      <w:r w:rsidRPr="000947D0">
        <w:rPr>
          <w:lang w:val="es-ES"/>
        </w:rPr>
        <w:lastRenderedPageBreak/>
        <w:t>completamente aquello que hay más allá, ya no sería horizonte. Una pregunta auténtica contiene así una región que la propia representación no puede ocupar todavía. No es un error. Es la condición que permite que exista movimiento intelectual. Sin una diferencia entre lo representado y aquello que permanece fuera de la representación, interpretar sería simplemente repetir.</w:t>
      </w:r>
    </w:p>
    <w:p w14:paraId="301A7ABE" w14:textId="77777777" w:rsidR="005227D8" w:rsidRPr="000947D0" w:rsidRDefault="00E4314B">
      <w:pPr>
        <w:ind w:firstLine="709"/>
        <w:jc w:val="both"/>
        <w:rPr>
          <w:lang w:val="es-ES"/>
        </w:rPr>
      </w:pPr>
      <w:r w:rsidRPr="000947D0">
        <w:rPr>
          <w:lang w:val="es-ES"/>
        </w:rPr>
        <w:t>Aquí la intuición de Korzybski vuelve a adquirir toda su fuerza. El mapa no es el territorio porque siempre existe algo que la representación no agota. Pero precisamente por eso el mapa puede orientar. Su insuficiencia no lo invalida; define la necesidad de desplazarse respecto de él. Una representación perfecta, indistinguible de aquello que representa, dejaría de ser mapa. Del mismo modo, una interpretación que contuviera desde el principio todas sus consecuencias no necesitaría trayectoria.</w:t>
      </w:r>
    </w:p>
    <w:p w14:paraId="02E39C2D" w14:textId="77777777" w:rsidR="005227D8" w:rsidRPr="000947D0" w:rsidRDefault="00E4314B">
      <w:pPr>
        <w:ind w:firstLine="709"/>
        <w:jc w:val="both"/>
        <w:rPr>
          <w:lang w:val="es-ES"/>
        </w:rPr>
      </w:pPr>
      <w:r w:rsidRPr="000947D0">
        <w:rPr>
          <w:lang w:val="es-ES"/>
        </w:rPr>
        <w:t>La idea nace, entonces, de una tensión entre lo que puede representarse y lo que todavía queda fuera. Esa tensión no debe resolverse demasiado pronto. Si lo desconocido se rellena con una respuesta inventada, la trayectoria se cierra sobre una ficción. Si se elimina porque no puede representarse, el sistema pierde precisamente aquello que justificaba continuar. Una teoría de la interpretación necesita conservar el borde de lo que sabe sin convertir lo que hay más allá en una entidad que finge conocer.</w:t>
      </w:r>
    </w:p>
    <w:p w14:paraId="70EB12F5" w14:textId="77777777" w:rsidR="005227D8" w:rsidRPr="000947D0" w:rsidRDefault="00E4314B">
      <w:pPr>
        <w:ind w:firstLine="709"/>
        <w:jc w:val="both"/>
        <w:rPr>
          <w:lang w:val="es-ES"/>
        </w:rPr>
      </w:pPr>
      <w:r w:rsidRPr="000947D0">
        <w:rPr>
          <w:lang w:val="es-ES"/>
        </w:rPr>
        <w:t>Por eso el signo de interrogación resulta insuficiente. «¿?» pertenece al lenguaje de la pregunta, pero una pregunta ya posee contenido. Preguntar quién, por qué, cómo o dónde presupone que el problema ha adquirido una forma. Existe, sin embargo, un instante anterior: el punto en que una representación encuentra un límite y todavía no puede decir qué clase de pregunta existe al otro lado. No es desconocimiento sobre una entidad identificada. No es una casilla vacía esperando un valor. Es el reconocimiento de que la trayectoria tiene delante algo que aún no pertenece al espacio desde el que puede nombrarlo.</w:t>
      </w:r>
    </w:p>
    <w:p w14:paraId="05432C15" w14:textId="77777777" w:rsidR="005227D8" w:rsidRDefault="00E4314B">
      <w:pPr>
        <w:ind w:firstLine="709"/>
        <w:jc w:val="both"/>
        <w:rPr>
          <w:lang w:val="es-ES"/>
        </w:rPr>
      </w:pPr>
      <w:r w:rsidRPr="000947D0">
        <w:rPr>
          <w:lang w:val="es-ES"/>
        </w:rPr>
        <w:t>Ese límite es inconmensurable en un sentido epistemológico preciso. No porque sea infinito ni porque posea una magnitud misteriosa, sino porque todavía no existe una medida interna con la que compararlo. Medir exige compartir un marco. Identificar exige disponer de diferencias. Nombrar exige haber establecido alguna relación entre lo nuevo y aquello que ya podía representarse. En el horizonte previo a esa operación no existe todavía una posición equivalente a «no sé». Existe algo más radical: la presencia de una exterioridad que s</w:t>
      </w:r>
      <w:r w:rsidR="0018303D">
        <w:rPr>
          <w:lang w:val="es-ES"/>
        </w:rPr>
        <w:t>o</w:t>
      </w:r>
      <w:r w:rsidRPr="000947D0">
        <w:rPr>
          <w:lang w:val="es-ES"/>
        </w:rPr>
        <w:t>lo podrá adquirir significado después de que la trayectoria consiga atravesarla.</w:t>
      </w:r>
    </w:p>
    <w:p w14:paraId="7CFEDB65" w14:textId="77777777" w:rsidR="002A7BB8" w:rsidRPr="000947D0" w:rsidRDefault="002A7BB8" w:rsidP="002A7BB8">
      <w:pPr>
        <w:ind w:firstLine="709"/>
        <w:jc w:val="both"/>
        <w:rPr>
          <w:lang w:val="es-ES"/>
        </w:rPr>
      </w:pPr>
      <w:r w:rsidRPr="000947D0">
        <w:rPr>
          <w:lang w:val="es-ES"/>
        </w:rPr>
        <w:lastRenderedPageBreak/>
        <w:t xml:space="preserve">Sobrepasar el horizonte no significa conquistar aquello que estaba más allá. Significa aceptar que, una vez atravesado, la </w:t>
      </w:r>
      <w:r w:rsidR="0033700A">
        <w:rPr>
          <w:lang w:val="es-ES"/>
        </w:rPr>
        <w:t>idea</w:t>
      </w:r>
      <w:r w:rsidRPr="000947D0">
        <w:rPr>
          <w:lang w:val="es-ES"/>
        </w:rPr>
        <w:t xml:space="preserve"> necesita un nuevo origen desde el que proyectarse. Lo que antes era exterior se convierte en condición de una nueva interioridad. Lo que no podía medirse desde el marco anterior puede empezar a adquirir posición desde el siguiente. Y aquello que hizo posible el tránsito debe permanecer marcado sin confundirse con una respuesta, con una ausencia de respuesta o con el contenido que eventualmente llegue a ocupar el espacio abierto.</w:t>
      </w:r>
    </w:p>
    <w:p w14:paraId="5833B39E" w14:textId="77777777" w:rsidR="002A7BB8" w:rsidRDefault="002A7BB8" w:rsidP="002A7BB8">
      <w:pPr>
        <w:ind w:firstLine="709"/>
        <w:jc w:val="both"/>
        <w:rPr>
          <w:lang w:val="es-ES"/>
        </w:rPr>
      </w:pPr>
      <w:r w:rsidRPr="000947D0">
        <w:rPr>
          <w:lang w:val="es-ES"/>
        </w:rPr>
        <w:t>Antes de cualquier coordenada, antes de cualquier dirección y antes de cualquier forma, s</w:t>
      </w:r>
      <w:r>
        <w:rPr>
          <w:lang w:val="es-ES"/>
        </w:rPr>
        <w:t>o</w:t>
      </w:r>
      <w:r w:rsidRPr="000947D0">
        <w:rPr>
          <w:lang w:val="es-ES"/>
        </w:rPr>
        <w:t xml:space="preserve">lo necesitamos conservar ese acontecimiento: una </w:t>
      </w:r>
      <w:r w:rsidR="0033700A">
        <w:rPr>
          <w:lang w:val="es-ES"/>
        </w:rPr>
        <w:t>idea</w:t>
      </w:r>
      <w:r w:rsidRPr="000947D0">
        <w:rPr>
          <w:lang w:val="es-ES"/>
        </w:rPr>
        <w:t xml:space="preserve"> ha alcanzado el límite de su representación y, en lugar de detenerse, lo ha atravesado</w:t>
      </w:r>
      <w:r>
        <w:rPr>
          <w:lang w:val="es-ES"/>
        </w:rPr>
        <w:t>, porque está decidida a encontrarse sentido a sí misma. A ser pensamiento.</w:t>
      </w:r>
    </w:p>
    <w:p w14:paraId="527E8D0A" w14:textId="77777777" w:rsidR="002A7BB8" w:rsidRPr="000947D0" w:rsidRDefault="002A7BB8">
      <w:pPr>
        <w:ind w:firstLine="709"/>
        <w:jc w:val="both"/>
        <w:rPr>
          <w:lang w:val="es-ES"/>
        </w:rPr>
      </w:pPr>
    </w:p>
    <w:p w14:paraId="5BF58DE6" w14:textId="77777777" w:rsidR="007B3A11" w:rsidRPr="002A7BB8" w:rsidRDefault="002A7BB8" w:rsidP="002A7BB8">
      <w:pPr>
        <w:pStyle w:val="MDPARProfileCallout"/>
        <w:ind w:left="238" w:right="119"/>
        <w:jc w:val="center"/>
        <w:rPr>
          <w:lang w:val="es-ES"/>
        </w:rPr>
      </w:pPr>
      <w:r w:rsidRPr="002A7BB8">
        <w:t>Ω</w:t>
      </w:r>
      <w:bookmarkStart w:id="15" w:name="_Hlk240553623"/>
    </w:p>
    <w:bookmarkEnd w:id="15"/>
    <w:p w14:paraId="7651A584" w14:textId="77777777" w:rsidR="007B3A11" w:rsidRPr="000B7382" w:rsidRDefault="007B3A11">
      <w:pPr>
        <w:spacing w:after="200" w:line="276" w:lineRule="auto"/>
        <w:rPr>
          <w:rFonts w:ascii="Cambria Math" w:hAnsi="Cambria Math"/>
          <w:sz w:val="48"/>
          <w:lang w:val="es-ES"/>
        </w:rPr>
      </w:pPr>
    </w:p>
    <w:p w14:paraId="3547A78C" w14:textId="77777777" w:rsidR="007B3A11" w:rsidRPr="007B3A11" w:rsidRDefault="007B3A11" w:rsidP="00F9300C">
      <w:pPr>
        <w:keepNext/>
        <w:jc w:val="both"/>
        <w:outlineLvl w:val="0"/>
        <w:rPr>
          <w:b/>
          <w:bCs/>
          <w:lang w:val="es-ES"/>
        </w:rPr>
      </w:pPr>
      <w:bookmarkStart w:id="16" w:name="_Toc242721852"/>
      <w:r w:rsidRPr="008532A7">
        <w:rPr>
          <w:b/>
          <w:lang w:val="es-ES"/>
        </w:rPr>
        <w:t xml:space="preserve">Capítulo 4: </w:t>
      </w:r>
      <w:r w:rsidR="00491C95">
        <w:rPr>
          <w:b/>
          <w:lang w:val="es-ES"/>
        </w:rPr>
        <w:t>e</w:t>
      </w:r>
      <w:r w:rsidRPr="008532A7">
        <w:rPr>
          <w:b/>
          <w:lang w:val="es-ES"/>
        </w:rPr>
        <w:t>l corazón de transposición</w:t>
      </w:r>
      <w:bookmarkEnd w:id="16"/>
    </w:p>
    <w:p w14:paraId="18F38399" w14:textId="77777777" w:rsidR="00F9300C" w:rsidRDefault="00F9300C" w:rsidP="00F9300C">
      <w:pPr>
        <w:rPr>
          <w:lang w:val="es-ES"/>
        </w:rPr>
      </w:pPr>
    </w:p>
    <w:p w14:paraId="510C40F9" w14:textId="77777777" w:rsidR="006A24D4" w:rsidRPr="008532A7" w:rsidRDefault="0062359C" w:rsidP="00F9300C">
      <w:pPr>
        <w:pStyle w:val="Ttulo2"/>
        <w:spacing w:before="0"/>
        <w:ind w:firstLine="709"/>
        <w:jc w:val="both"/>
        <w:rPr>
          <w:lang w:val="es-ES"/>
        </w:rPr>
      </w:pPr>
      <w:bookmarkStart w:id="17" w:name="_Toc242721853"/>
      <w:r w:rsidRPr="008532A7">
        <w:rPr>
          <w:rFonts w:ascii="Times New Roman" w:hAnsi="Times New Roman"/>
          <w:color w:val="000000"/>
          <w:sz w:val="24"/>
          <w:lang w:val="es-ES"/>
        </w:rPr>
        <w:t>4.1. El nacimiento del pensamiento</w:t>
      </w:r>
      <w:bookmarkEnd w:id="17"/>
    </w:p>
    <w:p w14:paraId="5E2579BB" w14:textId="77777777" w:rsidR="007B3A11" w:rsidRPr="007B3A11" w:rsidRDefault="007B3A11" w:rsidP="007B3A11">
      <w:pPr>
        <w:ind w:firstLine="709"/>
        <w:jc w:val="both"/>
        <w:rPr>
          <w:lang w:val="es-ES"/>
        </w:rPr>
      </w:pPr>
      <w:r w:rsidRPr="007B3A11">
        <w:rPr>
          <w:lang w:val="es-ES"/>
        </w:rPr>
        <w:t xml:space="preserve">El capítulo anterior terminó allí donde una </w:t>
      </w:r>
      <w:r w:rsidR="0033700A">
        <w:rPr>
          <w:lang w:val="es-ES"/>
        </w:rPr>
        <w:t>idea</w:t>
      </w:r>
      <w:r w:rsidRPr="007B3A11">
        <w:rPr>
          <w:lang w:val="es-ES"/>
        </w:rPr>
        <w:t xml:space="preserve"> había conseguido atravesar el límite de su propia representación. No había todavía coordenadas, direcciones ni una forma matemática capaz de describir lo ocurrido. S</w:t>
      </w:r>
      <w:r>
        <w:rPr>
          <w:lang w:val="es-ES"/>
        </w:rPr>
        <w:t>o</w:t>
      </w:r>
      <w:r w:rsidRPr="007B3A11">
        <w:rPr>
          <w:lang w:val="es-ES"/>
        </w:rPr>
        <w:t xml:space="preserve">lo permanecía una marca: </w:t>
      </w:r>
      <w:r>
        <w:t>Ω</w:t>
      </w:r>
      <w:r w:rsidRPr="007B3A11">
        <w:rPr>
          <w:lang w:val="es-ES"/>
        </w:rPr>
        <w:t xml:space="preserve">. Ese símbolo designa precisamente lo que no debe convertirse prematuramente en una coordenada. </w:t>
      </w:r>
      <w:r>
        <w:t>Ω</w:t>
      </w:r>
      <w:r w:rsidRPr="007B3A11">
        <w:rPr>
          <w:lang w:val="es-ES"/>
        </w:rPr>
        <w:t xml:space="preserve"> representa el dominio pre</w:t>
      </w:r>
      <w:r>
        <w:rPr>
          <w:lang w:val="es-ES"/>
        </w:rPr>
        <w:t>-</w:t>
      </w:r>
      <w:r w:rsidRPr="007B3A11">
        <w:rPr>
          <w:lang w:val="es-ES"/>
        </w:rPr>
        <w:t>estructural —y, por extensión, pos</w:t>
      </w:r>
      <w:r>
        <w:rPr>
          <w:lang w:val="es-ES"/>
        </w:rPr>
        <w:t>t-</w:t>
      </w:r>
      <w:r w:rsidRPr="007B3A11">
        <w:rPr>
          <w:lang w:val="es-ES"/>
        </w:rPr>
        <w:t>estructural— en el que una ocurrencia todavía no puede ser representada positivamente por el sistema que vamos a construir. No es una respuesta, no es una pregunta, no es incertidumbre cuantificada y no es un estado cognitivo. Es exterioridad formal.</w:t>
      </w:r>
    </w:p>
    <w:p w14:paraId="5EBBDCA3" w14:textId="77777777" w:rsidR="007B3A11" w:rsidRPr="007B3A11" w:rsidRDefault="007B3A11" w:rsidP="007B3A11">
      <w:pPr>
        <w:ind w:firstLine="709"/>
        <w:jc w:val="both"/>
        <w:rPr>
          <w:lang w:val="es-ES"/>
        </w:rPr>
      </w:pPr>
      <w:r w:rsidRPr="007B3A11">
        <w:rPr>
          <w:lang w:val="es-ES"/>
        </w:rPr>
        <w:t xml:space="preserve">Esta primera decisión es más importante de lo que parece. Todo sistema de representación corre el riesgo de apropiarse de aquello que no puede representar asignándole una categoría residual. Si todo lo que no encaja recibe un nombre interno, el sistema deja de reconocer sus propios límites: transforma la ausencia de estructura en una estructura especial y convierte su ignorancia en una falsa posición. </w:t>
      </w:r>
      <w:r>
        <w:t>Ω</w:t>
      </w:r>
      <w:r w:rsidRPr="007B3A11">
        <w:rPr>
          <w:lang w:val="es-ES"/>
        </w:rPr>
        <w:t xml:space="preserve"> impide ese movimiento. Su función fundacional consiste en preservar una frontera epistemológica: </w:t>
      </w:r>
      <w:r w:rsidRPr="007B3A11">
        <w:rPr>
          <w:lang w:val="es-ES"/>
        </w:rPr>
        <w:lastRenderedPageBreak/>
        <w:t>hay algo respecto de lo cual todavía no existe una coordenada positiva y, por tanto, el cálculo no está autorizado a fingir que sí existe.</w:t>
      </w:r>
    </w:p>
    <w:p w14:paraId="680C5405" w14:textId="77777777" w:rsidR="007B3A11" w:rsidRDefault="007B3A11" w:rsidP="007B3A11">
      <w:pPr>
        <w:ind w:firstLine="709"/>
        <w:jc w:val="both"/>
        <w:rPr>
          <w:lang w:val="es-ES"/>
        </w:rPr>
      </w:pPr>
      <w:r w:rsidRPr="007B3A11">
        <w:rPr>
          <w:lang w:val="es-ES"/>
        </w:rPr>
        <w:t xml:space="preserve">De aquí surge la primera distinción formal. Que algo se encuentre fuera del alfabeto estructural no equivale a que una ocurrencia ya observada no pueda ser identificada. En el segundo caso sí existe estructura: el sistema sabe que hay una ocurrencia susceptible de clasificación, pero no dispone de evidencia suficiente para asignarla de manera canónica. A esa condición se la denomina UNKNOWN. </w:t>
      </w:r>
      <w:r>
        <w:t>Ω</w:t>
      </w:r>
      <w:r w:rsidRPr="007B3A11">
        <w:rPr>
          <w:lang w:val="es-ES"/>
        </w:rPr>
        <w:t xml:space="preserve"> y UNKNOWN pueden parecer próximos porque ambos suspenden una identificación, pero pertenecen a órdenes epistemológicos distintos. </w:t>
      </w:r>
      <w:r>
        <w:t>Ω</w:t>
      </w:r>
      <w:r w:rsidRPr="007B3A11">
        <w:rPr>
          <w:lang w:val="es-ES"/>
        </w:rPr>
        <w:t xml:space="preserve"> está fuera del sistema de coordenadas; UNKNOWN aparece cuando el sistema ya ha recibido una ocurrencia y no puede resolver su asignación positiva.</w:t>
      </w:r>
    </w:p>
    <w:p w14:paraId="3C0038DB" w14:textId="77777777" w:rsidR="0033700A" w:rsidRPr="007B3A11" w:rsidRDefault="0033700A" w:rsidP="007B3A11">
      <w:pPr>
        <w:ind w:firstLine="709"/>
        <w:jc w:val="both"/>
        <w:rPr>
          <w:lang w:val="es-ES"/>
        </w:rPr>
      </w:pPr>
    </w:p>
    <w:p w14:paraId="6F91F8C1" w14:textId="77777777" w:rsidR="007B3A11" w:rsidRPr="006C2240" w:rsidRDefault="007B3A11" w:rsidP="007B3A11">
      <w:pPr>
        <w:keepLines/>
        <w:jc w:val="center"/>
      </w:pPr>
      <m:oMathPara>
        <m:oMath>
          <m:r>
            <w:rPr>
              <w:rFonts w:ascii="Cambria Math" w:hAnsi="Cambria Math"/>
            </w:rPr>
            <m:t>Ω</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m:rPr>
              <m:nor/>
            </m:rPr>
            <m:t>UNKNOWN</m:t>
          </m:r>
          <m:r>
            <m:rPr>
              <m:sty m:val="p"/>
            </m:rPr>
            <w:rPr>
              <w:rFonts w:ascii="Cambria Math" w:hAnsi="Cambria Math"/>
            </w:rPr>
            <m:t>},</m:t>
          </m:r>
          <m:r>
            <w:rPr>
              <w:rFonts w:ascii="Cambria Math" w:hAnsi="Cambria Math"/>
            </w:rPr>
            <m:t>  </m:t>
          </m:r>
          <m:r>
            <m:rPr>
              <m:nor/>
            </m:rPr>
            <m:t>UNKNOWN</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m:oMathPara>
    </w:p>
    <w:p w14:paraId="4E010417" w14:textId="77777777" w:rsidR="0033700A" w:rsidRPr="007F783E" w:rsidRDefault="0033700A" w:rsidP="007B3A11">
      <w:pPr>
        <w:ind w:firstLine="709"/>
        <w:jc w:val="both"/>
      </w:pPr>
    </w:p>
    <w:p w14:paraId="1806C97D" w14:textId="77777777" w:rsidR="007B3A11" w:rsidRPr="007B3A11" w:rsidRDefault="007B3A11" w:rsidP="007B3A11">
      <w:pPr>
        <w:ind w:firstLine="709"/>
        <w:jc w:val="both"/>
        <w:rPr>
          <w:lang w:val="es-ES"/>
        </w:rPr>
      </w:pPr>
      <w:r w:rsidRPr="007B3A11">
        <w:rPr>
          <w:lang w:val="es-ES"/>
        </w:rPr>
        <w:t xml:space="preserve">La diferencia puede formularse sin recurrir todavía a ninguna geometría. </w:t>
      </w:r>
      <w:r>
        <w:t>Ω</w:t>
      </w:r>
      <w:r w:rsidRPr="007B3A11">
        <w:rPr>
          <w:lang w:val="es-ES"/>
        </w:rPr>
        <w:t xml:space="preserve"> significa que no hay una ocurrencia estructural positiva disponible para ser localizada. UNKNOWN significa que sí hay una ocurrencia estructural, pero su localización canónica no está resuelta. En consecuencia, UNKNOWN no debe recibir profundidad, anillo ni posición por defecto. Tampoco puede utilizarse como valor neutral. La falta de identificación es información acerca del estado del conocimiento del sistema, no una coordenada intermedia entre las coordenadas que sí conoce.</w:t>
      </w:r>
    </w:p>
    <w:p w14:paraId="576C7FCC" w14:textId="77777777" w:rsidR="007B3A11" w:rsidRPr="007B3A11" w:rsidRDefault="007B3A11" w:rsidP="007B3A11">
      <w:pPr>
        <w:ind w:firstLine="709"/>
        <w:jc w:val="both"/>
        <w:rPr>
          <w:lang w:val="es-ES"/>
        </w:rPr>
      </w:pPr>
      <w:r w:rsidRPr="007B3A11">
        <w:rPr>
          <w:lang w:val="es-ES"/>
        </w:rPr>
        <w:t>Una vez preservada esa exterioridad, puede aparecer el primer objeto positivo: la ocurrencia. Una ocurrencia es una instancia observada a la que puede asignarse una función estructural. Esta definición separa desde el principio dos identidades que en lenguaje ordinario tienden a confundirse. La identidad de la ocurrencia responde a «este acontecimiento estructural concreto dentro de esta trayectoria». La identidad del estado responde a «qué clase de posición estructural ocupa». Dos ocurrencias distintas pueden ocupar el mismo estado sin convertirse por ello en la misma ocurrencia. El regreso posterior a una misma clase estructural no borra el tiempo transcurrido entre ambas.</w:t>
      </w:r>
    </w:p>
    <w:p w14:paraId="786FA892" w14:textId="77777777" w:rsidR="007B3A11" w:rsidRPr="007B3A11" w:rsidRDefault="007B3A11" w:rsidP="007B3A11">
      <w:pPr>
        <w:ind w:firstLine="709"/>
        <w:jc w:val="both"/>
        <w:rPr>
          <w:lang w:val="es-ES"/>
        </w:rPr>
      </w:pPr>
      <w:r w:rsidRPr="007B3A11">
        <w:rPr>
          <w:lang w:val="es-ES"/>
        </w:rPr>
        <w:t xml:space="preserve">Esta separación permite que el formalismo sea estructural sin convertirse en una ontología del contenido. Una coordenada no dice qué objeto del mundo ha sido pensado. Dice qué papel ocupa una ocurrencia dentro de la organización inferencial declarada. Dos realizaciones semánticamente incompatibles pueden, por tanto, proyectarse sobre una misma clase de posición; del mismo modo, compartir una posición no autoriza a concluir que expresen la misma idea. La semántica determina qué quiere decir una realización. El </w:t>
      </w:r>
      <w:r w:rsidRPr="007B3A11">
        <w:rPr>
          <w:lang w:val="es-ES"/>
        </w:rPr>
        <w:lastRenderedPageBreak/>
        <w:t>formalismo determina qué organización estructural ha sido declarada y qué consecuencias pueden calcularse a partir de ella.</w:t>
      </w:r>
    </w:p>
    <w:p w14:paraId="6EA2E5B8" w14:textId="77777777" w:rsidR="007B3A11" w:rsidRDefault="007B3A11" w:rsidP="007B3A11">
      <w:pPr>
        <w:ind w:firstLine="709"/>
        <w:jc w:val="both"/>
        <w:rPr>
          <w:lang w:val="es-ES"/>
        </w:rPr>
      </w:pPr>
      <w:r w:rsidRPr="007B3A11">
        <w:rPr>
          <w:lang w:val="es-ES"/>
        </w:rPr>
        <w:t>El primer estado positivo que debe distinguirse es WHY. Una trayectoria puede avanzar hacia el fundamento explicativo de aquello que representa: la razón por la que algo es, ocurre o puede sostenerse. WHY no contiene una causa universal ni impone una teoría causal al dominio. Es una posición estructural de profundidad explicativa. Cuando una ocurrencia es proyectada sobre WHY, el sistema no afirma que haya descubierto la causa verdadera del fenómeno; afirma que, dentro de la representación aceptada, esa ocurrencia desempeña la función de fundamento o causalidad explicativa.</w:t>
      </w:r>
    </w:p>
    <w:p w14:paraId="7A53A745" w14:textId="77777777" w:rsidR="003E496D" w:rsidRPr="007B3A11" w:rsidRDefault="003E496D" w:rsidP="007B3A11">
      <w:pPr>
        <w:ind w:firstLine="709"/>
        <w:jc w:val="both"/>
        <w:rPr>
          <w:lang w:val="es-ES"/>
        </w:rPr>
      </w:pPr>
    </w:p>
    <w:p w14:paraId="764503C4" w14:textId="77777777" w:rsidR="007B3A11" w:rsidRPr="007B3A11" w:rsidRDefault="00C026F8" w:rsidP="007B3A11">
      <w:pPr>
        <w:keepLines/>
        <w:jc w:val="center"/>
        <w:rPr>
          <w:lang w:val="es-ES"/>
        </w:rPr>
      </w:pPr>
      <m:oMathPara>
        <m:oMath>
          <m:sSub>
            <m:sSubPr>
              <m:ctrlPr>
                <w:rPr>
                  <w:rFonts w:ascii="Cambria Math" w:hAnsi="Cambria Math"/>
                </w:rPr>
              </m:ctrlPr>
            </m:sSubPr>
            <m:e>
              <m:r>
                <w:rPr>
                  <w:rFonts w:ascii="Cambria Math" w:hAnsi="Cambria Math"/>
                </w:rPr>
                <m:t>R</m:t>
              </m:r>
            </m:e>
            <m:sub>
              <m:r>
                <w:rPr>
                  <w:rFonts w:ascii="Cambria Math" w:hAnsi="Cambria Math"/>
                  <w:lang w:val="es-ES"/>
                </w:rPr>
                <m:t>0</m:t>
              </m:r>
            </m:sub>
          </m:sSub>
          <m:r>
            <m:rPr>
              <m:sty m:val="p"/>
            </m:rPr>
            <w:rPr>
              <w:rFonts w:ascii="Cambria Math" w:hAnsi="Cambria Math"/>
              <w:lang w:val="es-ES"/>
            </w:rPr>
            <m:t>={</m:t>
          </m:r>
          <m:r>
            <m:rPr>
              <m:nor/>
            </m:rPr>
            <w:rPr>
              <w:lang w:val="es-ES"/>
            </w:rPr>
            <m:t>WHY</m:t>
          </m:r>
          <m:r>
            <m:rPr>
              <m:sty m:val="p"/>
            </m:rPr>
            <w:rPr>
              <w:rFonts w:ascii="Cambria Math" w:hAnsi="Cambria Math"/>
              <w:lang w:val="es-ES"/>
            </w:rPr>
            <m:t>}</m:t>
          </m:r>
        </m:oMath>
      </m:oMathPara>
    </w:p>
    <w:p w14:paraId="50AE603A" w14:textId="77777777" w:rsidR="003E496D" w:rsidRDefault="003E496D" w:rsidP="007B3A11">
      <w:pPr>
        <w:ind w:firstLine="709"/>
        <w:jc w:val="both"/>
        <w:rPr>
          <w:lang w:val="es-ES"/>
        </w:rPr>
      </w:pPr>
    </w:p>
    <w:p w14:paraId="4CAE6BCF" w14:textId="77777777" w:rsidR="007B3A11" w:rsidRPr="007B3A11" w:rsidRDefault="007B3A11" w:rsidP="007B3A11">
      <w:pPr>
        <w:ind w:firstLine="709"/>
        <w:jc w:val="both"/>
        <w:rPr>
          <w:lang w:val="es-ES"/>
        </w:rPr>
      </w:pPr>
      <w:r w:rsidRPr="007B3A11">
        <w:rPr>
          <w:lang w:val="es-ES"/>
        </w:rPr>
        <w:t>WHY ocupa el estrato radial R0. El índice cero no significa ausencia ni inferioridad. Designa el núcleo de referencia de la profundidad explicativa. La elección permite que el resto de posiciones radiales puedan expresarse por su separación ordinal respecto de ese núcleo sin introducir todavía una distancia física. R0 es, por tanto, el punto de estabilización de la dimensión explicativa: no porque toda trayectoria deba terminar allí, sino porque proporciona el origen respecto del cual puede hablarse de profundidad.</w:t>
      </w:r>
    </w:p>
    <w:p w14:paraId="5A6ABCC3" w14:textId="77777777" w:rsidR="007B3A11" w:rsidRDefault="007B3A11" w:rsidP="007B3A11">
      <w:pPr>
        <w:ind w:firstLine="709"/>
        <w:jc w:val="both"/>
        <w:rPr>
          <w:lang w:val="es-ES"/>
        </w:rPr>
      </w:pPr>
      <w:r w:rsidRPr="007B3A11">
        <w:rPr>
          <w:lang w:val="es-ES"/>
        </w:rPr>
        <w:t>Entre fundamento y entidad aparece HOW. Una explicación puede conocer aquello sobre lo que razona y, sin embargo, ignorar el mecanismo que articula su comportamiento. HOW ocupa esa función intermedia: clarifica el mecanismo, proceso o articulación mediante el que una representación puede conectarse con su fundamento. Tampoco aquí la coordenada contiene la semántica del mecanismo. Dos mecanismos radicalmente diferentes pueden ocupar HOW en dos realizaciones distintas sin que el formalismo los confunda como contenido.</w:t>
      </w:r>
    </w:p>
    <w:p w14:paraId="4BD87981" w14:textId="77777777" w:rsidR="003E496D" w:rsidRPr="007B3A11" w:rsidRDefault="003E496D" w:rsidP="007B3A11">
      <w:pPr>
        <w:ind w:firstLine="709"/>
        <w:jc w:val="both"/>
        <w:rPr>
          <w:lang w:val="es-ES"/>
        </w:rPr>
      </w:pPr>
    </w:p>
    <w:p w14:paraId="4ABA1C95" w14:textId="77777777" w:rsidR="007B3A11" w:rsidRPr="007B3A11" w:rsidRDefault="00C026F8" w:rsidP="007B3A11">
      <w:pPr>
        <w:keepLines/>
        <w:jc w:val="center"/>
        <w:rPr>
          <w:lang w:val="es-ES"/>
        </w:rPr>
      </w:pPr>
      <m:oMathPara>
        <m:oMath>
          <m:sSub>
            <m:sSubPr>
              <m:ctrlPr>
                <w:rPr>
                  <w:rFonts w:ascii="Cambria Math" w:hAnsi="Cambria Math"/>
                </w:rPr>
              </m:ctrlPr>
            </m:sSubPr>
            <m:e>
              <m:r>
                <w:rPr>
                  <w:rFonts w:ascii="Cambria Math" w:hAnsi="Cambria Math"/>
                </w:rPr>
                <m:t>R</m:t>
              </m:r>
            </m:e>
            <m:sub>
              <m:r>
                <w:rPr>
                  <w:rFonts w:ascii="Cambria Math" w:hAnsi="Cambria Math"/>
                  <w:lang w:val="es-ES"/>
                </w:rPr>
                <m:t>1</m:t>
              </m:r>
            </m:sub>
          </m:sSub>
          <m:r>
            <m:rPr>
              <m:sty m:val="p"/>
            </m:rPr>
            <w:rPr>
              <w:rFonts w:ascii="Cambria Math" w:hAnsi="Cambria Math"/>
              <w:lang w:val="es-ES"/>
            </w:rPr>
            <m:t>={</m:t>
          </m:r>
          <m:r>
            <m:rPr>
              <m:nor/>
            </m:rPr>
            <w:rPr>
              <w:lang w:val="es-ES"/>
            </w:rPr>
            <m:t>HOW</m:t>
          </m:r>
          <m:r>
            <m:rPr>
              <m:sty m:val="p"/>
            </m:rPr>
            <w:rPr>
              <w:rFonts w:ascii="Cambria Math" w:hAnsi="Cambria Math"/>
              <w:lang w:val="es-ES"/>
            </w:rPr>
            <m:t>}</m:t>
          </m:r>
        </m:oMath>
      </m:oMathPara>
    </w:p>
    <w:p w14:paraId="60E76E59" w14:textId="77777777" w:rsidR="003E496D" w:rsidRDefault="003E496D" w:rsidP="007B3A11">
      <w:pPr>
        <w:ind w:firstLine="709"/>
        <w:jc w:val="both"/>
        <w:rPr>
          <w:lang w:val="es-ES"/>
        </w:rPr>
      </w:pPr>
    </w:p>
    <w:p w14:paraId="29812D97" w14:textId="77777777" w:rsidR="007B3A11" w:rsidRPr="007B3A11" w:rsidRDefault="007B3A11" w:rsidP="007B3A11">
      <w:pPr>
        <w:ind w:firstLine="709"/>
        <w:jc w:val="both"/>
        <w:rPr>
          <w:lang w:val="es-ES"/>
        </w:rPr>
      </w:pPr>
      <w:r w:rsidRPr="007B3A11">
        <w:rPr>
          <w:lang w:val="es-ES"/>
        </w:rPr>
        <w:t>HOW ocupa R1 porque su función es mediadora. Desde la periferia puede conducir hacia una explicación más profunda; desde el fundamento puede proyectar hacia una realización más concreta. Esta doble posibilidad será decisiva cuando aparezca la dirección, pero todavía no debe confundirse posición con movimiento. R1 existe como estrato</w:t>
      </w:r>
      <w:r w:rsidR="0003301D">
        <w:rPr>
          <w:lang w:val="es-ES"/>
        </w:rPr>
        <w:t>,</w:t>
      </w:r>
      <w:r w:rsidRPr="007B3A11">
        <w:rPr>
          <w:lang w:val="es-ES"/>
        </w:rPr>
        <w:t xml:space="preserve"> aunque ninguna trayectoria lo atraviese en un fragmento determinado. La </w:t>
      </w:r>
      <w:r w:rsidRPr="007B3A11">
        <w:rPr>
          <w:lang w:val="es-ES"/>
        </w:rPr>
        <w:lastRenderedPageBreak/>
        <w:t>coordenada define una posibilidad estructural; la trayectoria determinará después qué posiciones fueron efectivamente ocupadas y en qué orden.</w:t>
      </w:r>
    </w:p>
    <w:p w14:paraId="5BBECADA" w14:textId="77777777" w:rsidR="007B3A11" w:rsidRDefault="007B3A11" w:rsidP="007B3A11">
      <w:pPr>
        <w:ind w:firstLine="709"/>
        <w:jc w:val="both"/>
        <w:rPr>
          <w:lang w:val="es-ES"/>
        </w:rPr>
      </w:pPr>
      <w:r w:rsidRPr="007B3A11">
        <w:rPr>
          <w:lang w:val="es-ES"/>
        </w:rPr>
        <w:t>La periferia radial está formada por WHAT, WHO y WHICH. WHAT resuelve qué entidad, fenómeno o contenido está siendo descrito; WHO y WHICH refinan la identificación cuando la naturaleza de la representación exige distinguir identidad o selección. Los tres estados son diferentes, pero comparten una misma profundidad estructural. Esta coexistencia será matemáticamente importante más adelante: dos estados distintos podrán encontrarse a la misma profundidad sin ser idénticos. Por ahora basta conservar la distinción entre posición radial e identidad de estado.</w:t>
      </w:r>
    </w:p>
    <w:p w14:paraId="4178F499" w14:textId="77777777" w:rsidR="003E496D" w:rsidRPr="007B3A11" w:rsidRDefault="003E496D" w:rsidP="007B3A11">
      <w:pPr>
        <w:ind w:firstLine="709"/>
        <w:jc w:val="both"/>
        <w:rPr>
          <w:lang w:val="es-ES"/>
        </w:rPr>
      </w:pPr>
    </w:p>
    <w:p w14:paraId="584C5E88" w14:textId="77777777" w:rsidR="007B3A11" w:rsidRPr="007B3A11" w:rsidRDefault="00C026F8" w:rsidP="007B3A11">
      <w:pPr>
        <w:keepLines/>
        <w:jc w:val="center"/>
        <w:rPr>
          <w:lang w:val="es-ES"/>
        </w:rPr>
      </w:pPr>
      <m:oMathPara>
        <m:oMath>
          <m:sSub>
            <m:sSubPr>
              <m:ctrlPr>
                <w:rPr>
                  <w:rFonts w:ascii="Cambria Math" w:hAnsi="Cambria Math"/>
                </w:rPr>
              </m:ctrlPr>
            </m:sSubPr>
            <m:e>
              <m:r>
                <w:rPr>
                  <w:rFonts w:ascii="Cambria Math" w:hAnsi="Cambria Math"/>
                </w:rPr>
                <m:t>R</m:t>
              </m:r>
            </m:e>
            <m:sub>
              <m:r>
                <w:rPr>
                  <w:rFonts w:ascii="Cambria Math" w:hAnsi="Cambria Math"/>
                  <w:lang w:val="es-ES"/>
                </w:rPr>
                <m:t>2</m:t>
              </m:r>
            </m:sub>
          </m:sSub>
          <m:r>
            <m:rPr>
              <m:sty m:val="p"/>
            </m:rPr>
            <w:rPr>
              <w:rFonts w:ascii="Cambria Math" w:hAnsi="Cambria Math"/>
              <w:lang w:val="es-ES"/>
            </w:rPr>
            <m:t>={</m:t>
          </m:r>
          <m:r>
            <m:rPr>
              <m:nor/>
            </m:rPr>
            <w:rPr>
              <w:lang w:val="es-ES"/>
            </w:rPr>
            <m:t>WHAT</m:t>
          </m:r>
          <m:r>
            <m:rPr>
              <m:sty m:val="p"/>
            </m:rPr>
            <w:rPr>
              <w:rFonts w:ascii="Cambria Math" w:hAnsi="Cambria Math"/>
              <w:lang w:val="es-ES"/>
            </w:rPr>
            <m:t>,</m:t>
          </m:r>
          <m:r>
            <m:rPr>
              <m:nor/>
            </m:rPr>
            <w:rPr>
              <w:lang w:val="es-ES"/>
            </w:rPr>
            <m:t>WHO</m:t>
          </m:r>
          <m:r>
            <m:rPr>
              <m:sty m:val="p"/>
            </m:rPr>
            <w:rPr>
              <w:rFonts w:ascii="Cambria Math" w:hAnsi="Cambria Math"/>
              <w:lang w:val="es-ES"/>
            </w:rPr>
            <m:t>,</m:t>
          </m:r>
          <m:r>
            <m:rPr>
              <m:nor/>
            </m:rPr>
            <w:rPr>
              <w:lang w:val="es-ES"/>
            </w:rPr>
            <m:t>WHICH</m:t>
          </m:r>
          <m:r>
            <m:rPr>
              <m:sty m:val="p"/>
            </m:rPr>
            <w:rPr>
              <w:rFonts w:ascii="Cambria Math" w:hAnsi="Cambria Math"/>
              <w:lang w:val="es-ES"/>
            </w:rPr>
            <m:t>}</m:t>
          </m:r>
        </m:oMath>
      </m:oMathPara>
    </w:p>
    <w:p w14:paraId="04D37627" w14:textId="77777777" w:rsidR="003E496D" w:rsidRDefault="003E496D" w:rsidP="007B3A11">
      <w:pPr>
        <w:ind w:firstLine="709"/>
        <w:jc w:val="both"/>
        <w:rPr>
          <w:lang w:val="es-ES"/>
        </w:rPr>
      </w:pPr>
    </w:p>
    <w:p w14:paraId="3F687B7A" w14:textId="77777777" w:rsidR="007B3A11" w:rsidRPr="007B3A11" w:rsidRDefault="007B3A11" w:rsidP="007B3A11">
      <w:pPr>
        <w:ind w:firstLine="709"/>
        <w:jc w:val="both"/>
        <w:rPr>
          <w:lang w:val="es-ES"/>
        </w:rPr>
      </w:pPr>
      <w:r w:rsidRPr="007B3A11">
        <w:rPr>
          <w:lang w:val="es-ES"/>
        </w:rPr>
        <w:t>La organización radial queda así formada por tres estratos: R0, R1 y R2. No hay un cuarto radio reservado al contexto. Esta precisión corrige una intuición visual fácil pero equivocada. WHEN, WHERE y HOW_MUCH no prolongan la secuencia como R3 porque tiempo, lugar y cantidad no constituyen una profundidad explicativa adicional. Su función consiste en anclar contextualmente una trayectoria que ya se despliega entre posiciones radiales.</w:t>
      </w:r>
    </w:p>
    <w:p w14:paraId="2655D1D6" w14:textId="77777777" w:rsidR="007B3A11" w:rsidRDefault="007B3A11" w:rsidP="007B3A11">
      <w:pPr>
        <w:ind w:firstLine="709"/>
        <w:jc w:val="both"/>
        <w:rPr>
          <w:lang w:val="es-ES"/>
        </w:rPr>
      </w:pPr>
      <w:r w:rsidRPr="007B3A11">
        <w:rPr>
          <w:lang w:val="es-ES"/>
        </w:rPr>
        <w:t>WHEN responde a la localización temporal; WHERE, a la localización espacial o situacional; HOW_MUCH, a la magnitud relevante. Estas funciones pueden intervenir entre la identificación de una entidad y la clarificación de su mecanismo, o entre el mecanismo y su fundamento. Su posición depende de la trayectoria observada. Por eso se denominan estados orbitales o de grounding: pertenecen positivamente al alfabeto estructural, pero carecen de profundidad radial fija.</w:t>
      </w:r>
    </w:p>
    <w:p w14:paraId="455FC267" w14:textId="77777777" w:rsidR="00080EE5" w:rsidRPr="007B3A11" w:rsidRDefault="00080EE5" w:rsidP="007B3A11">
      <w:pPr>
        <w:ind w:firstLine="709"/>
        <w:jc w:val="both"/>
        <w:rPr>
          <w:lang w:val="es-ES"/>
        </w:rPr>
      </w:pPr>
    </w:p>
    <w:p w14:paraId="05B1C416" w14:textId="77777777" w:rsidR="007B3A11" w:rsidRDefault="00C026F8" w:rsidP="007B3A11">
      <w:pPr>
        <w:keepLines/>
        <w:jc w:val="center"/>
      </w:pPr>
      <m:oMathPara>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r>
            <m:rPr>
              <m:nor/>
            </m:rPr>
            <m:t>WHEN</m:t>
          </m:r>
          <m:r>
            <m:rPr>
              <m:sty m:val="p"/>
            </m:rPr>
            <w:rPr>
              <w:rFonts w:ascii="Cambria Math" w:hAnsi="Cambria Math"/>
            </w:rPr>
            <m:t>,</m:t>
          </m:r>
          <m:r>
            <m:rPr>
              <m:nor/>
            </m:rPr>
            <m:t>WHERE</m:t>
          </m:r>
          <m:r>
            <m:rPr>
              <m:sty m:val="p"/>
            </m:rPr>
            <w:rPr>
              <w:rFonts w:ascii="Cambria Math" w:hAnsi="Cambria Math"/>
            </w:rPr>
            <m:t>,</m:t>
          </m:r>
          <m:r>
            <m:rPr>
              <m:nor/>
            </m:rPr>
            <m:t>HOW_MUCH</m:t>
          </m:r>
          <m:r>
            <m:rPr>
              <m:sty m:val="p"/>
            </m:rPr>
            <w:rPr>
              <w:rFonts w:ascii="Cambria Math" w:hAnsi="Cambria Math"/>
            </w:rPr>
            <m:t>}</m:t>
          </m:r>
        </m:oMath>
      </m:oMathPara>
    </w:p>
    <w:p w14:paraId="0FBC2B3B" w14:textId="77777777" w:rsidR="00080EE5" w:rsidRPr="007F783E" w:rsidRDefault="00080EE5" w:rsidP="007B3A11">
      <w:pPr>
        <w:ind w:firstLine="709"/>
        <w:jc w:val="both"/>
      </w:pPr>
    </w:p>
    <w:p w14:paraId="40D3227E" w14:textId="77777777" w:rsidR="007B3A11" w:rsidRPr="007B3A11" w:rsidRDefault="007B3A11" w:rsidP="007B3A11">
      <w:pPr>
        <w:ind w:firstLine="709"/>
        <w:jc w:val="both"/>
        <w:rPr>
          <w:lang w:val="es-ES"/>
        </w:rPr>
      </w:pPr>
      <w:r w:rsidRPr="007B3A11">
        <w:rPr>
          <w:lang w:val="es-ES"/>
        </w:rPr>
        <w:t>El término orbital no debe interpretarse como una órbita física. Expresa una relación de localización contextual respecto de los estratos radiales. Si una ocurrencia WHEN aparece entre una ocurrencia R2 y otra R1, su anclaje contextual queda asociado a esa región inter</w:t>
      </w:r>
      <w:r w:rsidR="0003301D">
        <w:rPr>
          <w:lang w:val="es-ES"/>
        </w:rPr>
        <w:t>-</w:t>
      </w:r>
      <w:r w:rsidRPr="007B3A11">
        <w:rPr>
          <w:lang w:val="es-ES"/>
        </w:rPr>
        <w:t>estrato; si aparece entre R1 y R0, la localización cambia. Cuando el fragmento observado no contiene anclajes suficientes, el sistema no inventa una posición. Conserva la ambigüedad. Esta disciplina será posteriormente una de las condiciones para distinguir una propiedad no estimable de una propiedad cuyo valor sea cero.</w:t>
      </w:r>
    </w:p>
    <w:p w14:paraId="7EDF0E1E" w14:textId="77777777" w:rsidR="007B3A11" w:rsidRDefault="007B3A11" w:rsidP="007B3A11">
      <w:pPr>
        <w:ind w:firstLine="709"/>
        <w:jc w:val="both"/>
        <w:rPr>
          <w:lang w:val="es-ES"/>
        </w:rPr>
      </w:pPr>
      <w:r w:rsidRPr="007B3A11">
        <w:rPr>
          <w:lang w:val="es-ES"/>
        </w:rPr>
        <w:lastRenderedPageBreak/>
        <w:t>Con los estados radiales y orbitales puede definirse ya el alfabeto positivo del sistema. Es deliberadamente pequeño. Su objetivo no es describir todos los significados posibles, sino proporcionar las clases mínimas de localización que la arquitectura necesita para representar la organización de una trayectoria sin apropiarse de la ontología del dominio.</w:t>
      </w:r>
    </w:p>
    <w:p w14:paraId="4E2D86A4" w14:textId="77777777" w:rsidR="00080EE5" w:rsidRPr="007B3A11" w:rsidRDefault="00080EE5" w:rsidP="007B3A11">
      <w:pPr>
        <w:ind w:firstLine="709"/>
        <w:jc w:val="both"/>
        <w:rPr>
          <w:lang w:val="es-ES"/>
        </w:rPr>
      </w:pPr>
    </w:p>
    <w:p w14:paraId="4393113A" w14:textId="77777777" w:rsidR="007B3A11" w:rsidRDefault="00C026F8" w:rsidP="007B3A11">
      <w:pPr>
        <w:keepLines/>
        <w:jc w:val="cente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m:t>
              </m:r>
            </m:sub>
          </m:sSub>
        </m:oMath>
      </m:oMathPara>
    </w:p>
    <w:p w14:paraId="7C08BB21" w14:textId="77777777" w:rsidR="00080EE5" w:rsidRDefault="00080EE5" w:rsidP="007B3A11">
      <w:pPr>
        <w:ind w:firstLine="709"/>
        <w:jc w:val="both"/>
        <w:rPr>
          <w:lang w:val="es-ES"/>
        </w:rPr>
      </w:pPr>
    </w:p>
    <w:p w14:paraId="75FFD1C1" w14:textId="77777777" w:rsidR="007B3A11" w:rsidRPr="007B3A11" w:rsidRDefault="007B3A11" w:rsidP="007B3A11">
      <w:pPr>
        <w:ind w:firstLine="709"/>
        <w:jc w:val="both"/>
        <w:rPr>
          <w:lang w:val="es-ES"/>
        </w:rPr>
      </w:pPr>
      <w:r w:rsidRPr="006C2240">
        <w:rPr>
          <w:lang w:val="es-ES"/>
        </w:rPr>
        <w:t xml:space="preserve">UNKNOWN no designa un estado radial ni orbital y, por ello, no puede recibir una distancia radial. Sin embargo, a diferencia de </w:t>
      </w:r>
      <w:r>
        <w:t>Ω</w:t>
      </w:r>
      <w:r w:rsidRPr="006C2240">
        <w:rPr>
          <w:lang w:val="es-ES"/>
        </w:rPr>
        <w:t xml:space="preserve">, sí designa una ocurrencia positiva cuya asignación de coordenada sigue sin resolverse. Para evitar una ambigüedad de notación, S⁺ se reserva aquí al alfabeto de estados ya asignados, mientras que el portador ampliado de asignaciones positivas es S⁺ ∪ {UNKNOWN}. </w:t>
      </w:r>
      <w:r>
        <w:t>Ω</w:t>
      </w:r>
      <w:r w:rsidRPr="006C2240">
        <w:rPr>
          <w:lang w:val="es-ES"/>
        </w:rPr>
        <w:t xml:space="preserve"> permanece fuera de ambos: no es una ocurrencia ni un estado positivo.</w:t>
      </w:r>
    </w:p>
    <w:p w14:paraId="721EC130" w14:textId="77777777" w:rsidR="007B3A11" w:rsidRDefault="007B3A11" w:rsidP="007B3A11">
      <w:pPr>
        <w:ind w:firstLine="709"/>
        <w:jc w:val="both"/>
        <w:rPr>
          <w:lang w:val="es-ES"/>
        </w:rPr>
      </w:pPr>
      <w:r w:rsidRPr="007B3A11">
        <w:rPr>
          <w:lang w:val="es-ES"/>
        </w:rPr>
        <w:t>A partir de aquí puede introducirse la orientación sin alterar el significado de las coordenadas. La tríada explicativa WHY-HOW-WHAT admite dos recorridos canónicos inversos. Una trayectoria que parte de una identificación periférica y profundiza hacia mecanismo y fundamento adopta orientación convergente. Una trayectoria que parte de un fundamento y proyecta hacia mecanismo y realización adopta orientación divergente.</w:t>
      </w:r>
    </w:p>
    <w:p w14:paraId="20E633D1" w14:textId="77777777" w:rsidR="00080EE5" w:rsidRPr="007B3A11" w:rsidRDefault="00080EE5" w:rsidP="007B3A11">
      <w:pPr>
        <w:ind w:firstLine="709"/>
        <w:jc w:val="both"/>
        <w:rPr>
          <w:lang w:val="es-ES"/>
        </w:rPr>
      </w:pPr>
    </w:p>
    <w:p w14:paraId="3A5EA9A0" w14:textId="77777777" w:rsidR="007B3A11" w:rsidRDefault="007B3A11" w:rsidP="007B3A11">
      <w:pPr>
        <w:keepLines/>
        <w:jc w:val="center"/>
      </w:pPr>
      <m:oMathPara>
        <m:oMath>
          <m:r>
            <m:rPr>
              <m:sty m:val="p"/>
            </m:rPr>
            <w:rPr>
              <w:rFonts w:ascii="Cambria Math" w:hAnsi="Cambria Math"/>
            </w:rPr>
            <m:t>CONVERGENT:</m:t>
          </m:r>
          <m:r>
            <w:rPr>
              <w:rFonts w:ascii="Cambria Math" w:hAnsi="Cambria Math"/>
            </w:rPr>
            <m:t> </m:t>
          </m:r>
          <m:r>
            <m:rPr>
              <m:sty m:val="p"/>
            </m:rPr>
            <w:rPr>
              <w:rFonts w:ascii="Cambria Math" w:hAnsi="Cambria Math"/>
            </w:rPr>
            <m:t>WHAT→HOW→WHY</m:t>
          </m:r>
        </m:oMath>
      </m:oMathPara>
    </w:p>
    <w:p w14:paraId="5C9E2AA7" w14:textId="77777777" w:rsidR="007B3A11" w:rsidRDefault="007B3A11" w:rsidP="007B3A11">
      <w:pPr>
        <w:keepLines/>
        <w:jc w:val="center"/>
      </w:pPr>
      <m:oMathPara>
        <m:oMath>
          <m:r>
            <m:rPr>
              <m:sty m:val="p"/>
            </m:rPr>
            <w:rPr>
              <w:rFonts w:ascii="Cambria Math" w:hAnsi="Cambria Math"/>
            </w:rPr>
            <m:t>DIVERGENT:</m:t>
          </m:r>
          <m:r>
            <w:rPr>
              <w:rFonts w:ascii="Cambria Math" w:hAnsi="Cambria Math"/>
            </w:rPr>
            <m:t> </m:t>
          </m:r>
          <m:r>
            <m:rPr>
              <m:sty m:val="p"/>
            </m:rPr>
            <w:rPr>
              <w:rFonts w:ascii="Cambria Math" w:hAnsi="Cambria Math"/>
            </w:rPr>
            <m:t>WHY→HOW→WHAT</m:t>
          </m:r>
        </m:oMath>
      </m:oMathPara>
    </w:p>
    <w:p w14:paraId="3AD7261B" w14:textId="77777777" w:rsidR="00080EE5" w:rsidRDefault="00080EE5" w:rsidP="007B3A11">
      <w:pPr>
        <w:ind w:firstLine="709"/>
        <w:jc w:val="both"/>
        <w:rPr>
          <w:lang w:val="es-ES"/>
        </w:rPr>
      </w:pPr>
    </w:p>
    <w:p w14:paraId="6ADDA0B0" w14:textId="77777777" w:rsidR="007B3A11" w:rsidRPr="007B3A11" w:rsidRDefault="007B3A11" w:rsidP="007B3A11">
      <w:pPr>
        <w:ind w:firstLine="709"/>
        <w:jc w:val="both"/>
        <w:rPr>
          <w:lang w:val="es-ES"/>
        </w:rPr>
      </w:pPr>
      <w:r w:rsidRPr="007B3A11">
        <w:rPr>
          <w:lang w:val="es-ES"/>
        </w:rPr>
        <w:t>Estas orientaciones no son juicios de calidad. Convergente no significa correcto y divergente no significa creativo. Son polaridades de recorrido sobre una base canónica. Tampoco toda trayectoria observada debe contener los tres estados ni recorrerlos de manera contigua. Puede existir compresión entre WHAT y WHY, repetición de posiciones, inserción de grounding o fragmentos cuya orientación no pueda sostenerse con evidencia suficiente. La dirección describe la orientación dominante de aquello que ha podido reconstruirse; no obliga a fabricar los pasos que no fueron observados.</w:t>
      </w:r>
    </w:p>
    <w:p w14:paraId="536A79B2" w14:textId="77777777" w:rsidR="007B3A11" w:rsidRPr="007B3A11" w:rsidRDefault="007B3A11" w:rsidP="007B3A11">
      <w:pPr>
        <w:ind w:firstLine="709"/>
        <w:jc w:val="both"/>
        <w:rPr>
          <w:lang w:val="es-ES"/>
        </w:rPr>
      </w:pPr>
      <w:r w:rsidRPr="007B3A11">
        <w:rPr>
          <w:lang w:val="es-ES"/>
        </w:rPr>
        <w:t xml:space="preserve">La dirección tampoco determina por sí misma la naturaleza de una relación. Esta separación es fundacional. Una cosa es el orden en el que aparecen las ocurrencias y otra la relación inferencial explícita que pueda declararse entre ellas. Dos ocurrencias consecutivas forman parte de la espina de recorrido por el mero hecho de sucederse dentro </w:t>
      </w:r>
      <w:r w:rsidRPr="007B3A11">
        <w:rPr>
          <w:lang w:val="es-ES"/>
        </w:rPr>
        <w:lastRenderedPageBreak/>
        <w:t>de la trayectoria observada; eso no autoriza a inventar entre ellas una dependencia semántica. Inversamente, dos ocurrencias no adyacentes pueden mantener una relación explícita que no se reduce a su distancia en la secuencia.</w:t>
      </w:r>
    </w:p>
    <w:p w14:paraId="36CB81F3" w14:textId="77777777" w:rsidR="007B3A11" w:rsidRDefault="007B3A11" w:rsidP="007B3A11">
      <w:pPr>
        <w:ind w:firstLine="709"/>
        <w:jc w:val="both"/>
        <w:rPr>
          <w:lang w:val="es-ES"/>
        </w:rPr>
      </w:pPr>
      <w:r w:rsidRPr="007B3A11">
        <w:rPr>
          <w:lang w:val="es-ES"/>
        </w:rPr>
        <w:t>De esta distinción nacen tres familias de transición estructural. GENERATIVE_LINK expresa el movimiento explicativo hacia mayor profundidad desde WHAT hacia HOW o WHY, y desde HOW hacia WHY. INTERPRETIVE_PROJECTION expresa la proyección inversa desde WHY hacia HOW o WHAT, y desde HOW hacia WHAT. CHAIN_CONNECTOR conserva el resto de conexiones admitidas sin atribuirles una semántica causal o proyectiva que no esté justificada por la posición de los estados.</w:t>
      </w:r>
    </w:p>
    <w:p w14:paraId="38450A6A" w14:textId="77777777" w:rsidR="00080EE5" w:rsidRPr="007B3A11" w:rsidRDefault="00080EE5" w:rsidP="007B3A11">
      <w:pPr>
        <w:ind w:firstLine="709"/>
        <w:jc w:val="both"/>
        <w:rPr>
          <w:lang w:val="es-ES"/>
        </w:rPr>
      </w:pPr>
    </w:p>
    <w:p w14:paraId="4BAD54C1" w14:textId="77777777" w:rsidR="007B3A11" w:rsidRDefault="00C026F8" w:rsidP="007B3A11">
      <w:pPr>
        <w:keepLines/>
        <w:jc w:val="center"/>
      </w:pPr>
      <m:oMathPara>
        <m:oMath>
          <m:sSub>
            <m:sSubPr>
              <m:ctrlPr>
                <w:rPr>
                  <w:rFonts w:ascii="Cambria Math" w:hAnsi="Cambria Math"/>
                </w:rPr>
              </m:ctrlPr>
            </m:sSubPr>
            <m:e>
              <m:r>
                <w:rPr>
                  <w:rFonts w:ascii="Cambria Math" w:hAnsi="Cambria Math"/>
                </w:rPr>
                <m:t>τ</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∈{GENERATIVE_LINK,INTERPRETIVE_PROJECTION,CHAIN_CONNECTOR}</m:t>
          </m:r>
        </m:oMath>
      </m:oMathPara>
    </w:p>
    <w:p w14:paraId="53995E8F" w14:textId="77777777" w:rsidR="00080EE5" w:rsidRDefault="00080EE5" w:rsidP="007B3A11">
      <w:pPr>
        <w:ind w:firstLine="709"/>
        <w:jc w:val="both"/>
        <w:rPr>
          <w:lang w:val="es-ES"/>
        </w:rPr>
      </w:pPr>
    </w:p>
    <w:p w14:paraId="3DCD63C0" w14:textId="77777777" w:rsidR="007B3A11" w:rsidRPr="007B3A11" w:rsidRDefault="007B3A11" w:rsidP="007B3A11">
      <w:pPr>
        <w:ind w:firstLine="709"/>
        <w:jc w:val="both"/>
        <w:rPr>
          <w:lang w:val="es-ES"/>
        </w:rPr>
      </w:pPr>
      <w:r w:rsidRPr="007B3A11">
        <w:rPr>
          <w:lang w:val="es-ES"/>
        </w:rPr>
        <w:t>La importancia de esta tipificación reside en que evita convertir la geometría en una narración retrospectiva. El sistema no decide que un enlace es generativo porque el resultado parezca una buena explicación, ni que una proyección es interpretativa porque el contenido resulte plausible. La clase de transición se deriva de la identidad estructural de los extremos cuando esa identidad autoriza una relación canónica; en los demás casos</w:t>
      </w:r>
      <w:r w:rsidR="00080EE5">
        <w:rPr>
          <w:lang w:val="es-ES"/>
        </w:rPr>
        <w:t>,</w:t>
      </w:r>
      <w:r w:rsidRPr="007B3A11">
        <w:rPr>
          <w:lang w:val="es-ES"/>
        </w:rPr>
        <w:t xml:space="preserve"> se conserva una conexión sin inventar significado adicional.</w:t>
      </w:r>
    </w:p>
    <w:p w14:paraId="0B788163" w14:textId="77777777" w:rsidR="007B3A11" w:rsidRPr="007B3A11" w:rsidRDefault="007B3A11" w:rsidP="007B3A11">
      <w:pPr>
        <w:ind w:firstLine="709"/>
        <w:jc w:val="both"/>
        <w:rPr>
          <w:lang w:val="es-ES"/>
        </w:rPr>
      </w:pPr>
      <w:r w:rsidRPr="007B3A11">
        <w:rPr>
          <w:lang w:val="es-ES"/>
        </w:rPr>
        <w:t xml:space="preserve">Ya puede verse por qué </w:t>
      </w:r>
      <w:r>
        <w:t>Ω</w:t>
      </w:r>
      <w:r w:rsidRPr="007B3A11">
        <w:rPr>
          <w:lang w:val="es-ES"/>
        </w:rPr>
        <w:t xml:space="preserve"> era necesario. El sistema comienza únicamente cuando una ocurrencia entra en un régimen en el que puede ser observada estructuralmente. Si la trayectoria emerge desde </w:t>
      </w:r>
      <w:r>
        <w:t>Ω</w:t>
      </w:r>
      <w:r w:rsidRPr="007B3A11">
        <w:rPr>
          <w:lang w:val="es-ES"/>
        </w:rPr>
        <w:t xml:space="preserve"> hacia una posición positiva, </w:t>
      </w:r>
      <w:r>
        <w:t>Ω</w:t>
      </w:r>
      <w:r w:rsidRPr="007B3A11">
        <w:rPr>
          <w:lang w:val="es-ES"/>
        </w:rPr>
        <w:t xml:space="preserve"> no se añade como primer nodo. Si una trayectoria se agota hacia una exterioridad que deja de poder representarse, </w:t>
      </w:r>
      <w:r>
        <w:t>Ω</w:t>
      </w:r>
      <w:r w:rsidRPr="007B3A11">
        <w:rPr>
          <w:lang w:val="es-ES"/>
        </w:rPr>
        <w:t xml:space="preserve"> tampoco se convierte en su último estado. La frontera queda reconocida precisamente mediante su exclusión. El formalismo empieza donde empieza la estructura positiva.</w:t>
      </w:r>
    </w:p>
    <w:p w14:paraId="29087521" w14:textId="77777777" w:rsidR="007B3A11" w:rsidRPr="007B3A11" w:rsidRDefault="007B3A11" w:rsidP="007B3A11">
      <w:pPr>
        <w:ind w:firstLine="709"/>
        <w:jc w:val="both"/>
        <w:rPr>
          <w:lang w:val="es-ES"/>
        </w:rPr>
      </w:pPr>
      <w:r w:rsidRPr="007B3A11">
        <w:rPr>
          <w:lang w:val="es-ES"/>
        </w:rPr>
        <w:t>El siguiente paso consiste en dejar de pensar en los estados como un inventario y tratarlos como realizaciones dentro de una historia. Para ello</w:t>
      </w:r>
      <w:r w:rsidR="0003301D">
        <w:rPr>
          <w:lang w:val="es-ES"/>
        </w:rPr>
        <w:t>,</w:t>
      </w:r>
      <w:r w:rsidRPr="007B3A11">
        <w:rPr>
          <w:lang w:val="es-ES"/>
        </w:rPr>
        <w:t xml:space="preserve"> hace falta distinguir el conjunto de ocurrencias de la función que las proyecta sobre el alfabeto estructural. Sea V un conjunto finito y no vacío de ocurrencias observadas. La finitud no afirma que el pensamiento sea finito ni que exista una longitud máxima universal; s</w:t>
      </w:r>
      <w:r w:rsidR="003156A8">
        <w:rPr>
          <w:lang w:val="es-ES"/>
        </w:rPr>
        <w:t>o</w:t>
      </w:r>
      <w:r w:rsidRPr="007B3A11">
        <w:rPr>
          <w:lang w:val="es-ES"/>
        </w:rPr>
        <w:t>lo delimita cada ventana efectivamente observada. Sobre V se establece un orden total, denotado por &lt;, que conserva la precedencia de las ocurrencias dentro de esa realización.</w:t>
      </w:r>
    </w:p>
    <w:p w14:paraId="44823560" w14:textId="77777777" w:rsidR="007B3A11" w:rsidRDefault="007B3A11" w:rsidP="007B3A11">
      <w:pPr>
        <w:ind w:firstLine="709"/>
        <w:jc w:val="both"/>
        <w:rPr>
          <w:lang w:val="es-ES"/>
        </w:rPr>
      </w:pPr>
      <w:r w:rsidRPr="007B3A11">
        <w:rPr>
          <w:lang w:val="es-ES"/>
        </w:rPr>
        <w:t>A continuación</w:t>
      </w:r>
      <w:r w:rsidR="0003301D">
        <w:rPr>
          <w:lang w:val="es-ES"/>
        </w:rPr>
        <w:t>,</w:t>
      </w:r>
      <w:r w:rsidRPr="007B3A11">
        <w:rPr>
          <w:lang w:val="es-ES"/>
        </w:rPr>
        <w:t xml:space="preserve"> se introduce una aplicación </w:t>
      </w:r>
      <w:r>
        <w:t>σ</w:t>
      </w:r>
      <w:r w:rsidRPr="007B3A11">
        <w:rPr>
          <w:lang w:val="es-ES"/>
        </w:rPr>
        <w:t xml:space="preserve"> que asigna a cada ocurrencia una coordenada positiva. </w:t>
      </w:r>
      <w:r>
        <w:t>σ</w:t>
      </w:r>
      <w:r w:rsidRPr="007B3A11">
        <w:rPr>
          <w:lang w:val="es-ES"/>
        </w:rPr>
        <w:t xml:space="preserve"> no descubre el significado de la ocurrencia. Formaliza una proyección estructural que ha sido aceptada en la frontera epistemológica del sistema. Una </w:t>
      </w:r>
      <w:r w:rsidRPr="007B3A11">
        <w:rPr>
          <w:lang w:val="es-ES"/>
        </w:rPr>
        <w:lastRenderedPageBreak/>
        <w:t>vez aceptada, el cálculo puede operar sobre la coordenada sin necesitar poseer la semántica completa que permitió proponerla. Esta separación es la que permite que el mismo formalismo reciba observaciones procedentes de realizaciones semánticas diferentes sin identificar por ello sus contenidos.</w:t>
      </w:r>
    </w:p>
    <w:p w14:paraId="52467B2A" w14:textId="77777777" w:rsidR="00497A4B" w:rsidRPr="007B3A11" w:rsidRDefault="00497A4B" w:rsidP="007B3A11">
      <w:pPr>
        <w:ind w:firstLine="709"/>
        <w:jc w:val="both"/>
        <w:rPr>
          <w:lang w:val="es-ES"/>
        </w:rPr>
      </w:pPr>
    </w:p>
    <w:p w14:paraId="74EFEB8C" w14:textId="77777777" w:rsidR="007B3A11" w:rsidRPr="007B3A11" w:rsidRDefault="007B3A11" w:rsidP="007B3A11">
      <w:pPr>
        <w:keepLines/>
        <w:jc w:val="center"/>
        <w:rPr>
          <w:lang w:val="es-ES"/>
        </w:rPr>
      </w:pPr>
      <m:oMathPara>
        <m:oMath>
          <m:r>
            <w:rPr>
              <w:rFonts w:ascii="Cambria Math" w:hAnsi="Cambria Math"/>
            </w:rPr>
            <m:t>σ</m:t>
          </m:r>
          <m:r>
            <m:rPr>
              <m:sty m:val="p"/>
            </m:rPr>
            <w:rPr>
              <w:rFonts w:ascii="Cambria Math" w:hAnsi="Cambria Math"/>
              <w:lang w:val="es-ES"/>
            </w:rPr>
            <m:t>:</m:t>
          </m:r>
          <m:r>
            <w:rPr>
              <w:rFonts w:ascii="Cambria Math" w:hAnsi="Cambria Math"/>
            </w:rPr>
            <m:t>V</m:t>
          </m:r>
          <m:r>
            <m:rPr>
              <m:sty m:val="p"/>
            </m:rPr>
            <w:rPr>
              <w:rFonts w:ascii="Cambria Math" w:hAnsi="Cambria Math"/>
              <w:lang w:val="es-ES"/>
            </w:rPr>
            <m:t>→</m:t>
          </m:r>
          <m:sSup>
            <m:sSupPr>
              <m:ctrlPr>
                <w:rPr>
                  <w:rFonts w:ascii="Cambria Math" w:hAnsi="Cambria Math"/>
                </w:rPr>
              </m:ctrlPr>
            </m:sSupPr>
            <m:e>
              <m:r>
                <w:rPr>
                  <w:rFonts w:ascii="Cambria Math" w:hAnsi="Cambria Math"/>
                </w:rPr>
                <m:t>S</m:t>
              </m:r>
            </m:e>
            <m:sup>
              <m:r>
                <m:rPr>
                  <m:sty m:val="p"/>
                </m:rPr>
                <w:rPr>
                  <w:rFonts w:ascii="Cambria Math" w:hAnsi="Cambria Math"/>
                  <w:lang w:val="es-ES"/>
                </w:rPr>
                <m:t>+</m:t>
              </m:r>
            </m:sup>
          </m:sSup>
          <m:r>
            <m:rPr>
              <m:sty m:val="p"/>
            </m:rPr>
            <w:rPr>
              <w:rFonts w:ascii="Cambria Math" w:hAnsi="Cambria Math"/>
              <w:lang w:val="es-ES"/>
            </w:rPr>
            <m:t>∪{</m:t>
          </m:r>
          <m:r>
            <m:rPr>
              <m:nor/>
            </m:rPr>
            <w:rPr>
              <w:lang w:val="es-ES"/>
            </w:rPr>
            <m:t>UNKNOWN</m:t>
          </m:r>
          <m:r>
            <m:rPr>
              <m:sty m:val="p"/>
            </m:rPr>
            <w:rPr>
              <w:rFonts w:ascii="Cambria Math" w:hAnsi="Cambria Math"/>
              <w:lang w:val="es-ES"/>
            </w:rPr>
            <m:t>}</m:t>
          </m:r>
        </m:oMath>
      </m:oMathPara>
    </w:p>
    <w:p w14:paraId="332C4C47" w14:textId="77777777" w:rsidR="00497A4B" w:rsidRDefault="00497A4B" w:rsidP="007B3A11">
      <w:pPr>
        <w:ind w:firstLine="709"/>
        <w:jc w:val="both"/>
        <w:rPr>
          <w:lang w:val="es-ES"/>
        </w:rPr>
      </w:pPr>
    </w:p>
    <w:p w14:paraId="4577015B" w14:textId="77777777" w:rsidR="007B3A11" w:rsidRPr="007B3A11" w:rsidRDefault="007B3A11" w:rsidP="007B3A11">
      <w:pPr>
        <w:ind w:firstLine="709"/>
        <w:jc w:val="both"/>
        <w:rPr>
          <w:lang w:val="es-ES"/>
        </w:rPr>
      </w:pPr>
      <w:r w:rsidRPr="007B3A11">
        <w:rPr>
          <w:lang w:val="es-ES"/>
        </w:rPr>
        <w:t>Finalmente, una trayectoria necesita conservar relaciones que no puedan reducirse al orden. Sea E un conjunto finito de relaciones inferenciales tipadas y dirigidas hacia delante entre ocurrencias de V. El requisito de orientación hacia delante preserva la aciclicidad de la historia de ocurrencias: una ocurrencia posterior puede regresar a la misma clase estructural que una anterior, pero no se convierte en la ocurrencia anterior. La recurrencia de una posición y el retroceso temporal son objetos diferentes.</w:t>
      </w:r>
    </w:p>
    <w:p w14:paraId="017BD76E" w14:textId="77777777" w:rsidR="007B3A11" w:rsidRPr="007B3A11" w:rsidRDefault="007B3A11" w:rsidP="007B3A11">
      <w:pPr>
        <w:ind w:firstLine="709"/>
        <w:jc w:val="both"/>
        <w:rPr>
          <w:lang w:val="es-ES"/>
        </w:rPr>
      </w:pPr>
      <w:r w:rsidRPr="007B3A11">
        <w:rPr>
          <w:lang w:val="es-ES"/>
        </w:rPr>
        <w:t>Este punto cierra la matemática fundacional. Tenemos exterioridad sin falsa coordenada; ocurrencias sin confundirlas con estados; un alfabeto positivo; tres estratos radiales; grounding orbital; una asignación no resuelta distinta de la ausencia de estructura; dos orientaciones canónicas inversas; transiciones estructurales separadas del mero orden; una función de proyección y un conjunto explícito de relaciones. Ninguna de las propiedades más ricas que aparecerán después —distancia, frontera, cierre, recurrencia, topología, equivalencia, deformación o invariancia— necesita introducir una nueva semántica para existir. Todas deberán derivarse, cuando proceda, de este objeto y de las operaciones que se definan sobre él.</w:t>
      </w:r>
    </w:p>
    <w:p w14:paraId="07044280" w14:textId="77777777" w:rsidR="007B3A11" w:rsidRDefault="007B3A11" w:rsidP="007B3A11">
      <w:pPr>
        <w:ind w:firstLine="709"/>
        <w:jc w:val="both"/>
        <w:rPr>
          <w:lang w:val="es-ES"/>
        </w:rPr>
      </w:pPr>
      <w:r w:rsidRPr="007B3A11">
        <w:rPr>
          <w:lang w:val="es-ES"/>
        </w:rPr>
        <w:t xml:space="preserve">La representación gráfica siguiente reúne por primera vez las posiciones que hasta ahora se han construido por separado. Debe leerse como mapa estructural, no como una imagen física de la cognición. WHY ocupa la profundidad explicativa; HOW articula el mecanismo; WHAT, WHO y WHICH resuelven entidad e identidad en la periferia; WHEN, WHERE y HOW_MUCH anclan contextualmente el recorrido sin constituir un cuarto radio. </w:t>
      </w:r>
      <w:r>
        <w:t>Ω</w:t>
      </w:r>
      <w:r w:rsidRPr="007B3A11">
        <w:rPr>
          <w:lang w:val="es-ES"/>
        </w:rPr>
        <w:t xml:space="preserve"> no aparece en el diagrama porque su función consiste precisamente en no ser una coordenada del sistema. UNKNOWN tampoco ocupa una región positiva: marca la imposibilidad actual de resolver una asignación.</w:t>
      </w:r>
    </w:p>
    <w:p w14:paraId="4977CA12" w14:textId="77777777" w:rsidR="00497A4B" w:rsidRPr="007B3A11" w:rsidRDefault="00497A4B" w:rsidP="007B3A11">
      <w:pPr>
        <w:ind w:firstLine="709"/>
        <w:jc w:val="both"/>
        <w:rPr>
          <w:lang w:val="es-ES"/>
        </w:rPr>
      </w:pPr>
    </w:p>
    <w:p w14:paraId="138FE1E8" w14:textId="77777777" w:rsidR="00497A4B" w:rsidRDefault="00497A4B" w:rsidP="00497A4B">
      <w:pPr>
        <w:keepNext/>
        <w:spacing w:line="240" w:lineRule="auto"/>
        <w:jc w:val="center"/>
      </w:pPr>
      <w:r>
        <w:rPr>
          <w:noProof/>
          <w:lang w:val="es-ES"/>
        </w:rPr>
        <w:lastRenderedPageBreak/>
        <w:drawing>
          <wp:inline distT="0" distB="0" distL="0" distR="0" wp14:anchorId="64B97051" wp14:editId="3916C5B1">
            <wp:extent cx="4251960" cy="13792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009" t="27273" r="20656" b="9441"/>
                    <a:stretch/>
                  </pic:blipFill>
                  <pic:spPr bwMode="auto">
                    <a:xfrm>
                      <a:off x="0" y="0"/>
                      <a:ext cx="4251960" cy="1379220"/>
                    </a:xfrm>
                    <a:prstGeom prst="rect">
                      <a:avLst/>
                    </a:prstGeom>
                    <a:noFill/>
                    <a:ln>
                      <a:noFill/>
                    </a:ln>
                    <a:extLst>
                      <a:ext uri="{53640926-AAD7-44D8-BBD7-CCE9431645EC}">
                        <a14:shadowObscured xmlns:a14="http://schemas.microsoft.com/office/drawing/2010/main"/>
                      </a:ext>
                    </a:extLst>
                  </pic:spPr>
                </pic:pic>
              </a:graphicData>
            </a:graphic>
          </wp:inline>
        </w:drawing>
      </w:r>
    </w:p>
    <w:p w14:paraId="11DA367C" w14:textId="77777777" w:rsidR="007B3A11" w:rsidRPr="00497A4B" w:rsidRDefault="00497A4B" w:rsidP="00497A4B">
      <w:pPr>
        <w:pStyle w:val="Descripcin"/>
        <w:jc w:val="center"/>
        <w:rPr>
          <w:b w:val="0"/>
          <w:bCs w:val="0"/>
          <w:i/>
          <w:iCs/>
          <w:color w:val="auto"/>
          <w:sz w:val="20"/>
          <w:szCs w:val="20"/>
          <w:lang w:val="es-ES"/>
        </w:rPr>
      </w:pPr>
      <w:r w:rsidRPr="00497A4B">
        <w:rPr>
          <w:b w:val="0"/>
          <w:bCs w:val="0"/>
          <w:i/>
          <w:iCs/>
          <w:color w:val="auto"/>
          <w:sz w:val="20"/>
          <w:szCs w:val="20"/>
          <w:lang w:val="es-ES"/>
        </w:rPr>
        <w:t xml:space="preserve">Ilustración </w:t>
      </w:r>
      <w:r w:rsidRPr="00497A4B">
        <w:rPr>
          <w:b w:val="0"/>
          <w:bCs w:val="0"/>
          <w:i/>
          <w:iCs/>
          <w:color w:val="auto"/>
          <w:sz w:val="20"/>
          <w:szCs w:val="20"/>
        </w:rPr>
        <w:fldChar w:fldCharType="begin"/>
      </w:r>
      <w:r w:rsidRPr="00497A4B">
        <w:rPr>
          <w:b w:val="0"/>
          <w:bCs w:val="0"/>
          <w:i/>
          <w:iCs/>
          <w:color w:val="auto"/>
          <w:sz w:val="20"/>
          <w:szCs w:val="20"/>
          <w:lang w:val="es-ES"/>
        </w:rPr>
        <w:instrText xml:space="preserve"> SEQ Ilustración \* ARABIC </w:instrText>
      </w:r>
      <w:r w:rsidRPr="00497A4B">
        <w:rPr>
          <w:b w:val="0"/>
          <w:bCs w:val="0"/>
          <w:i/>
          <w:iCs/>
          <w:color w:val="auto"/>
          <w:sz w:val="20"/>
          <w:szCs w:val="20"/>
        </w:rPr>
        <w:fldChar w:fldCharType="separate"/>
      </w:r>
      <w:r w:rsidR="002F4F30">
        <w:rPr>
          <w:b w:val="0"/>
          <w:bCs w:val="0"/>
          <w:i/>
          <w:iCs/>
          <w:noProof/>
          <w:color w:val="auto"/>
          <w:sz w:val="20"/>
          <w:szCs w:val="20"/>
          <w:lang w:val="es-ES"/>
        </w:rPr>
        <w:t>1</w:t>
      </w:r>
      <w:r w:rsidRPr="00497A4B">
        <w:rPr>
          <w:b w:val="0"/>
          <w:bCs w:val="0"/>
          <w:i/>
          <w:iCs/>
          <w:color w:val="auto"/>
          <w:sz w:val="20"/>
          <w:szCs w:val="20"/>
        </w:rPr>
        <w:fldChar w:fldCharType="end"/>
      </w:r>
      <w:r w:rsidRPr="00497A4B">
        <w:rPr>
          <w:b w:val="0"/>
          <w:bCs w:val="0"/>
          <w:i/>
          <w:iCs/>
          <w:color w:val="auto"/>
          <w:sz w:val="20"/>
          <w:szCs w:val="20"/>
          <w:lang w:val="es-ES"/>
        </w:rPr>
        <w:t>. Representación esquemática del Sistema de Coordenadas Cognitivas (SCC)</w:t>
      </w:r>
    </w:p>
    <w:p w14:paraId="7B68E52C" w14:textId="77777777" w:rsidR="00497A4B" w:rsidRDefault="00497A4B" w:rsidP="007B3A11">
      <w:pPr>
        <w:ind w:firstLine="709"/>
        <w:jc w:val="both"/>
        <w:rPr>
          <w:lang w:val="es-ES"/>
        </w:rPr>
      </w:pPr>
    </w:p>
    <w:p w14:paraId="022CB6AF" w14:textId="77777777" w:rsidR="007B3A11" w:rsidRDefault="007B3A11" w:rsidP="007B3A11">
      <w:pPr>
        <w:ind w:firstLine="709"/>
        <w:jc w:val="both"/>
        <w:rPr>
          <w:lang w:val="es-ES"/>
        </w:rPr>
      </w:pPr>
      <w:r w:rsidRPr="007B3A11">
        <w:rPr>
          <w:lang w:val="es-ES"/>
        </w:rPr>
        <w:t>El diagrama permite reconocer la arquitectura; la definición siguiente fija el objeto sobre el que esa arquitectura se vuelve calculable. Una trayectoria positiva observada no es una frase, una cadena de tokens ni una explicación generada por un modelo. Es una estructura finita de ocurrencias ordenadas, proyectadas sobre estados positivos y acompañadas, cuando existen, por relaciones inferenciales explícitas.</w:t>
      </w:r>
    </w:p>
    <w:p w14:paraId="0869080E" w14:textId="77777777" w:rsidR="00497A4B" w:rsidRPr="007B3A11" w:rsidRDefault="00497A4B" w:rsidP="007B3A11">
      <w:pPr>
        <w:ind w:firstLine="709"/>
        <w:jc w:val="both"/>
        <w:rPr>
          <w:lang w:val="es-ES"/>
        </w:rPr>
      </w:pPr>
    </w:p>
    <w:p w14:paraId="4066C892" w14:textId="77777777" w:rsidR="007B3A11" w:rsidRPr="007B3A11" w:rsidRDefault="007B3A11" w:rsidP="007B3A11">
      <w:pPr>
        <w:keepLines/>
        <w:jc w:val="center"/>
        <w:rPr>
          <w:lang w:val="es-ES"/>
        </w:rPr>
      </w:pPr>
      <m:oMathPara>
        <m:oMath>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E</m:t>
              </m:r>
            </m:e>
          </m:d>
        </m:oMath>
      </m:oMathPara>
    </w:p>
    <w:p w14:paraId="42295E73" w14:textId="77777777" w:rsidR="00497A4B" w:rsidRDefault="00497A4B" w:rsidP="002A7BB8">
      <w:pPr>
        <w:ind w:firstLine="709"/>
        <w:jc w:val="both"/>
        <w:rPr>
          <w:lang w:val="es-ES"/>
        </w:rPr>
      </w:pPr>
    </w:p>
    <w:p w14:paraId="48192F07" w14:textId="77777777" w:rsidR="002A7BB8" w:rsidRDefault="007B3A11" w:rsidP="002A7BB8">
      <w:pPr>
        <w:ind w:firstLine="709"/>
        <w:jc w:val="both"/>
        <w:rPr>
          <w:lang w:val="es-ES"/>
        </w:rPr>
      </w:pPr>
      <w:r w:rsidRPr="007B3A11">
        <w:rPr>
          <w:lang w:val="es-ES"/>
        </w:rPr>
        <w:t xml:space="preserve">donde V es el conjunto finito no vacío de ocurrencias observadas; &lt; es el orden total que conserva su precedencia; </w:t>
      </w:r>
      <w:r>
        <w:t>σ</w:t>
      </w:r>
      <w:r w:rsidRPr="007B3A11">
        <w:rPr>
          <w:lang w:val="es-ES"/>
        </w:rPr>
        <w:t>: V → S⁺ asigna a cada ocurrencia una coordenada positiva del sistema; y E contiene las relaciones inferenciales tipadas y dirigidas entre ocurrencias. Esta cuádrupla constituye el objeto fundacional de la geometría inferencial discreta desarrollada en esta tesis. A partir de ella, el capítulo siguiente podrá preguntar qué puede medirse, qué puede repetirse sin retroceder en el tiempo, qué puede transformarse sin perder estructura y qué propiedades sobreviven cuando una trayectoria deja de parecerse superficialmente a sí mis</w:t>
      </w:r>
      <w:r>
        <w:rPr>
          <w:lang w:val="es-ES"/>
        </w:rPr>
        <w:t>ma.</w:t>
      </w:r>
    </w:p>
    <w:p w14:paraId="092E03CD" w14:textId="77777777" w:rsidR="00497A4B" w:rsidRDefault="00497A4B" w:rsidP="002A7BB8">
      <w:pPr>
        <w:ind w:firstLine="709"/>
        <w:jc w:val="both"/>
        <w:rPr>
          <w:lang w:val="es-ES"/>
        </w:rPr>
      </w:pPr>
    </w:p>
    <w:p w14:paraId="4554844C" w14:textId="77777777" w:rsidR="006A24D4" w:rsidRPr="008532A7" w:rsidRDefault="0062359C" w:rsidP="00E231BC">
      <w:pPr>
        <w:pStyle w:val="Ttulo2"/>
        <w:spacing w:before="0"/>
        <w:ind w:firstLine="709"/>
        <w:jc w:val="both"/>
        <w:rPr>
          <w:lang w:val="es-ES"/>
        </w:rPr>
      </w:pPr>
      <w:bookmarkStart w:id="18" w:name="_Toc242721854"/>
      <w:r w:rsidRPr="008532A7">
        <w:rPr>
          <w:rFonts w:ascii="Times New Roman" w:hAnsi="Times New Roman"/>
          <w:color w:val="000000"/>
          <w:sz w:val="24"/>
          <w:lang w:val="es-ES"/>
        </w:rPr>
        <w:t>4.2. Del pensamiento a la trayectoria</w:t>
      </w:r>
      <w:bookmarkEnd w:id="18"/>
    </w:p>
    <w:p w14:paraId="5664339F" w14:textId="77777777" w:rsidR="007F783E" w:rsidRDefault="00184E63" w:rsidP="007F783E">
      <w:pPr>
        <w:ind w:firstLine="709"/>
        <w:jc w:val="both"/>
        <w:rPr>
          <w:lang w:val="es-ES"/>
        </w:rPr>
      </w:pPr>
      <w:r w:rsidRPr="007F783E">
        <w:rPr>
          <w:b/>
          <w:lang w:val="es-ES"/>
        </w:rPr>
        <w:t>De las ocurrencias a una trayectoria formal</w:t>
      </w:r>
      <w:r w:rsidR="007F783E">
        <w:rPr>
          <w:lang w:val="es-ES"/>
        </w:rPr>
        <w:t xml:space="preserve">. </w:t>
      </w:r>
      <w:r w:rsidRPr="007F783E">
        <w:rPr>
          <w:lang w:val="es-ES"/>
        </w:rPr>
        <w:t>La sección 4.1 ha establecido las coordenadas y las condiciones de aparición de una ocurrencia. El paso siguiente no consiste en volver a definirlas, sino en precisar qué se conserva cuando varias ocurrencias forman un recorrido. Sea T=(V,≺,</w:t>
      </w:r>
      <w:r>
        <w:t>σ</w:t>
      </w:r>
      <w:r w:rsidRPr="007F783E">
        <w:rPr>
          <w:lang w:val="es-ES"/>
        </w:rPr>
        <w:t xml:space="preserve">,E): V es el conjunto finito y no vacío de ocurrencias observadas; ≺ es su orden estricto total de aparición; </w:t>
      </w:r>
      <w:r>
        <w:t>σ</w:t>
      </w:r>
      <w:r w:rsidRPr="007F783E">
        <w:rPr>
          <w:lang w:val="es-ES"/>
        </w:rPr>
        <w:t xml:space="preserve"> asigna a cada ocurrencia un estado estructural admitido; y E registra relaciones dirigidas y tipadas entre ocurrencias. La trayectoria no se identifica ni con una lista de palabras ni con una clase de estados: una misma coordenada puede reaparecer en ocurrencias diferentes.</w:t>
      </w:r>
    </w:p>
    <w:p w14:paraId="5D1D36B3" w14:textId="77777777" w:rsidR="007F783E" w:rsidRDefault="00184E63" w:rsidP="007F783E">
      <w:pPr>
        <w:ind w:firstLine="709"/>
        <w:jc w:val="both"/>
        <w:rPr>
          <w:lang w:val="es-ES"/>
        </w:rPr>
      </w:pPr>
      <w:r w:rsidRPr="007F783E">
        <w:rPr>
          <w:lang w:val="es-ES"/>
        </w:rPr>
        <w:lastRenderedPageBreak/>
        <w:t xml:space="preserve">La notación tiene una lectura precisa. v∈V significa que v pertenece al conjunto de ocurrencias; </w:t>
      </w:r>
      <w:r>
        <w:t>σ</w:t>
      </w:r>
      <w:r w:rsidRPr="007F783E">
        <w:rPr>
          <w:lang w:val="es-ES"/>
        </w:rPr>
        <w:t>:V→S⁺∪{UNKNOWN} es una función y, por tanto, asigna una sola imagen a cada ocurrencia, aunque varias ocurrencias puedan compartir imagen. El producto V×V reúne pares ordenados de ocurrencias; una relación es un subconjunto de esos pares, eventualmente acompañado de tipos. Así, (u,v,</w:t>
      </w:r>
      <w:r>
        <w:t>τ</w:t>
      </w:r>
      <w:r w:rsidRPr="007F783E">
        <w:rPr>
          <w:lang w:val="es-ES"/>
        </w:rPr>
        <w:t xml:space="preserve">)∈E declara una relación de tipo </w:t>
      </w:r>
      <w:r>
        <w:t>τ</w:t>
      </w:r>
      <w:r w:rsidRPr="007F783E">
        <w:rPr>
          <w:lang w:val="es-ES"/>
        </w:rPr>
        <w:t xml:space="preserve"> desde u hacia v. El orden ≺ no afirma inferioridad numérica: expresa precedencia de aparición. La espina de recorrido enlaza posiciones consecutivas; E puede añadir saltos y relaciones que no se deducen de la mera sucesión.</w:t>
      </w:r>
    </w:p>
    <w:p w14:paraId="44C845FF" w14:textId="77777777" w:rsidR="007F783E" w:rsidRDefault="00184E63" w:rsidP="007F783E">
      <w:pPr>
        <w:ind w:firstLine="709"/>
        <w:jc w:val="both"/>
        <w:rPr>
          <w:lang w:val="es-ES"/>
        </w:rPr>
      </w:pPr>
      <w:r w:rsidRPr="007F783E">
        <w:rPr>
          <w:b/>
          <w:lang w:val="es-ES"/>
        </w:rPr>
        <w:t>Precedencia</w:t>
      </w:r>
      <w:r w:rsidR="007F783E">
        <w:rPr>
          <w:b/>
          <w:lang w:val="es-ES"/>
        </w:rPr>
        <w:t xml:space="preserve"> y relaciones. </w:t>
      </w:r>
      <w:r w:rsidRPr="007F783E">
        <w:rPr>
          <w:lang w:val="es-ES"/>
        </w:rPr>
        <w:t>El orden estricto es irreflexivo y transitivo: no se cumple v≺v, y de u≺v y v≺w se sigue u≺w. La condición de compatibilidad temporal exige que toda arista dirigida declarada avance en el orden: (u,v,</w:t>
      </w:r>
      <w:r>
        <w:t>τ</w:t>
      </w:r>
      <w:r w:rsidRPr="007F783E">
        <w:rPr>
          <w:lang w:val="es-ES"/>
        </w:rPr>
        <w:t>)∈E implica u≺v. Esta condición separa la precedencia observada de las conexiones relacionales explícitas.</w:t>
      </w:r>
    </w:p>
    <w:p w14:paraId="523220BA" w14:textId="77777777" w:rsidR="007F783E" w:rsidRDefault="006F2757" w:rsidP="007F783E">
      <w:pPr>
        <w:ind w:firstLine="709"/>
        <w:jc w:val="both"/>
        <w:rPr>
          <w:lang w:val="es-ES"/>
        </w:rPr>
      </w:pPr>
      <w:r>
        <w:rPr>
          <w:b/>
          <w:bCs/>
          <w:lang w:val="es-ES"/>
        </w:rPr>
        <w:t>A</w:t>
      </w:r>
      <w:r w:rsidR="00184E63" w:rsidRPr="007F783E">
        <w:rPr>
          <w:b/>
          <w:bCs/>
          <w:lang w:val="es-ES"/>
        </w:rPr>
        <w:t>ciclicidad.</w:t>
      </w:r>
      <w:r w:rsidR="00184E63" w:rsidRPr="007F783E">
        <w:rPr>
          <w:lang w:val="es-ES"/>
        </w:rPr>
        <w:t xml:space="preserve"> Si todas las aristas de E respetan ≺, el grafo dirigido de relaciones no contiene ciclos. Demostración</w:t>
      </w:r>
      <w:r w:rsidR="007F783E">
        <w:rPr>
          <w:lang w:val="es-ES"/>
        </w:rPr>
        <w:t>: u</w:t>
      </w:r>
      <w:r w:rsidR="00184E63" w:rsidRPr="007F783E">
        <w:rPr>
          <w:lang w:val="es-ES"/>
        </w:rPr>
        <w:t>n ciclo u₁→u₂→⋯→uₖ→u₁ obligaría a u₁≺u₂≺⋯≺uₖ≺u₁. Por transitividad se obtendría u₁≺u₁, contradiciendo la irreflexividad. La aciclicidad es, por tanto, una consecuencia de las condiciones declaradas, no una propiedad añadida por inspección.</w:t>
      </w:r>
    </w:p>
    <w:p w14:paraId="681E5849" w14:textId="77777777" w:rsidR="006F2757" w:rsidRDefault="007F783E" w:rsidP="006F2757">
      <w:pPr>
        <w:ind w:firstLine="709"/>
        <w:jc w:val="both"/>
        <w:rPr>
          <w:lang w:val="es-ES"/>
        </w:rPr>
      </w:pPr>
      <w:r>
        <w:rPr>
          <w:lang w:val="es-ES"/>
        </w:rPr>
        <w:t>Otro ejemplo: s</w:t>
      </w:r>
      <w:r w:rsidR="00184E63" w:rsidRPr="007F783E">
        <w:rPr>
          <w:lang w:val="es-ES"/>
        </w:rPr>
        <w:t xml:space="preserve">ean V={v₁,v₂,v₃}, v₁≺v₂≺v₃, </w:t>
      </w:r>
      <w:r w:rsidR="00184E63">
        <w:t>σ</w:t>
      </w:r>
      <w:r w:rsidR="00184E63" w:rsidRPr="007F783E">
        <w:rPr>
          <w:lang w:val="es-ES"/>
        </w:rPr>
        <w:t xml:space="preserve">(v₁)=WHAT, </w:t>
      </w:r>
      <w:r w:rsidR="00184E63">
        <w:t>σ</w:t>
      </w:r>
      <w:r w:rsidR="00184E63" w:rsidRPr="007F783E">
        <w:rPr>
          <w:lang w:val="es-ES"/>
        </w:rPr>
        <w:t xml:space="preserve">(v₂)=HOW y </w:t>
      </w:r>
      <w:r w:rsidR="00184E63">
        <w:t>σ</w:t>
      </w:r>
      <w:r w:rsidR="00184E63" w:rsidRPr="007F783E">
        <w:rPr>
          <w:lang w:val="es-ES"/>
        </w:rPr>
        <w:t>(v₃)=WHY. Si E contiene (v₁,v₂,GENERATIVE_LINK) y (v₂,v₃,GENERATIVE_LINK), la sucesión de estados es WHAT→HOW→WHY, pero las tres ocurrencias siguen siendo objetos individuales. Cambiar un tipo relacional no equivale a cambiar automáticamente el orden o las etiquetas.</w:t>
      </w:r>
    </w:p>
    <w:p w14:paraId="6F2DC4C1" w14:textId="77777777" w:rsidR="006F2757" w:rsidRDefault="00184E63" w:rsidP="006F2757">
      <w:pPr>
        <w:ind w:firstLine="709"/>
        <w:jc w:val="both"/>
        <w:rPr>
          <w:lang w:val="es-ES"/>
        </w:rPr>
      </w:pPr>
      <w:r w:rsidRPr="007F783E">
        <w:rPr>
          <w:b/>
          <w:lang w:val="es-ES"/>
        </w:rPr>
        <w:t>Geometría radial y pseudodistancia</w:t>
      </w:r>
      <w:r w:rsidR="006F2757">
        <w:rPr>
          <w:lang w:val="es-ES"/>
        </w:rPr>
        <w:t xml:space="preserve">. </w:t>
      </w:r>
      <w:r w:rsidRPr="007F783E">
        <w:rPr>
          <w:lang w:val="es-ES"/>
        </w:rPr>
        <w:t>Consideremos el dominio radial S_R={WHY,HOW,WHAT,WHO,WHICH}. Definimos la profundidad r por r(WHY)=0, r(HOW)=1 y r(WHAT)=r(WHO)=r(WHICH)=2. La separación radial es d_R(x,y)=|r(x)−r(y)|, para x,y∈S_R. Esta operación mide diferencia de profundidad, no semejanza semántica ni identidad de estado.</w:t>
      </w:r>
    </w:p>
    <w:p w14:paraId="49E210F4" w14:textId="77777777" w:rsidR="006F2757" w:rsidRDefault="00184E63" w:rsidP="006F2757">
      <w:pPr>
        <w:ind w:firstLine="709"/>
        <w:jc w:val="both"/>
        <w:rPr>
          <w:lang w:val="es-ES"/>
        </w:rPr>
      </w:pPr>
      <w:r w:rsidRPr="006F2757">
        <w:rPr>
          <w:b/>
          <w:bCs/>
          <w:lang w:val="es-ES"/>
        </w:rPr>
        <w:t>Pseudométrica radial</w:t>
      </w:r>
      <w:r w:rsidRPr="007F783E">
        <w:rPr>
          <w:lang w:val="es-ES"/>
        </w:rPr>
        <w:t>. d_R es no negativa y simétrica, y satisface la desigualdad triangular. Demostración</w:t>
      </w:r>
      <w:r w:rsidR="006F2757">
        <w:rPr>
          <w:lang w:val="es-ES"/>
        </w:rPr>
        <w:t>: e</w:t>
      </w:r>
      <w:r w:rsidRPr="007F783E">
        <w:rPr>
          <w:lang w:val="es-ES"/>
        </w:rPr>
        <w:t>l valor absoluto es no negativo y |r(x)−r(y)|=|r(y)−r(x)|. Para cualesquiera x,y,z del dominio radial, |r(x)−r(z)|≤|r(x)−r(y)|+|r(y)−r(z)|. Sin embargo, d_R(WHAT,WHO)=0 pese a que WHAT≠WHO; por ello no es una métrica sobre S_R. En cambio, d_R(WHAT,HOW)=1 y d_R(WHAT,WHY)=2.</w:t>
      </w:r>
    </w:p>
    <w:p w14:paraId="00B14FC3" w14:textId="77777777" w:rsidR="006F2757" w:rsidRDefault="00184E63" w:rsidP="006F2757">
      <w:pPr>
        <w:ind w:firstLine="709"/>
        <w:jc w:val="both"/>
        <w:rPr>
          <w:lang w:val="es-ES"/>
        </w:rPr>
      </w:pPr>
      <w:r w:rsidRPr="007F783E">
        <w:rPr>
          <w:lang w:val="es-ES"/>
        </w:rPr>
        <w:lastRenderedPageBreak/>
        <w:t>El cociente radial identifica x∼_R y exactamente cuando r(x)=r(y). Sus tres clases son {WHY}, {HOW} y {WHAT,WHO,WHICH}; la distancia inducida entre clases es una métrica. La operación es útil precisamente porque abstrae diferencias periféricas: no autoriza a concluir que las etiquetas originales sean idénticas ni que puedan reconstruirse desde su radio.</w:t>
      </w:r>
    </w:p>
    <w:p w14:paraId="2D4DADA1" w14:textId="77777777" w:rsidR="006F2757" w:rsidRDefault="00184E63" w:rsidP="006F2757">
      <w:pPr>
        <w:ind w:firstLine="709"/>
        <w:jc w:val="both"/>
        <w:rPr>
          <w:lang w:val="es-ES"/>
        </w:rPr>
      </w:pPr>
      <w:r w:rsidRPr="007F783E">
        <w:rPr>
          <w:lang w:val="es-ES"/>
        </w:rPr>
        <w:t>Condición de invalidez</w:t>
      </w:r>
      <w:r w:rsidR="006F2757">
        <w:rPr>
          <w:lang w:val="es-ES"/>
        </w:rPr>
        <w:t>:</w:t>
      </w:r>
      <w:r w:rsidRPr="007F783E">
        <w:rPr>
          <w:lang w:val="es-ES"/>
        </w:rPr>
        <w:t xml:space="preserve"> d_R no está definida si alguno de sus argumentos es orbital o UNKNOWN. Tampoco una orientación desconocida puede convertirse por convenio en una tercera dirección matemática positiva. Una proyección radial parcial debe declararse como tal: no se imputan coordenadas ausentes.</w:t>
      </w:r>
    </w:p>
    <w:p w14:paraId="180ABF66" w14:textId="77777777" w:rsidR="006F2757" w:rsidRDefault="00184E63" w:rsidP="006F2757">
      <w:pPr>
        <w:ind w:firstLine="709"/>
        <w:jc w:val="both"/>
        <w:rPr>
          <w:lang w:val="es-ES"/>
        </w:rPr>
      </w:pPr>
      <w:r w:rsidRPr="007F783E">
        <w:rPr>
          <w:b/>
          <w:lang w:val="es-ES"/>
        </w:rPr>
        <w:t>Magnitudes del recorrido radial</w:t>
      </w:r>
      <w:r w:rsidR="006F2757">
        <w:rPr>
          <w:lang w:val="es-ES"/>
        </w:rPr>
        <w:t xml:space="preserve">. </w:t>
      </w:r>
      <w:r w:rsidRPr="007F783E">
        <w:rPr>
          <w:lang w:val="es-ES"/>
        </w:rPr>
        <w:t>Sea una trayectoria cuyas ocurrencias admiten una proyección radial completa, con profundidades r₁,…,rₙ en orden de aparición. Su longitud radial es L=</w:t>
      </w:r>
      <w:r>
        <w:t>Σᵢ</w:t>
      </w:r>
      <w:r w:rsidRPr="007F783E">
        <w:rPr>
          <w:lang w:val="es-ES"/>
        </w:rPr>
        <w:t>₌₁ⁿ⁻¹|r</w:t>
      </w:r>
      <w:r>
        <w:t>ᵢ</w:t>
      </w:r>
      <w:r w:rsidRPr="007F783E">
        <w:rPr>
          <w:lang w:val="es-ES"/>
        </w:rPr>
        <w:t>₊₁−r</w:t>
      </w:r>
      <w:r>
        <w:t>ᵢ</w:t>
      </w:r>
      <w:r w:rsidRPr="007F783E">
        <w:rPr>
          <w:lang w:val="es-ES"/>
        </w:rPr>
        <w:t xml:space="preserve">|; el desplazamiento firmado es </w:t>
      </w:r>
      <w:r>
        <w:t>Δ</w:t>
      </w:r>
      <w:r w:rsidRPr="007F783E">
        <w:rPr>
          <w:lang w:val="es-ES"/>
        </w:rPr>
        <w:t>=rₙ−r₁; el exceso es X=L−|</w:t>
      </w:r>
      <w:r>
        <w:t>Δ</w:t>
      </w:r>
      <w:r w:rsidRPr="007F783E">
        <w:rPr>
          <w:lang w:val="es-ES"/>
        </w:rPr>
        <w:t>|; y la amplitud es A=max</w:t>
      </w:r>
      <w:r>
        <w:t>ᵢ</w:t>
      </w:r>
      <w:r w:rsidRPr="007F783E">
        <w:rPr>
          <w:lang w:val="es-ES"/>
        </w:rPr>
        <w:t>r</w:t>
      </w:r>
      <w:r>
        <w:t>ᵢ</w:t>
      </w:r>
      <w:r w:rsidRPr="007F783E">
        <w:rPr>
          <w:lang w:val="es-ES"/>
        </w:rPr>
        <w:t>−min</w:t>
      </w:r>
      <w:r>
        <w:t>ᵢ</w:t>
      </w:r>
      <w:r w:rsidRPr="007F783E">
        <w:rPr>
          <w:lang w:val="es-ES"/>
        </w:rPr>
        <w:t>r</w:t>
      </w:r>
      <w:r>
        <w:t>ᵢ</w:t>
      </w:r>
      <w:r w:rsidRPr="007F783E">
        <w:rPr>
          <w:lang w:val="es-ES"/>
        </w:rPr>
        <w:t>. La longitud acumula variaciones, el desplazamiento compara extremos, el exceso registra recorrido no explicado por la separación de extremos y la amplitud describe la extensión radial visitada. Por desigualdad triangular, X≥0.</w:t>
      </w:r>
    </w:p>
    <w:p w14:paraId="6F5D7D16" w14:textId="77777777" w:rsidR="00EA28A8" w:rsidRDefault="00184E63" w:rsidP="00EA28A8">
      <w:pPr>
        <w:ind w:firstLine="709"/>
        <w:jc w:val="both"/>
        <w:rPr>
          <w:lang w:val="es-ES"/>
        </w:rPr>
      </w:pPr>
      <w:r w:rsidRPr="007F783E">
        <w:rPr>
          <w:lang w:val="es-ES"/>
        </w:rPr>
        <w:t>Ejemplo</w:t>
      </w:r>
      <w:r w:rsidR="006F2757">
        <w:rPr>
          <w:lang w:val="es-ES"/>
        </w:rPr>
        <w:t>:</w:t>
      </w:r>
      <w:r w:rsidRPr="007F783E">
        <w:rPr>
          <w:lang w:val="es-ES"/>
        </w:rPr>
        <w:t xml:space="preserve"> WHAT→HOW→WHY→HOW proyecta (2,1,0,1). Entonces L=1+1+1=3, </w:t>
      </w:r>
      <w:r>
        <w:t>Δ</w:t>
      </w:r>
      <w:r w:rsidRPr="007F783E">
        <w:rPr>
          <w:lang w:val="es-ES"/>
        </w:rPr>
        <w:t>=1−2=−1, X=3−1=2 y A=2−0=2. Ninguna de estas magnitudes certifica calidad, verdad, profundidad psicológica o eficiencia. Si la proyección contiene posiciones no radiales, no se reconstruye una longitud radial completa rellenando huecos.</w:t>
      </w:r>
    </w:p>
    <w:p w14:paraId="7094B30E" w14:textId="77777777" w:rsidR="00EA28A8" w:rsidRDefault="00184E63" w:rsidP="00EA28A8">
      <w:pPr>
        <w:ind w:firstLine="709"/>
        <w:jc w:val="both"/>
        <w:rPr>
          <w:lang w:val="es-ES"/>
        </w:rPr>
      </w:pPr>
      <w:r w:rsidRPr="007F783E">
        <w:rPr>
          <w:b/>
          <w:lang w:val="es-ES"/>
        </w:rPr>
        <w:t>Topología: ramificación y reconvergencia</w:t>
      </w:r>
      <w:r w:rsidR="00EA28A8">
        <w:rPr>
          <w:lang w:val="es-ES"/>
        </w:rPr>
        <w:t xml:space="preserve">. </w:t>
      </w:r>
      <w:r w:rsidRPr="007F783E">
        <w:rPr>
          <w:lang w:val="es-ES"/>
        </w:rPr>
        <w:t>La secuencia ordenada no determina por sí sola la topología del grafo E. Esta se calcula sobre las relaciones explícitamente declaradas: grados de entrada y salida, puntos de ramificación o reconvergencia y componentes débilmente conexas del soporte no dirigido. Son propiedades diferentes de la longitud y del desplazamiento radial.</w:t>
      </w:r>
    </w:p>
    <w:p w14:paraId="13A624A3" w14:textId="77777777" w:rsidR="00EC6D8F" w:rsidRDefault="00184E63" w:rsidP="00EC6D8F">
      <w:pPr>
        <w:ind w:firstLine="709"/>
        <w:jc w:val="both"/>
        <w:rPr>
          <w:lang w:val="es-ES"/>
        </w:rPr>
      </w:pPr>
      <w:r w:rsidRPr="007F783E">
        <w:rPr>
          <w:lang w:val="es-ES"/>
        </w:rPr>
        <w:t>Ejemplo. Para v₁≺v₂≺v₃≺v₄, sean las conexiones dirigidas v₁→v₂, v₁→v₃, v₂→v₄ y v₃→v₄, todas con sus tipos correspondientes. v₁ tiene grado de salida 2 y v₄ grado de entrada 2: existe ramificación seguida de reconvergencia. Una narración lineal de las cuatro ocurrencias no permite inferir estas relaciones. La compatibilidad con ≺ mantiene el grafo acíclico.</w:t>
      </w:r>
    </w:p>
    <w:p w14:paraId="67D84120" w14:textId="77777777" w:rsidR="00EC6D8F" w:rsidRDefault="00184E63" w:rsidP="00EC6D8F">
      <w:pPr>
        <w:ind w:firstLine="709"/>
        <w:jc w:val="both"/>
        <w:rPr>
          <w:lang w:val="es-ES"/>
        </w:rPr>
      </w:pPr>
      <w:r w:rsidRPr="007F783E">
        <w:rPr>
          <w:b/>
          <w:lang w:val="es-ES"/>
        </w:rPr>
        <w:t>Representaciones derivadas y reconstruibilidad</w:t>
      </w:r>
      <w:r w:rsidR="00EC6D8F">
        <w:rPr>
          <w:lang w:val="es-ES"/>
        </w:rPr>
        <w:t xml:space="preserve">. </w:t>
      </w:r>
      <w:r w:rsidRPr="007F783E">
        <w:rPr>
          <w:lang w:val="es-ES"/>
        </w:rPr>
        <w:t xml:space="preserve">Reconstruir un objeto desde una representación derivada exige que esa representación determine un original único, bajo las condiciones y equivalencias expresamente fijadas. Si dos originales diferentes producen la misma imagen, la operación ha perdido información necesaria para distinguirlos. El </w:t>
      </w:r>
      <w:r w:rsidRPr="007F783E">
        <w:rPr>
          <w:lang w:val="es-ES"/>
        </w:rPr>
        <w:lastRenderedPageBreak/>
        <w:t>cociente por identidad de estado y el cociente radial no conservan necesariamente los mismos datos: el segundo identifica WHAT, WHO y WHICH por profundidad. Por tanto, dos trayectorias que difieran en esas etiquetas pueden compartir proyección radial sin ser la misma trayectoria.</w:t>
      </w:r>
    </w:p>
    <w:p w14:paraId="6E476681" w14:textId="77777777" w:rsidR="00EC6D8F" w:rsidRDefault="00184E63" w:rsidP="00EC6D8F">
      <w:pPr>
        <w:ind w:firstLine="709"/>
        <w:jc w:val="both"/>
        <w:rPr>
          <w:lang w:val="es-ES"/>
        </w:rPr>
      </w:pPr>
      <w:r w:rsidRPr="007F783E">
        <w:rPr>
          <w:lang w:val="es-ES"/>
        </w:rPr>
        <w:t>Esta pérdida no es un defecto de la abstracción, sino su precio matemático. La reconstrucción de ocurrencias, etiquetas, tipos de relación u orden requiere preservar los datos correspondientes; ni una medida geométrica ni un resumen topológico bastan por sí solos. Cuando se comparen intervalos [a,b] y [c,d], con extremos válidos, debe distinguirse igualdad, contención, solapamiento sin contención y disyunción, aplicando criterios mutuamente excluyentes en ese orden. Asimismo, un cierre radial entre etiquetas distintas solo puede darse dentro de {WHAT,WHO,WHICH}: WHY y HOW son únicos en sus profundidades.</w:t>
      </w:r>
    </w:p>
    <w:p w14:paraId="443442B2" w14:textId="77777777" w:rsidR="00EC6D8F" w:rsidRDefault="00184E63" w:rsidP="00EC6D8F">
      <w:pPr>
        <w:ind w:firstLine="709"/>
        <w:jc w:val="both"/>
        <w:rPr>
          <w:lang w:val="es-ES"/>
        </w:rPr>
      </w:pPr>
      <w:r w:rsidRPr="007F783E">
        <w:rPr>
          <w:b/>
          <w:lang w:val="es-ES"/>
        </w:rPr>
        <w:t>Fronteras orientadas y alcance de la inversión</w:t>
      </w:r>
      <w:r w:rsidR="00EC6D8F">
        <w:rPr>
          <w:lang w:val="es-ES"/>
        </w:rPr>
        <w:t xml:space="preserve">. </w:t>
      </w:r>
      <w:r w:rsidRPr="007F783E">
        <w:rPr>
          <w:lang w:val="es-ES"/>
        </w:rPr>
        <w:t>Una frontera estructural exacta se representa por el par orientado (a,b). Definimos rev(a,b)=(b,a). La inversión es involutiva, pues rev(rev(a,b))=rev(b,a)=(a,b). Consultar el par de estados e invertir sus extremos conduce al mismo par orientado que invertir primero la frontera y consultar después sus extremos. Esta propiedad es algebraica: no modifica el registro histórico de ocurrencias.</w:t>
      </w:r>
    </w:p>
    <w:p w14:paraId="23EF8CCB" w14:textId="77777777" w:rsidR="00EC6D8F" w:rsidRDefault="00184E63" w:rsidP="00EC6D8F">
      <w:pPr>
        <w:ind w:firstLine="709"/>
        <w:jc w:val="both"/>
        <w:rPr>
          <w:lang w:val="es-ES"/>
        </w:rPr>
      </w:pPr>
      <w:r w:rsidRPr="007F783E">
        <w:rPr>
          <w:lang w:val="es-ES"/>
        </w:rPr>
        <w:t xml:space="preserve">En particular, si v₁≺v₃ y </w:t>
      </w:r>
      <w:r>
        <w:t>σ</w:t>
      </w:r>
      <w:r w:rsidRPr="007F783E">
        <w:rPr>
          <w:lang w:val="es-ES"/>
        </w:rPr>
        <w:t>(v₁)=</w:t>
      </w:r>
      <w:r>
        <w:t>σ</w:t>
      </w:r>
      <w:r w:rsidRPr="007F783E">
        <w:rPr>
          <w:lang w:val="es-ES"/>
        </w:rPr>
        <w:t>(v₃)=WHAT, la segunda aparición no es la primera ni constituye una arista temporal hacia atrás. Deben distinguirse inversión formal de una frontera, retorno a una etiqueta y reversión del orden de aparición. Confundirlos destruiría la separación entre estado estructural e identidad de ocurrencia.</w:t>
      </w:r>
    </w:p>
    <w:p w14:paraId="37F91154" w14:textId="77777777" w:rsidR="00CF38B7" w:rsidRDefault="00184E63" w:rsidP="00EC6D8F">
      <w:pPr>
        <w:ind w:firstLine="709"/>
        <w:jc w:val="both"/>
        <w:rPr>
          <w:lang w:val="es-ES"/>
        </w:rPr>
      </w:pPr>
      <w:r w:rsidRPr="007F783E">
        <w:rPr>
          <w:lang w:val="es-ES"/>
        </w:rPr>
        <w:t>En conjunto, la trayectoria admite perfiles geométricos calculados únicamente sobre coordenadas observadas y perfiles topológicos obtenidos del grafo relacional declarado. Cada operación tiene un dominio, unos datos de entrada y una pérdida potencial de información explícitos. Este marco prepara el estudio de las relaciones entre pensamientos del apartado 4.3, sin presuponer que una proyección parcial reconstruya por sí sola la trayectoria completa.</w:t>
      </w:r>
    </w:p>
    <w:p w14:paraId="691A853A" w14:textId="77777777" w:rsidR="00EC6D8F" w:rsidRPr="007F783E" w:rsidRDefault="00EC6D8F" w:rsidP="00EC6D8F">
      <w:pPr>
        <w:ind w:firstLine="709"/>
        <w:jc w:val="both"/>
        <w:rPr>
          <w:lang w:val="es-ES"/>
        </w:rPr>
      </w:pPr>
    </w:p>
    <w:p w14:paraId="3975E760" w14:textId="77777777" w:rsidR="006A24D4" w:rsidRPr="008532A7" w:rsidRDefault="0062359C" w:rsidP="00EC6D8F">
      <w:pPr>
        <w:pStyle w:val="Ttulo2"/>
        <w:spacing w:before="0"/>
        <w:ind w:firstLine="709"/>
        <w:jc w:val="both"/>
        <w:rPr>
          <w:lang w:val="es-ES"/>
        </w:rPr>
      </w:pPr>
      <w:bookmarkStart w:id="19" w:name="_Toc242721855"/>
      <w:r w:rsidRPr="008532A7">
        <w:rPr>
          <w:rFonts w:ascii="Times New Roman" w:hAnsi="Times New Roman"/>
          <w:color w:val="000000"/>
          <w:sz w:val="24"/>
          <w:lang w:val="es-ES"/>
        </w:rPr>
        <w:t>4.3. Pensamiento de pensamiento</w:t>
      </w:r>
      <w:bookmarkEnd w:id="19"/>
    </w:p>
    <w:p w14:paraId="7B3A1787" w14:textId="77777777" w:rsidR="00E508A7" w:rsidRDefault="001C7C99" w:rsidP="00E508A7">
      <w:pPr>
        <w:ind w:firstLine="709"/>
        <w:jc w:val="both"/>
        <w:rPr>
          <w:lang w:val="es-ES"/>
        </w:rPr>
      </w:pPr>
      <w:r w:rsidRPr="00E508A7">
        <w:rPr>
          <w:lang w:val="es-ES"/>
        </w:rPr>
        <w:t xml:space="preserve">Hubo un momento en que el pensamiento dejó de ocuparse únicamente de las cosas y comenzó a ocuparse de sus representaciones. Carretero y Atorresi (2008) sitúan en la escritura una transformación decisiva: el acontecimiento pasado no regresa, pero su representación puede ser examinada, comparada y reescrita. El SCC adopta una </w:t>
      </w:r>
      <w:r w:rsidR="00E508A7">
        <w:rPr>
          <w:lang w:val="es-ES"/>
        </w:rPr>
        <w:t xml:space="preserve">posición </w:t>
      </w:r>
      <w:r w:rsidR="00E508A7">
        <w:rPr>
          <w:lang w:val="es-ES"/>
        </w:rPr>
        <w:lastRenderedPageBreak/>
        <w:t>análoga:</w:t>
      </w:r>
      <w:r w:rsidRPr="00E508A7">
        <w:rPr>
          <w:lang w:val="es-ES"/>
        </w:rPr>
        <w:t xml:space="preserve"> ¿qué sucede cuando una trayectoria se convierte, a su vez, en objeto de otra representación?</w:t>
      </w:r>
    </w:p>
    <w:p w14:paraId="7EA58515" w14:textId="77777777" w:rsidR="008D769E" w:rsidRPr="00E508A7" w:rsidRDefault="001C7C99" w:rsidP="00E508A7">
      <w:pPr>
        <w:ind w:firstLine="709"/>
        <w:jc w:val="both"/>
        <w:rPr>
          <w:lang w:val="es-ES"/>
        </w:rPr>
      </w:pPr>
      <w:r w:rsidRPr="00E508A7">
        <w:rPr>
          <w:b/>
          <w:bCs/>
          <w:lang w:val="es-ES"/>
        </w:rPr>
        <w:t>La recurrencia sin retroceso temporal</w:t>
      </w:r>
      <w:r w:rsidR="00E508A7">
        <w:rPr>
          <w:lang w:val="es-ES"/>
        </w:rPr>
        <w:t xml:space="preserve">. </w:t>
      </w:r>
      <w:r w:rsidRPr="00E508A7">
        <w:rPr>
          <w:lang w:val="es-ES"/>
        </w:rPr>
        <w:t>Sean T=(V,≺,</w:t>
      </w:r>
      <w:r>
        <w:t>σ</w:t>
      </w:r>
      <w:r w:rsidRPr="00E508A7">
        <w:rPr>
          <w:lang w:val="es-ES"/>
        </w:rPr>
        <w:t>,E) y dos ocurrencias distintas v</w:t>
      </w:r>
      <w:r>
        <w:t>ᵢ</w:t>
      </w:r>
      <w:r w:rsidRPr="00E508A7">
        <w:rPr>
          <w:lang w:val="es-ES"/>
        </w:rPr>
        <w:t>≺v</w:t>
      </w:r>
      <w:r>
        <w:t>ⱼ</w:t>
      </w:r>
      <w:r w:rsidRPr="00E508A7">
        <w:rPr>
          <w:lang w:val="es-ES"/>
        </w:rPr>
        <w:t xml:space="preserve">. Que </w:t>
      </w:r>
      <w:r>
        <w:t>σ</w:t>
      </w:r>
      <w:r w:rsidRPr="00E508A7">
        <w:rPr>
          <w:lang w:val="es-ES"/>
        </w:rPr>
        <w:t>(v</w:t>
      </w:r>
      <w:r>
        <w:t>ᵢ</w:t>
      </w:r>
      <w:r w:rsidRPr="00E508A7">
        <w:rPr>
          <w:lang w:val="es-ES"/>
        </w:rPr>
        <w:t>)=</w:t>
      </w:r>
      <w:r>
        <w:t>σ</w:t>
      </w:r>
      <w:r w:rsidRPr="00E508A7">
        <w:rPr>
          <w:lang w:val="es-ES"/>
        </w:rPr>
        <w:t>(v</w:t>
      </w:r>
      <w:r>
        <w:t>ⱼ</w:t>
      </w:r>
      <w:r w:rsidRPr="00E508A7">
        <w:rPr>
          <w:lang w:val="es-ES"/>
        </w:rPr>
        <w:t>) significa que ambas ocupan el mismo estado, no que constituyan el mismo acontecimiento. Se denomina cierre por identidad al intervalo [i,j] cuyos extremos comparten estado. Si ambos estados pertenecen al dominio radial y tienen igual profundidad, existe cierre radial. Toda igualdad de estado radial implica igualdad de profundidad, pero no a la inversa.</w:t>
      </w:r>
    </w:p>
    <w:p w14:paraId="2EEF7E53" w14:textId="77777777" w:rsidR="00E508A7" w:rsidRDefault="001C7C99" w:rsidP="00E508A7">
      <w:pPr>
        <w:ind w:firstLine="709"/>
        <w:jc w:val="both"/>
        <w:rPr>
          <w:lang w:val="es-ES"/>
        </w:rPr>
      </w:pPr>
      <w:r w:rsidRPr="00E508A7">
        <w:rPr>
          <w:bCs/>
          <w:lang w:val="es-ES"/>
        </w:rPr>
        <w:t>Ejemplo</w:t>
      </w:r>
      <w:r w:rsidR="00E508A7">
        <w:rPr>
          <w:bCs/>
          <w:lang w:val="es-ES"/>
        </w:rPr>
        <w:t>:</w:t>
      </w:r>
      <w:r w:rsidRPr="00E508A7">
        <w:rPr>
          <w:lang w:val="es-ES"/>
        </w:rPr>
        <w:t xml:space="preserve"> </w:t>
      </w:r>
      <w:r w:rsidR="00E508A7">
        <w:rPr>
          <w:lang w:val="es-ES"/>
        </w:rPr>
        <w:t>e</w:t>
      </w:r>
      <w:r w:rsidRPr="00E508A7">
        <w:rPr>
          <w:lang w:val="es-ES"/>
        </w:rPr>
        <w:t>n (WHAT, HOW, WHY, WHAT), el intervalo [1,4] cierra por identidad y radialmente. Si la última etiqueta se sustituye por WHO, desaparece el cierre por identidad, pero permanece el radial, pues WHAT y WHO comparten profundidad R2. Ninguno de estos retornos altera la aciclicidad del orden de ocurrencias. Tampoco debe confundirse el cierre matemático con el estado operacional CLOSED</w:t>
      </w:r>
      <w:r w:rsidR="00E508A7">
        <w:rPr>
          <w:lang w:val="es-ES"/>
        </w:rPr>
        <w:t xml:space="preserve"> de una arquitectura experimental</w:t>
      </w:r>
      <w:r w:rsidRPr="00E508A7">
        <w:rPr>
          <w:lang w:val="es-ES"/>
        </w:rPr>
        <w:t>.</w:t>
      </w:r>
    </w:p>
    <w:p w14:paraId="34CE0E32" w14:textId="77777777" w:rsidR="00E508A7" w:rsidRDefault="001C7C99" w:rsidP="00E508A7">
      <w:pPr>
        <w:ind w:firstLine="709"/>
        <w:jc w:val="both"/>
        <w:rPr>
          <w:lang w:val="es-ES"/>
        </w:rPr>
      </w:pPr>
      <w:r w:rsidRPr="00E508A7">
        <w:rPr>
          <w:b/>
          <w:bCs/>
          <w:lang w:val="es-ES"/>
        </w:rPr>
        <w:t>La estructura de los intervalos de cierre</w:t>
      </w:r>
      <w:r w:rsidR="00E508A7">
        <w:rPr>
          <w:lang w:val="es-ES"/>
        </w:rPr>
        <w:t xml:space="preserve">. </w:t>
      </w:r>
      <w:r w:rsidRPr="00E508A7">
        <w:rPr>
          <w:lang w:val="es-ES"/>
        </w:rPr>
        <w:t>Una trayectoria puede contener varios intervalos cerrados, y conservar solo uno de ellos oculta información. Para una base b declarada, el conjunto de cierres se obtiene comprobando todos los pares i&lt;j cuyos extremos satisfacen la relación de equivalencia correspondiente. Dos intervalos pueden coincidir, estar propiamente contenidos uno en otro, solaparse sin contención o ser disjuntos. En este apartado, disjuntos significa que no comparten ninguna posición; el contacto en un extremo debe distinguirse expresamente.</w:t>
      </w:r>
    </w:p>
    <w:p w14:paraId="6003580C" w14:textId="77777777" w:rsidR="00451AB4" w:rsidRDefault="001C7C99" w:rsidP="00451AB4">
      <w:pPr>
        <w:ind w:firstLine="709"/>
        <w:jc w:val="both"/>
        <w:rPr>
          <w:lang w:val="es-ES"/>
        </w:rPr>
      </w:pPr>
      <w:r w:rsidRPr="00E508A7">
        <w:rPr>
          <w:bCs/>
          <w:lang w:val="es-ES"/>
        </w:rPr>
        <w:t>Ejemplo</w:t>
      </w:r>
      <w:r w:rsidR="00E508A7">
        <w:rPr>
          <w:bCs/>
          <w:lang w:val="es-ES"/>
        </w:rPr>
        <w:t>: e</w:t>
      </w:r>
      <w:r w:rsidRPr="00E508A7">
        <w:rPr>
          <w:lang w:val="es-ES"/>
        </w:rPr>
        <w:t>n (WHAT, HOW, WHAT, HOW), los intervalos [1,3] y [2,4] cierran por identidad y se solapan sin que ninguno contenga al otro. Por tanto, las familias de cierre no son universalmente laminares. La advertencia de Baddeley et al. (2010) sobre pérdidas en el recuerdo colaborativo sirve aquí como analogía epistemológica</w:t>
      </w:r>
      <w:r w:rsidR="00451AB4">
        <w:rPr>
          <w:lang w:val="es-ES"/>
        </w:rPr>
        <w:t>.</w:t>
      </w:r>
    </w:p>
    <w:p w14:paraId="7B55B3ED" w14:textId="77777777" w:rsidR="00451AB4" w:rsidRDefault="001C7C99" w:rsidP="00451AB4">
      <w:pPr>
        <w:ind w:firstLine="709"/>
        <w:jc w:val="both"/>
        <w:rPr>
          <w:lang w:val="es-ES"/>
        </w:rPr>
      </w:pPr>
      <w:r w:rsidRPr="00451AB4">
        <w:rPr>
          <w:b/>
          <w:bCs/>
          <w:lang w:val="es-ES"/>
        </w:rPr>
        <w:t>Del recorrido al cociente</w:t>
      </w:r>
      <w:r w:rsidR="00451AB4">
        <w:rPr>
          <w:lang w:val="es-ES"/>
        </w:rPr>
        <w:t xml:space="preserve">. </w:t>
      </w:r>
      <w:r w:rsidRPr="00E508A7">
        <w:rPr>
          <w:lang w:val="es-ES"/>
        </w:rPr>
        <w:t>Sea ∼</w:t>
      </w:r>
      <w:r>
        <w:t>ᵦ</w:t>
      </w:r>
      <w:r w:rsidRPr="00E508A7">
        <w:rPr>
          <w:lang w:val="es-ES"/>
        </w:rPr>
        <w:t xml:space="preserve"> una equivalencia declarada sobre el dominio V</w:t>
      </w:r>
      <w:r>
        <w:t>ᵦ</w:t>
      </w:r>
      <w:r w:rsidRPr="00E508A7">
        <w:rPr>
          <w:lang w:val="es-ES"/>
        </w:rPr>
        <w:t xml:space="preserve"> de ocurrencias y q</w:t>
      </w:r>
      <w:r>
        <w:t>ᵦ</w:t>
      </w:r>
      <w:r w:rsidRPr="00E508A7">
        <w:rPr>
          <w:lang w:val="es-ES"/>
        </w:rPr>
        <w:t>:V</w:t>
      </w:r>
      <w:r>
        <w:t>ᵦ</w:t>
      </w:r>
      <w:r w:rsidRPr="00E508A7">
        <w:rPr>
          <w:lang w:val="es-ES"/>
        </w:rPr>
        <w:t>→V</w:t>
      </w:r>
      <w:r>
        <w:t>ᵦ</w:t>
      </w:r>
      <w:r w:rsidRPr="00E508A7">
        <w:rPr>
          <w:lang w:val="es-ES"/>
        </w:rPr>
        <w:t>/∼</w:t>
      </w:r>
      <w:r>
        <w:t>ᵦ</w:t>
      </w:r>
      <w:r w:rsidRPr="00E508A7">
        <w:rPr>
          <w:lang w:val="es-ES"/>
        </w:rPr>
        <w:t xml:space="preserve"> la aplicación que asigna a cada ocurrencia su clase. Cuando la base de cierre b se define mediante esa equivalencia, [i,j] cierra según b si y solo si q</w:t>
      </w:r>
      <w:r>
        <w:t>ᵦ</w:t>
      </w:r>
      <w:r w:rsidRPr="00E508A7">
        <w:rPr>
          <w:lang w:val="es-ES"/>
        </w:rPr>
        <w:t>(v</w:t>
      </w:r>
      <w:r>
        <w:t>ᵢ</w:t>
      </w:r>
      <w:r w:rsidRPr="00E508A7">
        <w:rPr>
          <w:lang w:val="es-ES"/>
        </w:rPr>
        <w:t>)=q</w:t>
      </w:r>
      <w:r>
        <w:t>ᵦ</w:t>
      </w:r>
      <w:r w:rsidRPr="00E508A7">
        <w:rPr>
          <w:lang w:val="es-ES"/>
        </w:rPr>
        <w:t>(v</w:t>
      </w:r>
      <w:r>
        <w:t>ⱼ</w:t>
      </w:r>
      <w:r w:rsidRPr="00E508A7">
        <w:rPr>
          <w:lang w:val="es-ES"/>
        </w:rPr>
        <w:t>), para extremos pertenecientes a V</w:t>
      </w:r>
      <w:r>
        <w:t>ᵦ</w:t>
      </w:r>
      <w:r w:rsidRPr="00E508A7">
        <w:rPr>
          <w:lang w:val="es-ES"/>
        </w:rPr>
        <w:t>. Est</w:t>
      </w:r>
      <w:r w:rsidR="00451AB4">
        <w:rPr>
          <w:lang w:val="es-ES"/>
        </w:rPr>
        <w:t xml:space="preserve">e </w:t>
      </w:r>
      <w:r w:rsidRPr="00E508A7">
        <w:rPr>
          <w:lang w:val="es-ES"/>
        </w:rPr>
        <w:t>bicondicional es definicional: no autoriza a inferir igualdad de ocurrencias a partir de igualdad de clases.</w:t>
      </w:r>
    </w:p>
    <w:p w14:paraId="21E476B2" w14:textId="77777777" w:rsidR="00451AB4" w:rsidRDefault="001C7C99" w:rsidP="00451AB4">
      <w:pPr>
        <w:ind w:firstLine="709"/>
        <w:jc w:val="both"/>
        <w:rPr>
          <w:lang w:val="es-ES"/>
        </w:rPr>
      </w:pPr>
      <w:r w:rsidRPr="00451AB4">
        <w:rPr>
          <w:bCs/>
          <w:lang w:val="es-ES"/>
        </w:rPr>
        <w:t>Ejemplo</w:t>
      </w:r>
      <w:r w:rsidR="00451AB4">
        <w:rPr>
          <w:bCs/>
          <w:lang w:val="es-ES"/>
        </w:rPr>
        <w:t>: p</w:t>
      </w:r>
      <w:r w:rsidRPr="00E508A7">
        <w:rPr>
          <w:lang w:val="es-ES"/>
        </w:rPr>
        <w:t xml:space="preserve">ara (WHAT, HOW, WHAT), el cociente por identidad contiene las clases [v₁]=[v₃] y [v₂]. La espina temporal proyectada recorre [v₁]→[v₂]→[v₁]. El ciclo pertenece a la imagen, no al orden temporal original. Deben distinguirse los bucles </w:t>
      </w:r>
      <w:r w:rsidRPr="00E508A7">
        <w:rPr>
          <w:lang w:val="es-ES"/>
        </w:rPr>
        <w:lastRenderedPageBreak/>
        <w:t>proyectados —aristas cuyos extremos caen en una sola clase— de los ciclos no triviales que atraviesan varias clases.</w:t>
      </w:r>
    </w:p>
    <w:p w14:paraId="54AA5E35" w14:textId="77777777" w:rsidR="00684904" w:rsidRDefault="001C7C99" w:rsidP="00684904">
      <w:pPr>
        <w:ind w:firstLine="709"/>
        <w:jc w:val="both"/>
        <w:rPr>
          <w:lang w:val="es-ES"/>
        </w:rPr>
      </w:pPr>
      <w:r w:rsidRPr="00451AB4">
        <w:rPr>
          <w:b/>
          <w:bCs/>
          <w:lang w:val="es-ES"/>
        </w:rPr>
        <w:t>Qué conserva una representación y qué pierde</w:t>
      </w:r>
      <w:r w:rsidR="00451AB4">
        <w:rPr>
          <w:lang w:val="es-ES"/>
        </w:rPr>
        <w:t xml:space="preserve">. </w:t>
      </w:r>
      <w:r w:rsidRPr="00E508A7">
        <w:rPr>
          <w:lang w:val="es-ES"/>
        </w:rPr>
        <w:t>Una lista de clases no reconstruye por sí sola una trayectoria. Para recuperar la estructura original deben preservarse, al menos, la secuencia ordenada de ocurrencias, su pertenencia a clases y las aristas tipadas con sus extremos; para recuperar también las etiquetas de estado, cada clase visitada debe determinar un estado único o conservarse un testigo adicional de la etiqueta de cada ocurrencia. El cociente canónico enriquecido por identidad puede satisfacer estas condiciones. El mero conjunto de clases no las satisface.</w:t>
      </w:r>
    </w:p>
    <w:p w14:paraId="26ED0566" w14:textId="77777777" w:rsidR="00684904" w:rsidRDefault="001C7C99" w:rsidP="00684904">
      <w:pPr>
        <w:ind w:firstLine="709"/>
        <w:jc w:val="both"/>
        <w:rPr>
          <w:lang w:val="es-ES"/>
        </w:rPr>
      </w:pPr>
      <w:r w:rsidRPr="00E508A7">
        <w:rPr>
          <w:b/>
          <w:lang w:val="es-ES"/>
        </w:rPr>
        <w:t xml:space="preserve">Unicidad de reconstrucción de estados. </w:t>
      </w:r>
      <w:r w:rsidRPr="00E508A7">
        <w:rPr>
          <w:lang w:val="es-ES"/>
        </w:rPr>
        <w:t>Sea S(C)={</w:t>
      </w:r>
      <w:r>
        <w:t>σ</w:t>
      </w:r>
      <w:r w:rsidRPr="00E508A7">
        <w:rPr>
          <w:lang w:val="es-ES"/>
        </w:rPr>
        <w:t>(v):v∈C}. Dadas las clases y la secuencia de pertenencias, sin etiquetas adicionales, la recuperación de la secuencia de estados es unívoca si y solo si |S(C)|=1 para toda clase visitada. Para reconstruir la trayectoria completa también deben conservarse el orden y las relaciones tipadas.</w:t>
      </w:r>
    </w:p>
    <w:p w14:paraId="6DF4F457" w14:textId="77777777" w:rsidR="00684904" w:rsidRDefault="001C7C99" w:rsidP="00684904">
      <w:pPr>
        <w:ind w:firstLine="709"/>
        <w:jc w:val="both"/>
        <w:rPr>
          <w:lang w:val="es-ES"/>
        </w:rPr>
      </w:pPr>
      <w:r w:rsidRPr="00684904">
        <w:rPr>
          <w:bCs/>
          <w:lang w:val="es-ES"/>
        </w:rPr>
        <w:t>Demostración</w:t>
      </w:r>
      <w:r w:rsidR="00684904">
        <w:rPr>
          <w:bCs/>
          <w:lang w:val="es-ES"/>
        </w:rPr>
        <w:t>: s</w:t>
      </w:r>
      <w:r w:rsidRPr="00E508A7">
        <w:rPr>
          <w:lang w:val="es-ES"/>
        </w:rPr>
        <w:t>i cada clase visitada posee una única etiqueta, esta se asigna a cada posición de la secuencia y la recuperación es única. Si alguna clase visitada admite dos etiquetas distintas, una misma secuencia de clases es compatible con más de una secuencia de estados; la recuperación no es unívoca. Las aristas no pueden reconstruirse sin sus testigos estructurales correspondientes.</w:t>
      </w:r>
    </w:p>
    <w:p w14:paraId="694EA916" w14:textId="77777777" w:rsidR="00906D0A" w:rsidRDefault="001C7C99" w:rsidP="00906D0A">
      <w:pPr>
        <w:ind w:firstLine="709"/>
        <w:jc w:val="both"/>
        <w:rPr>
          <w:lang w:val="es-ES"/>
        </w:rPr>
      </w:pPr>
      <w:r w:rsidRPr="00E508A7">
        <w:rPr>
          <w:lang w:val="es-ES"/>
        </w:rPr>
        <w:t>La identificación radial es deliberadamente más gruesa: WHAT, WHO y WHICH pueden compartir R2. Una clase radial con etiquetas distintas no determina cuál ocupaba cada posición. La pérdida es consecuencia de la equivalencia elegida y no un defecto de implementación.</w:t>
      </w:r>
    </w:p>
    <w:p w14:paraId="09B99806" w14:textId="77777777" w:rsidR="00906D0A" w:rsidRDefault="001C7C99" w:rsidP="00906D0A">
      <w:pPr>
        <w:ind w:firstLine="709"/>
        <w:jc w:val="both"/>
        <w:rPr>
          <w:lang w:val="es-ES"/>
        </w:rPr>
      </w:pPr>
      <w:r w:rsidRPr="00906D0A">
        <w:rPr>
          <w:b/>
          <w:bCs/>
          <w:lang w:val="es-ES"/>
        </w:rPr>
        <w:t>Comparar cocientes exige respetar su dominio</w:t>
      </w:r>
      <w:r w:rsidR="00906D0A">
        <w:rPr>
          <w:lang w:val="es-ES"/>
        </w:rPr>
        <w:t xml:space="preserve">. </w:t>
      </w:r>
      <w:r w:rsidRPr="00E508A7">
        <w:rPr>
          <w:lang w:val="es-ES"/>
        </w:rPr>
        <w:t>En el subdominio de ocurrencias con estado radial, la equivalencia por identidad de estado refina la equivalencia por profundidad. En consecuencia, existe una aplicación sobreyectiva de las clases de identidad a las clases radiales, compatible con ambas proyecciones.</w:t>
      </w:r>
    </w:p>
    <w:p w14:paraId="3009C84A" w14:textId="77777777" w:rsidR="00906D0A" w:rsidRDefault="001C7C99" w:rsidP="00906D0A">
      <w:pPr>
        <w:ind w:firstLine="709"/>
        <w:jc w:val="both"/>
        <w:rPr>
          <w:lang w:val="es-ES"/>
        </w:rPr>
      </w:pPr>
      <w:r w:rsidRPr="00906D0A">
        <w:rPr>
          <w:bCs/>
          <w:lang w:val="es-ES"/>
        </w:rPr>
        <w:t>Demostración</w:t>
      </w:r>
      <w:r w:rsidR="00906D0A">
        <w:rPr>
          <w:bCs/>
          <w:lang w:val="es-ES"/>
        </w:rPr>
        <w:t>: s</w:t>
      </w:r>
      <w:r w:rsidRPr="00E508A7">
        <w:rPr>
          <w:lang w:val="es-ES"/>
        </w:rPr>
        <w:t xml:space="preserve">i </w:t>
      </w:r>
      <w:r>
        <w:t>σ</w:t>
      </w:r>
      <w:r w:rsidRPr="00E508A7">
        <w:rPr>
          <w:lang w:val="es-ES"/>
        </w:rPr>
        <w:t>(v)=</w:t>
      </w:r>
      <w:r>
        <w:t>σ</w:t>
      </w:r>
      <w:r w:rsidRPr="00E508A7">
        <w:rPr>
          <w:lang w:val="es-ES"/>
        </w:rPr>
        <w:t>(w), entonces sus profundidades radiales son iguales. Por tanto, la imagen radial no depende del representante escogido en cada clase de identidad, lo que define una aplicación bien determinada. Toda clase radial efectivamente presente tiene al menos una ocurrencia representante, de modo que la aplicación es sobreyectiva sobre la imagen considerada.</w:t>
      </w:r>
    </w:p>
    <w:p w14:paraId="02559BDF" w14:textId="77777777" w:rsidR="00906D0A" w:rsidRDefault="001C7C99" w:rsidP="00906D0A">
      <w:pPr>
        <w:ind w:firstLine="709"/>
        <w:jc w:val="both"/>
        <w:rPr>
          <w:lang w:val="es-ES"/>
        </w:rPr>
      </w:pPr>
      <w:r w:rsidRPr="00E508A7">
        <w:rPr>
          <w:lang w:val="es-ES"/>
        </w:rPr>
        <w:t xml:space="preserve">La proposición no se extiende automáticamente a estados orbitales: carecen de profundidad radial bajo este contrato. Si el cociente por identidad agrupa repeticiones orbitales y la construcción radial trata esas ocurrencias como clases individuales, puede </w:t>
      </w:r>
      <w:r w:rsidRPr="00E508A7">
        <w:rPr>
          <w:lang w:val="es-ES"/>
        </w:rPr>
        <w:lastRenderedPageBreak/>
        <w:t>fallar la condición de buena definición de un mapa global entre cocientes. No se debe dibujar una factorización total sin fijar antes dominio, tratamiento de estados no radiales y compatibilidad entre representantes.</w:t>
      </w:r>
    </w:p>
    <w:p w14:paraId="29497D73" w14:textId="77777777" w:rsidR="00906D0A" w:rsidRDefault="001C7C99" w:rsidP="00906D0A">
      <w:pPr>
        <w:ind w:firstLine="709"/>
        <w:jc w:val="both"/>
        <w:rPr>
          <w:lang w:val="es-ES"/>
        </w:rPr>
      </w:pPr>
      <w:r w:rsidRPr="00906D0A">
        <w:rPr>
          <w:b/>
          <w:bCs/>
          <w:lang w:val="es-ES"/>
        </w:rPr>
        <w:t>Alcance epistemológico del pensamiento sobre el pensamiento</w:t>
      </w:r>
      <w:r w:rsidR="00906D0A">
        <w:rPr>
          <w:lang w:val="es-ES"/>
        </w:rPr>
        <w:t>. Una</w:t>
      </w:r>
      <w:r w:rsidRPr="00E508A7">
        <w:rPr>
          <w:lang w:val="es-ES"/>
        </w:rPr>
        <w:t xml:space="preserve"> trayectoria puede producir representaciones de su propia organización y someterlas a preguntas sobre recurrencia, identificación, preservación y pérdida. No toda representación es reversible; tampoco toda equivalencia transporta las mismas propiedades. La memoria narrativa permite comprender la importancia de esta cautela, pero el argumento matemático descansa en relaciones y testigos explícitos.</w:t>
      </w:r>
    </w:p>
    <w:p w14:paraId="035E6A8B" w14:textId="77777777" w:rsidR="008D769E" w:rsidRDefault="001C7C99" w:rsidP="00906D0A">
      <w:pPr>
        <w:ind w:firstLine="709"/>
        <w:jc w:val="both"/>
        <w:rPr>
          <w:lang w:val="es-ES"/>
        </w:rPr>
      </w:pPr>
      <w:r w:rsidRPr="00E508A7">
        <w:rPr>
          <w:lang w:val="es-ES"/>
        </w:rPr>
        <w:t>Este resultado prepara el apartado 4.4: antes de entrelazar trayectorias distintas, es necesario saber qué representa cada una, qué transformaciones permiten compararlas y qué información se pierde cuando se las identifica. La equivalencia residual de historias del programa posterior del Atlas plantea una obligación adicional relativa a continuaciones y aceptación; no se deduce automáticamente de los cocientes aquí definidos.</w:t>
      </w:r>
    </w:p>
    <w:p w14:paraId="5829FEBB" w14:textId="77777777" w:rsidR="00906D0A" w:rsidRPr="00E508A7" w:rsidRDefault="00906D0A" w:rsidP="00906D0A">
      <w:pPr>
        <w:ind w:firstLine="709"/>
        <w:jc w:val="both"/>
        <w:rPr>
          <w:lang w:val="es-ES"/>
        </w:rPr>
      </w:pPr>
    </w:p>
    <w:p w14:paraId="5E1E3A87" w14:textId="77777777" w:rsidR="006A24D4" w:rsidRPr="008532A7" w:rsidRDefault="0062359C" w:rsidP="00906D0A">
      <w:pPr>
        <w:pStyle w:val="Ttulo2"/>
        <w:spacing w:before="0"/>
        <w:ind w:firstLine="709"/>
        <w:jc w:val="both"/>
        <w:rPr>
          <w:lang w:val="es-ES"/>
        </w:rPr>
      </w:pPr>
      <w:bookmarkStart w:id="20" w:name="_Toc242721856"/>
      <w:r w:rsidRPr="008532A7">
        <w:rPr>
          <w:rFonts w:ascii="Times New Roman" w:hAnsi="Times New Roman"/>
          <w:color w:val="000000"/>
          <w:sz w:val="24"/>
          <w:lang w:val="es-ES"/>
        </w:rPr>
        <w:t>4.4. Pensamientos entrelazados</w:t>
      </w:r>
      <w:bookmarkEnd w:id="20"/>
    </w:p>
    <w:p w14:paraId="48B82AC7" w14:textId="77777777" w:rsidR="00150642" w:rsidRDefault="00500433" w:rsidP="00150642">
      <w:pPr>
        <w:ind w:firstLine="709"/>
        <w:jc w:val="both"/>
        <w:rPr>
          <w:lang w:val="es-ES"/>
        </w:rPr>
      </w:pPr>
      <w:r w:rsidRPr="00150642">
        <w:rPr>
          <w:lang w:val="es-ES"/>
        </w:rPr>
        <w:t xml:space="preserve">Compartir una historia no exige haber vivido la misma historia. En la interpretación narrativa de Carretero y Atorresi (2008), el relato permite negociar y renegociar significados y vincular experiencias sin suprimir su singularidad. El SCC </w:t>
      </w:r>
      <w:r w:rsidR="00150642">
        <w:rPr>
          <w:lang w:val="es-ES"/>
        </w:rPr>
        <w:t>también comparte esa intuición</w:t>
      </w:r>
      <w:r w:rsidRPr="00150642">
        <w:rPr>
          <w:lang w:val="es-ES"/>
        </w:rPr>
        <w:t>: ¿qué correspondencias pueden establecerse entre dos trayectorias sin atribuirles identidad, equivalencia semántica ni una historia común que no se haya demostrado?</w:t>
      </w:r>
    </w:p>
    <w:p w14:paraId="5C4DF70C" w14:textId="77777777" w:rsidR="00150642" w:rsidRDefault="00500433" w:rsidP="00150642">
      <w:pPr>
        <w:ind w:firstLine="709"/>
        <w:jc w:val="both"/>
        <w:rPr>
          <w:lang w:val="es-ES"/>
        </w:rPr>
      </w:pPr>
      <w:r w:rsidRPr="00150642">
        <w:rPr>
          <w:b/>
          <w:bCs/>
          <w:lang w:val="es-ES"/>
        </w:rPr>
        <w:t>Correspondencias entre ocurrencias: la relación antes que la función</w:t>
      </w:r>
      <w:r w:rsidR="00150642">
        <w:rPr>
          <w:lang w:val="es-ES"/>
        </w:rPr>
        <w:t xml:space="preserve">. </w:t>
      </w:r>
      <w:r w:rsidRPr="00150642">
        <w:rPr>
          <w:lang w:val="es-ES"/>
        </w:rPr>
        <w:t>Sean X e Y los conjuntos finitos de ocurrencias de dos trayectorias. Un alineamiento M de X a Y es una relación tipada M⊆X×Y. No se presupone que sea función, total, inyectiva ni sobreyectiva. Por ejemplo, con X={a,b} e Y={</w:t>
      </w:r>
      <w:r>
        <w:t>α</w:t>
      </w:r>
      <w:r w:rsidRPr="00150642">
        <w:rPr>
          <w:lang w:val="es-ES"/>
        </w:rPr>
        <w:t>,</w:t>
      </w:r>
      <w:r>
        <w:t>β</w:t>
      </w:r>
      <w:r w:rsidRPr="00150642">
        <w:rPr>
          <w:lang w:val="es-ES"/>
        </w:rPr>
        <w:t>,</w:t>
      </w:r>
      <w:r>
        <w:t>γ</w:t>
      </w:r>
      <w:r w:rsidRPr="00150642">
        <w:rPr>
          <w:lang w:val="es-ES"/>
        </w:rPr>
        <w:t>}, la relación M={(a,</w:t>
      </w:r>
      <w:r>
        <w:t>α</w:t>
      </w:r>
      <w:r w:rsidRPr="00150642">
        <w:rPr>
          <w:lang w:val="es-ES"/>
        </w:rPr>
        <w:t>),(b,</w:t>
      </w:r>
      <w:r>
        <w:t>β</w:t>
      </w:r>
      <w:r w:rsidRPr="00150642">
        <w:rPr>
          <w:lang w:val="es-ES"/>
        </w:rPr>
        <w:t>),(b,</w:t>
      </w:r>
      <w:r>
        <w:t>γ</w:t>
      </w:r>
      <w:r w:rsidRPr="00150642">
        <w:rPr>
          <w:lang w:val="es-ES"/>
        </w:rPr>
        <w:t>)} vincula b con dos ocurrencias distintas y, por ello, no es funcional. Si se elimina (a,</w:t>
      </w:r>
      <w:r>
        <w:t>α</w:t>
      </w:r>
      <w:r w:rsidRPr="00150642">
        <w:rPr>
          <w:lang w:val="es-ES"/>
        </w:rPr>
        <w:t>), también deja de ser total respecto de X. Cada propiedad se examina independientemente; ninguna acredita por sí sola que las trayectorias sean idénticas.</w:t>
      </w:r>
    </w:p>
    <w:p w14:paraId="360B70A2" w14:textId="77777777" w:rsidR="00150642" w:rsidRDefault="00500433" w:rsidP="00150642">
      <w:pPr>
        <w:ind w:firstLine="709"/>
        <w:jc w:val="both"/>
        <w:rPr>
          <w:lang w:val="es-ES"/>
        </w:rPr>
      </w:pPr>
      <w:r w:rsidRPr="00150642">
        <w:rPr>
          <w:lang w:val="es-ES"/>
        </w:rPr>
        <w:t xml:space="preserve">Las relaciones funcionales permiten distinguir seis casos: función parcial (a lo sumo una imagen por entrada), función total (exactamente una), función parcial inyectiva, inyección total, sobreyección funcional total y biyección. Estas clases son estables bajo composición cuando los tipos son compatibles. En cambio, una correspondencia general </w:t>
      </w:r>
      <w:r w:rsidRPr="00150642">
        <w:rPr>
          <w:lang w:val="es-ES"/>
        </w:rPr>
        <w:lastRenderedPageBreak/>
        <w:t>puede mantener simultáneamente varios emparejamientos, precisamente para no imponer una segmentación única del pensamiento.</w:t>
      </w:r>
    </w:p>
    <w:p w14:paraId="6FECD88E" w14:textId="77777777" w:rsidR="00150642" w:rsidRDefault="00500433" w:rsidP="00150642">
      <w:pPr>
        <w:ind w:firstLine="709"/>
        <w:jc w:val="both"/>
        <w:rPr>
          <w:lang w:val="es-ES"/>
        </w:rPr>
      </w:pPr>
      <w:r w:rsidRPr="00150642">
        <w:rPr>
          <w:b/>
          <w:bCs/>
          <w:lang w:val="es-ES"/>
        </w:rPr>
        <w:t>Composición, identidad y lectura inversa</w:t>
      </w:r>
      <w:r w:rsidR="00150642">
        <w:rPr>
          <w:lang w:val="es-ES"/>
        </w:rPr>
        <w:t xml:space="preserve">. </w:t>
      </w:r>
      <w:r w:rsidRPr="00150642">
        <w:rPr>
          <w:lang w:val="es-ES"/>
        </w:rPr>
        <w:t>Si M⊆X×Y y N⊆Y×Z, su composición se define por (x,z)∈N∘M si y solo si existe y∈Y tal que (x,y)∈M y (y,z)∈N. La condición es existencial: puede haber varios intermediarios. Para M={(a,</w:t>
      </w:r>
      <w:r>
        <w:t>α</w:t>
      </w:r>
      <w:r w:rsidRPr="00150642">
        <w:rPr>
          <w:lang w:val="es-ES"/>
        </w:rPr>
        <w:t>),(b,</w:t>
      </w:r>
      <w:r>
        <w:t>β</w:t>
      </w:r>
      <w:r w:rsidRPr="00150642">
        <w:rPr>
          <w:lang w:val="es-ES"/>
        </w:rPr>
        <w:t>),(b,</w:t>
      </w:r>
      <w:r>
        <w:t>γ</w:t>
      </w:r>
      <w:r w:rsidRPr="00150642">
        <w:rPr>
          <w:lang w:val="es-ES"/>
        </w:rPr>
        <w:t>)} y N={(</w:t>
      </w:r>
      <w:r>
        <w:t>α</w:t>
      </w:r>
      <w:r w:rsidRPr="00150642">
        <w:rPr>
          <w:lang w:val="es-ES"/>
        </w:rPr>
        <w:t>,u),(</w:t>
      </w:r>
      <w:r>
        <w:t>β</w:t>
      </w:r>
      <w:r w:rsidRPr="00150642">
        <w:rPr>
          <w:lang w:val="es-ES"/>
        </w:rPr>
        <w:t>,v),(</w:t>
      </w:r>
      <w:r>
        <w:t>γ</w:t>
      </w:r>
      <w:r w:rsidRPr="00150642">
        <w:rPr>
          <w:lang w:val="es-ES"/>
        </w:rPr>
        <w:t>,v)}, el compuesto contiene (a,u) y (b,v), aunque este último par admite dos testigos distintos.</w:t>
      </w:r>
    </w:p>
    <w:p w14:paraId="6C3CBA64" w14:textId="77777777" w:rsidR="00AD0FF5" w:rsidRDefault="00500433" w:rsidP="00AD0FF5">
      <w:pPr>
        <w:ind w:firstLine="709"/>
        <w:jc w:val="both"/>
        <w:rPr>
          <w:lang w:val="es-ES"/>
        </w:rPr>
      </w:pPr>
      <w:r w:rsidRPr="00150642">
        <w:rPr>
          <w:lang w:val="es-ES"/>
        </w:rPr>
        <w:t>La identidad I_X={(x,x):x∈X} es neutra para la composición. La composición es asociativa porque ambas agrupaciones de tres relaciones expresan la existencia de los mismos dos testigos intermedios compatibles. Estas propiedades convierten los portadores finitos en objetos y las relaciones tipadas en flechas de una estructura categórica, sin exigir que todas las flechas sean invertibles.</w:t>
      </w:r>
    </w:p>
    <w:p w14:paraId="70C78370" w14:textId="77777777" w:rsidR="00AD0FF5" w:rsidRDefault="00500433" w:rsidP="00AD0FF5">
      <w:pPr>
        <w:ind w:firstLine="709"/>
        <w:jc w:val="both"/>
        <w:rPr>
          <w:lang w:val="es-ES"/>
        </w:rPr>
      </w:pPr>
      <w:r w:rsidRPr="00150642">
        <w:rPr>
          <w:lang w:val="es-ES"/>
        </w:rPr>
        <w:t>La conversa o dagger M†⊆Y×X intercambia los extremos de cada par. Se cumplen (M†)†=M y (N∘M)†=M†∘N†. Sin embargo, invertir la lectura de una relación no equivale a deshacerla. Por ejemplo, para X={a,b}, Y={</w:t>
      </w:r>
      <w:r>
        <w:t>α</w:t>
      </w:r>
      <w:r w:rsidRPr="00150642">
        <w:rPr>
          <w:lang w:val="es-ES"/>
        </w:rPr>
        <w:t>} y M={(a,</w:t>
      </w:r>
      <w:r>
        <w:t>α</w:t>
      </w:r>
      <w:r w:rsidRPr="00150642">
        <w:rPr>
          <w:lang w:val="es-ES"/>
        </w:rPr>
        <w:t>),(b,</w:t>
      </w:r>
      <w:r>
        <w:t>α</w:t>
      </w:r>
      <w:r w:rsidRPr="00150642">
        <w:rPr>
          <w:lang w:val="es-ES"/>
        </w:rPr>
        <w:t>)}, la composición M†∘M contiene (a,b), ajeno a I_X. Incluso una identidad unilateral resulta insuficiente: si X={a}, Y={</w:t>
      </w:r>
      <w:r>
        <w:t>α</w:t>
      </w:r>
      <w:r w:rsidRPr="00150642">
        <w:rPr>
          <w:lang w:val="es-ES"/>
        </w:rPr>
        <w:t>,</w:t>
      </w:r>
      <w:r>
        <w:t>β</w:t>
      </w:r>
      <w:r w:rsidRPr="00150642">
        <w:rPr>
          <w:lang w:val="es-ES"/>
        </w:rPr>
        <w:t>} y M={(a,</w:t>
      </w:r>
      <w:r>
        <w:t>α</w:t>
      </w:r>
      <w:r w:rsidRPr="00150642">
        <w:rPr>
          <w:lang w:val="es-ES"/>
        </w:rPr>
        <w:t xml:space="preserve">)}, entonces M†∘M=I_X, pero M∘M†≠I_Y porque </w:t>
      </w:r>
      <w:r>
        <w:t>β</w:t>
      </w:r>
      <w:r w:rsidRPr="00150642">
        <w:rPr>
          <w:lang w:val="es-ES"/>
        </w:rPr>
        <w:t xml:space="preserve"> no tiene preimagen.</w:t>
      </w:r>
    </w:p>
    <w:p w14:paraId="310A5C4B" w14:textId="77777777" w:rsidR="00491C95" w:rsidRDefault="00500433" w:rsidP="00491C95">
      <w:pPr>
        <w:ind w:firstLine="709"/>
        <w:jc w:val="both"/>
        <w:rPr>
          <w:lang w:val="es-ES"/>
        </w:rPr>
      </w:pPr>
      <w:r w:rsidRPr="00AD0FF5">
        <w:rPr>
          <w:b/>
          <w:bCs/>
          <w:lang w:val="es-ES"/>
        </w:rPr>
        <w:t>Invertibilidad exacta.</w:t>
      </w:r>
      <w:r w:rsidRPr="00150642">
        <w:rPr>
          <w:lang w:val="es-ES"/>
        </w:rPr>
        <w:t xml:space="preserve"> En el universo de relaciones entre los portadores declarados X e Y, M admite inversa bilateral si y solo si es la gráfica de una biyección. En ese caso, su inversa es M† y se satisfacen M†∘M=I_X y M∘M†=I_Y. En sentido recíproco, ambas identidades obligan a la existencia y unicidad de los emparejamientos en ambos sentidos, lo que fuerza totalidad, inyectividad y sobreyectividad. La conversa es siempre una involución; solo en el caso biyectivo es, además, inversa bilateral.</w:t>
      </w:r>
    </w:p>
    <w:p w14:paraId="758385C8" w14:textId="77777777" w:rsidR="00491C95" w:rsidRDefault="00500433" w:rsidP="00491C95">
      <w:pPr>
        <w:ind w:firstLine="709"/>
        <w:jc w:val="both"/>
        <w:rPr>
          <w:lang w:val="es-ES"/>
        </w:rPr>
      </w:pPr>
      <w:r w:rsidRPr="00491C95">
        <w:rPr>
          <w:b/>
          <w:bCs/>
          <w:lang w:val="es-ES"/>
        </w:rPr>
        <w:t>El álgebra booleana de los alineamientos</w:t>
      </w:r>
      <w:r w:rsidR="00491C95">
        <w:rPr>
          <w:lang w:val="es-ES"/>
        </w:rPr>
        <w:t xml:space="preserve">. </w:t>
      </w:r>
      <w:r w:rsidRPr="00150642">
        <w:rPr>
          <w:lang w:val="es-ES"/>
        </w:rPr>
        <w:t>Para portadores fijos, Rel(X,Y)=</w:t>
      </w:r>
      <w:r>
        <w:t>𝒫</w:t>
      </w:r>
      <w:r w:rsidRPr="00150642">
        <w:rPr>
          <w:lang w:val="es-ES"/>
        </w:rPr>
        <w:t>(X×Y) es un álgebra booleana finita ordenada por inclusión. El mínimo es ∅, el máximo X×Y, la unión expresa alternativas, la intersección expresa pares compartidos y el complemento de M es (X×Y)\M. El complemento y las comparaciones solo están definidos respecto del producto tipado fijado: dos portadores de igual cardinalidad no son automáticamente el mismo universo.</w:t>
      </w:r>
    </w:p>
    <w:p w14:paraId="51B03002" w14:textId="77777777" w:rsidR="00491C95" w:rsidRDefault="00500433" w:rsidP="00491C95">
      <w:pPr>
        <w:ind w:firstLine="709"/>
        <w:jc w:val="both"/>
        <w:rPr>
          <w:lang w:val="es-ES"/>
        </w:rPr>
      </w:pPr>
      <w:r w:rsidRPr="00150642">
        <w:rPr>
          <w:lang w:val="es-ES"/>
        </w:rPr>
        <w:t xml:space="preserve">La composición es monótona y distribuye sobre uniones en ambos argumentos, pero no sobre intersecciones en general. En efecto, sean X={x}, Y={a,b}, Z={z}, M₁={(x,a)}, M₂={(x,b)} y N={(a,z),(b,z)}. Entonces N∘(M₁∩M₂)=∅, mientras que </w:t>
      </w:r>
      <w:r w:rsidRPr="00150642">
        <w:rPr>
          <w:lang w:val="es-ES"/>
        </w:rPr>
        <w:lastRenderedPageBreak/>
        <w:t>(N∘M₁)∩(N∘M₂)={(x,z)}. La diferencia procede de que los dos compuestos utilizan testigos intermedios distintos; compartir un resultado no demuestra compartir su justificación.</w:t>
      </w:r>
    </w:p>
    <w:p w14:paraId="6F2E9B5C" w14:textId="77777777" w:rsidR="00491C95" w:rsidRDefault="00500433" w:rsidP="00491C95">
      <w:pPr>
        <w:ind w:firstLine="709"/>
        <w:jc w:val="both"/>
        <w:rPr>
          <w:lang w:val="es-ES"/>
        </w:rPr>
      </w:pPr>
      <w:r w:rsidRPr="00491C95">
        <w:rPr>
          <w:b/>
          <w:bCs/>
          <w:lang w:val="es-ES"/>
        </w:rPr>
        <w:t>Del alineamiento de ocurrencias al entrelazamiento de trayectorias</w:t>
      </w:r>
      <w:r w:rsidR="00491C95">
        <w:rPr>
          <w:lang w:val="es-ES"/>
        </w:rPr>
        <w:t xml:space="preserve">. </w:t>
      </w:r>
      <w:r w:rsidRPr="00150642">
        <w:rPr>
          <w:lang w:val="es-ES"/>
        </w:rPr>
        <w:t>Una correspondencia completa entre trayectorias no se agota en M. Puede incluir testigos ordenados que relacionan aristas tipadas de la fuente con recorridos tipados del destino. Así, una arista A→C puede refinarse mediante A→B→C sin afirmar que B existiera como ocurrencia diferenciada en la fuente. La composición de correspondencias completas sustituye y concatena recorridos testigos compatibles; la identidad utiliza correspondencias triviales de ocurrencias y aristas.</w:t>
      </w:r>
    </w:p>
    <w:p w14:paraId="6A0B0212" w14:textId="77777777" w:rsidR="00491C95" w:rsidRDefault="00500433" w:rsidP="00491C95">
      <w:pPr>
        <w:ind w:firstLine="709"/>
        <w:jc w:val="both"/>
        <w:rPr>
          <w:lang w:val="es-ES"/>
        </w:rPr>
      </w:pPr>
      <w:r w:rsidRPr="00150642">
        <w:rPr>
          <w:lang w:val="es-ES"/>
        </w:rPr>
        <w:t>La proyección que olvida los testigos conserva la relación de ocurrencias y respeta identidades y composición: olvidar después de componer produce el mismo alineamiento que componer las relaciones proyectadas. Pero esa proyección no es, en general, reversible. Dos correspondencias completas pueden inducir la misma relación M y diferir en tipos de arista, recorridos y justificaciones. La pérdida de información es estructural y no se repara suponiendo un testigo único.</w:t>
      </w:r>
    </w:p>
    <w:p w14:paraId="435B4AE0" w14:textId="77777777" w:rsidR="00C91253" w:rsidRDefault="00500433" w:rsidP="00491C95">
      <w:pPr>
        <w:ind w:firstLine="709"/>
        <w:jc w:val="both"/>
        <w:rPr>
          <w:lang w:val="es-ES"/>
        </w:rPr>
      </w:pPr>
      <w:r w:rsidRPr="00491C95">
        <w:rPr>
          <w:b/>
          <w:bCs/>
          <w:lang w:val="es-ES"/>
        </w:rPr>
        <w:t>Alcance y frontera de la correspondencia</w:t>
      </w:r>
      <w:r w:rsidR="00491C95">
        <w:rPr>
          <w:lang w:val="es-ES"/>
        </w:rPr>
        <w:t xml:space="preserve">. </w:t>
      </w:r>
      <w:r w:rsidRPr="00150642">
        <w:rPr>
          <w:lang w:val="es-ES"/>
        </w:rPr>
        <w:t>Correspondencia, equivalencia operacional, isomorfismo, invariancia y equivalencia semántica designan afirmaciones distintas. La existencia de un alineamiento no prueba las demás; una relación biyectiva entre ocurrencias tampoco basta, por sí sola, para establecer que se preservan las aristas, sus tipos o el orden de los recorridos. Esta frontera permite comparar pensamientos entrelazados sin borrar sus diferencias y prepara el análisis de las sendas de invarianza en 4.5.</w:t>
      </w:r>
    </w:p>
    <w:p w14:paraId="20544127" w14:textId="77777777" w:rsidR="00491C95" w:rsidRPr="00150642" w:rsidRDefault="00491C95" w:rsidP="00491C95">
      <w:pPr>
        <w:ind w:firstLine="709"/>
        <w:jc w:val="both"/>
        <w:rPr>
          <w:lang w:val="es-ES"/>
        </w:rPr>
      </w:pPr>
    </w:p>
    <w:p w14:paraId="5B543D79" w14:textId="77777777" w:rsidR="006A24D4" w:rsidRPr="008532A7" w:rsidRDefault="0062359C" w:rsidP="00491C95">
      <w:pPr>
        <w:pStyle w:val="Ttulo2"/>
        <w:spacing w:before="0"/>
        <w:ind w:firstLine="709"/>
        <w:jc w:val="both"/>
        <w:rPr>
          <w:lang w:val="es-ES"/>
        </w:rPr>
      </w:pPr>
      <w:bookmarkStart w:id="21" w:name="_Toc242721857"/>
      <w:r w:rsidRPr="008532A7">
        <w:rPr>
          <w:rFonts w:ascii="Times New Roman" w:hAnsi="Times New Roman"/>
          <w:color w:val="000000"/>
          <w:sz w:val="24"/>
          <w:lang w:val="es-ES"/>
        </w:rPr>
        <w:t>4.5. Las sendas de invarianza</w:t>
      </w:r>
      <w:bookmarkEnd w:id="21"/>
    </w:p>
    <w:p w14:paraId="49C72FA9" w14:textId="77777777" w:rsidR="00AD4BBA" w:rsidRDefault="00D003CD" w:rsidP="00AD4BBA">
      <w:pPr>
        <w:ind w:firstLine="709"/>
        <w:jc w:val="both"/>
        <w:rPr>
          <w:lang w:val="es-ES"/>
        </w:rPr>
      </w:pPr>
      <w:r w:rsidRPr="00AD4BBA">
        <w:rPr>
          <w:lang w:val="es-ES"/>
        </w:rPr>
        <w:t>Una senda no se define únicamente por sus extremos, sino por las transformaciones y observaciones que median entre ellos. Dos trayectorias pueden presentar la misma propiedad al comienzo y al final sin haberla conservado durante todo el recorrido. Por eso, el SCC distingue la comparación puntual de estados de la historia longitudinal del transporte: una propiedad puede preservarse, cambiar de manera admitida, derivar, dejar de ser estimable o recuperarse después de una ruptura. La senda es el objeto que permite diferenciar esos acontecimientos</w:t>
      </w:r>
      <w:r w:rsidR="00AD4BBA">
        <w:rPr>
          <w:lang w:val="es-ES"/>
        </w:rPr>
        <w:t>.</w:t>
      </w:r>
    </w:p>
    <w:p w14:paraId="797C4507" w14:textId="77777777" w:rsidR="00AD4BBA" w:rsidRDefault="00D003CD" w:rsidP="00AD4BBA">
      <w:pPr>
        <w:ind w:firstLine="709"/>
        <w:jc w:val="both"/>
        <w:rPr>
          <w:lang w:val="es-ES"/>
        </w:rPr>
      </w:pPr>
      <w:r w:rsidRPr="00AD4BBA">
        <w:rPr>
          <w:b/>
          <w:lang w:val="es-ES"/>
        </w:rPr>
        <w:t>Propiedades tipadas y contratos previos</w:t>
      </w:r>
      <w:r w:rsidR="00AD4BBA">
        <w:rPr>
          <w:lang w:val="es-ES"/>
        </w:rPr>
        <w:t xml:space="preserve">. </w:t>
      </w:r>
      <w:r w:rsidRPr="00AD4BBA">
        <w:rPr>
          <w:lang w:val="es-ES"/>
        </w:rPr>
        <w:t xml:space="preserve">Sea </w:t>
      </w:r>
      <w:r>
        <w:t>Γ</w:t>
      </w:r>
      <w:r w:rsidRPr="00AD4BBA">
        <w:rPr>
          <w:lang w:val="es-ES"/>
        </w:rPr>
        <w:t xml:space="preserve">=(T₀ → T₁ → ⋯ → Tₙ) una senda de transformaciones </w:t>
      </w:r>
      <w:r>
        <w:t>φᵢ</w:t>
      </w:r>
      <w:r w:rsidRPr="00AD4BBA">
        <w:rPr>
          <w:lang w:val="es-ES"/>
        </w:rPr>
        <w:t>:T</w:t>
      </w:r>
      <w:r>
        <w:t>ᵢ</w:t>
      </w:r>
      <w:r w:rsidRPr="00AD4BBA">
        <w:rPr>
          <w:lang w:val="es-ES"/>
        </w:rPr>
        <w:t>→T</w:t>
      </w:r>
      <w:r>
        <w:t>ᵢ</w:t>
      </w:r>
      <w:r w:rsidRPr="00AD4BBA">
        <w:rPr>
          <w:lang w:val="es-ES"/>
        </w:rPr>
        <w:t xml:space="preserve">₊₁, y sea p una propiedad definida sobre una familia tipada de </w:t>
      </w:r>
      <w:r w:rsidRPr="00AD4BBA">
        <w:rPr>
          <w:lang w:val="es-ES"/>
        </w:rPr>
        <w:lastRenderedPageBreak/>
        <w:t>trayectorias, con observación parcial p(T</w:t>
      </w:r>
      <w:r>
        <w:t>ᵢ</w:t>
      </w:r>
      <w:r w:rsidRPr="00AD4BBA">
        <w:rPr>
          <w:lang w:val="es-ES"/>
        </w:rPr>
        <w:t>). Antes de evaluar cada transporte se declara un contrato Cₚ,</w:t>
      </w:r>
      <w:r>
        <w:t>ᵢ</w:t>
      </w:r>
      <w:r w:rsidRPr="00AD4BBA">
        <w:rPr>
          <w:lang w:val="es-ES"/>
        </w:rPr>
        <w:t xml:space="preserve"> que especifica qué pares de observaciones son comparables y cuáles son admisibles. Una exigencia de conservación exacta admite (a,a); otro contrato puede autorizar, por ejemplo, que el refinamiento de una arista incremente el número de ocurrencias. La admisibilidad no se deduce del resultado: modificar el contrato después de observarlo convertiría el análisis en una justificación retrospectiva.</w:t>
      </w:r>
    </w:p>
    <w:p w14:paraId="2F710731" w14:textId="77777777" w:rsidR="00AD4BBA" w:rsidRDefault="00D003CD" w:rsidP="00AD4BBA">
      <w:pPr>
        <w:ind w:firstLine="709"/>
        <w:jc w:val="both"/>
        <w:rPr>
          <w:lang w:val="es-ES"/>
        </w:rPr>
      </w:pPr>
      <w:r w:rsidRPr="00AD4BBA">
        <w:rPr>
          <w:lang w:val="es-ES"/>
        </w:rPr>
        <w:t>La propiedad y el contrato deben permanecer identificables. La cardinalidad de ocurrencias, la amplitud radial y la conectividad son observables diferentes, con dominios y criterios propios. Una transformación puede conservar uno, alterar admisiblemente otro y dejar un tercero sin observación suficiente. No existe una media canónica de esas clasificaciones heterogéneas; la salida rigurosa es una firma tipada, indexada por propiedad y por tramo de la senda.</w:t>
      </w:r>
    </w:p>
    <w:p w14:paraId="1E2DC123" w14:textId="77777777" w:rsidR="00AD4BBA" w:rsidRDefault="00D003CD" w:rsidP="00AD4BBA">
      <w:pPr>
        <w:ind w:firstLine="709"/>
        <w:jc w:val="both"/>
        <w:rPr>
          <w:lang w:val="es-ES"/>
        </w:rPr>
      </w:pPr>
      <w:r w:rsidRPr="00AD4BBA">
        <w:rPr>
          <w:b/>
          <w:lang w:val="es-ES"/>
        </w:rPr>
        <w:t>Estados de una propiedad y definibilidad del transporte</w:t>
      </w:r>
      <w:r w:rsidR="00AD4BBA">
        <w:rPr>
          <w:lang w:val="es-ES"/>
        </w:rPr>
        <w:t xml:space="preserve">. </w:t>
      </w:r>
      <w:r w:rsidRPr="00AD4BBA">
        <w:rPr>
          <w:lang w:val="es-ES"/>
        </w:rPr>
        <w:t>Cuando ambas observaciones son estimables y comparables, PRESERVED designa la igualdad requerida por un contrato de conservación; ADMISSIBLY_TRANSFORMED, un cambio permitido expresamente; y DRIFTED, un cambio que el contrato no autoriza. LOST registra la pérdida de estimabilidad de una propiedad previamente estimable. NOT_ESTIMABLE —o UNEVALUABLE en los contextos que emplean esa denominación— indica que faltan datos, dominio o condiciones para emitir el juicio: no es un valor cero ni demuestra por sí solo una ruptura anterior. RECOVERED es una clasificación longitudinal: exige un testigo histórico de pérdida o desviación y la posterior recuperación exacta de la referencia de origen conforme al contrato aplicable.</w:t>
      </w:r>
    </w:p>
    <w:p w14:paraId="5C57297D" w14:textId="77777777" w:rsidR="00AD4BBA" w:rsidRDefault="00D003CD" w:rsidP="00AD4BBA">
      <w:pPr>
        <w:ind w:firstLine="709"/>
        <w:jc w:val="both"/>
        <w:rPr>
          <w:lang w:val="es-ES"/>
        </w:rPr>
      </w:pPr>
      <w:r w:rsidRPr="00AD4BBA">
        <w:rPr>
          <w:lang w:val="es-ES"/>
        </w:rPr>
        <w:t>Debe separarse el estado de una propiedad de la posibilidad de efectuar una transformación. LOST no significa TRANSFORMATION_UNDEFINED: la operación T</w:t>
      </w:r>
      <w:r>
        <w:t>ᵢ</w:t>
      </w:r>
      <w:r w:rsidRPr="00AD4BBA">
        <w:rPr>
          <w:lang w:val="es-ES"/>
        </w:rPr>
        <w:t>→T</w:t>
      </w:r>
      <w:r>
        <w:t>ᵢ</w:t>
      </w:r>
      <w:r w:rsidRPr="00AD4BBA">
        <w:rPr>
          <w:lang w:val="es-ES"/>
        </w:rPr>
        <w:t>₊₁ puede estar definida</w:t>
      </w:r>
      <w:r w:rsidR="00AD4BBA">
        <w:rPr>
          <w:lang w:val="es-ES"/>
        </w:rPr>
        <w:t>,</w:t>
      </w:r>
      <w:r w:rsidRPr="00AD4BBA">
        <w:rPr>
          <w:lang w:val="es-ES"/>
        </w:rPr>
        <w:t xml:space="preserve"> aunque p(T</w:t>
      </w:r>
      <w:r>
        <w:t>ᵢ</w:t>
      </w:r>
      <w:r w:rsidRPr="00AD4BBA">
        <w:rPr>
          <w:lang w:val="es-ES"/>
        </w:rPr>
        <w:t>₊₁) deje de ser estimable. A la inversa, la falta de datos sobre p no autoriza a declarar que la transformación fracasó. Si tampoco se pudo estimar p(T₀), no existe base para afirmar que una observación posterior haya supuesto su pérdida respecto de ese origen.</w:t>
      </w:r>
    </w:p>
    <w:p w14:paraId="16DF8F15" w14:textId="77777777" w:rsidR="00AD4BBA" w:rsidRDefault="00D003CD" w:rsidP="00AD4BBA">
      <w:pPr>
        <w:ind w:firstLine="709"/>
        <w:jc w:val="both"/>
        <w:rPr>
          <w:lang w:val="es-ES"/>
        </w:rPr>
      </w:pPr>
      <w:r w:rsidRPr="00AD4BBA">
        <w:rPr>
          <w:b/>
          <w:lang w:val="es-ES"/>
        </w:rPr>
        <w:t>Continuidad local y resistencia respecto del origen</w:t>
      </w:r>
      <w:r w:rsidR="00AD4BBA">
        <w:rPr>
          <w:lang w:val="es-ES"/>
        </w:rPr>
        <w:t xml:space="preserve">. </w:t>
      </w:r>
      <w:r w:rsidRPr="00AD4BBA">
        <w:rPr>
          <w:lang w:val="es-ES"/>
        </w:rPr>
        <w:t>La continuidad local examina cada arista (T</w:t>
      </w:r>
      <w:r>
        <w:t>ᵢ</w:t>
      </w:r>
      <w:r w:rsidRPr="00AD4BBA">
        <w:rPr>
          <w:lang w:val="es-ES"/>
        </w:rPr>
        <w:t>,T</w:t>
      </w:r>
      <w:r>
        <w:t>ᵢ</w:t>
      </w:r>
      <w:r w:rsidRPr="00AD4BBA">
        <w:rPr>
          <w:lang w:val="es-ES"/>
        </w:rPr>
        <w:t>₊₁) bajo su contrato.</w:t>
      </w:r>
      <w:r w:rsidR="00AD4BBA">
        <w:rPr>
          <w:lang w:val="es-ES"/>
        </w:rPr>
        <w:t xml:space="preserve"> El aguante</w:t>
      </w:r>
      <w:r w:rsidRPr="00AD4BBA">
        <w:rPr>
          <w:lang w:val="es-ES"/>
        </w:rPr>
        <w:t xml:space="preserve"> relativ</w:t>
      </w:r>
      <w:r w:rsidR="00AD4BBA">
        <w:rPr>
          <w:lang w:val="es-ES"/>
        </w:rPr>
        <w:t>o</w:t>
      </w:r>
      <w:r w:rsidRPr="00AD4BBA">
        <w:rPr>
          <w:lang w:val="es-ES"/>
        </w:rPr>
        <w:t xml:space="preserve"> al origen (origin-relative endurance) compara las observaciones posteriores con p(T₀), conservando los estados intermedios y la composición de admisibilidades. Son preguntas distintas: una arista informa de un paso; la senda informa de lo ocurrido desde su comienzo. La coincidencia p(T₀)=p(Tₙ) no implica p(T</w:t>
      </w:r>
      <w:r>
        <w:t>ᵢ</w:t>
      </w:r>
      <w:r w:rsidRPr="00AD4BBA">
        <w:rPr>
          <w:lang w:val="es-ES"/>
        </w:rPr>
        <w:t>)=p(T₀) para todos los índices intermedios.</w:t>
      </w:r>
    </w:p>
    <w:p w14:paraId="1980D6F9" w14:textId="77777777" w:rsidR="00AD4BBA" w:rsidRDefault="00AD4BBA" w:rsidP="00AD4BBA">
      <w:pPr>
        <w:ind w:firstLine="709"/>
        <w:jc w:val="both"/>
        <w:rPr>
          <w:lang w:val="es-ES"/>
        </w:rPr>
      </w:pPr>
      <w:r>
        <w:rPr>
          <w:lang w:val="es-ES"/>
        </w:rPr>
        <w:lastRenderedPageBreak/>
        <w:t>Ejemplo: c</w:t>
      </w:r>
      <w:r w:rsidR="00D003CD" w:rsidRPr="00AD4BBA">
        <w:rPr>
          <w:lang w:val="es-ES"/>
        </w:rPr>
        <w:t>onsidérese la secuencia de valores 5, 5, 7, 5 bajo un contrato de igualdad exacta. El primer transporte preserva la propiedad; el segundo</w:t>
      </w:r>
      <w:r>
        <w:rPr>
          <w:lang w:val="es-ES"/>
        </w:rPr>
        <w:t>,</w:t>
      </w:r>
      <w:r w:rsidR="00D003CD" w:rsidRPr="00AD4BBA">
        <w:rPr>
          <w:lang w:val="es-ES"/>
        </w:rPr>
        <w:t xml:space="preserve"> deriva; y el valor final vuelve a coincidir con el origen. La historia completa no es PRESERVED: el último estado puede calificarse como RECOVERED porque subsiste el testigo del desvío intermedio. La comparación aislada de los extremos, 5=5, no permite deducir esa recuperación, pues también sería compatible con una conservación ininterrumpida. Tampoco basta una única arista para establecer RECOVERED sin historia previa.</w:t>
      </w:r>
    </w:p>
    <w:p w14:paraId="7EC3C6BA" w14:textId="77777777" w:rsidR="00AD4BBA" w:rsidRDefault="00D003CD" w:rsidP="00AD4BBA">
      <w:pPr>
        <w:ind w:firstLine="709"/>
        <w:jc w:val="both"/>
        <w:rPr>
          <w:lang w:val="es-ES"/>
        </w:rPr>
      </w:pPr>
      <w:r w:rsidRPr="00AD4BBA">
        <w:rPr>
          <w:lang w:val="es-ES"/>
        </w:rPr>
        <w:t>La composición requiere un examen adicional. Si un primer contrato admite 5→6 y otro admite 6→7, cada paso puede ser ADMISSIBLY_TRANSFORMED sin que el par (5,7) sea admisible bajo el contrato del origen. La clasificación global depende de la composición de relaciones autorizadas o de un contrato explícito entre T₀ y Tₙ. Encadenar etiquetas locales no constituye una demostración de conservación global.</w:t>
      </w:r>
    </w:p>
    <w:p w14:paraId="37ABB738" w14:textId="77777777" w:rsidR="00CD3B50" w:rsidRDefault="00AD4BBA" w:rsidP="00CD3B50">
      <w:pPr>
        <w:ind w:firstLine="709"/>
        <w:jc w:val="both"/>
        <w:rPr>
          <w:lang w:val="es-ES"/>
        </w:rPr>
      </w:pPr>
      <w:r>
        <w:rPr>
          <w:lang w:val="es-ES"/>
        </w:rPr>
        <w:t>Ejemplo: s</w:t>
      </w:r>
      <w:r w:rsidR="00D003CD" w:rsidRPr="00AD4BBA">
        <w:rPr>
          <w:lang w:val="es-ES"/>
        </w:rPr>
        <w:t>upongamos p(T₀)=3, p(T₁)=3, p(T₂)=4 y p(T₃) no estimable. Bajo igualdad exacta, el primer paso es PRESERVED, el segundo DRIFTED y el tercero LOST, siempre que la propiedad fuera estimable antes de desaparecer. Si el contrato previo admite 3→4, el segundo paso pasa a ser ADMISSIBLY_TRANSFORMED. En ninguno de los casos la falta de observación final equivale a p(T₃)=0, ni demuestra que la transformación hacia T₃ estuviera indefinida. El ejemplo separa la observación, el contrato y la ejecución.</w:t>
      </w:r>
    </w:p>
    <w:p w14:paraId="51A0BDAD" w14:textId="77777777" w:rsidR="00CD3B50" w:rsidRDefault="00D003CD" w:rsidP="00CD3B50">
      <w:pPr>
        <w:ind w:firstLine="709"/>
        <w:jc w:val="both"/>
        <w:rPr>
          <w:lang w:val="es-ES"/>
        </w:rPr>
      </w:pPr>
      <w:r w:rsidRPr="00AD4BBA">
        <w:rPr>
          <w:b/>
          <w:lang w:val="es-ES"/>
        </w:rPr>
        <w:t>Alcance de la invariancia</w:t>
      </w:r>
      <w:r w:rsidR="00CD3B50">
        <w:rPr>
          <w:lang w:val="es-ES"/>
        </w:rPr>
        <w:t xml:space="preserve">. </w:t>
      </w:r>
      <w:r w:rsidRPr="00AD4BBA">
        <w:rPr>
          <w:lang w:val="es-ES"/>
        </w:rPr>
        <w:t>La invariancia estructural no debe confundirse con la permanencia de una narración o de un contenido semántico. Como ilustra la discusión sobre reconstrucción histórica de Carretero y Atorresi (2008), las representaciones pueden negociarse y renegociarse; el SCC no convierte esa variación humana en una escala única. Exige especificar qué propiedad se transporta, bajo qué transformación y con qué criterio previo. Así, una trayectoria puede mantener su topología y modificar su palabra de estados, o conservar profundidad radial mientras cambian sus representantes periféricos.</w:t>
      </w:r>
    </w:p>
    <w:p w14:paraId="1E9989FD" w14:textId="77777777" w:rsidR="00CD3B50" w:rsidRDefault="00D003CD" w:rsidP="00CD3B50">
      <w:pPr>
        <w:ind w:firstLine="709"/>
        <w:jc w:val="both"/>
        <w:rPr>
          <w:lang w:val="es-ES"/>
        </w:rPr>
      </w:pPr>
      <w:r w:rsidRPr="00AD4BBA">
        <w:rPr>
          <w:lang w:val="es-ES"/>
        </w:rPr>
        <w:t>En términos matemáticos, una senda reúne transformaciones tipadas, observaciones parciales, contratos locales y testigos históricos. Su análisis permite estudiar qué propiedades permanecen, cuáles cambian legítimamente y cuáles dejan de poder evaluarse, sin atribuir a la coincidencia de extremos una continuidad que no está demostrada. Esta distinción proporciona al Atlas un criterio de búsqueda verificable: alcanzar un destino no basta; para certificar una etiqueta longitudinal debe poder reconstruirse la historia pertinente de observaciones y contratos, y cualquier afirmación de inexistencia de una senda requiere un procedimiento de verificación adecuado al espacio y a las restricciones considerados.</w:t>
      </w:r>
    </w:p>
    <w:p w14:paraId="034F7738" w14:textId="77777777" w:rsidR="00CD3B50" w:rsidRPr="00AD4BBA" w:rsidRDefault="00CD3B50" w:rsidP="00CD3B50">
      <w:pPr>
        <w:ind w:firstLine="709"/>
        <w:jc w:val="both"/>
        <w:rPr>
          <w:lang w:val="es-ES"/>
        </w:rPr>
      </w:pPr>
    </w:p>
    <w:p w14:paraId="1A9D5DB0" w14:textId="77777777" w:rsidR="006A24D4" w:rsidRPr="008532A7" w:rsidRDefault="0062359C" w:rsidP="00CD3B50">
      <w:pPr>
        <w:pStyle w:val="Ttulo2"/>
        <w:spacing w:before="0"/>
        <w:ind w:firstLine="709"/>
        <w:rPr>
          <w:lang w:val="es-ES"/>
        </w:rPr>
      </w:pPr>
      <w:bookmarkStart w:id="22" w:name="_Toc242721858"/>
      <w:r w:rsidRPr="008532A7">
        <w:rPr>
          <w:rFonts w:ascii="Times New Roman" w:hAnsi="Times New Roman"/>
          <w:color w:val="000000"/>
          <w:sz w:val="24"/>
          <w:lang w:val="es-ES"/>
        </w:rPr>
        <w:t>4.6. Hacerse pensamiento</w:t>
      </w:r>
      <w:bookmarkEnd w:id="22"/>
    </w:p>
    <w:p w14:paraId="221FE137" w14:textId="77777777" w:rsidR="00553162" w:rsidRDefault="004A0472" w:rsidP="00553162">
      <w:pPr>
        <w:ind w:firstLine="709"/>
        <w:jc w:val="both"/>
        <w:rPr>
          <w:lang w:val="es-ES"/>
        </w:rPr>
      </w:pPr>
      <w:r w:rsidRPr="00553162">
        <w:rPr>
          <w:lang w:val="es-ES"/>
        </w:rPr>
        <w:t>El hombre como piedra y escultor de sí mismo ofrece una imagen poderosa: una idea adquiere forma sin que esa forma estuviera predeterminada. Pero la metáfora no constituye una demostración geométrica. Tras estudiar las correspondencias y las sendas de invarianza, debemos preguntar qué información adicional permite realizar una trayectoria como objeto poliédrico y qué propiedades pueden calcularse una vez construido. La respuesta no depende de la semejanza de un dibujo, sino de un testigo explícito de incidencia.</w:t>
      </w:r>
    </w:p>
    <w:p w14:paraId="3C0FAEE8" w14:textId="77777777" w:rsidR="00553162" w:rsidRDefault="004A0472" w:rsidP="00553162">
      <w:pPr>
        <w:ind w:firstLine="709"/>
        <w:jc w:val="both"/>
        <w:rPr>
          <w:lang w:val="es-ES"/>
        </w:rPr>
      </w:pPr>
      <w:r w:rsidRPr="00553162">
        <w:rPr>
          <w:lang w:val="es-ES"/>
        </w:rPr>
        <w:t>Sea T=(V,&lt;,</w:t>
      </w:r>
      <w:r>
        <w:t>σ</w:t>
      </w:r>
      <w:r w:rsidRPr="00553162">
        <w:rPr>
          <w:lang w:val="es-ES"/>
        </w:rPr>
        <w:t xml:space="preserve">,E) una trayectoria. Sus ocurrencias, orden y relaciones no determinan por sí solos caras poliédricas. Una realización </w:t>
      </w:r>
      <w:r>
        <w:t>ρ</w:t>
      </w:r>
      <w:r w:rsidRPr="00553162">
        <w:rPr>
          <w:lang w:val="es-ES"/>
        </w:rPr>
        <w:t xml:space="preserve">_W(T,d,W), cuando está definida, requiere un testigo W que declare conjuntos finitos V_P, E_P y F_P, las relaciones de incidencia entre vértices, aristas y caras, y su compatibilidad con los elementos de la estructura de origen según el contrato d. Si el testigo falta o incumple una condición requerida, la aplicación parcial </w:t>
      </w:r>
      <w:r>
        <w:t>ρ</w:t>
      </w:r>
      <w:r w:rsidRPr="00553162">
        <w:rPr>
          <w:lang w:val="es-ES"/>
        </w:rPr>
        <w:t>_W no produce realización: no cabe completar las caras mediante una interpretación visual.</w:t>
      </w:r>
    </w:p>
    <w:p w14:paraId="40B5CF66" w14:textId="77777777" w:rsidR="00553162" w:rsidRDefault="004A0472" w:rsidP="00553162">
      <w:pPr>
        <w:ind w:firstLine="709"/>
        <w:jc w:val="both"/>
        <w:rPr>
          <w:lang w:val="es-ES"/>
        </w:rPr>
      </w:pPr>
      <w:r w:rsidRPr="00553162">
        <w:rPr>
          <w:lang w:val="es-ES"/>
        </w:rPr>
        <w:t>El testigo separa dos afirmaciones distintas: que una realización existe y que esa realización posee ciertas propiedades. Solo después de verificar sus incidencias tiene sentido calcular conectividad, grados, tipos de cara, figuras de vértice, banderas —ternas incidentes de vértice, arista y cara— y automorfismos. La regularidad combinatoria exige que estos últimos actúen transitivamente sobre las banderas; no equivale a una impresión estética de simetría.</w:t>
      </w:r>
    </w:p>
    <w:p w14:paraId="19E26315" w14:textId="77777777" w:rsidR="00553162" w:rsidRDefault="004A0472" w:rsidP="00553162">
      <w:pPr>
        <w:ind w:firstLine="709"/>
        <w:jc w:val="both"/>
        <w:rPr>
          <w:lang w:val="es-ES"/>
        </w:rPr>
      </w:pPr>
      <w:r w:rsidRPr="00553162">
        <w:rPr>
          <w:lang w:val="es-ES"/>
        </w:rPr>
        <w:t xml:space="preserve">La característica de Euler </w:t>
      </w:r>
      <w:r>
        <w:t>χ</w:t>
      </w:r>
      <w:r w:rsidRPr="00553162">
        <w:rPr>
          <w:lang w:val="es-ES"/>
        </w:rPr>
        <w:t xml:space="preserve">=|V_P|−|E_P|+|F_P| se calcula a partir de los conjuntos declarados. En un tetraedro convexo, 4−6+4=2; en un cubo, 8−12+6=2. La igualdad </w:t>
      </w:r>
      <w:r>
        <w:t>χ</w:t>
      </w:r>
      <w:r w:rsidRPr="00553162">
        <w:rPr>
          <w:lang w:val="es-ES"/>
        </w:rPr>
        <w:t>=2 es necesaria para la superficie de un poliedro convexo, pero no es suficiente para demostrar realizabilidad, convexidad, regularidad o identidad de incidencias. Dos estructuras con el mismo perfil numérico pueden disponer sus caras de manera diferente. Así, calcular antes de interpretar es una obligación de método, no una garantía de existencia.</w:t>
      </w:r>
    </w:p>
    <w:p w14:paraId="1CFFED1B" w14:textId="77777777" w:rsidR="00553162" w:rsidRDefault="004A0472" w:rsidP="00553162">
      <w:pPr>
        <w:ind w:firstLine="709"/>
        <w:jc w:val="both"/>
        <w:rPr>
          <w:lang w:val="es-ES"/>
        </w:rPr>
      </w:pPr>
      <w:r w:rsidRPr="00553162">
        <w:rPr>
          <w:lang w:val="es-ES"/>
        </w:rPr>
        <w:t>La distinción también alcanza a la dualidad. El dual de un cubo es un octaedro (6 vértices, 12 aristas y 8 caras), mientras que el tetraedro pertenece a una familia autodual. Intercambiar vértices y caras dos veces recupera la estructura inicial bajo la identificación canónica pertinente, siempre dentro del dominio donde la dualidad está definida. Ninguna de estas operaciones transforma automáticamente una trayectoria sin testigo en un poliedro ni identifica dualidad poliédrica con inversión de la dirección inferencial.</w:t>
      </w:r>
    </w:p>
    <w:p w14:paraId="2137DB6F" w14:textId="77777777" w:rsidR="00553162" w:rsidRDefault="004A0472" w:rsidP="00553162">
      <w:pPr>
        <w:ind w:firstLine="709"/>
        <w:jc w:val="both"/>
        <w:rPr>
          <w:lang w:val="es-ES"/>
        </w:rPr>
      </w:pPr>
      <w:r w:rsidRPr="00553162">
        <w:rPr>
          <w:lang w:val="es-ES"/>
        </w:rPr>
        <w:lastRenderedPageBreak/>
        <w:t>La comparación narrativa con los supuestos heredados que sostienen una forma cultural (Galtung et al., 2002) resulta útil únicamente para subrayar la necesidad de declarar condiciones de construcción. «Hacerse pensamiento» nombra aquí el paso controlado de una estructura a una realización posible</w:t>
      </w:r>
      <w:r w:rsidR="00553162">
        <w:rPr>
          <w:lang w:val="es-ES"/>
        </w:rPr>
        <w:t>.</w:t>
      </w:r>
    </w:p>
    <w:p w14:paraId="76E9F4C2" w14:textId="77777777" w:rsidR="00553162" w:rsidRDefault="004A0472" w:rsidP="00553162">
      <w:pPr>
        <w:ind w:firstLine="709"/>
        <w:jc w:val="both"/>
        <w:rPr>
          <w:lang w:val="es-ES"/>
        </w:rPr>
      </w:pPr>
      <w:r w:rsidRPr="00553162">
        <w:rPr>
          <w:b/>
          <w:bCs/>
          <w:lang w:val="es-ES"/>
        </w:rPr>
        <w:t>Nueve figuras, una condición de existencia</w:t>
      </w:r>
      <w:r w:rsidR="00553162">
        <w:rPr>
          <w:lang w:val="es-ES"/>
        </w:rPr>
        <w:t xml:space="preserve">. </w:t>
      </w:r>
      <w:r w:rsidRPr="00553162">
        <w:rPr>
          <w:lang w:val="es-ES"/>
        </w:rPr>
        <w:t>La clasificación clásica de poliedros regulares tridimensionales ofrece nueve familias de referencia: cinco convexas (sólidos platónicos) y cuatro estrelladas (sólidos de Kepler–Poinsot). El símbolo de Schläfli {p,q} indica el tipo de cara y el de figura de vértice de una realización regular admisible; expresiones como 5/2 designan polígonos estrellados y no números fraccionarios de caras.</w:t>
      </w:r>
    </w:p>
    <w:p w14:paraId="085FA29A" w14:textId="77777777" w:rsidR="00553162" w:rsidRDefault="004A0472" w:rsidP="00553162">
      <w:pPr>
        <w:ind w:firstLine="709"/>
        <w:jc w:val="both"/>
        <w:rPr>
          <w:lang w:val="es-ES"/>
        </w:rPr>
      </w:pPr>
      <w:r w:rsidRPr="00553162">
        <w:rPr>
          <w:lang w:val="es-ES"/>
        </w:rPr>
        <w:t xml:space="preserve">Las cinco familias convexas son: tetraedro {3,3}, con (V,E,F)=(4,6,4); cubo {4,3}, (8,12,6); octaedro {3,4}, (6,12,8); dodecaedro {5,3}, (20,30,12); e icosaedro {3,5}, (12,30,20). Todas satisfacen </w:t>
      </w:r>
      <w:r>
        <w:t>χ</w:t>
      </w:r>
      <w:r w:rsidRPr="00553162">
        <w:rPr>
          <w:lang w:val="es-ES"/>
        </w:rPr>
        <w:t>=2. Las parejas cubo–octaedro y dodecaedro–icosaedro son duales; el tetraedro es autodual como familia.</w:t>
      </w:r>
    </w:p>
    <w:p w14:paraId="57EDA59E" w14:textId="77777777" w:rsidR="00E229FC" w:rsidRDefault="004A0472" w:rsidP="00E229FC">
      <w:pPr>
        <w:ind w:firstLine="709"/>
        <w:jc w:val="both"/>
        <w:rPr>
          <w:lang w:val="es-ES"/>
        </w:rPr>
      </w:pPr>
      <w:r w:rsidRPr="00553162">
        <w:rPr>
          <w:lang w:val="es-ES"/>
        </w:rPr>
        <w:t>Las cuatro familias estrelladas son: pequeño dodecaedro estrellado {5/2,5}, con (12,30,12); gran dodecaedro {5,5/2}, (12,30,12); gran dodecaedro estrellado {5/2,3}, (20,30,12); y gran icosaedro {3,5/2}, (12,30,20). Sus características combinatorias, contadas sobre las caras declaradas, son respectivamente −6, −6, 2 y 2. La autointersección de las representaciones estrelladas impide interpretar sin más esas cifras como la característica de la superficie espacial visible. Las parejas duales son pequeño dodecaedro estrellado–gran dodecaedro y gran dodecaedro estrellado–gran icosaedro.</w:t>
      </w:r>
    </w:p>
    <w:p w14:paraId="52F776AA" w14:textId="77777777" w:rsidR="00E229FC" w:rsidRDefault="004A0472" w:rsidP="00E229FC">
      <w:pPr>
        <w:ind w:firstLine="709"/>
        <w:jc w:val="both"/>
        <w:rPr>
          <w:lang w:val="es-ES"/>
        </w:rPr>
      </w:pPr>
      <w:r w:rsidRPr="00553162">
        <w:rPr>
          <w:lang w:val="es-ES"/>
        </w:rPr>
        <w:t>El perfil observable de una realización acreditada por W comprende diecinueve componentes: números de vértices, aristas y caras; característica de Euler; conectividad; palabra de grados; uniformidad del grado de vértice; uniformidad y tipo de cara; uniformidad y tipo de figura de vértice; incidencia de exactamente dos caras por arista; símbolo de Schläfli; carácter estrellado de caras y figuras de vértice; número de banderas; número de automorfismos de incidencia; número de órbitas de banderas; y transitividad de banderas. Los descriptores cuyo dominio requiere uniformidad quedan no estimables cuando esa condición falla: no se sustituyen por valores convencionales.</w:t>
      </w:r>
    </w:p>
    <w:p w14:paraId="7A90308B" w14:textId="77777777" w:rsidR="00E229FC" w:rsidRDefault="004A0472" w:rsidP="00E229FC">
      <w:pPr>
        <w:ind w:firstLine="709"/>
        <w:jc w:val="both"/>
        <w:rPr>
          <w:lang w:val="es-ES"/>
        </w:rPr>
      </w:pPr>
      <w:r w:rsidRPr="00E229FC">
        <w:rPr>
          <w:b/>
          <w:bCs/>
          <w:lang w:val="es-ES"/>
        </w:rPr>
        <w:t>Correspondencia con una familia regular.</w:t>
      </w:r>
      <w:r w:rsidRPr="00553162">
        <w:rPr>
          <w:lang w:val="es-ES"/>
        </w:rPr>
        <w:t xml:space="preserve"> Dada una realización válida y una familia canónica, se verifican conjuntamente doce predicados: igualdad de los números de vértices, aristas y caras; conectividad; exactamente dos caras por arista; uniformidad de caras y coincidencia de su tipo; grado uniforme de vértice; uniformidad de la figura de vértice y coincidencia de su tipo; coincidencia del símbolo de Schläfli; y transitividad de </w:t>
      </w:r>
      <w:r w:rsidRPr="00553162">
        <w:rPr>
          <w:lang w:val="es-ES"/>
        </w:rPr>
        <w:lastRenderedPageBreak/>
        <w:t xml:space="preserve">banderas. La correspondencia positiva exige los doce resultados verdaderos. Ni </w:t>
      </w:r>
      <w:r>
        <w:t>χ</w:t>
      </w:r>
      <w:r w:rsidRPr="00553162">
        <w:rPr>
          <w:lang w:val="es-ES"/>
        </w:rPr>
        <w:t>, ni las cardinalidades, ni el símbolo aislado bastan para concluir regularidad.</w:t>
      </w:r>
    </w:p>
    <w:p w14:paraId="08A34E11" w14:textId="77777777" w:rsidR="00E229FC" w:rsidRDefault="004A0472" w:rsidP="00E229FC">
      <w:pPr>
        <w:ind w:firstLine="709"/>
        <w:jc w:val="both"/>
        <w:rPr>
          <w:lang w:val="es-ES"/>
        </w:rPr>
      </w:pPr>
      <w:r w:rsidRPr="00553162">
        <w:rPr>
          <w:lang w:val="es-ES"/>
        </w:rPr>
        <w:t xml:space="preserve">La transitividad de banderas debe probarse a partir de los automorfismos de la incidencia efectivamente declarada; una figura dibujada no suministra por sí sola el grupo ni sus órbitas. Del mismo modo, la dualidad {p,q}↔{q,p} pertenece a las realizaciones donde se define y no garantiza una isometría entre sus distancias y las de reconfiguración de trayectorias. Una realización puede ser válida bajo un testigo y no existir bajo otro; incluso dos realizaciones válidas pueden compartir </w:t>
      </w:r>
      <w:r>
        <w:t>χ</w:t>
      </w:r>
      <w:r w:rsidRPr="00553162">
        <w:rPr>
          <w:lang w:val="es-ES"/>
        </w:rPr>
        <w:t xml:space="preserve"> y diferir estructuralmente.</w:t>
      </w:r>
    </w:p>
    <w:p w14:paraId="7BF6A888" w14:textId="77777777" w:rsidR="00DA052F" w:rsidRDefault="004A0472" w:rsidP="00E229FC">
      <w:pPr>
        <w:ind w:firstLine="709"/>
        <w:jc w:val="both"/>
        <w:rPr>
          <w:lang w:val="es-ES"/>
        </w:rPr>
      </w:pPr>
      <w:r w:rsidRPr="00553162">
        <w:rPr>
          <w:lang w:val="es-ES"/>
        </w:rPr>
        <w:t>El resultado conceptual es deliberadamente acotado: una trayectoria no contiene necesariamente un poliedro escondido. El SCC puede relacionarse con la combinatoria poliédrica cuando se aporta un testigo verificable y</w:t>
      </w:r>
      <w:r w:rsidR="00E229FC">
        <w:rPr>
          <w:lang w:val="es-ES"/>
        </w:rPr>
        <w:t>,</w:t>
      </w:r>
      <w:r w:rsidRPr="00553162">
        <w:rPr>
          <w:lang w:val="es-ES"/>
        </w:rPr>
        <w:t xml:space="preserve"> entonces</w:t>
      </w:r>
      <w:r w:rsidR="00E229FC">
        <w:rPr>
          <w:lang w:val="es-ES"/>
        </w:rPr>
        <w:t>,</w:t>
      </w:r>
      <w:r w:rsidRPr="00553162">
        <w:rPr>
          <w:lang w:val="es-ES"/>
        </w:rPr>
        <w:t xml:space="preserve"> calcular propiedades de la realización sin transferirlas indebidamente a toda la trayectoria ni convertirlas en una segunda noción de invariancia. Esa cautela prepara la cuestión de perspectiva y de doble involución del apartado siguiente.</w:t>
      </w:r>
    </w:p>
    <w:p w14:paraId="40AC58C0" w14:textId="77777777" w:rsidR="00E229FC" w:rsidRPr="00553162" w:rsidRDefault="00E229FC" w:rsidP="00E229FC">
      <w:pPr>
        <w:ind w:firstLine="709"/>
        <w:jc w:val="both"/>
        <w:rPr>
          <w:lang w:val="es-ES"/>
        </w:rPr>
      </w:pPr>
    </w:p>
    <w:p w14:paraId="2ED59498" w14:textId="77777777" w:rsidR="006A24D4" w:rsidRPr="008532A7" w:rsidRDefault="0062359C" w:rsidP="00E229FC">
      <w:pPr>
        <w:pStyle w:val="Ttulo2"/>
        <w:spacing w:before="0"/>
        <w:ind w:firstLine="709"/>
        <w:jc w:val="both"/>
        <w:rPr>
          <w:lang w:val="es-ES"/>
        </w:rPr>
      </w:pPr>
      <w:bookmarkStart w:id="23" w:name="_Toc242721859"/>
      <w:r w:rsidRPr="008532A7">
        <w:rPr>
          <w:rFonts w:ascii="Times New Roman" w:hAnsi="Times New Roman"/>
          <w:color w:val="000000"/>
          <w:sz w:val="24"/>
          <w:lang w:val="es-ES"/>
        </w:rPr>
        <w:t>4.7. Cuestión de perspectiva</w:t>
      </w:r>
      <w:bookmarkEnd w:id="23"/>
    </w:p>
    <w:p w14:paraId="52B252B3" w14:textId="77777777" w:rsidR="00345F66" w:rsidRDefault="005D2247" w:rsidP="00345F66">
      <w:pPr>
        <w:ind w:firstLine="709"/>
        <w:jc w:val="both"/>
        <w:rPr>
          <w:lang w:val="es-ES"/>
        </w:rPr>
      </w:pPr>
      <w:r w:rsidRPr="00345F66">
        <w:rPr>
          <w:lang w:val="es-ES"/>
        </w:rPr>
        <w:t>El horizonte cambia con la posición del observador, pero cambiar de perspectiva no significa siempre transformar el mismo objeto. La oposición direccional invierte una orientación conocida; la dualidad poliédrica intercambia los papeles de vértices y caras en una realización admisible. Ambas son involuciones en sus respectivos portadores. El problema consiste en determinar cuándo sus efectos pueden relacionarse mediante una realización, no en declararlas idénticas.</w:t>
      </w:r>
    </w:p>
    <w:p w14:paraId="1E1B81CF" w14:textId="77777777" w:rsidR="007D2544" w:rsidRPr="00345F66" w:rsidRDefault="005D2247" w:rsidP="00345F66">
      <w:pPr>
        <w:ind w:firstLine="709"/>
        <w:jc w:val="both"/>
        <w:rPr>
          <w:lang w:val="es-ES"/>
        </w:rPr>
      </w:pPr>
      <w:r w:rsidRPr="00345F66">
        <w:rPr>
          <w:b/>
          <w:lang w:val="es-ES"/>
        </w:rPr>
        <w:t>Dos simetrías, dos portadores</w:t>
      </w:r>
      <w:r w:rsidR="00345F66">
        <w:rPr>
          <w:lang w:val="es-ES"/>
        </w:rPr>
        <w:t xml:space="preserve">. </w:t>
      </w:r>
      <w:r w:rsidRPr="00345F66">
        <w:rPr>
          <w:lang w:val="es-ES"/>
        </w:rPr>
        <w:t>Sea Dₖ={CONVERGENT,DIVERGENT}. La oposición O:Dₖ→Dₖ intercambia sus dos elementos; por comprobación directa, O²=id y no tiene puntos fijos en Dₖ. La etiqueta UNKNOWN puede mantenerse fija en un vocabulario ampliado por convenio representacional, sin constituir una tercera dirección matemática conocida. Por otra parte, la dualidad D actúa sobre realizaciones poliédricas admisibles en un dominio cerrado bajo dualidad: intercambia vértices y caras, conserva las incidencias pertinentes y satisface D²=id bajo la identificación canónica declarada. No se extiende automáticamente a cualquier grafo o trayectoria carente de testigo.</w:t>
      </w:r>
    </w:p>
    <w:p w14:paraId="204FA171" w14:textId="77777777" w:rsidR="00345F66" w:rsidRDefault="005D2247" w:rsidP="00345F66">
      <w:pPr>
        <w:ind w:firstLine="709"/>
        <w:jc w:val="both"/>
        <w:rPr>
          <w:lang w:val="es-ES"/>
        </w:rPr>
      </w:pPr>
      <w:r w:rsidRPr="00345F66">
        <w:rPr>
          <w:lang w:val="es-ES"/>
        </w:rPr>
        <w:t xml:space="preserve">Una igualdad de forma, O²=id y D²=id, no establece correspondencia entre sus dominios. Incluso cuando una familia poliédrica es autodual hasta isomorfismo, ello no garantiza que una realización concreta P coincida con D(P). La igualdad concreta, la </w:t>
      </w:r>
      <w:r w:rsidRPr="00345F66">
        <w:rPr>
          <w:lang w:val="es-ES"/>
        </w:rPr>
        <w:lastRenderedPageBreak/>
        <w:t>equivalencia por isomorfismo y la pertenencia a una familia autodual son afirmaciones distintas.</w:t>
      </w:r>
    </w:p>
    <w:p w14:paraId="29F12B38" w14:textId="77777777" w:rsidR="00C21AC7" w:rsidRDefault="005D2247" w:rsidP="00C21AC7">
      <w:pPr>
        <w:ind w:firstLine="709"/>
        <w:jc w:val="both"/>
        <w:rPr>
          <w:lang w:val="es-ES"/>
        </w:rPr>
      </w:pPr>
      <w:r w:rsidRPr="00345F66">
        <w:rPr>
          <w:b/>
          <w:lang w:val="es-ES"/>
        </w:rPr>
        <w:t>Las rutas de la doble involución</w:t>
      </w:r>
      <w:r w:rsidR="00345F66">
        <w:rPr>
          <w:lang w:val="es-ES"/>
        </w:rPr>
        <w:t xml:space="preserve">. </w:t>
      </w:r>
      <w:r w:rsidRPr="00345F66">
        <w:rPr>
          <w:lang w:val="es-ES"/>
        </w:rPr>
        <w:t xml:space="preserve">Fijemos una trayectoria T, una dirección conocida d y un testigo de incidencia W. Sobre las entradas x=(T,d,W), definimos O_X(x)=(T,O(d),W). La realización parcial </w:t>
      </w:r>
      <w:r>
        <w:t>ρ</w:t>
      </w:r>
      <w:r w:rsidRPr="00345F66">
        <w:rPr>
          <w:lang w:val="es-ES"/>
        </w:rPr>
        <w:t xml:space="preserve">_W, cuando está definida, produce un poliedro P a partir de la entrada y del testigo. La comparación enfrenta dos rutas: </w:t>
      </w:r>
      <w:r>
        <w:t>ρ</w:t>
      </w:r>
      <w:r w:rsidRPr="00345F66">
        <w:rPr>
          <w:lang w:val="es-ES"/>
        </w:rPr>
        <w:t>_W(O_X(x)) y D(</w:t>
      </w:r>
      <w:r>
        <w:t>ρ</w:t>
      </w:r>
      <w:r w:rsidRPr="00345F66">
        <w:rPr>
          <w:lang w:val="es-ES"/>
        </w:rPr>
        <w:t>_W(x)). Su conmutatividad exige, antes de cualquier igualdad, que ambas expresiones estén definidas y que sus resultados se comparen bajo el mismo criterio de identidad.</w:t>
      </w:r>
    </w:p>
    <w:p w14:paraId="2413BB8B" w14:textId="77777777" w:rsidR="00C21AC7" w:rsidRDefault="005D2247" w:rsidP="00C21AC7">
      <w:pPr>
        <w:ind w:firstLine="709"/>
        <w:jc w:val="both"/>
        <w:rPr>
          <w:lang w:val="es-ES"/>
        </w:rPr>
      </w:pPr>
      <w:r w:rsidRPr="00345F66">
        <w:rPr>
          <w:lang w:val="es-ES"/>
        </w:rPr>
        <w:t xml:space="preserve">En la realización considerada aquí, </w:t>
      </w:r>
      <w:r>
        <w:t>ρ</w:t>
      </w:r>
      <w:r w:rsidRPr="00345F66">
        <w:rPr>
          <w:lang w:val="es-ES"/>
        </w:rPr>
        <w:t xml:space="preserve">_W no utiliza la etiqueta direccional para seleccionar otra figura: con T y W fijos, las dos orientaciones conocidas producen el mismo P siempre que ambas entradas sean admisibles. En consecuencia, </w:t>
      </w:r>
      <w:r>
        <w:t>ρ</w:t>
      </w:r>
      <w:r w:rsidRPr="00345F66">
        <w:rPr>
          <w:lang w:val="es-ES"/>
        </w:rPr>
        <w:t>_W(O_X(x))=P y D(</w:t>
      </w:r>
      <w:r>
        <w:t>ρ</w:t>
      </w:r>
      <w:r w:rsidRPr="00345F66">
        <w:rPr>
          <w:lang w:val="es-ES"/>
        </w:rPr>
        <w:t>_W(x))=D(P). Por sustitución, se obtiene la caracterización exacta:</w:t>
      </w:r>
      <w:r w:rsidR="00C21AC7">
        <w:rPr>
          <w:lang w:val="es-ES"/>
        </w:rPr>
        <w:t xml:space="preserve"> </w:t>
      </w:r>
      <w:r>
        <w:t>ρ</w:t>
      </w:r>
      <w:r w:rsidRPr="00345F66">
        <w:rPr>
          <w:lang w:val="es-ES"/>
        </w:rPr>
        <w:t>_W∘O_X(x)=D∘</w:t>
      </w:r>
      <w:r>
        <w:t>ρ</w:t>
      </w:r>
      <w:r w:rsidRPr="00345F66">
        <w:rPr>
          <w:lang w:val="es-ES"/>
        </w:rPr>
        <w:t>_W(x</w:t>
      </w:r>
      <w:r w:rsidR="00C21AC7" w:rsidRPr="00345F66">
        <w:rPr>
          <w:lang w:val="es-ES"/>
        </w:rPr>
        <w:t xml:space="preserve">) </w:t>
      </w:r>
      <w:r w:rsidR="00C21AC7" w:rsidRPr="00345F66">
        <w:rPr>
          <w:rFonts w:ascii="Cambria Math" w:hAnsi="Cambria Math" w:cs="Cambria Math"/>
          <w:lang w:val="es-ES"/>
        </w:rPr>
        <w:t>⇔</w:t>
      </w:r>
      <w:r w:rsidRPr="00345F66">
        <w:rPr>
          <w:lang w:val="es-ES"/>
        </w:rPr>
        <w:t xml:space="preserve"> D(P)=P, siempre que ambas rutas estén definidas y </w:t>
      </w:r>
      <w:r>
        <w:t>ρ</w:t>
      </w:r>
      <w:r w:rsidRPr="00345F66">
        <w:rPr>
          <w:lang w:val="es-ES"/>
        </w:rPr>
        <w:t>_W sea independiente de d.</w:t>
      </w:r>
    </w:p>
    <w:p w14:paraId="240E7FD1" w14:textId="77777777" w:rsidR="007D2544" w:rsidRPr="00345F66" w:rsidRDefault="005D2247" w:rsidP="00C21AC7">
      <w:pPr>
        <w:ind w:firstLine="709"/>
        <w:jc w:val="both"/>
        <w:rPr>
          <w:lang w:val="es-ES"/>
        </w:rPr>
      </w:pPr>
      <w:r w:rsidRPr="00345F66">
        <w:rPr>
          <w:lang w:val="es-ES"/>
        </w:rPr>
        <w:t xml:space="preserve">La equivalencia no se desprende de que O y D sean involuciones; se demuestra usando explícitamente la independencia direccional de </w:t>
      </w:r>
      <w:r>
        <w:t>ρ</w:t>
      </w:r>
      <w:r w:rsidRPr="00345F66">
        <w:rPr>
          <w:lang w:val="es-ES"/>
        </w:rPr>
        <w:t>_W. Si la realización dependiera de d, habría que comparar las dos imágenes resultantes sin aplicar esta reducción al punto fijo.</w:t>
      </w:r>
    </w:p>
    <w:p w14:paraId="5B4A30DE" w14:textId="77777777" w:rsidR="00E801F6" w:rsidRDefault="005D2247" w:rsidP="00E801F6">
      <w:pPr>
        <w:ind w:firstLine="709"/>
        <w:jc w:val="both"/>
        <w:rPr>
          <w:lang w:val="es-ES"/>
        </w:rPr>
      </w:pPr>
      <w:r w:rsidRPr="00345F66">
        <w:rPr>
          <w:b/>
          <w:lang w:val="es-ES"/>
        </w:rPr>
        <w:t>Existencia, obstrucción y órbitas</w:t>
      </w:r>
      <w:r w:rsidR="00E801F6">
        <w:rPr>
          <w:lang w:val="es-ES"/>
        </w:rPr>
        <w:t xml:space="preserve">. </w:t>
      </w:r>
      <w:r w:rsidRPr="00345F66">
        <w:rPr>
          <w:lang w:val="es-ES"/>
        </w:rPr>
        <w:t>El estado de las rutas importa tanto como su resultado. Si ninguna está definida, la comparación es no evaluable; si solo una existe, hay una asimetría de dominio que impide afirmar conmutatividad; si ambas existen, sus imágenes iguales acreditan el entrelazamiento y sus imágenes distintas constituyen una obstrucción. Una ruta indefinida no debe contabilizarse como una desigualdad demostrada.</w:t>
      </w:r>
    </w:p>
    <w:p w14:paraId="48419A7A" w14:textId="77777777" w:rsidR="00E801F6" w:rsidRDefault="005D2247" w:rsidP="00E801F6">
      <w:pPr>
        <w:ind w:firstLine="709"/>
        <w:jc w:val="both"/>
        <w:rPr>
          <w:lang w:val="es-ES"/>
        </w:rPr>
      </w:pPr>
      <w:r w:rsidRPr="00345F66">
        <w:rPr>
          <w:lang w:val="es-ES"/>
        </w:rPr>
        <w:t xml:space="preserve">La órbita de x bajo O_X tiene dos elementos porque d es conocida. Su imagen bajo </w:t>
      </w:r>
      <w:r>
        <w:t>ρ</w:t>
      </w:r>
      <w:r w:rsidRPr="00345F66">
        <w:rPr>
          <w:lang w:val="es-ES"/>
        </w:rPr>
        <w:t xml:space="preserve">_W puede colapsar en el único P, mientras que la órbita dual de P tiene un elemento si D(P)=P y dos si D(P)≠P. Esta diferencia de cardinalidades explica por qué no existe una inversa canónica </w:t>
      </w:r>
      <w:r>
        <w:t>ρ</w:t>
      </w:r>
      <w:r w:rsidRPr="00345F66">
        <w:rPr>
          <w:lang w:val="es-ES"/>
        </w:rPr>
        <w:t xml:space="preserve">_W⁻¹ ni, en general, una operación inducida </w:t>
      </w:r>
      <w:r>
        <w:t>ρ</w:t>
      </w:r>
      <w:r w:rsidRPr="00345F66">
        <w:rPr>
          <w:lang w:val="es-ES"/>
        </w:rPr>
        <w:t>_W⁻¹∘D∘</w:t>
      </w:r>
      <w:r>
        <w:t>ρ</w:t>
      </w:r>
      <w:r w:rsidRPr="00345F66">
        <w:rPr>
          <w:lang w:val="es-ES"/>
        </w:rPr>
        <w:t>_W sobre las entradas: la realización olvida la orientación. Tampoco se deduce de estas simetrías una acción conjunta universal ni el transporte de distancias radiales o de reconfiguración.</w:t>
      </w:r>
    </w:p>
    <w:p w14:paraId="17D00E65" w14:textId="77777777" w:rsidR="007D2544" w:rsidRDefault="00E801F6" w:rsidP="00E801F6">
      <w:pPr>
        <w:ind w:firstLine="709"/>
        <w:jc w:val="both"/>
        <w:rPr>
          <w:lang w:val="es-ES"/>
        </w:rPr>
      </w:pPr>
      <w:r>
        <w:rPr>
          <w:lang w:val="es-ES"/>
        </w:rPr>
        <w:t>Entonces, e</w:t>
      </w:r>
      <w:r w:rsidR="005D2247" w:rsidRPr="00345F66">
        <w:rPr>
          <w:lang w:val="es-ES"/>
        </w:rPr>
        <w:t xml:space="preserve">l destino parece inevitable solo cuando se omiten las condiciones que permiten llegar hasta él. Un punto fijo no es una metáfora de concordancia: es una igualdad comprobable en un portador definido. La analogía narrativa con Carretero y Atorresi (2008) puede ilustrar cómo cambia una perspectiva, pero no constituye una prueba de </w:t>
      </w:r>
      <w:r w:rsidR="005D2247" w:rsidRPr="00345F66">
        <w:rPr>
          <w:lang w:val="es-ES"/>
        </w:rPr>
        <w:lastRenderedPageBreak/>
        <w:t>dualidad o de equivalencia inferencial. La aportación del SCC consiste precisamente en registrar cuándo dos recorridos se encuentran, cuándo se separan y cuándo falta el testigo para compararlos. Sobre esta distinción se construye el Atlas del apartado 4.8.</w:t>
      </w:r>
    </w:p>
    <w:p w14:paraId="23C4E487" w14:textId="77777777" w:rsidR="00E801F6" w:rsidRPr="00345F66" w:rsidRDefault="00E801F6" w:rsidP="00E801F6">
      <w:pPr>
        <w:ind w:firstLine="709"/>
        <w:jc w:val="both"/>
        <w:rPr>
          <w:lang w:val="es-ES"/>
        </w:rPr>
      </w:pPr>
    </w:p>
    <w:p w14:paraId="537FCC7C" w14:textId="77777777" w:rsidR="006A24D4" w:rsidRPr="008532A7" w:rsidRDefault="0062359C" w:rsidP="00E801F6">
      <w:pPr>
        <w:pStyle w:val="Ttulo2"/>
        <w:spacing w:before="0"/>
        <w:ind w:firstLine="709"/>
        <w:rPr>
          <w:lang w:val="es-ES"/>
        </w:rPr>
      </w:pPr>
      <w:bookmarkStart w:id="24" w:name="_Toc242721860"/>
      <w:r w:rsidRPr="008532A7">
        <w:rPr>
          <w:rFonts w:ascii="Times New Roman" w:hAnsi="Times New Roman"/>
          <w:color w:val="000000"/>
          <w:sz w:val="24"/>
          <w:lang w:val="es-ES"/>
        </w:rPr>
        <w:t>4.8. El Atlas de invarianza: la repercusión de compartir pensamientos</w:t>
      </w:r>
      <w:bookmarkEnd w:id="24"/>
    </w:p>
    <w:p w14:paraId="68D488C9" w14:textId="77777777" w:rsidR="00633613" w:rsidRDefault="00B4471F" w:rsidP="00633613">
      <w:pPr>
        <w:ind w:firstLine="709"/>
        <w:jc w:val="both"/>
        <w:rPr>
          <w:lang w:val="es-ES"/>
        </w:rPr>
      </w:pPr>
      <w:r w:rsidRPr="00633613">
        <w:rPr>
          <w:lang w:val="es-ES"/>
        </w:rPr>
        <w:t>La escritura permitió construir un mundo sobre papel; el Atlas pregunta qué sucede cuando ese mundo comienza a contener relaciones auditables entre representaciones distintas. La trayectoria, la correspondencia y la senda de invarianza dejan de estudiarse como objetos aislados y pasan a formar parte de una misma cartografía. Compartir pensamientos no significa fundir sus contenidos: significa hacer explícitas las condiciones bajo las cuales pueden relacionarse, compararse y reconstruirse.</w:t>
      </w:r>
    </w:p>
    <w:p w14:paraId="3C907BC2" w14:textId="77777777" w:rsidR="00633613" w:rsidRDefault="00B4471F" w:rsidP="00633613">
      <w:pPr>
        <w:ind w:firstLine="709"/>
        <w:jc w:val="both"/>
        <w:rPr>
          <w:lang w:val="es-ES"/>
        </w:rPr>
      </w:pPr>
      <w:r w:rsidRPr="00633613">
        <w:rPr>
          <w:b/>
          <w:lang w:val="es-ES"/>
        </w:rPr>
        <w:t>Del encuentro de trayectorias a una cartografía tipada</w:t>
      </w:r>
      <w:r w:rsidR="00633613">
        <w:rPr>
          <w:lang w:val="es-ES"/>
        </w:rPr>
        <w:t xml:space="preserve">. </w:t>
      </w:r>
      <w:r w:rsidRPr="00633613">
        <w:rPr>
          <w:lang w:val="es-ES"/>
        </w:rPr>
        <w:t xml:space="preserve">El Atlas no es un archivo indiferenciado de resultados ni una mente colectiva. Su definición formal es </w:t>
      </w:r>
      <w:r>
        <w:t>𝒜</w:t>
      </w:r>
      <w:r w:rsidRPr="00633613">
        <w:rPr>
          <w:lang w:val="es-ES"/>
        </w:rPr>
        <w:t>=(O,P,F,C,</w:t>
      </w:r>
      <w:r>
        <w:t>Γ</w:t>
      </w:r>
      <w:r w:rsidRPr="00633613">
        <w:rPr>
          <w:lang w:val="es-ES"/>
        </w:rPr>
        <w:t xml:space="preserve">,W,B,H). O reúne portadores estructurales tipados; P, propiedades con dominios declarados; F, transformaciones totales o parciales; C, contratos de transporte; </w:t>
      </w:r>
      <w:r>
        <w:t>Γ</w:t>
      </w:r>
      <w:r w:rsidRPr="00633613">
        <w:rPr>
          <w:lang w:val="es-ES"/>
        </w:rPr>
        <w:t>, caminos finitos componibles; W, testigos y evidencias; B, obstrucciones tipadas; y H, la historia de observaciones y clasificaciones. Las seis primeras familias describen los objetos y operaciones principales; B y H hacen explícitos el fracaso localizado y la memoria longitudinal.</w:t>
      </w:r>
    </w:p>
    <w:p w14:paraId="0DE89B2B" w14:textId="77777777" w:rsidR="00633613" w:rsidRDefault="00B4471F" w:rsidP="00633613">
      <w:pPr>
        <w:ind w:firstLine="709"/>
        <w:jc w:val="both"/>
        <w:rPr>
          <w:lang w:val="es-ES"/>
        </w:rPr>
      </w:pPr>
      <w:r w:rsidRPr="00633613">
        <w:rPr>
          <w:lang w:val="es-ES"/>
        </w:rPr>
        <w:t xml:space="preserve">Un portador es un objeto sobre el que una propiedad puede evaluarse: una trayectoria, un cociente o una realización. Una transformación f:X⇀Y declara dominio y codominio tipados, aunque puede no estar definida para toda entrada de X. Si g:Y⇀Z, el camino </w:t>
      </w:r>
      <w:r>
        <w:t>Γ</w:t>
      </w:r>
      <w:r w:rsidRPr="00633613">
        <w:rPr>
          <w:lang w:val="es-ES"/>
        </w:rPr>
        <w:t>=(f,g) está bien tipado y su composición es g∘f; ejecutarlo sobre x∈X exige, además, que f(x) exista y pertenezca al dominio efectivo de g. Por tanto, componibilidad de tipos, definibilidad de la ejecución y conservación de propiedades son tres condiciones distintas.</w:t>
      </w:r>
    </w:p>
    <w:p w14:paraId="2F95845C" w14:textId="77777777" w:rsidR="00633613" w:rsidRDefault="00B4471F" w:rsidP="00633613">
      <w:pPr>
        <w:ind w:firstLine="709"/>
        <w:jc w:val="both"/>
        <w:rPr>
          <w:lang w:val="es-ES"/>
        </w:rPr>
      </w:pPr>
      <w:r w:rsidRPr="00633613">
        <w:rPr>
          <w:lang w:val="es-ES"/>
        </w:rPr>
        <w:t>Los contratos de transporte establecen</w:t>
      </w:r>
      <w:r w:rsidR="004A613E">
        <w:rPr>
          <w:lang w:val="es-ES"/>
        </w:rPr>
        <w:t>,</w:t>
      </w:r>
      <w:r w:rsidRPr="00633613">
        <w:rPr>
          <w:lang w:val="es-ES"/>
        </w:rPr>
        <w:t xml:space="preserve"> antes de observar el resultado</w:t>
      </w:r>
      <w:r w:rsidR="004A613E">
        <w:rPr>
          <w:lang w:val="es-ES"/>
        </w:rPr>
        <w:t>,</w:t>
      </w:r>
      <w:r w:rsidRPr="00633613">
        <w:rPr>
          <w:lang w:val="es-ES"/>
        </w:rPr>
        <w:t xml:space="preserve"> qué propiedad se compara, sobre qué portadores, mediante qué transformación y bajo qué criterio. Una evidencia W acredita la satisfacción de ese contrato para una entrada concreta. El Atlas no convierte una coincidencia de valores en una autorización retrospectiva ni infiere equivalencia semántica de una correspondencia estructural.</w:t>
      </w:r>
    </w:p>
    <w:p w14:paraId="160378B1" w14:textId="77777777" w:rsidR="00633613" w:rsidRDefault="00B4471F" w:rsidP="00633613">
      <w:pPr>
        <w:ind w:firstLine="709"/>
        <w:jc w:val="both"/>
        <w:rPr>
          <w:lang w:val="es-ES"/>
        </w:rPr>
      </w:pPr>
      <w:r w:rsidRPr="00633613">
        <w:rPr>
          <w:b/>
          <w:lang w:val="es-ES"/>
        </w:rPr>
        <w:t>El recorrido no se reduce a sus extremos</w:t>
      </w:r>
      <w:r w:rsidR="00633613">
        <w:rPr>
          <w:lang w:val="es-ES"/>
        </w:rPr>
        <w:t xml:space="preserve">. </w:t>
      </w:r>
      <w:r w:rsidRPr="00633613">
        <w:rPr>
          <w:lang w:val="es-ES"/>
        </w:rPr>
        <w:t xml:space="preserve">Para una propiedad p, la firma </w:t>
      </w:r>
      <w:r>
        <w:t>Σ</w:t>
      </w:r>
      <w:r w:rsidRPr="00633613">
        <w:rPr>
          <w:lang w:val="es-ES"/>
        </w:rPr>
        <w:t>ₚ(</w:t>
      </w:r>
      <w:r>
        <w:t>Γ</w:t>
      </w:r>
      <w:r w:rsidRPr="00633613">
        <w:rPr>
          <w:lang w:val="es-ES"/>
        </w:rPr>
        <w:t xml:space="preserve">) registra observaciones y clasificaciones a lo largo de la senda, tanto entre pasos consecutivos como respecto de su origen. H conserva las etapas intermedias: si un valor se </w:t>
      </w:r>
      <w:r w:rsidRPr="00633613">
        <w:rPr>
          <w:lang w:val="es-ES"/>
        </w:rPr>
        <w:lastRenderedPageBreak/>
        <w:t>pierde y reaparece, la igualdad final no demuestra preservación ininterrumpida. La longitud del camino, su perfil de complejidad estructural, la historia de transporte y el estado final son magnitudes distintas. Dos sendas pueden coincidir en una de ellas y diferir en las restantes; ninguna produce por sí sola una puntuación o un óptimo universal.</w:t>
      </w:r>
    </w:p>
    <w:p w14:paraId="1E39EBC7" w14:textId="77777777" w:rsidR="008764C8" w:rsidRDefault="004A613E" w:rsidP="008764C8">
      <w:pPr>
        <w:ind w:firstLine="709"/>
        <w:jc w:val="both"/>
        <w:rPr>
          <w:lang w:val="es-ES"/>
        </w:rPr>
      </w:pPr>
      <w:r>
        <w:rPr>
          <w:lang w:val="es-ES"/>
        </w:rPr>
        <w:t>Ejemplo: c</w:t>
      </w:r>
      <w:r w:rsidR="00B4471F" w:rsidRPr="00633613">
        <w:rPr>
          <w:lang w:val="es-ES"/>
        </w:rPr>
        <w:t xml:space="preserve">onsidérense tres portadores A, B y C y transformaciones parciales f:A⇀B y g:B⇀C. La senda </w:t>
      </w:r>
      <w:r w:rsidR="00B4471F">
        <w:t>Γ</w:t>
      </w:r>
      <w:r w:rsidR="00B4471F" w:rsidRPr="00633613">
        <w:rPr>
          <w:lang w:val="es-ES"/>
        </w:rPr>
        <w:t>=(f,g) es formalmente componible. Para un elemento a∈A, su ejecución requiere f(a) y g(f(a)) definidos; para transportar una propiedad de A hasta C hacen falta, además, los contratos y testigos pertinentes. Si el valor observado cambia en B y retorna en C, H registra esa discontinuidad, aunque los extremos coincidan. El ejemplo distingue la existencia del camino, su ejecución y la historia de la propiedad sin confundirlas.</w:t>
      </w:r>
    </w:p>
    <w:p w14:paraId="2F170417" w14:textId="77777777" w:rsidR="008764C8" w:rsidRDefault="00B4471F" w:rsidP="008764C8">
      <w:pPr>
        <w:ind w:firstLine="709"/>
        <w:jc w:val="both"/>
        <w:rPr>
          <w:lang w:val="es-ES"/>
        </w:rPr>
      </w:pPr>
      <w:r w:rsidRPr="00633613">
        <w:rPr>
          <w:b/>
          <w:lang w:val="es-ES"/>
        </w:rPr>
        <w:t>Obstrucciones que también constituyen conocimiento</w:t>
      </w:r>
      <w:r w:rsidR="008764C8">
        <w:rPr>
          <w:lang w:val="es-ES"/>
        </w:rPr>
        <w:t xml:space="preserve">. </w:t>
      </w:r>
      <w:r w:rsidRPr="00633613">
        <w:rPr>
          <w:lang w:val="es-ES"/>
        </w:rPr>
        <w:t>Una obstrucción b∈B localiza por qué un candidato no puede darse por reconstruido: incompatibilidad de tipos, transformación indefinida, falta de testigo, observación no estimable o incumplimiento del contrato. Puede conservar el prefijo verificable y señalar la etapa exacta de interrupción. Su alcance lógico es limitado: demostrar que este camino no está autorizado con estas entradas y evidencias no equivale a demostrar que no existe ningún camino alternativo. Esta última afirmación requeriría una prueba sobre el espacio de candidatos.</w:t>
      </w:r>
    </w:p>
    <w:p w14:paraId="2104B52F" w14:textId="77777777" w:rsidR="00227D1A" w:rsidRDefault="00B4471F" w:rsidP="00227D1A">
      <w:pPr>
        <w:ind w:firstLine="709"/>
        <w:jc w:val="both"/>
        <w:rPr>
          <w:lang w:val="es-ES"/>
        </w:rPr>
      </w:pPr>
      <w:r w:rsidRPr="00633613">
        <w:rPr>
          <w:lang w:val="es-ES"/>
        </w:rPr>
        <w:t>La reconciliación con el cálculo de invarianza anterior exige coincidencia cuando ambos clasificadores operan sobre el mismo dominio homogéneo y emplean idéntico criterio de comparación. El Atlas no introduce una segunda definición incompatible de conservación. Cuando intervienen portadores heterogéneos, la comparación depende de contratos explícitos; sin ellos, UNEVALUABLE es una clasificación legítima, no una preservación presunta. Tampoco la composición local de contratos implica automáticamente preservación global respecto del origen.</w:t>
      </w:r>
    </w:p>
    <w:p w14:paraId="4CA782D9" w14:textId="77777777" w:rsidR="00227D1A" w:rsidRDefault="00B4471F" w:rsidP="00227D1A">
      <w:pPr>
        <w:ind w:firstLine="709"/>
        <w:jc w:val="both"/>
        <w:rPr>
          <w:lang w:val="es-ES"/>
        </w:rPr>
      </w:pPr>
      <w:r w:rsidRPr="00633613">
        <w:rPr>
          <w:b/>
          <w:lang w:val="es-ES"/>
        </w:rPr>
        <w:t>Compartir sin borrar la procedencia</w:t>
      </w:r>
      <w:r w:rsidR="00227D1A">
        <w:rPr>
          <w:lang w:val="es-ES"/>
        </w:rPr>
        <w:t xml:space="preserve">. </w:t>
      </w:r>
      <w:r w:rsidRPr="00633613">
        <w:rPr>
          <w:lang w:val="es-ES"/>
        </w:rPr>
        <w:t>La intuición social de compartir pensamientos encuentra aquí una disciplina formal. La narración como articulación de mundos posibles (Carretero y Atorresi, 2008), los presupuestos culturales que pueden permanecer invisibles (Galtung et al., 2002) y las pérdidas posibles en el recuerdo colaborativo (Baddeley et al., 2010) ofrecen analogías para comprender por qué una representación compartida necesita procedencia e historia.</w:t>
      </w:r>
    </w:p>
    <w:p w14:paraId="51539034" w14:textId="77777777" w:rsidR="00227D1A" w:rsidRDefault="00B4471F" w:rsidP="00227D1A">
      <w:pPr>
        <w:ind w:firstLine="709"/>
        <w:jc w:val="both"/>
        <w:rPr>
          <w:lang w:val="es-ES"/>
        </w:rPr>
      </w:pPr>
      <w:r w:rsidRPr="00633613">
        <w:rPr>
          <w:lang w:val="es-ES"/>
        </w:rPr>
        <w:t xml:space="preserve">El Atlas tiene autoridad sobre los objetos, transformaciones y relaciones definidos y justificados dentro de su cálculo, no sobre la verdad empírica de los contenidos. Una observación externa puede contrastarse con sus resultados, pero no reescribe </w:t>
      </w:r>
      <w:r w:rsidRPr="00633613">
        <w:rPr>
          <w:lang w:val="es-ES"/>
        </w:rPr>
        <w:lastRenderedPageBreak/>
        <w:t>retrospectivamente los contratos. De ese modo, las historias pueden ponerse en relación sin perder las condiciones que permiten discutirlas: qué se conservó, qué cambió, qué dejó de poder evaluarse y qué evidencia sustenta cada afirmación.</w:t>
      </w:r>
    </w:p>
    <w:p w14:paraId="0DCFFEC6" w14:textId="77777777" w:rsidR="000A1C4E" w:rsidRPr="00633613" w:rsidRDefault="00B4471F" w:rsidP="00227D1A">
      <w:pPr>
        <w:ind w:firstLine="709"/>
        <w:jc w:val="both"/>
        <w:rPr>
          <w:lang w:val="es-ES"/>
        </w:rPr>
      </w:pPr>
      <w:r w:rsidRPr="002A529F">
        <w:rPr>
          <w:lang w:val="es-ES"/>
        </w:rPr>
        <w:t>El corazón de transposición se cierra, así, con un objeto formal capaz de reunir trayectorias, cocientes, correspondencias, sendas, realizaciones y obstrucciones sin confundirlos. El capítulo 5 estudiará las manifestaciones y reconfiguraciones admisibles de una trayectoria.</w:t>
      </w:r>
    </w:p>
    <w:p w14:paraId="7F6DAA46" w14:textId="77777777" w:rsidR="009471D1" w:rsidRPr="006C2240" w:rsidRDefault="00BD1BA7" w:rsidP="00E801F6">
      <w:pPr>
        <w:keepNext/>
        <w:pageBreakBefore/>
        <w:jc w:val="both"/>
        <w:outlineLvl w:val="0"/>
        <w:rPr>
          <w:lang w:val="es-ES"/>
        </w:rPr>
      </w:pPr>
      <w:bookmarkStart w:id="25" w:name="_Toc242721861"/>
      <w:r w:rsidRPr="006C2240">
        <w:rPr>
          <w:b/>
          <w:lang w:val="es-ES"/>
        </w:rPr>
        <w:lastRenderedPageBreak/>
        <w:t>Capítulo 5</w:t>
      </w:r>
      <w:r w:rsidR="00491C95">
        <w:rPr>
          <w:b/>
          <w:lang w:val="es-ES"/>
        </w:rPr>
        <w:t>:</w:t>
      </w:r>
      <w:r w:rsidRPr="006C2240">
        <w:rPr>
          <w:b/>
          <w:lang w:val="es-ES"/>
        </w:rPr>
        <w:t xml:space="preserve"> </w:t>
      </w:r>
      <w:r w:rsidR="00491C95">
        <w:rPr>
          <w:b/>
          <w:lang w:val="es-ES"/>
        </w:rPr>
        <w:t>j</w:t>
      </w:r>
      <w:r w:rsidRPr="006C2240">
        <w:rPr>
          <w:b/>
          <w:lang w:val="es-ES"/>
        </w:rPr>
        <w:t>uego de trayectorias</w:t>
      </w:r>
      <w:bookmarkEnd w:id="25"/>
    </w:p>
    <w:p w14:paraId="2D2A300C" w14:textId="77777777" w:rsidR="00E801F6" w:rsidRDefault="00E801F6">
      <w:pPr>
        <w:ind w:firstLine="709"/>
        <w:jc w:val="both"/>
        <w:rPr>
          <w:lang w:val="es-ES"/>
        </w:rPr>
      </w:pPr>
    </w:p>
    <w:p w14:paraId="4682167F" w14:textId="77777777" w:rsidR="009471D1" w:rsidRPr="006C2240" w:rsidRDefault="00BD1BA7">
      <w:pPr>
        <w:ind w:firstLine="709"/>
        <w:jc w:val="both"/>
        <w:rPr>
          <w:lang w:val="es-ES"/>
        </w:rPr>
      </w:pPr>
      <w:r w:rsidRPr="006C2240">
        <w:rPr>
          <w:lang w:val="es-ES"/>
        </w:rPr>
        <w:t>El capítulo anterior estableció las condiciones bajo las cuales una trayectoria constituye un objeto matemático: sus ocurrencias son distinguibles, sus relaciones poseen tipos y su estructura no se agota en la sucesión con que aparece. De la identidad de una trayectoria surge ahora una pregunta diferente. Si la precedencia necesaria no determina por completo la presentación de las ocurrencias, ¿cuántas manifestaciones admite una misma estructura y mediante qué transformaciones pueden relacionarse? La respuesta no puede consistir en permutar palabras libremente. Ha de identificar primero aquello que ninguna permutación legítima está autorizada a alterar.</w:t>
      </w:r>
    </w:p>
    <w:p w14:paraId="07A5F3B0" w14:textId="77777777" w:rsidR="009471D1" w:rsidRDefault="00BD1BA7">
      <w:pPr>
        <w:ind w:firstLine="709"/>
        <w:jc w:val="both"/>
        <w:rPr>
          <w:lang w:val="es-ES"/>
        </w:rPr>
      </w:pPr>
      <w:r w:rsidRPr="006C2240">
        <w:rPr>
          <w:lang w:val="es-ES"/>
        </w:rPr>
        <w:t>Este capítulo construye el paso desde las restricciones de una trayectoria hasta sus representaciones lineales, sus movimientos admisibles y la geometría de las familias que forman. El término «juego» designa un sistema de movimientos sujetos a reglas verificables, no una licencia para alterar el pensamiento. La representación elegida es una realización entre otras; su legitimidad procede de las relaciones que respeta y de los testigos que la acompañan.</w:t>
      </w:r>
    </w:p>
    <w:p w14:paraId="0482497C" w14:textId="77777777" w:rsidR="00E801F6" w:rsidRPr="006C2240" w:rsidRDefault="00E801F6">
      <w:pPr>
        <w:ind w:firstLine="709"/>
        <w:jc w:val="both"/>
        <w:rPr>
          <w:lang w:val="es-ES"/>
        </w:rPr>
      </w:pPr>
    </w:p>
    <w:p w14:paraId="1549C369" w14:textId="77777777" w:rsidR="009471D1" w:rsidRPr="006C2240" w:rsidRDefault="00BD1BA7" w:rsidP="00E801F6">
      <w:pPr>
        <w:pStyle w:val="Ttulo2"/>
        <w:spacing w:before="0"/>
        <w:ind w:firstLine="709"/>
        <w:rPr>
          <w:lang w:val="es-ES"/>
        </w:rPr>
      </w:pPr>
      <w:bookmarkStart w:id="26" w:name="_Toc242721862"/>
      <w:r w:rsidRPr="006C2240">
        <w:rPr>
          <w:rFonts w:ascii="Times New Roman" w:hAnsi="Times New Roman"/>
          <w:color w:val="000000"/>
          <w:sz w:val="24"/>
          <w:lang w:val="es-ES"/>
        </w:rPr>
        <w:t>5.1. El orden de las cosas</w:t>
      </w:r>
      <w:bookmarkEnd w:id="26"/>
    </w:p>
    <w:p w14:paraId="49DA50CF" w14:textId="77777777" w:rsidR="009471D1" w:rsidRPr="006C2240" w:rsidRDefault="00BD1BA7">
      <w:pPr>
        <w:ind w:firstLine="709"/>
        <w:jc w:val="both"/>
        <w:rPr>
          <w:lang w:val="es-ES"/>
        </w:rPr>
      </w:pPr>
      <w:r w:rsidRPr="006C2240">
        <w:rPr>
          <w:lang w:val="es-ES"/>
        </w:rPr>
        <w:t>Un relato nos entrega acontecimientos en sucesión; una estructura, en cambio, declara qué precedencias son necesarias. Confundir ambas cosas convertiría cada orden observado en una ley de la trayectoria. El primer cometido matemático de la reconstrucción consiste en separar las precedencias impuestas de las posiciones contingentes. Sean V las ocurrencias distinguibles de una trayectoria T y d una dirección conocida. El grafo dirigido G(T,d) expresa las restricciones estructurales que corresponden a esa dirección. No toda relación que puede imaginarse entre dos ocurrencias pertenece por ello al grafo: su incorporación exige una restricción estructural declarada.</w:t>
      </w:r>
    </w:p>
    <w:p w14:paraId="575B01D8" w14:textId="77777777" w:rsidR="002A529F" w:rsidRDefault="00BD1BA7" w:rsidP="002A529F">
      <w:pPr>
        <w:ind w:firstLine="709"/>
        <w:jc w:val="both"/>
        <w:rPr>
          <w:lang w:val="es-ES"/>
        </w:rPr>
      </w:pPr>
      <w:r w:rsidRPr="006C2240">
        <w:rPr>
          <w:lang w:val="es-ES"/>
        </w:rPr>
        <w:t>Si G(T,d) es acíclico, su relación de alcanzabilidad es irreflexiva y transitiva: define un orden parcial estricto P(T,d). La irreflexividad procede de la ausencia de ciclos dirigidos; la transitividad, de la concatenación de caminos. Si existe un ciclo, ninguna ordenación total puede satisfacer simultáneamente todas sus precedencias estrictas. El resultado correcto no es suprimir silenciosamente una restricción, sino declarar que la construcción de este orden parcial no está definida para ese grafo.</w:t>
      </w:r>
    </w:p>
    <w:p w14:paraId="5962A3D8" w14:textId="77777777" w:rsidR="009471D1" w:rsidRPr="006C2240" w:rsidRDefault="00BD1BA7" w:rsidP="002A529F">
      <w:pPr>
        <w:ind w:firstLine="709"/>
        <w:jc w:val="both"/>
        <w:rPr>
          <w:lang w:val="es-ES"/>
        </w:rPr>
      </w:pPr>
      <w:r w:rsidRPr="002A529F">
        <w:rPr>
          <w:bCs/>
          <w:lang w:val="es-ES"/>
        </w:rPr>
        <w:lastRenderedPageBreak/>
        <w:t>Todo grafo finito de restricciones dirigido y acíclico induce, mediante alcanzabilidad, un</w:t>
      </w:r>
      <w:r w:rsidRPr="006C2240">
        <w:rPr>
          <w:lang w:val="es-ES"/>
        </w:rPr>
        <w:t xml:space="preserve"> orden parcial estricto sobre sus ocurrencias. Un ciclo dirigido impide esta construcción.</w:t>
      </w:r>
    </w:p>
    <w:p w14:paraId="38347048" w14:textId="77777777" w:rsidR="009471D1" w:rsidRPr="006C2240" w:rsidRDefault="00BD1BA7">
      <w:pPr>
        <w:ind w:firstLine="709"/>
        <w:jc w:val="both"/>
        <w:rPr>
          <w:lang w:val="es-ES"/>
        </w:rPr>
      </w:pPr>
      <w:r w:rsidRPr="006C2240">
        <w:rPr>
          <w:lang w:val="es-ES"/>
        </w:rPr>
        <w:t>La diferencia entre comparación e incomparabilidad constituye la libertad del sistema. Si x ≺ₚ y, x debe preceder a y en cualquier representación admisible. Si ni x ≺ₚ y ni y ≺ₚ x, la estructura no exige que una de esas ocurrencias aparezca antes que la otra. La incomparabilidad no significa ausencia de identidad ni de contenido: únicamente declara que P no impone una precedencia entre ese par.</w:t>
      </w:r>
    </w:p>
    <w:p w14:paraId="4EC459B0" w14:textId="77777777" w:rsidR="009471D1" w:rsidRPr="006C2240" w:rsidRDefault="00BD1BA7">
      <w:pPr>
        <w:ind w:firstLine="709"/>
        <w:jc w:val="both"/>
        <w:rPr>
          <w:lang w:val="es-ES"/>
        </w:rPr>
      </w:pPr>
      <w:r w:rsidRPr="006C2240">
        <w:rPr>
          <w:lang w:val="es-ES"/>
        </w:rPr>
        <w:t>Ejemplo conductor. Consideremos cuatro ocurrencias a, b, c y o, con las restricciones a ≺ b ≺ c y con o incomparable respecto de las otras tres. El orden parcial obliga a conservar la cadena a–b–c, pero permite situar o antes de a, entre a y b, entre b y c o después de c. La multiplicidad de presentaciones no implica que la cadena radial haya dejado de ser la misma. A lo largo del capítulo volveremos a estas cuatro ocurrencias para que cada construcción nueva conserve un referente inteligible.</w:t>
      </w:r>
    </w:p>
    <w:p w14:paraId="5DB1A57A" w14:textId="77777777" w:rsidR="009471D1" w:rsidRPr="006C2240" w:rsidRDefault="00BD1BA7">
      <w:pPr>
        <w:ind w:firstLine="709"/>
        <w:jc w:val="both"/>
        <w:rPr>
          <w:lang w:val="es-ES"/>
        </w:rPr>
      </w:pPr>
      <w:r w:rsidRPr="006C2240">
        <w:rPr>
          <w:lang w:val="es-ES"/>
        </w:rPr>
        <w:t>La dirección es parte de las condiciones de la construcción. La reconstrucción estructural exige una dirección conocida para identificar las ordenaciones admisibles mediante P(T,d). Un modo de análisis no sustituye esa dirección: describe la procedencia de una ejecución, no introduce una nueva ontología de la trayectoria. Tampoco una ocurrencia UNKNOWN autoriza a fabricar una trayectoria positiva. Puede permanecer documentada en un ensamblaje no resuelto, pero no se la debe insertar ficticiamente en el dominio geométrico positivo del formalismo.</w:t>
      </w:r>
    </w:p>
    <w:p w14:paraId="032632C8" w14:textId="77777777" w:rsidR="001537E8" w:rsidRPr="007C36DC" w:rsidRDefault="0037399D">
      <w:pPr>
        <w:ind w:firstLine="709"/>
        <w:jc w:val="both"/>
        <w:rPr>
          <w:lang w:val="es-ES"/>
        </w:rPr>
      </w:pPr>
      <w:r w:rsidRPr="007C36DC">
        <w:rPr>
          <w:lang w:val="es-ES"/>
        </w:rPr>
        <w:t>El dominio de la construcción no es cualquier colección de acontecimientos. Se parte de un conjunto finito y no vacío de ocurrencias identificadas sin ambigüedad, de una dirección conocida y de relaciones declaradas que puedan convertirse en restricciones. La extracción de restricciones y la formación del orden parcial son operaciones condicionadas: si faltan esas condiciones, el resultado no es un orden aproximado, sino una construcción no disponible. Tampoco se subsana un ciclo eligiendo arbitrariamente qué relación ignorar.</w:t>
      </w:r>
    </w:p>
    <w:p w14:paraId="6B76E6FD" w14:textId="77777777" w:rsidR="001537E8" w:rsidRPr="007C36DC" w:rsidRDefault="0037399D">
      <w:pPr>
        <w:spacing w:before="100" w:after="100"/>
        <w:jc w:val="center"/>
        <w:rPr>
          <w:lang w:val="es-ES"/>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d</m:t>
              </m:r>
            </m:e>
          </m:d>
          <m:r>
            <m:rPr>
              <m:sty m:val="p"/>
            </m:rPr>
            <w:rPr>
              <w:rFonts w:ascii="Cambria Math" w:hAnsi="Cambria Math"/>
              <w:lang w:val="es-ES"/>
            </w:rPr>
            <m:t>=</m:t>
          </m:r>
          <m:d>
            <m:dPr>
              <m:ctrlPr>
                <w:rPr>
                  <w:rFonts w:ascii="Cambria Math" w:hAnsi="Cambria Math"/>
                </w:rPr>
              </m:ctrlPr>
            </m:dPr>
            <m:e>
              <m:r>
                <w:rPr>
                  <w:rFonts w:ascii="Cambria Math" w:hAnsi="Cambria Math"/>
                </w:rPr>
                <m:t>V</m:t>
              </m:r>
              <m:r>
                <m:rPr>
                  <m:sty m:val="p"/>
                </m:rPr>
                <w:rPr>
                  <w:rFonts w:ascii="Cambria Math" w:hAnsi="Cambria Math"/>
                  <w:lang w:val="es-ES"/>
                </w:rPr>
                <m:t>,≺</m:t>
              </m:r>
            </m:e>
          </m:d>
          <m:r>
            <m:rPr>
              <m:sty m:val="p"/>
            </m:rPr>
            <w:rPr>
              <w:rFonts w:ascii="Cambria Math" w:hAnsi="Cambria Math"/>
              <w:lang w:val="es-ES"/>
            </w:rPr>
            <m:t>,</m:t>
          </m:r>
          <m:r>
            <w:rPr>
              <w:rFonts w:ascii="Cambria Math" w:hAnsi="Cambria Math"/>
              <w:lang w:val="es-ES"/>
            </w:rPr>
            <m:t>  </m:t>
          </m:r>
          <m:r>
            <w:rPr>
              <w:rFonts w:ascii="Cambria Math" w:hAnsi="Cambria Math"/>
            </w:rPr>
            <m:t>x</m:t>
          </m:r>
          <m:r>
            <m:rPr>
              <m:sty m:val="p"/>
            </m:rPr>
            <w:rPr>
              <w:rFonts w:ascii="Cambria Math" w:hAnsi="Cambria Math"/>
              <w:lang w:val="es-ES"/>
            </w:rPr>
            <m:t>≺</m:t>
          </m:r>
          <m:r>
            <w:rPr>
              <w:rFonts w:ascii="Cambria Math" w:hAnsi="Cambria Math"/>
            </w:rPr>
            <m:t>y</m:t>
          </m:r>
          <m:r>
            <m:rPr>
              <m:sty m:val="p"/>
            </m:rPr>
            <w:rPr>
              <w:rFonts w:ascii="Cambria Math" w:hAnsi="Cambria Math"/>
              <w:lang w:val="es-ES"/>
            </w:rPr>
            <m:t>⇔</m:t>
          </m:r>
          <m:r>
            <w:rPr>
              <w:rFonts w:ascii="Cambria Math" w:hAnsi="Cambria Math"/>
            </w:rPr>
            <m:t>x</m:t>
          </m:r>
          <m:r>
            <m:rPr>
              <m:sty m:val="p"/>
            </m:rPr>
            <w:rPr>
              <w:rFonts w:ascii="Cambria Math" w:hAnsi="Cambria Math"/>
            </w:rPr>
            <m:t>⤳</m:t>
          </m:r>
          <m:r>
            <w:rPr>
              <w:rFonts w:ascii="Cambria Math" w:hAnsi="Cambria Math"/>
            </w:rPr>
            <m:t>y</m:t>
          </m:r>
          <m:r>
            <m:rPr>
              <m:nor/>
            </m:rPr>
            <w:rPr>
              <w:lang w:val="es-ES"/>
            </w:rPr>
            <m:t xml:space="preserve"> en </m:t>
          </m:r>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d</m:t>
              </m:r>
            </m:e>
          </m:d>
          <m:r>
            <m:rPr>
              <m:sty m:val="p"/>
            </m:rPr>
            <w:rPr>
              <w:rFonts w:ascii="Cambria Math" w:hAnsi="Cambria Math"/>
              <w:lang w:val="es-ES"/>
            </w:rPr>
            <m:t>.</m:t>
          </m:r>
        </m:oMath>
      </m:oMathPara>
    </w:p>
    <w:p w14:paraId="4B886AED" w14:textId="77777777" w:rsidR="001537E8" w:rsidRPr="007C36DC" w:rsidRDefault="0037399D">
      <w:pPr>
        <w:ind w:firstLine="709"/>
        <w:jc w:val="both"/>
        <w:rPr>
          <w:lang w:val="es-ES"/>
        </w:rPr>
      </w:pPr>
      <w:r w:rsidRPr="007C36DC">
        <w:rPr>
          <w:lang w:val="es-ES"/>
        </w:rPr>
        <w:t xml:space="preserve">La clausura por alcanzabilidad no añade acontecimientos ni decide su significado. Únicamente hace explícitas las consecuencias de las precedencias ya declaradas. Por ello, dos presentaciones que parezcan narrativamente diferentes pueden compartir exactamente </w:t>
      </w:r>
      <w:r w:rsidRPr="007C36DC">
        <w:rPr>
          <w:lang w:val="es-ES"/>
        </w:rPr>
        <w:lastRenderedPageBreak/>
        <w:t>el mismo orden parcial, mientras que dos secuencias visualmente idénticas pueden responder a restricciones distintas.</w:t>
      </w:r>
    </w:p>
    <w:p w14:paraId="4B7AEFF9" w14:textId="77777777" w:rsidR="009471D1" w:rsidRPr="006C2240" w:rsidRDefault="00BD1BA7">
      <w:pPr>
        <w:pStyle w:val="Ttulo2"/>
        <w:spacing w:before="240" w:after="120"/>
        <w:rPr>
          <w:lang w:val="es-ES"/>
        </w:rPr>
      </w:pPr>
      <w:bookmarkStart w:id="27" w:name="_Toc242721863"/>
      <w:r w:rsidRPr="006C2240">
        <w:rPr>
          <w:rFonts w:ascii="Times New Roman" w:hAnsi="Times New Roman"/>
          <w:color w:val="000000"/>
          <w:sz w:val="24"/>
          <w:lang w:val="es-ES"/>
        </w:rPr>
        <w:t>5.2. Las diversas manifestaciones del pensamiento</w:t>
      </w:r>
      <w:bookmarkEnd w:id="27"/>
    </w:p>
    <w:p w14:paraId="4654F02F" w14:textId="77777777" w:rsidR="009471D1" w:rsidRPr="006C2240" w:rsidRDefault="00BD1BA7">
      <w:pPr>
        <w:ind w:firstLine="709"/>
        <w:jc w:val="both"/>
        <w:rPr>
          <w:lang w:val="es-ES"/>
        </w:rPr>
      </w:pPr>
      <w:r w:rsidRPr="006C2240">
        <w:rPr>
          <w:lang w:val="es-ES"/>
        </w:rPr>
        <w:t>La pluralidad de manifestaciones invita a distinguir dos planos. En el plano de la experiencia, una secuencia adquiere inteligibilidad por las relaciones que el lector reconstruye; en el plano formal, una ordenación es admisible solo cuando respeta las precedencias declaradas. El interés de esta separación no reside en reducir el relato a un grafo, sino en mostrar qué parte de la organización puede examinarse sin decidir por adelantado el significado de cada acontecimiento.</w:t>
      </w:r>
    </w:p>
    <w:p w14:paraId="438F14EA" w14:textId="77777777" w:rsidR="009471D1" w:rsidRPr="006C2240" w:rsidRDefault="00BD1BA7">
      <w:pPr>
        <w:ind w:firstLine="709"/>
        <w:jc w:val="both"/>
        <w:rPr>
          <w:lang w:val="es-ES"/>
        </w:rPr>
      </w:pPr>
      <w:r w:rsidRPr="006C2240">
        <w:rPr>
          <w:lang w:val="es-ES"/>
        </w:rPr>
        <w:t>Una vez conocidas las restricciones, la pregunta deja de ser cuál es el orden correcto y pasa a ser cuáles son todos los órdenes correctos. Una extensión lineal de P es un orden total sobre las mismas ocurrencias que respeta cada precedencia estricta de P. Denotaremos por L(P) el conjunto de esas extensiones. La totalidad que aparece en cada representación no convierte a P en un orden total: expresa una elección de posiciones compatible con él.</w:t>
      </w:r>
    </w:p>
    <w:p w14:paraId="632226AE" w14:textId="77777777" w:rsidR="002A529F" w:rsidRDefault="00BD1BA7" w:rsidP="002A529F">
      <w:pPr>
        <w:ind w:firstLine="709"/>
        <w:jc w:val="both"/>
        <w:rPr>
          <w:lang w:val="es-ES"/>
        </w:rPr>
      </w:pPr>
      <w:r w:rsidRPr="006C2240">
        <w:rPr>
          <w:lang w:val="es-ES"/>
        </w:rPr>
        <w:t>En nuestro ejemplo, L(P) contiene exactamente cuatro manifestaciones: oabc, aobc, aboc y abco. Ninguna invierte a, b y c. Su diferencia procede exclusivamente de la libertad posicional de o. La misma distinción permite comprender la función de un selector canónico: escoge de forma determinista un elemento de L(P), pero no añade a P las comparabilidades que solo existen en el orden seleccionado.</w:t>
      </w:r>
    </w:p>
    <w:p w14:paraId="3032BA9A" w14:textId="77777777" w:rsidR="009471D1" w:rsidRPr="006C2240" w:rsidRDefault="00BD1BA7" w:rsidP="002A529F">
      <w:pPr>
        <w:ind w:firstLine="709"/>
        <w:jc w:val="both"/>
        <w:rPr>
          <w:lang w:val="es-ES"/>
        </w:rPr>
      </w:pPr>
      <w:r w:rsidRPr="002A529F">
        <w:rPr>
          <w:bCs/>
          <w:lang w:val="es-ES"/>
        </w:rPr>
        <w:t>Si G(T,d)</w:t>
      </w:r>
      <w:r w:rsidRPr="006C2240">
        <w:rPr>
          <w:lang w:val="es-ES"/>
        </w:rPr>
        <w:t xml:space="preserve"> es acíclico y d es conocida, las ordenaciones estructuralmente admisibles coinciden exactamente con L(P(T,d)). Una representación que invierte una precedencia de P no pertenece a ese conjunto.</w:t>
      </w:r>
    </w:p>
    <w:p w14:paraId="252D742C" w14:textId="77777777" w:rsidR="009471D1" w:rsidRPr="006C2240" w:rsidRDefault="00BD1BA7">
      <w:pPr>
        <w:ind w:firstLine="709"/>
        <w:jc w:val="both"/>
        <w:rPr>
          <w:lang w:val="es-ES"/>
        </w:rPr>
      </w:pPr>
      <w:r w:rsidRPr="006C2240">
        <w:rPr>
          <w:lang w:val="es-ES"/>
        </w:rPr>
        <w:t>La demostración tiene dos sentidos. Toda ordenación admisible respeta las aristas de G y, por transitividad, todos sus caminos; por ello es extensión lineal de P. Recíprocamente, toda extensión lineal de P respeta, en particular, las aristas de G, de modo que satisface las restricciones que originaron la reconstrucción. La equivalencia no depende de la forma textual en que se exhiba la representación.</w:t>
      </w:r>
    </w:p>
    <w:p w14:paraId="5BCE87BC" w14:textId="77777777" w:rsidR="009471D1" w:rsidRPr="006C2240" w:rsidRDefault="00BD1BA7">
      <w:pPr>
        <w:ind w:firstLine="709"/>
        <w:jc w:val="both"/>
        <w:rPr>
          <w:lang w:val="es-ES"/>
        </w:rPr>
      </w:pPr>
      <w:r w:rsidRPr="006C2240">
        <w:rPr>
          <w:lang w:val="es-ES"/>
        </w:rPr>
        <w:t xml:space="preserve">Una elección canónica resulta útil para disponer de una presentación reproducible, pero conviene no atribuirle un privilegio ontológico. Si el selector elige aobc, las otras tres manifestaciones siguen siendo miembros de L(P). Los invariantes de P —comparabilidades, incomparabilidades, relaciones de cobertura, extremos, altura y </w:t>
      </w:r>
      <w:r w:rsidRPr="006C2240">
        <w:rPr>
          <w:lang w:val="es-ES"/>
        </w:rPr>
        <w:lastRenderedPageBreak/>
        <w:t>anchura— no varían por haber seleccionado una de ellas. En este sentido, la canonicidad pertenece a la elección de representante; la necesidad pertenece al orden parcial.</w:t>
      </w:r>
    </w:p>
    <w:p w14:paraId="1D3A29A4" w14:textId="77777777" w:rsidR="009471D1" w:rsidRDefault="00BD1BA7">
      <w:pPr>
        <w:ind w:firstLine="709"/>
        <w:jc w:val="both"/>
        <w:rPr>
          <w:lang w:val="es-ES"/>
        </w:rPr>
      </w:pPr>
      <w:r w:rsidRPr="006C2240">
        <w:rPr>
          <w:lang w:val="es-ES"/>
        </w:rPr>
        <w:t>La reflexión de Carretero y Atorresi (2008) sobre el pensamiento narrativo ayuda a delimitar, desde la psicología, lo que esta construcción no pretende demostrar: la admisibilidad estructural de una secuencia no garantiza por sí misma su inteligibilidad humana. El formalismo estudia restricciones y transformaciones; la interpretación del relato permanece en un plano distinto.</w:t>
      </w:r>
    </w:p>
    <w:p w14:paraId="5B5C3319" w14:textId="77777777" w:rsidR="002A529F" w:rsidRPr="006C2240" w:rsidRDefault="002A529F">
      <w:pPr>
        <w:ind w:firstLine="709"/>
        <w:jc w:val="both"/>
        <w:rPr>
          <w:lang w:val="es-ES"/>
        </w:rPr>
      </w:pPr>
    </w:p>
    <w:p w14:paraId="7B211A99" w14:textId="77777777" w:rsidR="001537E8" w:rsidRDefault="0037399D">
      <w:pPr>
        <w:spacing w:before="100" w:after="100"/>
        <w:jc w:val="center"/>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P</m:t>
              </m:r>
            </m:e>
          </m:d>
          <m:r>
            <m:rPr>
              <m:scr m:val="script"/>
              <m:sty m:val="p"/>
            </m:rPr>
            <w:rPr>
              <w:rFonts w:ascii="Cambria Math" w:hAnsi="Cambria Math"/>
            </w:rPr>
            <m:t>={l∈</m:t>
          </m:r>
          <m:r>
            <m:rPr>
              <m:sty m:val="p"/>
            </m:rPr>
            <w:rPr>
              <w:rFonts w:ascii="Cambria Math" w:hAnsi="Cambria Math"/>
            </w:rPr>
            <m:t>Sym</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e>
          </m:d>
          <m:r>
            <m:rPr>
              <m:sty m:val="p"/>
            </m:rPr>
            <w:rPr>
              <w:rFonts w:ascii="Cambria Math" w:hAnsi="Cambria Math"/>
            </w:rPr>
            <m:t>&lt;</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y</m:t>
              </m:r>
            </m:e>
          </m:d>
          <m:r>
            <m:rPr>
              <m:sty m:val="p"/>
            </m:rPr>
            <w:rPr>
              <w:rFonts w:ascii="Cambria Math" w:hAnsi="Cambria Math"/>
            </w:rPr>
            <m:t>}.</m:t>
          </m:r>
        </m:oMath>
      </m:oMathPara>
    </w:p>
    <w:p w14:paraId="40065B97" w14:textId="77777777" w:rsidR="002A529F" w:rsidRDefault="002A529F">
      <w:pPr>
        <w:ind w:firstLine="709"/>
        <w:jc w:val="both"/>
        <w:rPr>
          <w:lang w:val="es-ES"/>
        </w:rPr>
      </w:pPr>
    </w:p>
    <w:p w14:paraId="4EF47B02" w14:textId="77777777" w:rsidR="001537E8" w:rsidRDefault="0037399D">
      <w:pPr>
        <w:ind w:firstLine="709"/>
        <w:jc w:val="both"/>
        <w:rPr>
          <w:lang w:val="es-ES"/>
        </w:rPr>
      </w:pPr>
      <w:r w:rsidRPr="007C36DC">
        <w:rPr>
          <w:lang w:val="es-ES"/>
        </w:rPr>
        <w:t>La prueba de pertenencia es distinta de la selección. La primera responde si una manifestación satisface todas las precedencias; la segunda escoge de manera reproducible un elemento de un conjunto ya determinado. El selector canónico presupone una regla de desempate declarada y no convierte la manifestación elegida en la única representación posible.</w:t>
      </w:r>
    </w:p>
    <w:p w14:paraId="141FDCB0" w14:textId="77777777" w:rsidR="002A529F" w:rsidRPr="007C36DC" w:rsidRDefault="002A529F">
      <w:pPr>
        <w:ind w:firstLine="709"/>
        <w:jc w:val="both"/>
        <w:rPr>
          <w:lang w:val="es-ES"/>
        </w:rPr>
      </w:pPr>
    </w:p>
    <w:p w14:paraId="25620110" w14:textId="77777777" w:rsidR="009471D1" w:rsidRPr="006C2240" w:rsidRDefault="00BD1BA7" w:rsidP="002A529F">
      <w:pPr>
        <w:pStyle w:val="Ttulo2"/>
        <w:spacing w:before="0"/>
        <w:ind w:firstLine="709"/>
        <w:rPr>
          <w:lang w:val="es-ES"/>
        </w:rPr>
      </w:pPr>
      <w:bookmarkStart w:id="28" w:name="_Toc242721864"/>
      <w:r w:rsidRPr="006C2240">
        <w:rPr>
          <w:rFonts w:ascii="Times New Roman" w:hAnsi="Times New Roman"/>
          <w:color w:val="000000"/>
          <w:sz w:val="24"/>
          <w:lang w:val="es-ES"/>
        </w:rPr>
        <w:t>5.3. Permutar trayectorias</w:t>
      </w:r>
      <w:bookmarkEnd w:id="28"/>
    </w:p>
    <w:p w14:paraId="3BCF9456" w14:textId="77777777" w:rsidR="009471D1" w:rsidRPr="006C2240" w:rsidRDefault="00BD1BA7">
      <w:pPr>
        <w:ind w:firstLine="709"/>
        <w:jc w:val="both"/>
        <w:rPr>
          <w:lang w:val="es-ES"/>
        </w:rPr>
      </w:pPr>
      <w:r w:rsidRPr="006C2240">
        <w:rPr>
          <w:lang w:val="es-ES"/>
        </w:rPr>
        <w:t>Antes de introducir el movimiento elemental conviene distinguir dos operaciones: reordenar ocurrencias dentro de una misma dirección conocida y transportar una representación entre direcciones conocidas opuestas. La primera se rige por las incomparabilidades de un orden parcial fijo; la segunda exige concordancia entre las direcciones de origen y destino y testigos específicos de transporte. Una correspondencia abstracta entre familias de órdenes no constituye, por sí misma, un movimiento ejecutable.</w:t>
      </w:r>
    </w:p>
    <w:p w14:paraId="257A72B2" w14:textId="77777777" w:rsidR="009471D1" w:rsidRPr="006C2240" w:rsidRDefault="00BD1BA7">
      <w:pPr>
        <w:ind w:firstLine="709"/>
        <w:jc w:val="both"/>
        <w:rPr>
          <w:lang w:val="es-ES"/>
        </w:rPr>
      </w:pPr>
      <w:r w:rsidRPr="006C2240">
        <w:rPr>
          <w:lang w:val="es-ES"/>
        </w:rPr>
        <w:t>Conocer el conjunto de representaciones admisibles no basta para saber cómo pasar de una a otra. La operación elemental de este capítulo es el intercambio de dos ocurrencias consecutivas que sean incomparables en P. La adyacencia se exige en la representación concreta; la incomparabilidad, en la estructura subyacente. Sin ambas condiciones, el movimiento no pertenece a la base de reconfiguración considerada.</w:t>
      </w:r>
    </w:p>
    <w:p w14:paraId="658EED21" w14:textId="77777777" w:rsidR="002A529F" w:rsidRDefault="00BD1BA7" w:rsidP="002A529F">
      <w:pPr>
        <w:ind w:firstLine="709"/>
        <w:jc w:val="both"/>
        <w:rPr>
          <w:lang w:val="es-ES"/>
        </w:rPr>
      </w:pPr>
      <w:r w:rsidRPr="006C2240">
        <w:rPr>
          <w:lang w:val="es-ES"/>
        </w:rPr>
        <w:t>En la cadena a ≺ b ≺ c acompañada de o, los cuatro representantes se enlazan mediante tres movimientos: oabc ↔ aobc ↔ aboc ↔ abco. Cada paso desplaza o una posición sin alterar la precedencia de a, b y c. Intercambiar a y b, aunque aparezcan consecutivos, sería inadmisible: su precedencia no es una convención de presentación.</w:t>
      </w:r>
    </w:p>
    <w:p w14:paraId="372BFC5B" w14:textId="77777777" w:rsidR="009471D1" w:rsidRPr="002A529F" w:rsidRDefault="00BD1BA7" w:rsidP="002A529F">
      <w:pPr>
        <w:ind w:firstLine="709"/>
        <w:jc w:val="both"/>
        <w:rPr>
          <w:bCs/>
          <w:lang w:val="es-ES"/>
        </w:rPr>
      </w:pPr>
      <w:r w:rsidRPr="002A529F">
        <w:rPr>
          <w:bCs/>
          <w:lang w:val="es-ES"/>
        </w:rPr>
        <w:lastRenderedPageBreak/>
        <w:t>Dos extensiones lineales de un mismo orden parcial finito están conectadas por una sucesión finita de intercambios adyacentes de ocurrencias incomparables.</w:t>
      </w:r>
      <w:r w:rsidR="002A529F">
        <w:rPr>
          <w:bCs/>
          <w:lang w:val="es-ES"/>
        </w:rPr>
        <w:t xml:space="preserve"> </w:t>
      </w:r>
      <w:r w:rsidRPr="006C2240">
        <w:rPr>
          <w:lang w:val="es-ES"/>
        </w:rPr>
        <w:t>La construcción es inductiva. Para transformar ℓ en ℓ′, tomamos la primera ocurrencia de ℓ′ y la desplazamos hacia el comienzo de ℓ. Cada elemento que debe atravesar es incomparable con ella: si existiera una precedencia estricta entre ambos, una de las dos extensiones la vulneraría. Fijada esa primera posición, repetimos el argumento sobre las posiciones restantes. El procedimiento termina porque el conjunto de ocurrencias es finito.</w:t>
      </w:r>
    </w:p>
    <w:p w14:paraId="2D7D0215" w14:textId="77777777" w:rsidR="009471D1" w:rsidRPr="006C2240" w:rsidRDefault="00BD1BA7">
      <w:pPr>
        <w:ind w:firstLine="709"/>
        <w:jc w:val="both"/>
        <w:rPr>
          <w:lang w:val="es-ES"/>
        </w:rPr>
      </w:pPr>
      <w:r w:rsidRPr="006C2240">
        <w:rPr>
          <w:lang w:val="es-ES"/>
        </w:rPr>
        <w:t>La pertenencia a L(P) y el isomorfismo tipado responden a obligaciones diferentes. Una secuencia puede respetar todas las precedencias y, sin embargo, carecer de evidencia suficiente sobre la identidad de sus ocurrencias, sus etiquetas o sus relaciones. La admisibilidad combinatoria no reemplaza la auditoría de esa correspondencia exacta.</w:t>
      </w:r>
    </w:p>
    <w:p w14:paraId="2FC59CFF" w14:textId="77777777" w:rsidR="009471D1" w:rsidRPr="006C2240" w:rsidRDefault="00BD1BA7">
      <w:pPr>
        <w:ind w:firstLine="709"/>
        <w:jc w:val="both"/>
        <w:rPr>
          <w:lang w:val="es-ES"/>
        </w:rPr>
      </w:pPr>
      <w:r w:rsidRPr="006C2240">
        <w:rPr>
          <w:lang w:val="es-ES"/>
        </w:rPr>
        <w:t>Esta distinción es especialmente importante cuando se reconstruye una manifestación en otra dirección conocida. La procedencia de origen, la dirección de destino y los testigos de la hipótesis permutada deben concordar. La oposición de direcciones puede justificar una transformación declarada, pero no convierte automáticamente dos fibras distintas en una secuencia de intercambios ejecutables.</w:t>
      </w:r>
    </w:p>
    <w:p w14:paraId="4B24B369" w14:textId="77777777" w:rsidR="001537E8" w:rsidRDefault="0037399D">
      <w:pPr>
        <w:ind w:firstLine="709"/>
        <w:jc w:val="both"/>
        <w:rPr>
          <w:lang w:val="es-ES"/>
        </w:rPr>
      </w:pPr>
      <w:r w:rsidRPr="007C36DC">
        <w:rPr>
          <w:lang w:val="es-ES"/>
        </w:rPr>
        <w:t>Para pasar de una manifestación a otra hay que distinguir cuatro objetos que no se sustituyen mutuamente: el plan que propone una secuencia admisible, el testigo de cada intercambio, la auditoría de isomorfismo tipado entre las superficies y la reconciliación que exige concordancia entre sus evidencias. Un plan exitoso no demuestra, por sí solo, que las identidades y etiquetas hayan sobrevivido a la reconstrucción.</w:t>
      </w:r>
    </w:p>
    <w:p w14:paraId="5A0395A4" w14:textId="77777777" w:rsidR="002A529F" w:rsidRPr="007C36DC" w:rsidRDefault="002A529F">
      <w:pPr>
        <w:ind w:firstLine="709"/>
        <w:jc w:val="both"/>
        <w:rPr>
          <w:lang w:val="es-ES"/>
        </w:rPr>
      </w:pPr>
    </w:p>
    <w:p w14:paraId="56908DE4" w14:textId="77777777" w:rsidR="001537E8" w:rsidRDefault="0037399D">
      <w:pPr>
        <w:spacing w:before="100" w:after="100"/>
        <w:jc w:val="center"/>
      </w:pPr>
      <m:oMathPara>
        <m:oMathParaPr>
          <m:jc m:val="center"/>
        </m:oMathParaPr>
        <m:oMath>
          <m:r>
            <m:rPr>
              <m:scr m:val="script"/>
              <m:sty m:val="p"/>
            </m:rP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cr m:val="script"/>
              <m:sty m:val="p"/>
            </m:rPr>
            <w:rPr>
              <w:rFonts w:ascii="Cambria Math" w:hAnsi="Cambria Math"/>
            </w:rPr>
            <m:t>l'⇔l'=l∘</m:t>
          </m:r>
          <m:d>
            <m:dPr>
              <m:ctrlPr>
                <w:rPr>
                  <w:rFonts w:ascii="Cambria Math" w:hAnsi="Cambria Math"/>
                </w:rPr>
              </m:ctrlPr>
            </m:dPr>
            <m:e>
              <m:r>
                <w:rPr>
                  <w:rFonts w:ascii="Cambria Math" w:hAnsi="Cambria Math"/>
                </w:rPr>
                <m:t>i i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P</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2A05174" w14:textId="77777777" w:rsidR="002A529F" w:rsidRDefault="002A529F">
      <w:pPr>
        <w:ind w:firstLine="709"/>
        <w:jc w:val="both"/>
        <w:rPr>
          <w:lang w:val="es-ES"/>
        </w:rPr>
      </w:pPr>
    </w:p>
    <w:p w14:paraId="5B6178A6" w14:textId="77777777" w:rsidR="001537E8" w:rsidRDefault="0037399D">
      <w:pPr>
        <w:ind w:firstLine="709"/>
        <w:jc w:val="both"/>
        <w:rPr>
          <w:lang w:val="es-ES"/>
        </w:rPr>
      </w:pPr>
      <w:r w:rsidRPr="007C36DC">
        <w:rPr>
          <w:lang w:val="es-ES"/>
        </w:rPr>
        <w:t>La notación indica que se intercambian posiciones consecutivas ocupadas por ocurrencias incomparables. El testigo debe identificar ambas ocurrencias, su posición en la representación de origen y la conservación de las demás posiciones. La auditoría tipada añade la correspondencia biyectiva de identidades, etiquetas y relaciones; la reconciliación solo es positiva si esas comprobaciones y los testigos del plan son compatibles. Si alguna evidencia no está disponible, no se la reemplaza por una presunción de equivalencia.</w:t>
      </w:r>
    </w:p>
    <w:p w14:paraId="455E6A46" w14:textId="77777777" w:rsidR="002A529F" w:rsidRPr="007C36DC" w:rsidRDefault="002A529F">
      <w:pPr>
        <w:ind w:firstLine="709"/>
        <w:jc w:val="both"/>
        <w:rPr>
          <w:lang w:val="es-ES"/>
        </w:rPr>
      </w:pPr>
    </w:p>
    <w:p w14:paraId="521FD479" w14:textId="77777777" w:rsidR="009471D1" w:rsidRPr="006C2240" w:rsidRDefault="00BD1BA7" w:rsidP="002A529F">
      <w:pPr>
        <w:pStyle w:val="Ttulo2"/>
        <w:spacing w:before="0"/>
        <w:ind w:firstLine="709"/>
        <w:rPr>
          <w:lang w:val="es-ES"/>
        </w:rPr>
      </w:pPr>
      <w:bookmarkStart w:id="29" w:name="_Toc242721865"/>
      <w:r w:rsidRPr="006C2240">
        <w:rPr>
          <w:rFonts w:ascii="Times New Roman" w:hAnsi="Times New Roman"/>
          <w:color w:val="000000"/>
          <w:sz w:val="24"/>
          <w:lang w:val="es-ES"/>
        </w:rPr>
        <w:lastRenderedPageBreak/>
        <w:t>5.4. La geometría de las representaciones posibles</w:t>
      </w:r>
      <w:bookmarkEnd w:id="29"/>
    </w:p>
    <w:p w14:paraId="2A270604" w14:textId="77777777" w:rsidR="009471D1" w:rsidRPr="006C2240" w:rsidRDefault="00BD1BA7">
      <w:pPr>
        <w:ind w:firstLine="709"/>
        <w:jc w:val="both"/>
        <w:rPr>
          <w:lang w:val="es-ES"/>
        </w:rPr>
      </w:pPr>
      <w:r w:rsidRPr="006C2240">
        <w:rPr>
          <w:lang w:val="es-ES"/>
        </w:rPr>
        <w:t>La geometría de las representaciones parte de una distinción esencial: los invariantes del orden parcial —comparabilidades, coberturas, extremos, altura y anchura— no dependen de la extensión elegida. La firma estructural identifica una coordenada etiquetada (P,d) bajo su contrato de igualdad exacta; no clasifica automáticamente órdenes parciales isomorfos después de renombrar sus ocurrencias.</w:t>
      </w:r>
    </w:p>
    <w:p w14:paraId="361E9C0C" w14:textId="77777777" w:rsidR="009471D1" w:rsidRPr="006C2240" w:rsidRDefault="00BD1BA7">
      <w:pPr>
        <w:ind w:firstLine="709"/>
        <w:jc w:val="both"/>
        <w:rPr>
          <w:lang w:val="es-ES"/>
        </w:rPr>
      </w:pPr>
      <w:r w:rsidRPr="006C2240">
        <w:rPr>
          <w:lang w:val="es-ES"/>
        </w:rPr>
        <w:t>El conjunto L(P) puede convertirse en un espacio discreto de movimientos. Construimos un grafo G_L(P) cuyos vértices son las extensiones lineales y cuyas aristas unen exactamente los pares relacionados por un intercambio elemental. Para una dirección conocida d, la reconstrucción estructural considera la fibra R(P,d): el dominio de representaciones ejecutables con ese mismo orden parcial etiquetado y esa misma dirección. La fibra no es una clase metafórica de parecidos, sino una componente definida por coordenadas estructurales explícitas.</w:t>
      </w:r>
    </w:p>
    <w:p w14:paraId="4F5554F8" w14:textId="77777777" w:rsidR="009471D1" w:rsidRPr="006C2240" w:rsidRDefault="00BD1BA7">
      <w:pPr>
        <w:ind w:firstLine="709"/>
        <w:jc w:val="both"/>
        <w:rPr>
          <w:lang w:val="es-ES"/>
        </w:rPr>
      </w:pPr>
      <w:r w:rsidRPr="006C2240">
        <w:rPr>
          <w:lang w:val="es-ES"/>
        </w:rPr>
        <w:t>La proposición anterior garantiza que G_L(P) es conexo. La elevación canónica F_d identifica ese grafo con R(P,d), conservando y reflejando la adyacencia y la distancia local no ponderada. Por tanto, bajo la base generadora considerada, las componentes conexas del portador ejecutable disjunto son exactamente las fibras R(P,d). Un cambio de P o de dirección conocida modifica la coordenada de fibra; ninguna semejanza externa crea por sí misma una arista entre componentes.</w:t>
      </w:r>
    </w:p>
    <w:p w14:paraId="17A99B6B" w14:textId="77777777" w:rsidR="009471D1" w:rsidRPr="006C2240" w:rsidRDefault="00BD1BA7">
      <w:pPr>
        <w:ind w:firstLine="709"/>
        <w:jc w:val="both"/>
        <w:rPr>
          <w:lang w:val="es-ES"/>
        </w:rPr>
      </w:pPr>
      <w:r w:rsidRPr="006C2240">
        <w:rPr>
          <w:lang w:val="es-ES"/>
        </w:rPr>
        <w:t>Un camino es una secuencia de aristas con extremos consecutivos coincidentes. El camino vacío actúa como identidad; dos caminos se concatenan cuando coinciden el extremo final del primero y el inicial del segundo dentro de la misma fibra. La longitud de la concatenación es la suma de longitudes. Como cada intercambio elemental admite su intercambio inverso, todo camino finito puede recorrerse en sentido contrario.</w:t>
      </w:r>
    </w:p>
    <w:p w14:paraId="60BC0BDF" w14:textId="77777777" w:rsidR="009471D1" w:rsidRPr="006C2240" w:rsidRDefault="00BD1BA7">
      <w:pPr>
        <w:ind w:firstLine="709"/>
        <w:jc w:val="both"/>
        <w:rPr>
          <w:lang w:val="es-ES"/>
        </w:rPr>
      </w:pPr>
      <w:r w:rsidRPr="006C2240">
        <w:rPr>
          <w:lang w:val="es-ES"/>
        </w:rPr>
        <w:t>No obstante, regresar a la representación de partida no equivale a descubrir un automorfismo no trivial de P. Un camino cerrado conserva las identidades de las ocurrencias a lo largo de movimientos admisibles; un automorfismo del orden parcial es una biyección sobre V que preserva y refleja su relación de precedencia. Son objetos diferentes. Tampoco el isomorfismo canónico entre los grafos de fibras de direcciones opuestas constituye una ruta ejecutable entre ellas: el espejo matemático no crea el puente que la base de movimientos no contiene.</w:t>
      </w:r>
    </w:p>
    <w:p w14:paraId="2920461A" w14:textId="77777777" w:rsidR="009471D1" w:rsidRPr="006C2240" w:rsidRDefault="00BD1BA7">
      <w:pPr>
        <w:ind w:firstLine="709"/>
        <w:jc w:val="both"/>
        <w:rPr>
          <w:lang w:val="es-ES"/>
        </w:rPr>
      </w:pPr>
      <w:r w:rsidRPr="006C2240">
        <w:rPr>
          <w:lang w:val="es-ES"/>
        </w:rPr>
        <w:t xml:space="preserve">La identidad de una fibra ejecutable depende de su orden parcial etiquetado y de su dirección conocida. Que dos grafos de reconfiguración sean isomorfos no los convierte en la misma componente ejecutable. El isomorfismo abstracto de grafos, la igualdad de </w:t>
      </w:r>
      <w:r w:rsidRPr="006C2240">
        <w:rPr>
          <w:lang w:val="es-ES"/>
        </w:rPr>
        <w:lastRenderedPageBreak/>
        <w:t>coordenadas y el transporte tipado son afirmaciones distintas y requieren evidencias distintas.</w:t>
      </w:r>
    </w:p>
    <w:p w14:paraId="562E0FFD" w14:textId="77777777" w:rsidR="001537E8" w:rsidRDefault="0037399D">
      <w:pPr>
        <w:ind w:firstLine="709"/>
        <w:jc w:val="both"/>
        <w:rPr>
          <w:lang w:val="es-ES"/>
        </w:rPr>
      </w:pPr>
      <w:r w:rsidRPr="007C36DC">
        <w:rPr>
          <w:lang w:val="es-ES"/>
        </w:rPr>
        <w:t>La elevación de una extensión lineal a vértice de reconfiguración conserva la identidad de su fibra: no basta que dos secuencias contengan símbolos parecidos. Cada arista incorpora el testigo del intercambio autorizado. El camino identidad no ejecuta movimiento alguno; el inverso recorre los mismos testigos en orden contrario; la composición exige igualdad exacta entre el vértice final del primer camino y el inicial del segundo.</w:t>
      </w:r>
    </w:p>
    <w:p w14:paraId="40282DC2" w14:textId="77777777" w:rsidR="002A529F" w:rsidRPr="007C36DC" w:rsidRDefault="002A529F">
      <w:pPr>
        <w:ind w:firstLine="709"/>
        <w:jc w:val="both"/>
        <w:rPr>
          <w:lang w:val="es-ES"/>
        </w:rPr>
      </w:pPr>
    </w:p>
    <w:p w14:paraId="607044F0" w14:textId="77777777" w:rsidR="001537E8" w:rsidRDefault="0037399D">
      <w:pPr>
        <w:spacing w:before="100" w:after="100"/>
        <w:jc w:val="center"/>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d</m:t>
              </m:r>
            </m:e>
          </m:d>
          <m:r>
            <m:rPr>
              <m:sty m:val="p"/>
            </m:rPr>
            <w:rPr>
              <w:rFonts w:ascii="Cambria Math" w:hAnsi="Cambria Math"/>
            </w:rPr>
            <m:t>=</m:t>
          </m:r>
          <m:d>
            <m:dPr>
              <m:ctrlPr>
                <w:rPr>
                  <w:rFonts w:ascii="Cambria Math" w:hAnsi="Cambria Math"/>
                </w:rPr>
              </m:ctrlPr>
            </m:dPr>
            <m:e>
              <m:r>
                <m:rPr>
                  <m:scr m:val="script"/>
                  <m:sty m:val="p"/>
                </m:rPr>
                <w:rPr>
                  <w:rFonts w:ascii="Cambria Math" w:hAnsi="Cambria Math"/>
                </w:rPr>
                <m:t>L</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P</m:t>
              </m:r>
            </m:sub>
          </m:sSub>
          <m:r>
            <m:rPr>
              <m:scr m:val="script"/>
              <m:sty m:val="p"/>
            </m:rPr>
            <w:rPr>
              <w:rFonts w:ascii="Cambria Math" w:hAnsi="Cambria Math"/>
            </w:rPr>
            <m:t>={{l,l'}:l</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cr m:val="script"/>
              <m:sty m:val="p"/>
            </m:rPr>
            <w:rPr>
              <w:rFonts w:ascii="Cambria Math" w:hAnsi="Cambria Math"/>
            </w:rPr>
            <m:t>l'}.</m:t>
          </m:r>
        </m:oMath>
      </m:oMathPara>
    </w:p>
    <w:p w14:paraId="4E11A6BE" w14:textId="77777777" w:rsidR="002A529F" w:rsidRDefault="002A529F">
      <w:pPr>
        <w:ind w:firstLine="709"/>
        <w:jc w:val="both"/>
        <w:rPr>
          <w:lang w:val="es-ES"/>
        </w:rPr>
      </w:pPr>
    </w:p>
    <w:p w14:paraId="1636B505" w14:textId="77777777" w:rsidR="001537E8" w:rsidRDefault="0037399D">
      <w:pPr>
        <w:ind w:firstLine="709"/>
        <w:jc w:val="both"/>
        <w:rPr>
          <w:lang w:val="es-ES"/>
        </w:rPr>
      </w:pPr>
      <w:r w:rsidRPr="007C36DC">
        <w:rPr>
          <w:lang w:val="es-ES"/>
        </w:rPr>
        <w:t>El perfil de invariantes resume las propiedades definidas del orden parcial, sin introducir una nueva relación de precedencia. Un automorfismo, por su parte, es una biyección de ocurrencias que preserva y refleja el orden; puede actuar sobre L(P), pero no se identifica con un circuito de intercambios que vuelve al mismo representante.</w:t>
      </w:r>
    </w:p>
    <w:p w14:paraId="4BCB4D2B" w14:textId="77777777" w:rsidR="002A529F" w:rsidRPr="007C36DC" w:rsidRDefault="002A529F">
      <w:pPr>
        <w:ind w:firstLine="709"/>
        <w:jc w:val="both"/>
        <w:rPr>
          <w:lang w:val="es-ES"/>
        </w:rPr>
      </w:pPr>
    </w:p>
    <w:p w14:paraId="515C47FB" w14:textId="77777777" w:rsidR="001537E8" w:rsidRDefault="0037399D">
      <w:pPr>
        <w:spacing w:before="100" w:after="100"/>
        <w:jc w:val="center"/>
      </w:pPr>
      <m:oMathPara>
        <m:oMathParaPr>
          <m:jc m:val="center"/>
        </m:oMathParaPr>
        <m:oMath>
          <m:r>
            <m:rPr>
              <m:sty m:val="p"/>
            </m:rPr>
            <w:rPr>
              <w:rFonts w:ascii="Cambria Math" w:hAnsi="Cambria Math"/>
            </w:rPr>
            <m:t>Aut</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V</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oMath>
      </m:oMathPara>
    </w:p>
    <w:p w14:paraId="5C424E76" w14:textId="77777777" w:rsidR="002A529F" w:rsidRDefault="002A529F">
      <w:pPr>
        <w:ind w:firstLine="709"/>
        <w:jc w:val="both"/>
        <w:rPr>
          <w:lang w:val="es-ES"/>
        </w:rPr>
      </w:pPr>
    </w:p>
    <w:p w14:paraId="76C8DC61" w14:textId="77777777" w:rsidR="001537E8" w:rsidRDefault="0037399D">
      <w:pPr>
        <w:ind w:firstLine="709"/>
        <w:jc w:val="both"/>
        <w:rPr>
          <w:lang w:val="es-ES"/>
        </w:rPr>
      </w:pPr>
      <w:r w:rsidRPr="007C36DC">
        <w:rPr>
          <w:lang w:val="es-ES"/>
        </w:rPr>
        <w:t>La distancia mínima en el grafo y un camino más corto son objetos distintos: el primero es un número, el segundo un testigo reproducible de que ese número puede alcanzarse. La conectividad del grafo de extensiones garantiza la existencia del segundo dentro de cada fibra finita, no entre fibras de direcciones o restricciones diferentes.</w:t>
      </w:r>
    </w:p>
    <w:p w14:paraId="12BB7B70" w14:textId="77777777" w:rsidR="002A529F" w:rsidRPr="007C36DC" w:rsidRDefault="002A529F">
      <w:pPr>
        <w:ind w:firstLine="709"/>
        <w:jc w:val="both"/>
        <w:rPr>
          <w:lang w:val="es-ES"/>
        </w:rPr>
      </w:pPr>
    </w:p>
    <w:p w14:paraId="3D7B3774" w14:textId="77777777" w:rsidR="009471D1" w:rsidRPr="006C2240" w:rsidRDefault="00BD1BA7" w:rsidP="002A529F">
      <w:pPr>
        <w:pStyle w:val="Ttulo2"/>
        <w:spacing w:before="0"/>
        <w:ind w:firstLine="709"/>
        <w:rPr>
          <w:lang w:val="es-ES"/>
        </w:rPr>
      </w:pPr>
      <w:bookmarkStart w:id="30" w:name="_Toc242721866"/>
      <w:r w:rsidRPr="006C2240">
        <w:rPr>
          <w:rFonts w:ascii="Times New Roman" w:hAnsi="Times New Roman"/>
          <w:color w:val="000000"/>
          <w:sz w:val="24"/>
          <w:lang w:val="es-ES"/>
        </w:rPr>
        <w:t>5.5. La distancia entre una trayectoria y su reflejo</w:t>
      </w:r>
      <w:bookmarkEnd w:id="30"/>
    </w:p>
    <w:p w14:paraId="3B0B26B9" w14:textId="77777777" w:rsidR="002A529F" w:rsidRDefault="00BD1BA7" w:rsidP="002A529F">
      <w:pPr>
        <w:ind w:firstLine="709"/>
        <w:jc w:val="both"/>
        <w:rPr>
          <w:lang w:val="es-ES"/>
        </w:rPr>
      </w:pPr>
      <w:r w:rsidRPr="006C2240">
        <w:rPr>
          <w:lang w:val="es-ES"/>
        </w:rPr>
        <w:t>Una vez establecidos los movimientos, la distancia deja de designar una impresión de semejanza. Asignamos coste uno a cada intercambio adyacente de incomparables y definimos el coste de un camino como la suma de los costes de sus aristas. La distancia entre dos representaciones de la misma fibra es el coste mínimo de los caminos que las conectan. El camino identidad tiene coste cero; invertir un camino no cambia su coste.</w:t>
      </w:r>
    </w:p>
    <w:p w14:paraId="35D948EC" w14:textId="77777777" w:rsidR="009471D1" w:rsidRPr="006C2240" w:rsidRDefault="00BD1BA7" w:rsidP="002A529F">
      <w:pPr>
        <w:ind w:firstLine="709"/>
        <w:jc w:val="both"/>
        <w:rPr>
          <w:lang w:val="es-ES"/>
        </w:rPr>
      </w:pPr>
      <w:r w:rsidRPr="002A529F">
        <w:rPr>
          <w:bCs/>
          <w:lang w:val="es-ES"/>
        </w:rPr>
        <w:t>La distancia d_R</w:t>
      </w:r>
      <w:r w:rsidRPr="006C2240">
        <w:rPr>
          <w:lang w:val="es-ES"/>
        </w:rPr>
        <w:t xml:space="preserve"> es una métrica separada y simétrica en cada fibra R(P,d). Su valor coincide con el número de pares de ocurrencias cuyo orden relativo difiere entre las dos extensiones.</w:t>
      </w:r>
    </w:p>
    <w:p w14:paraId="6BCF44AC" w14:textId="77777777" w:rsidR="009471D1" w:rsidRPr="006C2240" w:rsidRDefault="00BD1BA7">
      <w:pPr>
        <w:ind w:firstLine="709"/>
        <w:jc w:val="both"/>
        <w:rPr>
          <w:lang w:val="es-ES"/>
        </w:rPr>
      </w:pPr>
      <w:r w:rsidRPr="006C2240">
        <w:rPr>
          <w:lang w:val="es-ES"/>
        </w:rPr>
        <w:lastRenderedPageBreak/>
        <w:t>La no negatividad se deduce de los costes elementales; el valor cero corresponde exclusivamente al mismo vértice, pues todo movimiento no vacío cuesta al menos uno. La reversibilidad de las aristas establece la simetría. La concatenación de caminos proporciona la desigualdad triangular. Para la igualdad con las inversiones, observemos que cada intercambio adyacente cambia el orden relativo de un solo par, de modo que todo camino debe tener al menos tantos pasos como pares discordantes. El procedimiento constructivo que coloca sucesivamente cada ocurrencia en su posición de destino alcanza esa cota mediante intercambios permitidos.</w:t>
      </w:r>
    </w:p>
    <w:p w14:paraId="098A6A81" w14:textId="77777777" w:rsidR="009471D1" w:rsidRPr="006C2240" w:rsidRDefault="00BD1BA7">
      <w:pPr>
        <w:ind w:firstLine="709"/>
        <w:jc w:val="both"/>
        <w:rPr>
          <w:lang w:val="es-ES"/>
        </w:rPr>
      </w:pPr>
      <w:r w:rsidRPr="006C2240">
        <w:rPr>
          <w:lang w:val="es-ES"/>
        </w:rPr>
        <w:t>En el ejemplo conductor, la distancia entre oabc y abco es tres: la ocurrencia o cambia su posición relativa respecto de a, b y c. La distancia entre aobc y aboc es uno. El resultado mide reconfiguración de ordenaciones, no profundidad radial, discrepancia semántica ni esfuerzo cognitivo humano. La palabra «reflejo» describe aquí una manifestación alternativa de la misma fibra, no una inversión universal de toda trayectoria.</w:t>
      </w:r>
    </w:p>
    <w:p w14:paraId="1E249F9F" w14:textId="77777777" w:rsidR="009471D1" w:rsidRPr="006C2240" w:rsidRDefault="00BD1BA7">
      <w:pPr>
        <w:ind w:firstLine="709"/>
        <w:jc w:val="both"/>
        <w:rPr>
          <w:lang w:val="es-ES"/>
        </w:rPr>
      </w:pPr>
      <w:r w:rsidRPr="006C2240">
        <w:rPr>
          <w:lang w:val="es-ES"/>
        </w:rPr>
        <w:t>Sobre la unión disjunta de fibras se define una distancia extendida: conserva la distancia finita dentro de cada componente y toma el valor +∞ entre componentes distintas. El infinito registra que no existe un camino ejecutable en la base actual; no es un coste físico infinito ni una prueba de imposibilidad bajo cualquier futura familia de transformaciones.</w:t>
      </w:r>
    </w:p>
    <w:p w14:paraId="7E0C588C" w14:textId="77777777" w:rsidR="009471D1" w:rsidRPr="006C2240" w:rsidRDefault="00BD1BA7">
      <w:pPr>
        <w:ind w:firstLine="709"/>
        <w:jc w:val="both"/>
        <w:rPr>
          <w:lang w:val="es-ES"/>
        </w:rPr>
      </w:pPr>
      <w:r w:rsidRPr="006C2240">
        <w:rPr>
          <w:lang w:val="es-ES"/>
        </w:rPr>
        <w:t>La finitud de d_ext equivale, en esta construcción, a la alcanzabilidad ejecutable. Esta equivalencia exige no introducir clandestinamente como aristas operaciones de comparación, transporte, alineación o inversión de dirección: pueden relacionar matemáticamente objetos de fibras distintas sin constituir movimientos de la base generadora.</w:t>
      </w:r>
    </w:p>
    <w:p w14:paraId="3AADDF22" w14:textId="77777777" w:rsidR="001537E8" w:rsidRDefault="0037399D">
      <w:pPr>
        <w:ind w:firstLine="709"/>
        <w:jc w:val="both"/>
        <w:rPr>
          <w:lang w:val="es-ES"/>
        </w:rPr>
      </w:pPr>
      <w:r w:rsidRPr="007C36DC">
        <w:rPr>
          <w:lang w:val="es-ES"/>
        </w:rPr>
        <w:t>La asignación de costes respeta una jerarquía de dominios: coste elemental para aristas admisibles, coste acumulado para caminos composables, distancia mínima para vértices de una misma fibra y distancia extendida para la unión disjunta de fibras. Una comparación o un transporte entre fibras no se incorpora a esa base de movimientos sin una definición adicional.</w:t>
      </w:r>
    </w:p>
    <w:p w14:paraId="3B55E0F6" w14:textId="77777777" w:rsidR="002A529F" w:rsidRPr="007C36DC" w:rsidRDefault="002A529F">
      <w:pPr>
        <w:ind w:firstLine="709"/>
        <w:jc w:val="both"/>
        <w:rPr>
          <w:lang w:val="es-ES"/>
        </w:rPr>
      </w:pPr>
    </w:p>
    <w:p w14:paraId="68A40D63" w14:textId="77777777" w:rsidR="001537E8" w:rsidRDefault="00C026F8">
      <w:pPr>
        <w:spacing w:before="100" w:after="10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lim>
          </m:limLow>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γ</m:t>
              </m:r>
            </m:sub>
            <m:sup>
              <m:r>
                <w:rPr>
                  <w:rFonts w:ascii="Cambria Math" w:hAnsi="Cambria Math"/>
                </w:rPr>
                <m:t>​</m:t>
              </m:r>
            </m:sup>
            <m:e>
              <m:r>
                <w:rPr>
                  <w:rFonts w:ascii="Cambria Math" w:hAnsi="Cambria Math"/>
                </w:rPr>
                <m:t>c</m:t>
              </m:r>
            </m:e>
          </m:nary>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  c</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78A28EDD" w14:textId="77777777" w:rsidR="002A529F" w:rsidRDefault="002A529F">
      <w:pPr>
        <w:ind w:firstLine="709"/>
        <w:jc w:val="both"/>
        <w:rPr>
          <w:lang w:val="es-ES"/>
        </w:rPr>
      </w:pPr>
    </w:p>
    <w:p w14:paraId="0F4FB6D0" w14:textId="77777777" w:rsidR="001537E8" w:rsidRDefault="0037399D">
      <w:pPr>
        <w:ind w:firstLine="709"/>
        <w:jc w:val="both"/>
        <w:rPr>
          <w:lang w:val="es-ES"/>
        </w:rPr>
      </w:pPr>
      <w:r w:rsidRPr="007C36DC">
        <w:rPr>
          <w:lang w:val="es-ES"/>
        </w:rPr>
        <w:lastRenderedPageBreak/>
        <w:t>En particular, la igualdad de longitud de dos secuencias no acredita pertenencia a una misma fibra. Deben coincidir las ocurrencias identificadas, el orden parcial etiquetado y la dirección correspondiente. Un transporte tipado puede permitir comparaciones métricas entre fibras, pero no crea por ello un camino ejecutable que las conecte.</w:t>
      </w:r>
    </w:p>
    <w:p w14:paraId="00250D3A" w14:textId="77777777" w:rsidR="002A529F" w:rsidRPr="007C36DC" w:rsidRDefault="002A529F">
      <w:pPr>
        <w:ind w:firstLine="709"/>
        <w:jc w:val="both"/>
        <w:rPr>
          <w:lang w:val="es-ES"/>
        </w:rPr>
      </w:pPr>
    </w:p>
    <w:p w14:paraId="28791E5F" w14:textId="77777777" w:rsidR="009471D1" w:rsidRPr="006C2240" w:rsidRDefault="00BD1BA7" w:rsidP="002A529F">
      <w:pPr>
        <w:pStyle w:val="Ttulo2"/>
        <w:spacing w:before="0"/>
        <w:ind w:firstLine="709"/>
        <w:rPr>
          <w:lang w:val="es-ES"/>
        </w:rPr>
      </w:pPr>
      <w:bookmarkStart w:id="31" w:name="_Toc242721867"/>
      <w:r w:rsidRPr="006C2240">
        <w:rPr>
          <w:rFonts w:ascii="Times New Roman" w:hAnsi="Times New Roman"/>
          <w:color w:val="000000"/>
          <w:sz w:val="24"/>
          <w:lang w:val="es-ES"/>
        </w:rPr>
        <w:t>5.6. La estructura a través del espejo</w:t>
      </w:r>
      <w:bookmarkEnd w:id="31"/>
    </w:p>
    <w:p w14:paraId="498EF41C" w14:textId="77777777" w:rsidR="009471D1" w:rsidRPr="006C2240" w:rsidRDefault="00BD1BA7">
      <w:pPr>
        <w:ind w:firstLine="709"/>
        <w:jc w:val="both"/>
        <w:rPr>
          <w:lang w:val="es-ES"/>
        </w:rPr>
      </w:pPr>
      <w:r w:rsidRPr="006C2240">
        <w:rPr>
          <w:lang w:val="es-ES"/>
        </w:rPr>
        <w:t>El espejo introduce una cautela: la geometría de reconfiguración no determina necesariamente el orden parcial hasta isomorfismo. El dual de un orden puede tener una fibra isométrica mediante inversión de extensiones, aunque no sea isomorfo al orden original. La conservación de distancias no debe confundirse con identidad de coordenadas ni con invariancia general del SCC.</w:t>
      </w:r>
    </w:p>
    <w:p w14:paraId="0C37B6FC" w14:textId="77777777" w:rsidR="009471D1" w:rsidRPr="006C2240" w:rsidRDefault="00BD1BA7">
      <w:pPr>
        <w:ind w:firstLine="709"/>
        <w:jc w:val="both"/>
        <w:rPr>
          <w:lang w:val="es-ES"/>
        </w:rPr>
      </w:pPr>
      <w:r w:rsidRPr="006C2240">
        <w:rPr>
          <w:lang w:val="es-ES"/>
        </w:rPr>
        <w:t>Hasta aquí todas las transformaciones ejecutables se han mantenido en una misma fibra. Ahora preguntamos qué puede afirmarse al comparar fibras diferentes. Sea f:V→V′ una biyección que preserve y refleje la precedencia estricta: x ≺ₚ y si y solo si f(x) ≺ₚ′ f(y). Esta condición define un isomorfismo de órdenes parciales y transporta cada extensión lineal de P a una extensión lineal de P′ mediante el renombramiento coherente de sus ocurrencias.</w:t>
      </w:r>
    </w:p>
    <w:p w14:paraId="507388BC" w14:textId="77777777" w:rsidR="009471D1" w:rsidRPr="006C2240" w:rsidRDefault="00BD1BA7">
      <w:pPr>
        <w:ind w:firstLine="709"/>
        <w:jc w:val="both"/>
        <w:rPr>
          <w:lang w:val="es-ES"/>
        </w:rPr>
      </w:pPr>
      <w:r w:rsidRPr="006C2240">
        <w:rPr>
          <w:lang w:val="es-ES"/>
        </w:rPr>
        <w:t>La igualdad se debe a que f conserva exactamente las parejas incomparables y los pares de órdenes relativos discordantes. El transporte inducido es, por tanto, una isometría entre las métricas de fibra correspondientes. Una biyección cualquiera no basta: si altera una precedencia, puede transformar una extensión admisible en una secuencia prohibida. Tampoco la isometría de los grafos obliga por sí sola a recuperar el orden parcial: la métrica de reconfiguración no es rígida respecto de P en general.</w:t>
      </w:r>
    </w:p>
    <w:p w14:paraId="7B516E0F" w14:textId="77777777" w:rsidR="009471D1" w:rsidRPr="006C2240" w:rsidRDefault="00BD1BA7">
      <w:pPr>
        <w:ind w:firstLine="709"/>
        <w:jc w:val="both"/>
        <w:rPr>
          <w:lang w:val="es-ES"/>
        </w:rPr>
      </w:pPr>
      <w:r w:rsidRPr="006C2240">
        <w:rPr>
          <w:lang w:val="es-ES"/>
        </w:rPr>
        <w:t>El problema se vuelve más delicado al introducir cocientes. Una aplicación de ocurrencias a clases de equivalencia puede ser un alineamiento legítimo y, al mismo tiempo, identificar ocurrencias distintas. Si el cociente es genuinamente muchos-a-uno, no constituye por ese solo hecho un transporte métrico biyectivo. Para declarar una distancia en las clases hay que demostrar que no depende de los representantes elegidos; tomar sin más la distancia mínima entre clases tampoco produce una métrica para cualquier partición, pues puede vulnerar la desigualdad triangular.</w:t>
      </w:r>
    </w:p>
    <w:p w14:paraId="7DF82683" w14:textId="77777777" w:rsidR="009471D1" w:rsidRPr="006C2240" w:rsidRDefault="00BD1BA7">
      <w:pPr>
        <w:ind w:firstLine="709"/>
        <w:jc w:val="both"/>
        <w:rPr>
          <w:lang w:val="es-ES"/>
        </w:rPr>
      </w:pPr>
      <w:r w:rsidRPr="006C2240">
        <w:rPr>
          <w:lang w:val="es-ES"/>
        </w:rPr>
        <w:t xml:space="preserve">Más generalmente, una comparación métrica requiere una aplicación tipada explícita entre una fibra fuente y una fibra destino. La tipificación establece dónde está definida la aplicación; no garantiza que conserve distancias. Para cada par admisible de la </w:t>
      </w:r>
      <w:r w:rsidRPr="006C2240">
        <w:rPr>
          <w:lang w:val="es-ES"/>
        </w:rPr>
        <w:lastRenderedPageBreak/>
        <w:t>fuente, la distorsión aditiva con signo es la diferencia entre la distancia de sus imágenes y su distancia original.</w:t>
      </w:r>
    </w:p>
    <w:p w14:paraId="33EA738A" w14:textId="77777777" w:rsidR="009471D1" w:rsidRPr="006C2240" w:rsidRDefault="00BD1BA7">
      <w:pPr>
        <w:ind w:firstLine="709"/>
        <w:jc w:val="both"/>
        <w:rPr>
          <w:lang w:val="es-ES"/>
        </w:rPr>
      </w:pPr>
      <w:r w:rsidRPr="006C2240">
        <w:rPr>
          <w:lang w:val="es-ES"/>
        </w:rPr>
        <w:t>Una distorsión negativa indica contracción; cero, conservación; positiva, expansión. Una aplicación es una inmersión isométrica exactamente cuando no contrae ni expande ningún par de su dominio. En el caso finito, el máximo de los valores absolutos de las distorsiones es cero si y solo si todos los pares conservan su distancia. La isometría como inmersión no debe confundirse con un isomorfismo métrico: este último exige además las condiciones de correspondencia biyectiva pertinentes.</w:t>
      </w:r>
    </w:p>
    <w:p w14:paraId="445F4A07" w14:textId="77777777" w:rsidR="009471D1" w:rsidRPr="006C2240" w:rsidRDefault="00BD1BA7">
      <w:pPr>
        <w:ind w:firstLine="709"/>
        <w:jc w:val="both"/>
        <w:rPr>
          <w:lang w:val="es-ES"/>
        </w:rPr>
      </w:pPr>
      <w:r w:rsidRPr="006C2240">
        <w:rPr>
          <w:lang w:val="es-ES"/>
        </w:rPr>
        <w:t>La oposición de direcciones puede producir grafos de fibra canónicamente isomorfos sin aportar un camino ejecutable entre ellos. Asimismo, una isometría de fibras no certifica por sí misma isomorfismo de órdenes parciales, igualdad de coordenadas ejecutables ni invariancia general de todas las propiedades del SCC. El espejo conserva exactamente aquello que sus hipótesis permiten demostrar, nunca lo que el parecido invita a suponer.</w:t>
      </w:r>
    </w:p>
    <w:p w14:paraId="16A7C0AB" w14:textId="77777777" w:rsidR="001537E8" w:rsidRDefault="0037399D">
      <w:pPr>
        <w:ind w:firstLine="709"/>
        <w:jc w:val="both"/>
        <w:rPr>
          <w:lang w:val="es-ES"/>
        </w:rPr>
      </w:pPr>
      <w:r w:rsidRPr="007C36DC">
        <w:rPr>
          <w:lang w:val="es-ES"/>
        </w:rPr>
        <w:t>Una aplicación métrica entre fibras requiere declarar el dominio de origen, el de destino y la regla de evaluación. Para cada par de puntos de origen cuya imagen exista, la distorsión con signo es la diferencia entre la distancia de sus imágenes y la distancia inicial. Su valor absoluto mide la magnitud de la alteración, sin confundir contracción con expansión.</w:t>
      </w:r>
    </w:p>
    <w:p w14:paraId="3C971698" w14:textId="77777777" w:rsidR="002A529F" w:rsidRPr="007C36DC" w:rsidRDefault="002A529F">
      <w:pPr>
        <w:ind w:firstLine="709"/>
        <w:jc w:val="both"/>
        <w:rPr>
          <w:lang w:val="es-ES"/>
        </w:rPr>
      </w:pPr>
    </w:p>
    <w:p w14:paraId="0B4AA116" w14:textId="77777777" w:rsidR="001537E8" w:rsidRDefault="00C026F8">
      <w:pPr>
        <w:spacing w:before="100" w:after="10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f</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  D</m:t>
          </m:r>
          <m:d>
            <m:dPr>
              <m:ctrlPr>
                <w:rPr>
                  <w:rFonts w:ascii="Cambria Math" w:hAnsi="Cambria Math"/>
                </w:rPr>
              </m:ctrlPr>
            </m:dPr>
            <m:e>
              <m:r>
                <w:rPr>
                  <w:rFonts w:ascii="Cambria Math" w:hAnsi="Cambria Math"/>
                </w:rPr>
                <m:t>f</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f</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m:t>
          </m:r>
        </m:oMath>
      </m:oMathPara>
    </w:p>
    <w:p w14:paraId="491270A1" w14:textId="77777777" w:rsidR="002A529F" w:rsidRDefault="002A529F">
      <w:pPr>
        <w:ind w:firstLine="709"/>
        <w:jc w:val="both"/>
        <w:rPr>
          <w:lang w:val="es-ES"/>
        </w:rPr>
      </w:pPr>
    </w:p>
    <w:p w14:paraId="6377ADB2" w14:textId="77777777" w:rsidR="001537E8" w:rsidRDefault="0037399D">
      <w:pPr>
        <w:ind w:firstLine="709"/>
        <w:jc w:val="both"/>
        <w:rPr>
          <w:lang w:val="es-ES"/>
        </w:rPr>
      </w:pPr>
      <w:r w:rsidRPr="007C36DC">
        <w:rPr>
          <w:lang w:val="es-ES"/>
        </w:rPr>
        <w:t>El máximo global exige que la aplicación esté definida sobre todos los puntos del dominio finito y que las distancias pertinentes sean comparables. La distorsión nula de todos los pares acredita conservación métrica; para hablar de inmersión isométrica se exige además una aplicación inyectiva, y para hablar de isomorfismo métrico se exige una biyección sobre el destino. Cuando el transporte procede de un isomorfismo de órdenes parciales, la biyección de ocurrencias ha de preservar y reflejar el orden, y el transporte de extensiones hereda la conservación de las distancias de reconfiguración.</w:t>
      </w:r>
    </w:p>
    <w:p w14:paraId="014F845F" w14:textId="77777777" w:rsidR="002A529F" w:rsidRPr="007C36DC" w:rsidRDefault="002A529F">
      <w:pPr>
        <w:ind w:firstLine="709"/>
        <w:jc w:val="both"/>
        <w:rPr>
          <w:lang w:val="es-ES"/>
        </w:rPr>
      </w:pPr>
    </w:p>
    <w:p w14:paraId="6295E9E8" w14:textId="77777777" w:rsidR="001537E8" w:rsidRDefault="0037399D">
      <w:pPr>
        <w:spacing w:before="100" w:after="100"/>
        <w:jc w:val="center"/>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Q</m:t>
              </m:r>
            </m:sub>
          </m:sSub>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R</m:t>
              </m:r>
              <m:d>
                <m:dPr>
                  <m:ctrlPr>
                    <w:rPr>
                      <w:rFonts w:ascii="Cambria Math" w:hAnsi="Cambria Math"/>
                    </w:rPr>
                  </m:ctrlPr>
                </m:dPr>
                <m:e>
                  <m:r>
                    <w:rPr>
                      <w:rFonts w:ascii="Cambria Math" w:hAnsi="Cambria Math"/>
                    </w:rPr>
                    <m:t>P</m:t>
                  </m:r>
                </m:e>
              </m:d>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d>
                <m:dPr>
                  <m:ctrlPr>
                    <w:rPr>
                      <w:rFonts w:ascii="Cambria Math" w:hAnsi="Cambria Math"/>
                    </w:rPr>
                  </m:ctrlPr>
                </m:dPr>
                <m:e>
                  <m:r>
                    <w:rPr>
                      <w:rFonts w:ascii="Cambria Math" w:hAnsi="Cambria Math"/>
                    </w:rPr>
                    <m:t>Q</m:t>
                  </m:r>
                </m:e>
              </m:d>
            </m:sub>
          </m:sSub>
          <m:d>
            <m:dPr>
              <m:ctrlPr>
                <w:rPr>
                  <w:rFonts w:ascii="Cambria Math" w:hAnsi="Cambria Math"/>
                </w:rPr>
              </m:ctrlPr>
            </m:dPr>
            <m:e>
              <m:r>
                <w:rPr>
                  <w:rFonts w:ascii="Cambria Math" w:hAnsi="Cambria Math"/>
                </w:rPr>
                <m:t>f</m:t>
              </m:r>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e>
          </m:d>
          <m:r>
            <m:rPr>
              <m:sty m:val="p"/>
            </m:rPr>
            <w:rPr>
              <w:rFonts w:ascii="Cambria Math" w:hAnsi="Cambria Math"/>
            </w:rPr>
            <m:t>.</m:t>
          </m:r>
        </m:oMath>
      </m:oMathPara>
    </w:p>
    <w:p w14:paraId="2C3B485E" w14:textId="77777777" w:rsidR="002A529F" w:rsidRDefault="002A529F">
      <w:pPr>
        <w:ind w:firstLine="709"/>
        <w:jc w:val="both"/>
        <w:rPr>
          <w:lang w:val="es-ES"/>
        </w:rPr>
      </w:pPr>
    </w:p>
    <w:p w14:paraId="79541057" w14:textId="77777777" w:rsidR="002A529F" w:rsidRDefault="0037399D" w:rsidP="002A529F">
      <w:pPr>
        <w:ind w:firstLine="709"/>
        <w:jc w:val="both"/>
        <w:rPr>
          <w:lang w:val="es-ES"/>
        </w:rPr>
      </w:pPr>
      <w:r w:rsidRPr="007C36DC">
        <w:rPr>
          <w:lang w:val="es-ES"/>
        </w:rPr>
        <w:lastRenderedPageBreak/>
        <w:t>La inversión de una extensión establece una correspondencia métrica con el orden dual solo si el destino representa exactamente ese dual. Que dos direcciones sean opuestas no demuestra por sí mismo que sus restricciones sean duales. Del mismo modo, un alineamiento inducido por un cociente puede ser legítimo como relación entre clases sin ser una isometría: identificar dos representaciones distintas puede destruir la separación métrica.</w:t>
      </w:r>
    </w:p>
    <w:p w14:paraId="2903E3C6" w14:textId="77777777" w:rsidR="002A529F" w:rsidRDefault="00BD1BA7" w:rsidP="002A529F">
      <w:pPr>
        <w:ind w:firstLine="709"/>
        <w:jc w:val="both"/>
        <w:rPr>
          <w:lang w:val="es-ES"/>
        </w:rPr>
      </w:pPr>
      <w:r w:rsidRPr="002A529F">
        <w:rPr>
          <w:b/>
          <w:bCs/>
          <w:lang w:val="es-ES"/>
        </w:rPr>
        <w:t>El cociente de una fibra y sus condiciones de existencia</w:t>
      </w:r>
      <w:r w:rsidR="002A529F">
        <w:rPr>
          <w:lang w:val="es-ES"/>
        </w:rPr>
        <w:t xml:space="preserve">. </w:t>
      </w:r>
      <w:r w:rsidRPr="006C2240">
        <w:rPr>
          <w:lang w:val="es-ES"/>
        </w:rPr>
        <w:t xml:space="preserve">Una partición de las representaciones de una fibra puede identificar vértices distintos. La aplicación al cociente existe como aplicación de conjuntos, pero la métrica no desciende automáticamente. Sean (X,d) una fibra métrica finita y </w:t>
      </w:r>
      <w:r>
        <w:t>Π</w:t>
      </w:r>
      <w:r w:rsidRPr="006C2240">
        <w:rPr>
          <w:lang w:val="es-ES"/>
        </w:rPr>
        <w:t xml:space="preserve"> una partición de X. Para dos clases distintas A y B, la regla d̄(A,B)=d(a,b) es independiente de los representantes exactamente cuando d(a,b)=d(a′,b′) para cualesquiera a,a′∈A y b,b′∈B. Definimos d̄(A,A)=0. Bajo esa condición, la simetría y la positividad entre clases son inmediatas; la desigualdad triangular se hereda escogiendo un mismo representante de la clase intermedia para las dos distancias comparadas. No se está afirmando que la proyección X→X/</w:t>
      </w:r>
      <w:r>
        <w:t>Π</w:t>
      </w:r>
      <w:r w:rsidRPr="006C2240">
        <w:rPr>
          <w:lang w:val="es-ES"/>
        </w:rPr>
        <w:t xml:space="preserve"> sea una isometría: colapsa la distancia positiva entre representantes de una misma clase.</w:t>
      </w:r>
    </w:p>
    <w:p w14:paraId="1545FAAC" w14:textId="77777777" w:rsidR="002A529F" w:rsidRDefault="00BD1BA7" w:rsidP="002A529F">
      <w:pPr>
        <w:ind w:firstLine="709"/>
        <w:jc w:val="both"/>
        <w:rPr>
          <w:lang w:val="es-ES"/>
        </w:rPr>
      </w:pPr>
      <w:r w:rsidRPr="006C2240">
        <w:rPr>
          <w:b/>
          <w:lang w:val="es-ES"/>
        </w:rPr>
        <w:t>Condición de descenso métrico</w:t>
      </w:r>
      <w:r w:rsidR="002A529F">
        <w:rPr>
          <w:lang w:val="es-ES"/>
        </w:rPr>
        <w:t xml:space="preserve">. </w:t>
      </w:r>
      <w:r w:rsidRPr="006C2240">
        <w:rPr>
          <w:lang w:val="es-ES"/>
        </w:rPr>
        <w:t>Si todas las distancias entre dos clases distintas son constantes al variar sus representantes, la regla anterior determina una métrica sobre el conjunto de clases. Recíprocamente, si la distancia entre clases pretende ser exactamente la distancia de cualesquiera representantes, la constancia es necesaria por definición. La partición en clases unitarias satisface la condición; la partición indiscreta produce un espacio cociente de un único punto, donde la condición interclase es vacía.</w:t>
      </w:r>
    </w:p>
    <w:p w14:paraId="38AE66DC" w14:textId="77777777" w:rsidR="002A529F" w:rsidRDefault="00BD1BA7" w:rsidP="002A529F">
      <w:pPr>
        <w:ind w:firstLine="709"/>
        <w:jc w:val="both"/>
        <w:rPr>
          <w:lang w:val="es-ES"/>
        </w:rPr>
      </w:pPr>
      <w:r w:rsidRPr="006C2240">
        <w:rPr>
          <w:b/>
          <w:lang w:val="es-ES"/>
        </w:rPr>
        <w:t>Contraejemplo. El mínimo entre clases no basta</w:t>
      </w:r>
      <w:r w:rsidR="002A529F">
        <w:rPr>
          <w:lang w:val="es-ES"/>
        </w:rPr>
        <w:t xml:space="preserve">. </w:t>
      </w:r>
      <w:r w:rsidRPr="006C2240">
        <w:rPr>
          <w:lang w:val="es-ES"/>
        </w:rPr>
        <w:t>Considérese el camino de cuatro vértices v₀—v₁—v₂—v₃ con distancia de caminos, y las clases A={v₀}, B={v₁,v₂} y C={v₃}. El mínimo de distancias entre A y B es 1, entre B y C es 1, y entre A y C es 3. Por tanto, 3 &gt; 1+1: la distancia mínima interclase incumple la desigualdad triangular. La identificación de representaciones no autoriza, por sí sola, un transporte métrico ni la construcción de una métrica mediante mínimos.</w:t>
      </w:r>
    </w:p>
    <w:p w14:paraId="15ACDF9D" w14:textId="77777777" w:rsidR="009471D1" w:rsidRPr="006C2240" w:rsidRDefault="00BD1BA7" w:rsidP="002A529F">
      <w:pPr>
        <w:ind w:firstLine="709"/>
        <w:jc w:val="both"/>
        <w:rPr>
          <w:lang w:val="es-ES"/>
        </w:rPr>
      </w:pPr>
      <w:r w:rsidRPr="002A529F">
        <w:rPr>
          <w:b/>
          <w:bCs/>
          <w:lang w:val="es-ES"/>
        </w:rPr>
        <w:t>Reconciliación de las distintas invariancias</w:t>
      </w:r>
      <w:r w:rsidR="002A529F">
        <w:rPr>
          <w:lang w:val="es-ES"/>
        </w:rPr>
        <w:t xml:space="preserve">. </w:t>
      </w:r>
      <w:r w:rsidRPr="006C2240">
        <w:rPr>
          <w:lang w:val="es-ES"/>
        </w:rPr>
        <w:t xml:space="preserve">La invariancia métrica significa distorsión aditiva nula para todas las parejas del dominio declarado. Una inmersión isométrica no exige cubrir toda la fibra de destino; el isomorfismo métrico añade esa sobreyectividad. Ninguna de las dos nociones implica por sí sola isomorfismo de órdenes parciales: un poset y su dual pueden producir espacios de reconfiguración isométricos sin ser posets isomorfos. Tampoco la igualdad de coordenadas ejecutables ni la invariancia </w:t>
      </w:r>
      <w:r w:rsidRPr="006C2240">
        <w:rPr>
          <w:lang w:val="es-ES"/>
        </w:rPr>
        <w:lastRenderedPageBreak/>
        <w:t>métrica constituyen, aisladamente, una certificación de invariancia general del SCC. Cada afirmación debe permanecer asociada a su portador, aplicación y testigos.</w:t>
      </w:r>
    </w:p>
    <w:p w14:paraId="240B4DC6" w14:textId="77777777" w:rsidR="001537E8" w:rsidRPr="007C36DC" w:rsidRDefault="0037399D">
      <w:pPr>
        <w:ind w:firstLine="709"/>
        <w:jc w:val="both"/>
        <w:rPr>
          <w:lang w:val="es-ES"/>
        </w:rPr>
      </w:pPr>
      <w:r w:rsidRPr="007C36DC">
        <w:rPr>
          <w:lang w:val="es-ES"/>
        </w:rPr>
        <w:t>La reconciliación final de invariancia reúne resultados que conservan su tipificación: dominio de la aplicación, evaluación efectiva de los pares, distorsión, clase de preservación y, cuando se invoque, testigo de isomorfismo de órdenes o de independencia de representantes. Solo se reúnen afirmaciones que se refieren al mismo transporte y a los mismos criterios. Un fallo de definición, un testigo ausente o una condición de cociente incumplida no se transforman en invariancia mediante la agregación de resultados parciales.</w:t>
      </w:r>
    </w:p>
    <w:p w14:paraId="60B36032" w14:textId="77777777" w:rsidR="001537E8" w:rsidRDefault="0037399D">
      <w:pPr>
        <w:ind w:firstLine="709"/>
        <w:jc w:val="both"/>
        <w:rPr>
          <w:lang w:val="es-ES"/>
        </w:rPr>
      </w:pPr>
      <w:r w:rsidRPr="007C36DC">
        <w:rPr>
          <w:lang w:val="es-ES"/>
        </w:rPr>
        <w:t>En el ejemplo conductor, las cuatro posiciones de o permiten observar directamente los tres intercambios y la distancia máxima tres. El lector puede explicar la construcción sin calcular ninguna matriz: primero identifica lo que no puede cambiar —el orden de a, b y c—; después enumera lo que sí puede cambiar —la posición de o—; por último, cuenta los intercambios permitidos. Las fórmulas generalizan exactamente esos tres pasos. Los transportes entre fibras y los cocientes comienzan solo cuando se declaran nuevos dominios y se aportan sus propios testigos.</w:t>
      </w:r>
    </w:p>
    <w:p w14:paraId="5C7E5200" w14:textId="77777777" w:rsidR="002A529F" w:rsidRPr="007C36DC" w:rsidRDefault="002A529F">
      <w:pPr>
        <w:ind w:firstLine="709"/>
        <w:jc w:val="both"/>
        <w:rPr>
          <w:lang w:val="es-ES"/>
        </w:rPr>
      </w:pPr>
    </w:p>
    <w:p w14:paraId="751CC328" w14:textId="77777777" w:rsidR="009471D1" w:rsidRPr="006C2240" w:rsidRDefault="00BD1BA7" w:rsidP="002A529F">
      <w:pPr>
        <w:pStyle w:val="Ttulo2"/>
        <w:spacing w:before="0"/>
        <w:ind w:firstLine="709"/>
        <w:rPr>
          <w:lang w:val="es-ES"/>
        </w:rPr>
      </w:pPr>
      <w:bookmarkStart w:id="32" w:name="_Toc242721868"/>
      <w:r w:rsidRPr="006C2240">
        <w:rPr>
          <w:rFonts w:ascii="Times New Roman" w:hAnsi="Times New Roman"/>
          <w:color w:val="000000"/>
          <w:sz w:val="24"/>
          <w:lang w:val="es-ES"/>
        </w:rPr>
        <w:t>5.7. Carga de prueba de una trayectoria reconstruida</w:t>
      </w:r>
      <w:bookmarkEnd w:id="32"/>
    </w:p>
    <w:p w14:paraId="6B77CAB7" w14:textId="77777777" w:rsidR="009471D1" w:rsidRPr="006C2240" w:rsidRDefault="00BD1BA7">
      <w:pPr>
        <w:ind w:firstLine="709"/>
        <w:jc w:val="both"/>
        <w:rPr>
          <w:lang w:val="es-ES"/>
        </w:rPr>
      </w:pPr>
      <w:r w:rsidRPr="006C2240">
        <w:rPr>
          <w:lang w:val="es-ES"/>
        </w:rPr>
        <w:t>El juego de trayectorias no consiste en multiplicar reflejos indefinidamente. Consiste en determinar cuándo dos manifestaciones pertenecen a una misma fibra, qué movimientos las conectan, qué distancia las separa y bajo qué condiciones pueden transportarse sus propiedades. El formalismo había identificado lo que debía permanecer; la reconstrucción establece ahora qué transformaciones lo respetan y qué pruebas permiten afirmarlo.</w:t>
      </w:r>
    </w:p>
    <w:p w14:paraId="6DA8D1FA" w14:textId="77777777" w:rsidR="009471D1" w:rsidRPr="006C2240" w:rsidRDefault="00BD1BA7">
      <w:pPr>
        <w:ind w:firstLine="709"/>
        <w:jc w:val="both"/>
        <w:rPr>
          <w:lang w:val="es-ES"/>
        </w:rPr>
      </w:pPr>
      <w:r w:rsidRPr="006C2240">
        <w:rPr>
          <w:lang w:val="es-ES"/>
        </w:rPr>
        <w:t>El recorrido anterior permite precisar qué significa justificar una reconstrucción. No basta presentar una secuencia nueva y observar que sus elementos se parecen a los de la secuencia inicial. Hay que declarar el dominio de ocurrencias, la dirección conocida cuando sea necesaria, el grafo de restricciones, el orden parcial que este induce, la extensión lineal seleccionada y, si se afirma una transformación, el camino de movimientos elementales que la realiza o el transporte tipado que la justifica. Cada conclusión requiere el testigo apropiado.</w:t>
      </w:r>
    </w:p>
    <w:p w14:paraId="008C5BA3" w14:textId="77777777" w:rsidR="009471D1" w:rsidRPr="006C2240" w:rsidRDefault="00BD1BA7">
      <w:pPr>
        <w:ind w:firstLine="709"/>
        <w:jc w:val="both"/>
        <w:rPr>
          <w:lang w:val="es-ES"/>
        </w:rPr>
      </w:pPr>
      <w:r w:rsidRPr="006C2240">
        <w:rPr>
          <w:lang w:val="es-ES"/>
        </w:rPr>
        <w:t xml:space="preserve">La carga de prueba se distribuye en niveles. En primer lugar, debe comprobarse que las restricciones son satisfacibles: un ciclo dirigido impide construir el orden parcial correspondiente. En segundo lugar, la ordenación propuesta ha de pertenecer a L(P). En </w:t>
      </w:r>
      <w:r w:rsidRPr="006C2240">
        <w:rPr>
          <w:lang w:val="es-ES"/>
        </w:rPr>
        <w:lastRenderedPageBreak/>
        <w:t>tercer lugar, una afirmación de reconfiguración ejecutable exige que origen y destino estén en la misma fibra y que sus movimientos pertenezcan a la base generadora. En cuarto lugar, el isomorfismo tipado exige evidencia exacta sobre identidades, etiquetas y relaciones; la sola pertenencia a L(P) no la suministra.</w:t>
      </w:r>
    </w:p>
    <w:p w14:paraId="23A41A6A" w14:textId="77777777" w:rsidR="009471D1" w:rsidRPr="006C2240" w:rsidRDefault="00BD1BA7">
      <w:pPr>
        <w:ind w:firstLine="709"/>
        <w:jc w:val="both"/>
        <w:rPr>
          <w:lang w:val="es-ES"/>
        </w:rPr>
      </w:pPr>
      <w:r w:rsidRPr="006C2240">
        <w:rPr>
          <w:lang w:val="es-ES"/>
        </w:rPr>
        <w:t>Cuando se afirma conservación métrica, el examen es todavía más preciso: la aplicación entre dominios debe estar definida y tipada, deben evaluarse los pares pertinentes y deben distinguirse la conservación par a par, la inmersión isométrica y el isomorfismo métrico. Si se invoca un cociente, la independencia de representantes necesita una prueba específica. Si se informa de una distancia infinita, ha de interpretarse como ausencia de camino bajo la base de movimientos declarada, no como imposibilidad universal de comparación.</w:t>
      </w:r>
    </w:p>
    <w:p w14:paraId="69960FB3" w14:textId="77777777" w:rsidR="009471D1" w:rsidRPr="006C2240" w:rsidRDefault="00BD1BA7">
      <w:pPr>
        <w:ind w:firstLine="709"/>
        <w:jc w:val="both"/>
        <w:rPr>
          <w:lang w:val="es-ES"/>
        </w:rPr>
      </w:pPr>
      <w:r w:rsidRPr="006C2240">
        <w:rPr>
          <w:lang w:val="es-ES"/>
        </w:rPr>
        <w:t>La frontera de autoridad acompaña todo este recorrido. La reconstrucción estructural ensambla evidencia estructural, produce reexpresiones sujetas a restricciones y audita permutaciones tipadas. No decide la verdad semántica de un relato, no redefine la geometría del formalismo ni asume la ordenación decisional de la interpretación. La representación de una prueba no crea la prueba: una exportación observacional de los resultados establecidos no añade hechos matemáticos o decisiones nuevos. UNKNOWN conserva su condición no resuelta cuando no existe una trayectoria positiva justificada; el modo de análisis conserva su carácter de procedencia, no de dirección alternativa.</w:t>
      </w:r>
    </w:p>
    <w:p w14:paraId="3CE53E66" w14:textId="77777777" w:rsidR="009471D1" w:rsidRPr="006C2240" w:rsidRDefault="00BD1BA7">
      <w:pPr>
        <w:ind w:firstLine="709"/>
        <w:jc w:val="both"/>
        <w:rPr>
          <w:lang w:val="es-ES"/>
        </w:rPr>
      </w:pPr>
      <w:r w:rsidRPr="006C2240">
        <w:rPr>
          <w:lang w:val="es-ES"/>
        </w:rPr>
        <w:t>Podemos volver ahora a la pregunta que abrió el capítulo. Una trayectoria puede tener diversas manifestaciones porque la precedencia necesaria no siempre determina una presentación única. Esas manifestaciones forman familias de representaciones, admiten movimientos precisos y poseen una geometría calculable. Pero el juego termina allí donde falta una regla o un testigo. Reconstruir un pensamiento no es elegir el reflejo más convincente: es demostrar qué transformaciones puede soportar su estructura y reconocer con exactitud cuáles permanecen fuera del dominio probado.</w:t>
      </w:r>
    </w:p>
    <w:p w14:paraId="4197B4A8" w14:textId="77777777" w:rsidR="00F92FD5" w:rsidRDefault="00E801F6" w:rsidP="00E801F6">
      <w:pPr>
        <w:spacing w:after="200" w:line="276" w:lineRule="auto"/>
        <w:rPr>
          <w:lang w:val="es-ES"/>
        </w:rPr>
      </w:pPr>
      <w:r>
        <w:rPr>
          <w:lang w:val="es-ES"/>
        </w:rPr>
        <w:br w:type="page"/>
      </w:r>
    </w:p>
    <w:p w14:paraId="73FA768E" w14:textId="77777777" w:rsidR="001537E8" w:rsidRPr="007C36DC" w:rsidRDefault="0037399D" w:rsidP="00E801F6">
      <w:pPr>
        <w:keepNext/>
        <w:jc w:val="both"/>
        <w:outlineLvl w:val="0"/>
        <w:rPr>
          <w:lang w:val="es-ES"/>
        </w:rPr>
      </w:pPr>
      <w:bookmarkStart w:id="33" w:name="_Toc242721869"/>
      <w:r w:rsidRPr="007C36DC">
        <w:rPr>
          <w:b/>
          <w:lang w:val="es-ES"/>
        </w:rPr>
        <w:lastRenderedPageBreak/>
        <w:t>Capítulo 6: cierre formal del Sistema de Coordenadas Cognitivas</w:t>
      </w:r>
      <w:bookmarkEnd w:id="33"/>
    </w:p>
    <w:p w14:paraId="6AA32A82" w14:textId="77777777" w:rsidR="00E801F6" w:rsidRDefault="00E801F6" w:rsidP="00E801F6">
      <w:pPr>
        <w:keepNext/>
        <w:jc w:val="both"/>
        <w:rPr>
          <w:b/>
          <w:lang w:val="es-ES"/>
        </w:rPr>
      </w:pPr>
    </w:p>
    <w:p w14:paraId="10A2A00F" w14:textId="77777777" w:rsidR="001537E8" w:rsidRPr="007C36DC" w:rsidRDefault="0037399D" w:rsidP="00E801F6">
      <w:pPr>
        <w:keepNext/>
        <w:ind w:firstLine="709"/>
        <w:jc w:val="both"/>
        <w:outlineLvl w:val="1"/>
        <w:rPr>
          <w:lang w:val="es-ES"/>
        </w:rPr>
      </w:pPr>
      <w:bookmarkStart w:id="34" w:name="_Toc242721870"/>
      <w:r w:rsidRPr="007C36DC">
        <w:rPr>
          <w:b/>
          <w:lang w:val="es-ES"/>
        </w:rPr>
        <w:t>6.1. Consecuencias naturales del formalismo: las catorce capacidades</w:t>
      </w:r>
      <w:bookmarkEnd w:id="34"/>
    </w:p>
    <w:p w14:paraId="49E32954" w14:textId="77777777" w:rsidR="001537E8" w:rsidRPr="007C36DC" w:rsidRDefault="0037399D">
      <w:pPr>
        <w:ind w:firstLine="709"/>
        <w:jc w:val="both"/>
        <w:rPr>
          <w:lang w:val="es-ES"/>
        </w:rPr>
      </w:pPr>
      <w:r w:rsidRPr="007C36DC">
        <w:rPr>
          <w:lang w:val="es-ES"/>
        </w:rPr>
        <w:t>Al término de los dos capítulos anteriores, el Sistema de Coordenadas Cognitivas ya no se presenta únicamente como una intuición sobre el pensamiento. Dispone de ocurrencias y estados diferenciados, trayectorias dotadas de relaciones declaradas, propiedades que pueden observarse sin confundirse con el significado de los contenidos y transformaciones cuya legitimidad depende de condiciones explícitas. El paso siguiente no consiste en atribuir a esa construcción cualquier virtud imaginable. Consiste en preguntar qué responsabilidades concretas permite distribuir y qué clase de prueba exigiría cada una.</w:t>
      </w:r>
    </w:p>
    <w:p w14:paraId="2AB5591A" w14:textId="77777777" w:rsidR="001537E8" w:rsidRPr="007C36DC" w:rsidRDefault="0037399D">
      <w:pPr>
        <w:ind w:firstLine="709"/>
        <w:jc w:val="both"/>
        <w:rPr>
          <w:lang w:val="es-ES"/>
        </w:rPr>
      </w:pPr>
      <w:r w:rsidRPr="007C36DC">
        <w:rPr>
          <w:lang w:val="es-ES"/>
        </w:rPr>
        <w:t xml:space="preserve">Las catorce capacidades C0–C13 nombran un programa de contrastación que se apoya en el formalismo, pero no se deduce íntegramente de él. Una definición matemática puede establecer qué cuenta como conservación, reconstrucción o pérdida; no puede demostrar, por sí sola, que una implementación preserve esas propiedades en todos los contextos. Por eso conviene leer las capacidades en tres planos distintos: el objeto formal que las hace formulables, la responsabilidad computacional que proponen y la evidencia —favorable, adversa o todavía insuficiente— que permite atribuirles un alcance. El anexo A </w:t>
      </w:r>
      <w:r w:rsidR="00E801F6">
        <w:rPr>
          <w:lang w:val="es-ES"/>
        </w:rPr>
        <w:t>desarrolla</w:t>
      </w:r>
      <w:r w:rsidRPr="007C36DC">
        <w:rPr>
          <w:lang w:val="es-ES"/>
        </w:rPr>
        <w:t xml:space="preserve"> C0–C12</w:t>
      </w:r>
      <w:r w:rsidR="00E801F6">
        <w:rPr>
          <w:lang w:val="es-ES"/>
        </w:rPr>
        <w:t>, mientras que la Parte VI desarrolla C13.</w:t>
      </w:r>
    </w:p>
    <w:p w14:paraId="0A280F45" w14:textId="77777777" w:rsidR="001537E8" w:rsidRPr="007C36DC" w:rsidRDefault="0037399D">
      <w:pPr>
        <w:ind w:firstLine="709"/>
        <w:jc w:val="both"/>
        <w:rPr>
          <w:lang w:val="es-ES"/>
        </w:rPr>
      </w:pPr>
      <w:r w:rsidRPr="007C36DC">
        <w:rPr>
          <w:b/>
          <w:lang w:val="es-ES"/>
        </w:rPr>
        <w:t>C0 — Reproducibilidad contractual.</w:t>
      </w:r>
      <w:r w:rsidRPr="007C36DC">
        <w:rPr>
          <w:lang w:val="es-ES"/>
        </w:rPr>
        <w:t xml:space="preserve"> Una propiedad no puede auditarse si se desconoce qué objeto computacional produjo el resultado. C0 exige identificar versión, contrato, protocolo, entrada y artefactos de ejecución para que un tercero pueda reconstruir el mismo episodio y distinguir un cambio del sistema de un cambio de sus condiciones de observación. Su contribución es la trazabilidad de la evidencia, no la garantía de que cualquier resultado reproducible sea verdadero. El anexo A conserva el detalle de las campañas y de las condiciones bajo las que una ejecución puede atribuirse a una release.</w:t>
      </w:r>
    </w:p>
    <w:p w14:paraId="3DDE6EDB" w14:textId="77777777" w:rsidR="001537E8" w:rsidRPr="007C36DC" w:rsidRDefault="0037399D">
      <w:pPr>
        <w:ind w:firstLine="709"/>
        <w:jc w:val="both"/>
        <w:rPr>
          <w:lang w:val="es-ES"/>
        </w:rPr>
      </w:pPr>
      <w:r w:rsidRPr="007C36DC">
        <w:rPr>
          <w:b/>
          <w:lang w:val="es-ES"/>
        </w:rPr>
        <w:t>C1 — Identificación estructural.</w:t>
      </w:r>
      <w:r w:rsidRPr="007C36DC">
        <w:rPr>
          <w:lang w:val="es-ES"/>
        </w:rPr>
        <w:t xml:space="preserve"> Antes de medir una trayectoria hay que reconocer qué se ha observado. C1 separa el tipo estructural definido por el SCC, su manifestación en un estímulo y el acto de identificación realizado por un observador. La capacidad consiste en someter esa identificación a un contrato contrastable, sin conceder al modelo que interpreta el estímulo</w:t>
      </w:r>
      <w:r w:rsidR="00E801F6">
        <w:rPr>
          <w:lang w:val="es-ES"/>
        </w:rPr>
        <w:t xml:space="preserve"> la</w:t>
      </w:r>
      <w:r w:rsidRPr="007C36DC">
        <w:rPr>
          <w:lang w:val="es-ES"/>
        </w:rPr>
        <w:t xml:space="preserve"> autoridad para redefinir el objeto identificado. Una etiqueta plausible, por sí sola, no certifica la existencia de la estructura que nombra.</w:t>
      </w:r>
    </w:p>
    <w:p w14:paraId="194FA885" w14:textId="77777777" w:rsidR="001537E8" w:rsidRPr="007C36DC" w:rsidRDefault="0037399D">
      <w:pPr>
        <w:ind w:firstLine="709"/>
        <w:jc w:val="both"/>
        <w:rPr>
          <w:lang w:val="es-ES"/>
        </w:rPr>
      </w:pPr>
      <w:r w:rsidRPr="007C36DC">
        <w:rPr>
          <w:b/>
          <w:lang w:val="es-ES"/>
        </w:rPr>
        <w:t>C2 — Metrología estructural.</w:t>
      </w:r>
      <w:r w:rsidRPr="007C36DC">
        <w:rPr>
          <w:lang w:val="es-ES"/>
        </w:rPr>
        <w:t xml:space="preserve"> Una vez delimitado el objeto, no todas sus propiedades resultan medibles bajo cualquier observación. C2 distingue admisibilidad, repetibilidad y discriminación, y obliga a conservar los casos no estimables como tales. La </w:t>
      </w:r>
      <w:r w:rsidRPr="007C36DC">
        <w:rPr>
          <w:lang w:val="es-ES"/>
        </w:rPr>
        <w:lastRenderedPageBreak/>
        <w:t>consecuencia práctica es una metrología que no reemplaza la falta de evidencia por un cero ni la variación entre observadores por una certeza ficticia. Sus resultados son válidos dentro de las condiciones de medida declaradas; no autorizan a extrapolar automáticamente la misma precisión a otro dominio o proveedor.</w:t>
      </w:r>
    </w:p>
    <w:p w14:paraId="2000AB71" w14:textId="77777777" w:rsidR="001537E8" w:rsidRPr="007C36DC" w:rsidRDefault="0037399D">
      <w:pPr>
        <w:ind w:firstLine="709"/>
        <w:jc w:val="both"/>
        <w:rPr>
          <w:lang w:val="es-ES"/>
        </w:rPr>
      </w:pPr>
      <w:r w:rsidRPr="007C36DC">
        <w:rPr>
          <w:b/>
          <w:lang w:val="es-ES"/>
        </w:rPr>
        <w:t>C3 — Cálculo estructural y continuidad direccional.</w:t>
      </w:r>
      <w:r w:rsidRPr="007C36DC">
        <w:rPr>
          <w:lang w:val="es-ES"/>
        </w:rPr>
        <w:t xml:space="preserve"> Las operaciones ya formalizadas no necesitan ser reinterpretadas neuronalmente cada vez que se aplican. C3 sitúa el cálculo determinista de propiedades y relaciones en el núcleo correspondiente y examina la continuidad de la dirección a través de las transformaciones admisibles. Ello permite separar una operación matemática de la observación semántica que suministra sus entradas. Su límite es igualmente nítido: el cálculo exacto de una representación incorrecta no convierte esa representación en correcta.</w:t>
      </w:r>
    </w:p>
    <w:p w14:paraId="54BDDF92" w14:textId="77777777" w:rsidR="001537E8" w:rsidRPr="007C36DC" w:rsidRDefault="0037399D">
      <w:pPr>
        <w:ind w:firstLine="709"/>
        <w:jc w:val="both"/>
        <w:rPr>
          <w:lang w:val="es-ES"/>
        </w:rPr>
      </w:pPr>
      <w:r w:rsidRPr="007C36DC">
        <w:rPr>
          <w:b/>
          <w:lang w:val="es-ES"/>
        </w:rPr>
        <w:t>C4 — Transformación e invariancia.</w:t>
      </w:r>
      <w:r w:rsidRPr="007C36DC">
        <w:rPr>
          <w:lang w:val="es-ES"/>
        </w:rPr>
        <w:t xml:space="preserve"> Dos trayectorias pueden diferir como realizaciones y, sin embargo, compartir propiedades especificadas de antemano. C4 contrasta esa posibilidad distinguiendo realización, reidentificación, transporte longitudinal y atribución. El Atlas proporciona caminos y testigos para reconstruir qué se preservó, qué se perdió y qué volvió a recuperarse, sin borrar los estados intermedios. Los resultados parciales o no evaluables de las campañas no deben presentarse como equivalencia universal entre realizaciones; constituyen precisamente la evidencia que delimita dónde resiste y dónde falla una pretensión de invariancia.</w:t>
      </w:r>
    </w:p>
    <w:p w14:paraId="1336D5DC" w14:textId="77777777" w:rsidR="001537E8" w:rsidRPr="007C36DC" w:rsidRDefault="0037399D">
      <w:pPr>
        <w:ind w:firstLine="709"/>
        <w:jc w:val="both"/>
        <w:rPr>
          <w:lang w:val="es-ES"/>
        </w:rPr>
      </w:pPr>
      <w:r w:rsidRPr="007C36DC">
        <w:rPr>
          <w:b/>
          <w:lang w:val="es-ES"/>
        </w:rPr>
        <w:t>C5 — Cooperación contextual.</w:t>
      </w:r>
      <w:r w:rsidRPr="007C36DC">
        <w:rPr>
          <w:lang w:val="es-ES"/>
        </w:rPr>
        <w:t xml:space="preserve"> Reconocer la dirección de una tarea y estar autorizado o capacitado para ejecutarla son cuestiones diferentes. C5 estudia la incorporación de observaciones contextuales heterogéneas a una decisión estructural, manteniendo separadas la dirección observada, la competencia disponible y la autoridad para actuar. El SCC puede conservar esa separación y registrar su historia; no sustituye el conocimiento contextual que un agente externo todavía debe aportar.</w:t>
      </w:r>
    </w:p>
    <w:p w14:paraId="39B70907" w14:textId="77777777" w:rsidR="001537E8" w:rsidRPr="007C36DC" w:rsidRDefault="0037399D">
      <w:pPr>
        <w:ind w:firstLine="709"/>
        <w:jc w:val="both"/>
        <w:rPr>
          <w:lang w:val="es-ES"/>
        </w:rPr>
      </w:pPr>
      <w:r w:rsidRPr="007C36DC">
        <w:rPr>
          <w:b/>
          <w:lang w:val="es-ES"/>
        </w:rPr>
        <w:t>C6 — Cognición longitudinal y temporalidad epistémica.</w:t>
      </w:r>
      <w:r w:rsidRPr="007C36DC">
        <w:rPr>
          <w:lang w:val="es-ES"/>
        </w:rPr>
        <w:t xml:space="preserve"> Una observación no se vuelve permanentemente válida por haber sido correcta una vez. C6 examina la continuidad de identidad, procedencia y autorización a lo largo del tiempo, incluyendo cambios en la disponibilidad y en las condiciones del contrato. La trayectoria permite explicar por qué un estado presente procede de cierta historia, en vez de presentar cada respuesta como un comienzo absoluto. La conservación de la historia no implica que toda autorización anterior siga vigente.</w:t>
      </w:r>
    </w:p>
    <w:p w14:paraId="3DE21C8C" w14:textId="77777777" w:rsidR="001537E8" w:rsidRPr="007C36DC" w:rsidRDefault="0037399D">
      <w:pPr>
        <w:ind w:firstLine="709"/>
        <w:jc w:val="both"/>
        <w:rPr>
          <w:lang w:val="es-ES"/>
        </w:rPr>
      </w:pPr>
      <w:r w:rsidRPr="007C36DC">
        <w:rPr>
          <w:b/>
          <w:lang w:val="es-ES"/>
        </w:rPr>
        <w:t>C7 — Inteligencia CLOSED acotada y heterogénea.</w:t>
      </w:r>
      <w:r w:rsidRPr="007C36DC">
        <w:rPr>
          <w:lang w:val="es-ES"/>
        </w:rPr>
        <w:t xml:space="preserve"> No toda responsabilidad requiere un intérprete general. C7 investiga competencias locales, formalizadas y </w:t>
      </w:r>
      <w:r w:rsidRPr="007C36DC">
        <w:rPr>
          <w:lang w:val="es-ES"/>
        </w:rPr>
        <w:lastRenderedPageBreak/>
        <w:t>limitadas, capaces de compartir infraestructura de representación y ejecución sin compartir necesariamente su implementación interna. La separación entre capacidad demostrada y autoridad concedida permite rechazar la ejecución cuando un contrato no se satisface. Una competencia CLOSED</w:t>
      </w:r>
      <w:r w:rsidR="00CF0EAF">
        <w:rPr>
          <w:lang w:val="es-ES"/>
        </w:rPr>
        <w:t xml:space="preserve"> de una arquitectura experimental</w:t>
      </w:r>
      <w:r w:rsidRPr="007C36DC">
        <w:rPr>
          <w:lang w:val="es-ES"/>
        </w:rPr>
        <w:t xml:space="preserve"> no se convierte, por ello, en inteligencia universal ni puede extenderse a tareas ajenas a su dominio certificado.</w:t>
      </w:r>
    </w:p>
    <w:p w14:paraId="266DF9E2" w14:textId="77777777" w:rsidR="001537E8" w:rsidRPr="007C36DC" w:rsidRDefault="0037399D">
      <w:pPr>
        <w:ind w:firstLine="709"/>
        <w:jc w:val="both"/>
        <w:rPr>
          <w:lang w:val="es-ES"/>
        </w:rPr>
      </w:pPr>
      <w:r w:rsidRPr="007C36DC">
        <w:rPr>
          <w:b/>
          <w:lang w:val="es-ES"/>
        </w:rPr>
        <w:t>C8 — Composición cooperativa CLOSED/OPEN.</w:t>
      </w:r>
      <w:r w:rsidRPr="007C36DC">
        <w:rPr>
          <w:lang w:val="es-ES"/>
        </w:rPr>
        <w:t xml:space="preserve"> Una trayectoria puede requerir tanto operaciones locales ya formalizadas como observaciones OPEN adquiridas fuera del núcleo. C8 estudia su composición sin que la adquisición de una respuesta transfiera automáticamente el gobierno del proceso al proveedor que la emitió. La continuidad estructural pertenece al objeto compartido; cada intervención conserva su procedencia y sus condiciones de validez. La cooperación solo es legítima cuando sus fronteras de responsabilidad permanecen verificables.</w:t>
      </w:r>
    </w:p>
    <w:p w14:paraId="64181077" w14:textId="77777777" w:rsidR="001537E8" w:rsidRPr="007C36DC" w:rsidRDefault="0037399D">
      <w:pPr>
        <w:ind w:firstLine="709"/>
        <w:jc w:val="both"/>
        <w:rPr>
          <w:lang w:val="es-ES"/>
        </w:rPr>
      </w:pPr>
      <w:r w:rsidRPr="007C36DC">
        <w:rPr>
          <w:b/>
          <w:lang w:val="es-ES"/>
        </w:rPr>
        <w:t>C9 — Cognición adaptativa y concurrente.</w:t>
      </w:r>
      <w:r w:rsidRPr="007C36DC">
        <w:rPr>
          <w:lang w:val="es-ES"/>
        </w:rPr>
        <w:t xml:space="preserve"> La adquisición de capacidad adicional debe responder a una insuficiencia identificada, no convertirse en una llamada obligatoria. C9 examina cuándo solicitar un recurso de mayor capacidad y cuándo solapar trabajos compatibles sin destruir las dependencias de la trayectoria. El ahorro de llamadas o tiempo es una magnitud experimental, dependiente de tarea y configuración, no una propiedad matemática universal del SCC. La concurrencia deja de ser admisible cuando impide reconstruir precedencias, resultados o compromisos.</w:t>
      </w:r>
    </w:p>
    <w:p w14:paraId="0A3C9C5F" w14:textId="77777777" w:rsidR="001537E8" w:rsidRPr="007C36DC" w:rsidRDefault="0037399D">
      <w:pPr>
        <w:ind w:firstLine="709"/>
        <w:jc w:val="both"/>
        <w:rPr>
          <w:lang w:val="es-ES"/>
        </w:rPr>
      </w:pPr>
      <w:r w:rsidRPr="007C36DC">
        <w:rPr>
          <w:b/>
          <w:lang w:val="es-ES"/>
        </w:rPr>
        <w:t>C10 — Autoridad temporal y embodiment.</w:t>
      </w:r>
      <w:r w:rsidRPr="007C36DC">
        <w:rPr>
          <w:lang w:val="es-ES"/>
        </w:rPr>
        <w:t xml:space="preserve"> La corrección de una respuesta y la oportunidad de comprometer una acción física son predicados distintos. C10 aplica esta distinción a un sistema situado: un resultado que llega después de caducar su autorización no puede recuperar autoridad por el mero hecho de ser correcto. El formalismo contribuye a representar la vigencia y la procedencia de cada decisión; no demuestra, sin ensayos adicionales, la seguridad física de cualquier robot o entorno.</w:t>
      </w:r>
    </w:p>
    <w:p w14:paraId="524794A5" w14:textId="77777777" w:rsidR="001537E8" w:rsidRPr="007C36DC" w:rsidRDefault="0037399D">
      <w:pPr>
        <w:ind w:firstLine="709"/>
        <w:jc w:val="both"/>
        <w:rPr>
          <w:lang w:val="es-ES"/>
        </w:rPr>
      </w:pPr>
      <w:r w:rsidRPr="007C36DC">
        <w:rPr>
          <w:b/>
          <w:lang w:val="es-ES"/>
        </w:rPr>
        <w:t>C11 — Degradación, continuidad y recuperación.</w:t>
      </w:r>
      <w:r w:rsidRPr="007C36DC">
        <w:rPr>
          <w:lang w:val="es-ES"/>
        </w:rPr>
        <w:t xml:space="preserve"> La pérdida temporal de un proveedor no tiene por qué destruir la identidad del trabajo pendiente. C11 contrasta si una trayectoria puede conservar obligaciones, suspender afirmaciones no autorizadas y recuperar capacidad sin reescribir lo ocurrido durante la indisponibilidad. Recuperar no significa haber preservado sin interrupción: ambos estados deben seguir siendo distinguibles en el historial. La disponibilidad de un recurso alternativo tampoco basta para certificarlo bajo el contrato vigente.</w:t>
      </w:r>
    </w:p>
    <w:p w14:paraId="1F1E5742" w14:textId="77777777" w:rsidR="001537E8" w:rsidRPr="007C36DC" w:rsidRDefault="0037399D">
      <w:pPr>
        <w:ind w:firstLine="709"/>
        <w:jc w:val="both"/>
        <w:rPr>
          <w:lang w:val="es-ES"/>
        </w:rPr>
      </w:pPr>
      <w:r w:rsidRPr="007C36DC">
        <w:rPr>
          <w:b/>
          <w:lang w:val="es-ES"/>
        </w:rPr>
        <w:t>C12 — Cooperación sostenida del sistema.</w:t>
      </w:r>
      <w:r w:rsidRPr="007C36DC">
        <w:rPr>
          <w:lang w:val="es-ES"/>
        </w:rPr>
        <w:t xml:space="preserve"> Las capacidades anteriores adquieren un significado más exigente cuando se observan en un episodio común. C12 integra </w:t>
      </w:r>
      <w:r w:rsidRPr="007C36DC">
        <w:rPr>
          <w:lang w:val="es-ES"/>
        </w:rPr>
        <w:lastRenderedPageBreak/>
        <w:t>competencias CLOSED, trabajo OPEN, eventos mixtos, pérdida y restauración del proveedor, autoridad temporal y recuperación de deuda cognitiva. El episodio canónico documentado en el anexo A satisface sus invariantes requeridas dentro del protocolo ejecutado; esa evidencia muestra una realización conjunta acotada, no la corrección de todas las realizaciones posibles ni una garantía irrestricta de autonomía.</w:t>
      </w:r>
    </w:p>
    <w:p w14:paraId="6A06463B" w14:textId="77777777" w:rsidR="001537E8" w:rsidRPr="007C36DC" w:rsidRDefault="0037399D">
      <w:pPr>
        <w:ind w:firstLine="709"/>
        <w:jc w:val="both"/>
        <w:rPr>
          <w:lang w:val="es-ES"/>
        </w:rPr>
      </w:pPr>
      <w:r w:rsidRPr="007C36DC">
        <w:rPr>
          <w:b/>
          <w:lang w:val="es-ES"/>
        </w:rPr>
        <w:t>C13 — Búsqueda, verificación y complejidad nativas del Atlas.</w:t>
      </w:r>
      <w:r w:rsidRPr="007C36DC">
        <w:rPr>
          <w:lang w:val="es-ES"/>
        </w:rPr>
        <w:t xml:space="preserve"> Si el Atlas admite trayectorias candidatas bajo contratos declarados, cabe preguntar si existe un camino admisible, cómo encontrarlo y cómo verificar un testigo sin confundir búsqueda y comprobación. C13 investiga espacios implícitos de extensiones lineales, distancias y geodésicas exactas, poda por restricciones, equivalencias históricas y costes de representación. La cadena total ilustra por qué un espacio bruto de n! permutaciones no obliga a enumerarlas; tampoco demuestra por sí sola una cota general de complejidad.</w:t>
      </w:r>
    </w:p>
    <w:p w14:paraId="0DC13BAC" w14:textId="77777777" w:rsidR="00CF0EAF" w:rsidRDefault="00CF0EAF">
      <w:pPr>
        <w:ind w:firstLine="709"/>
        <w:jc w:val="both"/>
        <w:rPr>
          <w:lang w:val="es-ES"/>
        </w:rPr>
      </w:pPr>
    </w:p>
    <w:p w14:paraId="491B0116" w14:textId="77777777" w:rsidR="001537E8" w:rsidRDefault="0037399D">
      <w:pPr>
        <w:ind w:firstLine="709"/>
        <w:jc w:val="both"/>
        <w:rPr>
          <w:lang w:val="es-ES"/>
        </w:rPr>
      </w:pPr>
      <w:r w:rsidRPr="007C36DC">
        <w:rPr>
          <w:lang w:val="es-ES"/>
        </w:rPr>
        <w:t>Leídas en conjunto, las capacidades no forman una escala de superioridad entre modelos ni una colección de promesas independientes. Constituyen un itinerario de responsabilidades: identificar el objeto y su evidencia; medir y calcular sin inventar propiedades; transformar y cooperar sin perder procedencia; conservar historia y autoridad ante cambios temporales; y buscar nuevos testigos cuando el espacio de posibilidades excede la observación inmediata. Su unidad reside en que cada resultado debe poder volver a una trayectoria, a un contrato y a una frontera de validez. Donde falta uno de ellos, la respuesta metodológicamente correcta no es completar el relato por analogía, sino declarar el límite.</w:t>
      </w:r>
    </w:p>
    <w:p w14:paraId="2C058D66" w14:textId="77777777" w:rsidR="00CF0EAF" w:rsidRPr="007C36DC" w:rsidRDefault="00CF0EAF">
      <w:pPr>
        <w:ind w:firstLine="709"/>
        <w:jc w:val="both"/>
        <w:rPr>
          <w:lang w:val="es-ES"/>
        </w:rPr>
      </w:pPr>
    </w:p>
    <w:p w14:paraId="6C0E44D0" w14:textId="77777777" w:rsidR="001537E8" w:rsidRPr="007C36DC" w:rsidRDefault="0037399D" w:rsidP="008B42CA">
      <w:pPr>
        <w:keepNext/>
        <w:ind w:firstLine="709"/>
        <w:jc w:val="both"/>
        <w:outlineLvl w:val="1"/>
        <w:rPr>
          <w:lang w:val="es-ES"/>
        </w:rPr>
      </w:pPr>
      <w:bookmarkStart w:id="35" w:name="_Toc242721871"/>
      <w:r w:rsidRPr="007C36DC">
        <w:rPr>
          <w:b/>
          <w:lang w:val="es-ES"/>
        </w:rPr>
        <w:t>6.2. Cierre del problema de decisión</w:t>
      </w:r>
      <w:bookmarkEnd w:id="35"/>
    </w:p>
    <w:p w14:paraId="7A72D9B1" w14:textId="77777777" w:rsidR="001537E8" w:rsidRPr="007C36DC" w:rsidRDefault="0037399D">
      <w:pPr>
        <w:ind w:firstLine="709"/>
        <w:jc w:val="both"/>
        <w:rPr>
          <w:lang w:val="es-ES"/>
        </w:rPr>
      </w:pPr>
      <w:r w:rsidRPr="007C36DC">
        <w:rPr>
          <w:lang w:val="es-ES"/>
        </w:rPr>
        <w:t>Una decisión suele describirse retrospectivamente por su desenlace. Esa forma de narrarla elimina precisamente lo que hacía necesario decidir: la coexistencia de alternativas, las restricciones que impedían recorrer algunas de ellas, la información que faltaba y las transformaciones que modificaron el espacio disponible. El SCC permite invertir el punto de vista. En lugar de partir de la respuesta final y reconstruir un camino conveniente, conserva las ocurrencias, las relaciones y las trayectorias posibles antes de que una elección las reduzca a una sola realización.</w:t>
      </w:r>
    </w:p>
    <w:p w14:paraId="23165E81" w14:textId="77777777" w:rsidR="001537E8" w:rsidRPr="007C36DC" w:rsidRDefault="0037399D">
      <w:pPr>
        <w:ind w:firstLine="709"/>
        <w:jc w:val="both"/>
        <w:rPr>
          <w:lang w:val="es-ES"/>
        </w:rPr>
      </w:pPr>
      <w:r w:rsidRPr="007C36DC">
        <w:rPr>
          <w:lang w:val="es-ES"/>
        </w:rPr>
        <w:t xml:space="preserve">El capítulo 4 establece las condiciones para identificar y comparar propiedades estructurales de esas trayectorias; el capítulo 5 muestra que una misma estructura de precedencias puede admitir diversas presentaciones y precisa cuándo una permutación </w:t>
      </w:r>
      <w:r w:rsidRPr="007C36DC">
        <w:rPr>
          <w:lang w:val="es-ES"/>
        </w:rPr>
        <w:lastRenderedPageBreak/>
        <w:t>constituye una reconstrucción legítima. De esta combinación se sigue un resultado representacional: la pluralidad de alternativas puede tratarse como un objeto recorrible, con identidad, relaciones, transformaciones y obligaciones de prueba. La estructura no resuelve la elección; impide que la elección borre las condiciones que permiten examinarla.</w:t>
      </w:r>
    </w:p>
    <w:p w14:paraId="2C343070" w14:textId="77777777" w:rsidR="001537E8" w:rsidRPr="007C36DC" w:rsidRDefault="0037399D">
      <w:pPr>
        <w:ind w:firstLine="709"/>
        <w:jc w:val="both"/>
        <w:rPr>
          <w:lang w:val="es-ES"/>
        </w:rPr>
      </w:pPr>
      <w:r w:rsidRPr="007C36DC">
        <w:rPr>
          <w:lang w:val="es-ES"/>
        </w:rPr>
        <w:t>Este resultado exige separar tres preguntas. La primera es si una trayectoria o transformación pertenece al dominio definido: requiere verificar sus tipos, relaciones, restricciones y precondiciones. La segunda es si una propiedad puede atribuirse a esa trayectoria: requiere el testigo pertinente y, cuando intervienen varias representaciones, una prueba de preservación o de transporte. La tercera es si conviene actuar conforme a una de las alternativas: exige criterios de finalidad, preferencia, verdad contextual o autoridad que la geometría inferencial no contiene por sí misma. Confundir las tres preguntas convertiría una representación rigurosa en una recomendación injustificada.</w:t>
      </w:r>
    </w:p>
    <w:p w14:paraId="69330DA7" w14:textId="77777777" w:rsidR="001537E8" w:rsidRPr="007C36DC" w:rsidRDefault="0037399D">
      <w:pPr>
        <w:ind w:firstLine="709"/>
        <w:jc w:val="both"/>
        <w:rPr>
          <w:lang w:val="es-ES"/>
        </w:rPr>
      </w:pPr>
      <w:r w:rsidRPr="007C36DC">
        <w:rPr>
          <w:lang w:val="es-ES"/>
        </w:rPr>
        <w:t>La distinción también precisa el significado de un resultado negativo. Una contradicción demostrada dentro del contrato permite rechazar una candidata; una búsqueda que no encuentra un camino no demuestra necesariamente que ningún camino exista; y una propiedad sin observaciones suficientes debe permanecer no evaluable. UNKNOWN no es una respuesta defectuosa que haya que rellenar, sino la marca de una frontera epistémica todavía no superada. De igual manera, una recuperación posterior no suprime la pérdida registrada y una coincidencia estructural no certifica que dos relatos signifiquen lo mismo.</w:t>
      </w:r>
    </w:p>
    <w:p w14:paraId="669FBF1E" w14:textId="77777777" w:rsidR="001537E8" w:rsidRPr="007C36DC" w:rsidRDefault="0037399D">
      <w:pPr>
        <w:ind w:firstLine="709"/>
        <w:jc w:val="both"/>
        <w:rPr>
          <w:lang w:val="es-ES"/>
        </w:rPr>
      </w:pPr>
      <w:r w:rsidRPr="007C36DC">
        <w:rPr>
          <w:lang w:val="es-ES"/>
        </w:rPr>
        <w:t xml:space="preserve">El problema de decisión queda cerrado en un sentido preciso y deliberadamente limitado: existe una gramática formal para conservar y examinar la organización de las alternativas sin decidir por anticipado cuál debe imponerse. El alcance externo de esa gramática continúa siendo una cuestión experimental. La hipótesis de que puede sostener comparaciones informativas entre dominios, perfiles, modalidades o idiomas heterogéneos no queda demostrada </w:t>
      </w:r>
      <w:r w:rsidR="008B42CA">
        <w:rPr>
          <w:lang w:val="es-ES"/>
        </w:rPr>
        <w:t xml:space="preserve">con la suficiente fuerza solo </w:t>
      </w:r>
      <w:r w:rsidRPr="007C36DC">
        <w:rPr>
          <w:lang w:val="es-ES"/>
        </w:rPr>
        <w:t>por haber construido sus objetos; deberá resistir observaciones adversas y criterios de invariancia declarados antes del resultado. Allí donde una aplicación exija introducir una ontología semántica global en el núcleo, redefinir retrospectivamente sus invariantes o borrar pérdidas históricas, la pretensión correspondiente habrá encontrado un límite que debe reconocerse.</w:t>
      </w:r>
    </w:p>
    <w:p w14:paraId="1973E0FB" w14:textId="77777777" w:rsidR="001537E8" w:rsidRPr="007C36DC" w:rsidRDefault="0037399D">
      <w:pPr>
        <w:ind w:firstLine="709"/>
        <w:jc w:val="both"/>
        <w:rPr>
          <w:lang w:val="es-ES"/>
        </w:rPr>
      </w:pPr>
      <w:r w:rsidRPr="007C36DC">
        <w:rPr>
          <w:lang w:val="es-ES"/>
        </w:rPr>
        <w:t xml:space="preserve">Con ello concluye la Parte II. El SCC aporta un lenguaje matemático para formular qué estructura se afirma, qué operaciones la transforman, qué propiedades sobreviven y qué evidencia falta. MDPAR, como expresión ejecutable de ese lenguaje, tendrá que demostrar que puede realizar tales responsabilidades sin apropiarse de las decisiones que </w:t>
      </w:r>
      <w:r w:rsidRPr="007C36DC">
        <w:rPr>
          <w:lang w:val="es-ES"/>
        </w:rPr>
        <w:lastRenderedPageBreak/>
        <w:t>corresponden al contexto, al contrato o al agente humano. El tránsito hacia la Parte III no añade una garantía a la teoría: somete sus consecuencias a la disciplina de una implementación que pueda ser inspeccionada, reproducida y, cuando corresponda, refutada.</w:t>
      </w:r>
    </w:p>
    <w:p w14:paraId="0D8AB30F" w14:textId="77777777" w:rsidR="00CB5FF7" w:rsidRPr="00A773AF" w:rsidRDefault="002C5F92" w:rsidP="00A773AF">
      <w:pPr>
        <w:keepNext/>
        <w:pageBreakBefore/>
        <w:spacing w:after="40"/>
        <w:jc w:val="center"/>
        <w:outlineLvl w:val="0"/>
        <w:rPr>
          <w:sz w:val="20"/>
          <w:szCs w:val="18"/>
          <w:lang w:val="es-ES"/>
        </w:rPr>
      </w:pPr>
      <w:bookmarkStart w:id="36" w:name="_Toc242721872"/>
      <w:r w:rsidRPr="00A773AF">
        <w:rPr>
          <w:b/>
          <w:szCs w:val="18"/>
          <w:lang w:val="es-ES"/>
        </w:rPr>
        <w:lastRenderedPageBreak/>
        <w:t>PARTE III — MDPAR como expresión ejecutable del Sistema de Coordenadas Cognitivas</w:t>
      </w:r>
      <w:bookmarkEnd w:id="36"/>
    </w:p>
    <w:p w14:paraId="1D0410EE" w14:textId="77777777" w:rsidR="00315EF1" w:rsidRPr="00315EF1" w:rsidRDefault="00315EF1">
      <w:pPr>
        <w:ind w:firstLine="709"/>
        <w:jc w:val="both"/>
        <w:rPr>
          <w:lang w:val="es-ES"/>
        </w:rPr>
      </w:pPr>
    </w:p>
    <w:p w14:paraId="400A4311" w14:textId="77777777" w:rsidR="00A773AF" w:rsidRDefault="00A773AF">
      <w:pPr>
        <w:ind w:firstLine="709"/>
        <w:jc w:val="both"/>
        <w:rPr>
          <w:lang w:val="es-ES"/>
        </w:rPr>
      </w:pPr>
      <w:r w:rsidRPr="00315EF1">
        <w:rPr>
          <w:lang w:val="es-ES"/>
        </w:rPr>
        <w:t>La Parte III presenta MDPAR como realización computacional del SCC. Su propósito es establecer la correspondencia entre propiedades formales y responsabilidades ejecutables, no repetir las demostraciones ni documentar el repositorio clase por clase. El capítulo 7 estudia la arquitectura Java de src: núcleo matemático, reconstrucción canónica, evaluación y memoria, especialización CLOSED, routing, entrada, runtime, embodiment, cooperación OPEN, registro de operaciones y QA, junto con el contrato Maven. El capítulo 8</w:t>
      </w:r>
      <w:r w:rsidR="00315EF1">
        <w:rPr>
          <w:lang w:val="es-ES"/>
        </w:rPr>
        <w:t xml:space="preserve"> </w:t>
      </w:r>
      <w:r w:rsidRPr="00315EF1">
        <w:rPr>
          <w:lang w:val="es-ES"/>
        </w:rPr>
        <w:t>examina mdpar-ai-adapter como superficie de integración, instrumentación experimental, conservación de evidencia y exposición operacional. La separación permite estudiar primero las autoridades del instrumento y después los procedimientos mediante los que se somete a contraste.</w:t>
      </w:r>
    </w:p>
    <w:p w14:paraId="64BBBD63" w14:textId="77777777" w:rsidR="00A773AF" w:rsidRPr="00A773AF" w:rsidRDefault="00A773AF">
      <w:pPr>
        <w:ind w:firstLine="709"/>
        <w:jc w:val="both"/>
        <w:rPr>
          <w:lang w:val="es-ES"/>
        </w:rPr>
      </w:pPr>
    </w:p>
    <w:p w14:paraId="115D737B" w14:textId="77777777" w:rsidR="00CB5FF7" w:rsidRPr="00315EF1" w:rsidRDefault="002C5F92" w:rsidP="00315EF1">
      <w:pPr>
        <w:jc w:val="both"/>
        <w:outlineLvl w:val="0"/>
        <w:rPr>
          <w:b/>
          <w:bCs/>
          <w:lang w:val="es-ES"/>
        </w:rPr>
      </w:pPr>
      <w:bookmarkStart w:id="37" w:name="_Toc242721873"/>
      <w:r w:rsidRPr="00315EF1">
        <w:rPr>
          <w:b/>
          <w:bCs/>
          <w:lang w:val="es-ES"/>
        </w:rPr>
        <w:t>Capítulo 7: src — arquitectura ejecutable del SCC</w:t>
      </w:r>
      <w:bookmarkEnd w:id="37"/>
    </w:p>
    <w:p w14:paraId="4923FA78" w14:textId="77777777" w:rsidR="00315EF1" w:rsidRDefault="00315EF1">
      <w:pPr>
        <w:ind w:firstLine="709"/>
        <w:jc w:val="both"/>
        <w:rPr>
          <w:lang w:val="es-ES"/>
        </w:rPr>
      </w:pPr>
    </w:p>
    <w:p w14:paraId="044C9DB2" w14:textId="77777777" w:rsidR="00471480" w:rsidRDefault="008F2BAA">
      <w:pPr>
        <w:ind w:firstLine="709"/>
        <w:jc w:val="both"/>
        <w:rPr>
          <w:lang w:val="es-ES"/>
        </w:rPr>
      </w:pPr>
      <w:r w:rsidRPr="00315EF1">
        <w:rPr>
          <w:lang w:val="es-ES"/>
        </w:rPr>
        <w:t>El SCC dispone de una definición formal independiente de su implementación. Este capítulo describe cómo la rama Java src convierte esa definición en responsabilidades ejecutables sin atribuir al código una autoridad científica superior a sus contratos. El recorrido es expositivo: sigue la definición, reconstrucción, evaluación, cooperación y gobierno de las capacidades, no una secuencia temporal obligatoria de ejecución.</w:t>
      </w:r>
    </w:p>
    <w:p w14:paraId="0A4A6FD0" w14:textId="77777777" w:rsidR="00315EF1" w:rsidRDefault="008F2BAA" w:rsidP="00315EF1">
      <w:pPr>
        <w:ind w:firstLine="709"/>
        <w:jc w:val="both"/>
        <w:rPr>
          <w:lang w:val="es-ES"/>
        </w:rPr>
      </w:pPr>
      <w:r w:rsidRPr="00315EF1">
        <w:rPr>
          <w:lang w:val="es-ES"/>
        </w:rPr>
        <w:t>Los apartados se organizan por paquetes principales. Sus subpaquetes se integran en cada explicación cuando aportan una operación, un testigo o una frontera de autoridad relevante. El registro matemático, la verificación arquitectónica y Maven cierran el recorrido sin confundirse con las pruebas de generalización externa que corresponden al adapter y a las campañas experimentales.</w:t>
      </w:r>
    </w:p>
    <w:tbl>
      <w:tblPr>
        <w:tblStyle w:val="Tablanormal2"/>
        <w:tblW w:w="0" w:type="auto"/>
        <w:tblLook w:val="04A0" w:firstRow="1" w:lastRow="0" w:firstColumn="1" w:lastColumn="0" w:noHBand="0" w:noVBand="1"/>
      </w:tblPr>
      <w:tblGrid>
        <w:gridCol w:w="1668"/>
        <w:gridCol w:w="7118"/>
      </w:tblGrid>
      <w:tr w:rsidR="00471480" w:rsidRPr="00315EF1" w14:paraId="29F94B5A" w14:textId="77777777" w:rsidTr="00315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4B0303D" w14:textId="77777777" w:rsidR="00471480" w:rsidRPr="00315EF1" w:rsidRDefault="008F2BAA" w:rsidP="00315EF1">
            <w:pPr>
              <w:spacing w:line="240" w:lineRule="auto"/>
              <w:rPr>
                <w:sz w:val="16"/>
                <w:szCs w:val="14"/>
              </w:rPr>
            </w:pPr>
            <w:r w:rsidRPr="00315EF1">
              <w:rPr>
                <w:sz w:val="16"/>
                <w:szCs w:val="14"/>
              </w:rPr>
              <w:t>Paquete o archivo</w:t>
            </w:r>
          </w:p>
        </w:tc>
        <w:tc>
          <w:tcPr>
            <w:tcW w:w="7118" w:type="dxa"/>
          </w:tcPr>
          <w:p w14:paraId="56377E68" w14:textId="77777777" w:rsidR="00471480" w:rsidRPr="00315EF1" w:rsidRDefault="008F2BAA" w:rsidP="00315EF1">
            <w:pPr>
              <w:spacing w:line="240" w:lineRule="auto"/>
              <w:cnfStyle w:val="100000000000" w:firstRow="1" w:lastRow="0" w:firstColumn="0" w:lastColumn="0" w:oddVBand="0" w:evenVBand="0" w:oddHBand="0" w:evenHBand="0" w:firstRowFirstColumn="0" w:firstRowLastColumn="0" w:lastRowFirstColumn="0" w:lastRowLastColumn="0"/>
              <w:rPr>
                <w:sz w:val="16"/>
                <w:szCs w:val="14"/>
              </w:rPr>
            </w:pPr>
            <w:r w:rsidRPr="00315EF1">
              <w:rPr>
                <w:sz w:val="16"/>
                <w:szCs w:val="14"/>
              </w:rPr>
              <w:t>Responsabilidad arquitectónica</w:t>
            </w:r>
          </w:p>
        </w:tc>
      </w:tr>
      <w:tr w:rsidR="00471480" w:rsidRPr="002F4F30" w14:paraId="3C6F5A82" w14:textId="77777777" w:rsidTr="00315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BCC80ED" w14:textId="77777777" w:rsidR="00471480" w:rsidRPr="00315EF1" w:rsidRDefault="008F2BAA" w:rsidP="00315EF1">
            <w:pPr>
              <w:spacing w:line="240" w:lineRule="auto"/>
              <w:rPr>
                <w:sz w:val="16"/>
                <w:szCs w:val="14"/>
              </w:rPr>
            </w:pPr>
            <w:r w:rsidRPr="00315EF1">
              <w:rPr>
                <w:sz w:val="16"/>
                <w:szCs w:val="14"/>
              </w:rPr>
              <w:t>mdpar_core</w:t>
            </w:r>
          </w:p>
        </w:tc>
        <w:tc>
          <w:tcPr>
            <w:tcW w:w="7118" w:type="dxa"/>
          </w:tcPr>
          <w:p w14:paraId="4F7AFE01" w14:textId="77777777" w:rsidR="00471480" w:rsidRPr="00315EF1" w:rsidRDefault="008F2BAA" w:rsidP="00315EF1">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sidRPr="00315EF1">
              <w:rPr>
                <w:sz w:val="16"/>
                <w:szCs w:val="14"/>
                <w:lang w:val="es-ES"/>
              </w:rPr>
              <w:t>Autoridad matemática SCC: geometría, trayectorias, equivalencia, invariancia, realizaciones poliédricas, Atlas y relaciones tipadas.</w:t>
            </w:r>
          </w:p>
        </w:tc>
      </w:tr>
      <w:tr w:rsidR="00471480" w:rsidRPr="002F4F30" w14:paraId="3DD72191" w14:textId="77777777" w:rsidTr="00315EF1">
        <w:tc>
          <w:tcPr>
            <w:cnfStyle w:val="001000000000" w:firstRow="0" w:lastRow="0" w:firstColumn="1" w:lastColumn="0" w:oddVBand="0" w:evenVBand="0" w:oddHBand="0" w:evenHBand="0" w:firstRowFirstColumn="0" w:firstRowLastColumn="0" w:lastRowFirstColumn="0" w:lastRowLastColumn="0"/>
            <w:tcW w:w="1668" w:type="dxa"/>
          </w:tcPr>
          <w:p w14:paraId="16F00785" w14:textId="77777777" w:rsidR="00471480" w:rsidRPr="00315EF1" w:rsidRDefault="008F2BAA" w:rsidP="00315EF1">
            <w:pPr>
              <w:spacing w:line="240" w:lineRule="auto"/>
              <w:rPr>
                <w:sz w:val="16"/>
                <w:szCs w:val="14"/>
              </w:rPr>
            </w:pPr>
            <w:r w:rsidRPr="00315EF1">
              <w:rPr>
                <w:sz w:val="16"/>
                <w:szCs w:val="14"/>
              </w:rPr>
              <w:t>mdpar_parser</w:t>
            </w:r>
          </w:p>
        </w:tc>
        <w:tc>
          <w:tcPr>
            <w:tcW w:w="7118" w:type="dxa"/>
          </w:tcPr>
          <w:p w14:paraId="115D2813" w14:textId="77777777" w:rsidR="00471480" w:rsidRPr="00315EF1" w:rsidRDefault="008F2BAA" w:rsidP="00315EF1">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sidRPr="00315EF1">
              <w:rPr>
                <w:sz w:val="16"/>
                <w:szCs w:val="14"/>
                <w:lang w:val="es-ES"/>
              </w:rPr>
              <w:t>Ensamblaje canónico de ocurrencias y relaciones, permutación con testigos y snapshots no decisionales.</w:t>
            </w:r>
          </w:p>
        </w:tc>
      </w:tr>
      <w:tr w:rsidR="00471480" w:rsidRPr="002F4F30" w14:paraId="2FB68D2F" w14:textId="77777777" w:rsidTr="00315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12F8827" w14:textId="77777777" w:rsidR="00471480" w:rsidRPr="00315EF1" w:rsidRDefault="008F2BAA" w:rsidP="00315EF1">
            <w:pPr>
              <w:spacing w:line="240" w:lineRule="auto"/>
              <w:rPr>
                <w:sz w:val="16"/>
                <w:szCs w:val="14"/>
              </w:rPr>
            </w:pPr>
            <w:r w:rsidRPr="00315EF1">
              <w:rPr>
                <w:sz w:val="16"/>
                <w:szCs w:val="14"/>
              </w:rPr>
              <w:t>mdpar_engine</w:t>
            </w:r>
          </w:p>
        </w:tc>
        <w:tc>
          <w:tcPr>
            <w:tcW w:w="7118" w:type="dxa"/>
          </w:tcPr>
          <w:p w14:paraId="1786F6CB" w14:textId="77777777" w:rsidR="00471480" w:rsidRPr="00315EF1" w:rsidRDefault="008F2BAA" w:rsidP="00315EF1">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sidRPr="00315EF1">
              <w:rPr>
                <w:sz w:val="16"/>
                <w:szCs w:val="14"/>
                <w:lang w:val="es-ES"/>
              </w:rPr>
              <w:t>Metrología y políticas interpretativas, StructuralMark, memoria TRACK y snapshots de SCOPE y TRACK.</w:t>
            </w:r>
          </w:p>
        </w:tc>
      </w:tr>
      <w:tr w:rsidR="00471480" w:rsidRPr="002F4F30" w14:paraId="16446F1F" w14:textId="77777777" w:rsidTr="00315EF1">
        <w:tc>
          <w:tcPr>
            <w:cnfStyle w:val="001000000000" w:firstRow="0" w:lastRow="0" w:firstColumn="1" w:lastColumn="0" w:oddVBand="0" w:evenVBand="0" w:oddHBand="0" w:evenHBand="0" w:firstRowFirstColumn="0" w:firstRowLastColumn="0" w:lastRowFirstColumn="0" w:lastRowLastColumn="0"/>
            <w:tcW w:w="1668" w:type="dxa"/>
          </w:tcPr>
          <w:p w14:paraId="09531556" w14:textId="77777777" w:rsidR="00471480" w:rsidRPr="00315EF1" w:rsidRDefault="008F2BAA" w:rsidP="00315EF1">
            <w:pPr>
              <w:spacing w:line="240" w:lineRule="auto"/>
              <w:rPr>
                <w:sz w:val="16"/>
                <w:szCs w:val="14"/>
              </w:rPr>
            </w:pPr>
            <w:r w:rsidRPr="00315EF1">
              <w:rPr>
                <w:sz w:val="16"/>
                <w:szCs w:val="14"/>
              </w:rPr>
              <w:t>mdpar_plugins</w:t>
            </w:r>
          </w:p>
        </w:tc>
        <w:tc>
          <w:tcPr>
            <w:tcW w:w="7118" w:type="dxa"/>
          </w:tcPr>
          <w:p w14:paraId="53664A7D" w14:textId="77777777" w:rsidR="00471480" w:rsidRPr="00315EF1" w:rsidRDefault="008F2BAA" w:rsidP="00315EF1">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sidRPr="00315EF1">
              <w:rPr>
                <w:sz w:val="16"/>
                <w:szCs w:val="14"/>
                <w:lang w:val="es-ES"/>
              </w:rPr>
              <w:t>Competencias CLOSED locales y perfiles especializados, sin ontología global.</w:t>
            </w:r>
          </w:p>
        </w:tc>
      </w:tr>
      <w:tr w:rsidR="00471480" w:rsidRPr="002F4F30" w14:paraId="1DB8C6CC" w14:textId="77777777" w:rsidTr="00315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A67C1FD" w14:textId="77777777" w:rsidR="00471480" w:rsidRPr="00315EF1" w:rsidRDefault="008F2BAA" w:rsidP="00315EF1">
            <w:pPr>
              <w:spacing w:line="240" w:lineRule="auto"/>
              <w:rPr>
                <w:sz w:val="16"/>
                <w:szCs w:val="14"/>
              </w:rPr>
            </w:pPr>
            <w:r w:rsidRPr="00315EF1">
              <w:rPr>
                <w:sz w:val="16"/>
                <w:szCs w:val="14"/>
              </w:rPr>
              <w:t>mdpar_routing</w:t>
            </w:r>
          </w:p>
        </w:tc>
        <w:tc>
          <w:tcPr>
            <w:tcW w:w="7118" w:type="dxa"/>
          </w:tcPr>
          <w:p w14:paraId="5989FCEC" w14:textId="77777777" w:rsidR="00471480" w:rsidRPr="00315EF1" w:rsidRDefault="008F2BAA" w:rsidP="00315EF1">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sidRPr="00315EF1">
              <w:rPr>
                <w:sz w:val="16"/>
                <w:szCs w:val="14"/>
                <w:lang w:val="es-ES"/>
              </w:rPr>
              <w:t>Sondeo, arbitraje y concesión de RoutePass a capacidades admisibles.</w:t>
            </w:r>
          </w:p>
        </w:tc>
      </w:tr>
      <w:tr w:rsidR="00471480" w:rsidRPr="002F4F30" w14:paraId="678E5E30" w14:textId="77777777" w:rsidTr="00315EF1">
        <w:tc>
          <w:tcPr>
            <w:cnfStyle w:val="001000000000" w:firstRow="0" w:lastRow="0" w:firstColumn="1" w:lastColumn="0" w:oddVBand="0" w:evenVBand="0" w:oddHBand="0" w:evenHBand="0" w:firstRowFirstColumn="0" w:firstRowLastColumn="0" w:lastRowFirstColumn="0" w:lastRowLastColumn="0"/>
            <w:tcW w:w="1668" w:type="dxa"/>
          </w:tcPr>
          <w:p w14:paraId="54AF4A83" w14:textId="77777777" w:rsidR="00471480" w:rsidRPr="00315EF1" w:rsidRDefault="008F2BAA" w:rsidP="00315EF1">
            <w:pPr>
              <w:spacing w:line="240" w:lineRule="auto"/>
              <w:rPr>
                <w:sz w:val="16"/>
                <w:szCs w:val="14"/>
              </w:rPr>
            </w:pPr>
            <w:r w:rsidRPr="00315EF1">
              <w:rPr>
                <w:sz w:val="16"/>
                <w:szCs w:val="14"/>
              </w:rPr>
              <w:t>mdpar_input</w:t>
            </w:r>
          </w:p>
        </w:tc>
        <w:tc>
          <w:tcPr>
            <w:tcW w:w="7118" w:type="dxa"/>
          </w:tcPr>
          <w:p w14:paraId="63CA6B97" w14:textId="77777777" w:rsidR="00471480" w:rsidRPr="00315EF1" w:rsidRDefault="008F2BAA" w:rsidP="00315EF1">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sidRPr="00315EF1">
              <w:rPr>
                <w:sz w:val="16"/>
                <w:szCs w:val="14"/>
                <w:lang w:val="es-ES"/>
              </w:rPr>
              <w:t>Envolturas de entrada y procedencia anteriores a la asignación SCC.</w:t>
            </w:r>
          </w:p>
        </w:tc>
      </w:tr>
      <w:tr w:rsidR="00471480" w:rsidRPr="002F4F30" w14:paraId="1DA0D83F" w14:textId="77777777" w:rsidTr="00315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BC04B93" w14:textId="77777777" w:rsidR="00471480" w:rsidRPr="00315EF1" w:rsidRDefault="008F2BAA" w:rsidP="00315EF1">
            <w:pPr>
              <w:spacing w:line="240" w:lineRule="auto"/>
              <w:rPr>
                <w:sz w:val="16"/>
                <w:szCs w:val="14"/>
              </w:rPr>
            </w:pPr>
            <w:r w:rsidRPr="00315EF1">
              <w:rPr>
                <w:sz w:val="16"/>
                <w:szCs w:val="14"/>
              </w:rPr>
              <w:t>mdpar_runtime</w:t>
            </w:r>
          </w:p>
        </w:tc>
        <w:tc>
          <w:tcPr>
            <w:tcW w:w="7118" w:type="dxa"/>
          </w:tcPr>
          <w:p w14:paraId="7B203511" w14:textId="77777777" w:rsidR="00471480" w:rsidRPr="00315EF1" w:rsidRDefault="008F2BAA" w:rsidP="00315EF1">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sidRPr="00315EF1">
              <w:rPr>
                <w:sz w:val="16"/>
                <w:szCs w:val="14"/>
                <w:lang w:val="es-ES"/>
              </w:rPr>
              <w:t>Handoff neutral y ciclo de vida longitudinal compartido por CLOSED y OPEN.</w:t>
            </w:r>
          </w:p>
        </w:tc>
      </w:tr>
      <w:tr w:rsidR="00471480" w:rsidRPr="002F4F30" w14:paraId="3BF173E5" w14:textId="77777777" w:rsidTr="00315EF1">
        <w:tc>
          <w:tcPr>
            <w:cnfStyle w:val="001000000000" w:firstRow="0" w:lastRow="0" w:firstColumn="1" w:lastColumn="0" w:oddVBand="0" w:evenVBand="0" w:oddHBand="0" w:evenHBand="0" w:firstRowFirstColumn="0" w:firstRowLastColumn="0" w:lastRowFirstColumn="0" w:lastRowLastColumn="0"/>
            <w:tcW w:w="1668" w:type="dxa"/>
          </w:tcPr>
          <w:p w14:paraId="3E94A129" w14:textId="77777777" w:rsidR="00471480" w:rsidRPr="00315EF1" w:rsidRDefault="008F2BAA" w:rsidP="00315EF1">
            <w:pPr>
              <w:spacing w:line="240" w:lineRule="auto"/>
              <w:rPr>
                <w:sz w:val="16"/>
                <w:szCs w:val="14"/>
              </w:rPr>
            </w:pPr>
            <w:r w:rsidRPr="00315EF1">
              <w:rPr>
                <w:sz w:val="16"/>
                <w:szCs w:val="14"/>
              </w:rPr>
              <w:t>embodimentAnchor</w:t>
            </w:r>
          </w:p>
        </w:tc>
        <w:tc>
          <w:tcPr>
            <w:tcW w:w="7118" w:type="dxa"/>
          </w:tcPr>
          <w:p w14:paraId="66F7652E" w14:textId="77777777" w:rsidR="00471480" w:rsidRPr="00315EF1" w:rsidRDefault="008F2BAA" w:rsidP="00315EF1">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sidRPr="00315EF1">
              <w:rPr>
                <w:sz w:val="16"/>
                <w:szCs w:val="14"/>
                <w:lang w:val="es-ES"/>
              </w:rPr>
              <w:t>Criterio acotado de autorización de embodiment posterior al cierre simbólico.</w:t>
            </w:r>
          </w:p>
        </w:tc>
      </w:tr>
      <w:tr w:rsidR="00471480" w:rsidRPr="002F4F30" w14:paraId="6D8BBD1D" w14:textId="77777777" w:rsidTr="00315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8F7FE65" w14:textId="77777777" w:rsidR="00471480" w:rsidRPr="00315EF1" w:rsidRDefault="008F2BAA" w:rsidP="00315EF1">
            <w:pPr>
              <w:spacing w:line="240" w:lineRule="auto"/>
              <w:rPr>
                <w:sz w:val="16"/>
                <w:szCs w:val="14"/>
              </w:rPr>
            </w:pPr>
            <w:r w:rsidRPr="00315EF1">
              <w:rPr>
                <w:sz w:val="16"/>
                <w:szCs w:val="14"/>
              </w:rPr>
              <w:t>open</w:t>
            </w:r>
          </w:p>
        </w:tc>
        <w:tc>
          <w:tcPr>
            <w:tcW w:w="7118" w:type="dxa"/>
          </w:tcPr>
          <w:p w14:paraId="1CE7393E" w14:textId="77777777" w:rsidR="00471480" w:rsidRPr="00315EF1" w:rsidRDefault="008F2BAA" w:rsidP="00315EF1">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sidRPr="00315EF1">
              <w:rPr>
                <w:sz w:val="16"/>
                <w:szCs w:val="14"/>
                <w:lang w:val="es-ES"/>
              </w:rPr>
              <w:t>Recepción, validación y publicación de observaciones semánticas externas.</w:t>
            </w:r>
          </w:p>
        </w:tc>
      </w:tr>
      <w:tr w:rsidR="00471480" w:rsidRPr="002F4F30" w14:paraId="6400E5D8" w14:textId="77777777" w:rsidTr="00315EF1">
        <w:tc>
          <w:tcPr>
            <w:cnfStyle w:val="001000000000" w:firstRow="0" w:lastRow="0" w:firstColumn="1" w:lastColumn="0" w:oddVBand="0" w:evenVBand="0" w:oddHBand="0" w:evenHBand="0" w:firstRowFirstColumn="0" w:firstRowLastColumn="0" w:lastRowFirstColumn="0" w:lastRowLastColumn="0"/>
            <w:tcW w:w="1668" w:type="dxa"/>
          </w:tcPr>
          <w:p w14:paraId="24E2E737" w14:textId="77777777" w:rsidR="00471480" w:rsidRPr="00315EF1" w:rsidRDefault="008F2BAA" w:rsidP="00315EF1">
            <w:pPr>
              <w:spacing w:line="240" w:lineRule="auto"/>
              <w:rPr>
                <w:sz w:val="16"/>
                <w:szCs w:val="14"/>
              </w:rPr>
            </w:pPr>
            <w:r w:rsidRPr="00315EF1">
              <w:rPr>
                <w:sz w:val="16"/>
                <w:szCs w:val="14"/>
              </w:rPr>
              <w:t>mdpar_registry</w:t>
            </w:r>
          </w:p>
        </w:tc>
        <w:tc>
          <w:tcPr>
            <w:tcW w:w="7118" w:type="dxa"/>
          </w:tcPr>
          <w:p w14:paraId="2FCCEF31" w14:textId="77777777" w:rsidR="00471480" w:rsidRPr="00315EF1" w:rsidRDefault="008F2BAA" w:rsidP="00315EF1">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sidRPr="00315EF1">
              <w:rPr>
                <w:sz w:val="16"/>
                <w:szCs w:val="14"/>
                <w:lang w:val="es-ES"/>
              </w:rPr>
              <w:t>Metadatos y contratos de la superficie matemática CORE–PARSER–ENGINE.</w:t>
            </w:r>
          </w:p>
        </w:tc>
      </w:tr>
      <w:tr w:rsidR="00471480" w:rsidRPr="002F4F30" w14:paraId="4D79AF77" w14:textId="77777777" w:rsidTr="00315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17E6E68" w14:textId="77777777" w:rsidR="00471480" w:rsidRPr="00315EF1" w:rsidRDefault="008F2BAA" w:rsidP="00315EF1">
            <w:pPr>
              <w:spacing w:line="240" w:lineRule="auto"/>
              <w:rPr>
                <w:sz w:val="16"/>
                <w:szCs w:val="14"/>
              </w:rPr>
            </w:pPr>
            <w:r w:rsidRPr="00315EF1">
              <w:rPr>
                <w:sz w:val="16"/>
                <w:szCs w:val="14"/>
              </w:rPr>
              <w:t>mdpar_qa</w:t>
            </w:r>
          </w:p>
        </w:tc>
        <w:tc>
          <w:tcPr>
            <w:tcW w:w="7118" w:type="dxa"/>
          </w:tcPr>
          <w:p w14:paraId="3A5E4494" w14:textId="77777777" w:rsidR="00471480" w:rsidRPr="00315EF1" w:rsidRDefault="008F2BAA" w:rsidP="00315EF1">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sidRPr="00315EF1">
              <w:rPr>
                <w:sz w:val="16"/>
                <w:szCs w:val="14"/>
                <w:lang w:val="es-ES"/>
              </w:rPr>
              <w:t>Comprobación ejecutable de contratos y regresiones arquitectónicas.</w:t>
            </w:r>
          </w:p>
        </w:tc>
      </w:tr>
      <w:tr w:rsidR="00471480" w:rsidRPr="002F4F30" w14:paraId="42953CC8" w14:textId="77777777" w:rsidTr="00315EF1">
        <w:tc>
          <w:tcPr>
            <w:cnfStyle w:val="001000000000" w:firstRow="0" w:lastRow="0" w:firstColumn="1" w:lastColumn="0" w:oddVBand="0" w:evenVBand="0" w:oddHBand="0" w:evenHBand="0" w:firstRowFirstColumn="0" w:firstRowLastColumn="0" w:lastRowFirstColumn="0" w:lastRowLastColumn="0"/>
            <w:tcW w:w="1668" w:type="dxa"/>
          </w:tcPr>
          <w:p w14:paraId="504D4FEE" w14:textId="77777777" w:rsidR="00471480" w:rsidRPr="00315EF1" w:rsidRDefault="008F2BAA" w:rsidP="00315EF1">
            <w:pPr>
              <w:spacing w:line="240" w:lineRule="auto"/>
              <w:rPr>
                <w:sz w:val="16"/>
                <w:szCs w:val="14"/>
              </w:rPr>
            </w:pPr>
            <w:r w:rsidRPr="00315EF1">
              <w:rPr>
                <w:sz w:val="16"/>
                <w:szCs w:val="14"/>
              </w:rPr>
              <w:t>pom.xml</w:t>
            </w:r>
          </w:p>
        </w:tc>
        <w:tc>
          <w:tcPr>
            <w:tcW w:w="7118" w:type="dxa"/>
          </w:tcPr>
          <w:p w14:paraId="41004649" w14:textId="77777777" w:rsidR="00471480" w:rsidRPr="00315EF1" w:rsidRDefault="008F2BAA" w:rsidP="00315EF1">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sidRPr="00315EF1">
              <w:rPr>
                <w:sz w:val="16"/>
                <w:szCs w:val="14"/>
                <w:lang w:val="es-ES"/>
              </w:rPr>
              <w:t>Identidad del artefacto 2.3.0, compilación, recursos y verificación Maven.</w:t>
            </w:r>
          </w:p>
        </w:tc>
      </w:tr>
    </w:tbl>
    <w:p w14:paraId="72498B76" w14:textId="77777777" w:rsidR="00471480" w:rsidRDefault="008F2BAA">
      <w:pPr>
        <w:keepNext/>
        <w:ind w:firstLine="709"/>
        <w:jc w:val="both"/>
        <w:outlineLvl w:val="1"/>
        <w:rPr>
          <w:lang w:val="es-ES"/>
        </w:rPr>
      </w:pPr>
      <w:bookmarkStart w:id="38" w:name="_Toc242721874"/>
      <w:r>
        <w:rPr>
          <w:b/>
          <w:lang w:val="es-ES"/>
        </w:rPr>
        <w:lastRenderedPageBreak/>
        <w:t>7.1. mdpar_core: núcleo formal, cálculo estructural y Atlas</w:t>
      </w:r>
      <w:bookmarkEnd w:id="38"/>
    </w:p>
    <w:p w14:paraId="0A7820A9" w14:textId="77777777" w:rsidR="00471480" w:rsidRDefault="008F2BAA">
      <w:pPr>
        <w:ind w:firstLine="709"/>
        <w:jc w:val="both"/>
        <w:rPr>
          <w:lang w:val="es-ES"/>
        </w:rPr>
      </w:pPr>
      <w:r w:rsidRPr="006C2240">
        <w:rPr>
          <w:lang w:val="es-ES"/>
        </w:rPr>
        <w:t>mdpar_core proporciona una realización computacional del núcleo formal: representa las coordenadas y las trayectorias del SCC, calcula las propiedades definidas en la Parte II y mantiene diferenciadas las operaciones totales de las parciales. Su aportación a la tesis es demostrar que un mismo vocabulario matemático admite ejecución explícita y resultados reconstruibles. La organización interna de sus algoritmos y estructuras auxiliares no forma parte de la definición del SCC.</w:t>
      </w:r>
    </w:p>
    <w:p w14:paraId="3D89B15C" w14:textId="77777777" w:rsidR="00315EF1" w:rsidRDefault="00315EF1">
      <w:pPr>
        <w:ind w:firstLine="709"/>
        <w:jc w:val="both"/>
        <w:rPr>
          <w:lang w:val="es-ES"/>
        </w:rPr>
      </w:pPr>
    </w:p>
    <w:p w14:paraId="6665F893" w14:textId="77777777" w:rsidR="00471480" w:rsidRDefault="008F2BAA">
      <w:pPr>
        <w:keepNext/>
        <w:ind w:firstLine="709"/>
        <w:jc w:val="both"/>
        <w:outlineLvl w:val="1"/>
        <w:rPr>
          <w:lang w:val="es-ES"/>
        </w:rPr>
      </w:pPr>
      <w:bookmarkStart w:id="39" w:name="_Toc242721875"/>
      <w:r>
        <w:rPr>
          <w:b/>
          <w:lang w:val="es-ES"/>
        </w:rPr>
        <w:t>7.2. mdpar_parser: reconstrucción canónica y permutación</w:t>
      </w:r>
      <w:bookmarkEnd w:id="39"/>
    </w:p>
    <w:p w14:paraId="70FE1DA7" w14:textId="77777777" w:rsidR="00471480" w:rsidRDefault="008F2BAA">
      <w:pPr>
        <w:ind w:firstLine="709"/>
        <w:jc w:val="both"/>
        <w:rPr>
          <w:lang w:val="es-ES"/>
        </w:rPr>
      </w:pPr>
      <w:r w:rsidRPr="006C2240">
        <w:rPr>
          <w:lang w:val="es-ES"/>
        </w:rPr>
        <w:t>mdpar_parser materializa la reconstrucción canónica de observaciones heterogéneas y el tratamiento de permutaciones bajo los presupuestos matemáticos del SCC. La tesis distingue el problema formal de reconstrucción, que se expone en la Parte II, de la elección de algoritmos, representaciones intermedias y secuencias de ejecución, que pertenece a la realización informática y no es necesaria para establecer el objeto científico.</w:t>
      </w:r>
    </w:p>
    <w:p w14:paraId="5FC49257" w14:textId="77777777" w:rsidR="00315EF1" w:rsidRDefault="00315EF1">
      <w:pPr>
        <w:ind w:firstLine="709"/>
        <w:jc w:val="both"/>
        <w:rPr>
          <w:lang w:val="es-ES"/>
        </w:rPr>
      </w:pPr>
    </w:p>
    <w:p w14:paraId="132F0B6B" w14:textId="77777777" w:rsidR="00471480" w:rsidRDefault="008F2BAA">
      <w:pPr>
        <w:keepNext/>
        <w:ind w:firstLine="709"/>
        <w:jc w:val="both"/>
        <w:outlineLvl w:val="1"/>
        <w:rPr>
          <w:lang w:val="es-ES"/>
        </w:rPr>
      </w:pPr>
      <w:bookmarkStart w:id="40" w:name="_Toc242721876"/>
      <w:r>
        <w:rPr>
          <w:b/>
          <w:lang w:val="es-ES"/>
        </w:rPr>
        <w:t>7.3. mdpar_engine: evaluación interpretativa y continuidad longitudinal</w:t>
      </w:r>
      <w:bookmarkEnd w:id="40"/>
    </w:p>
    <w:p w14:paraId="0ED5CC5C" w14:textId="77777777" w:rsidR="00471480" w:rsidRDefault="008F2BAA">
      <w:pPr>
        <w:ind w:firstLine="709"/>
        <w:jc w:val="both"/>
        <w:rPr>
          <w:lang w:val="es-ES"/>
        </w:rPr>
      </w:pPr>
      <w:r w:rsidRPr="006C2240">
        <w:rPr>
          <w:lang w:val="es-ES"/>
        </w:rPr>
        <w:t>mdpar_engine realiza la evaluación interpretativa y la continuidad longitudinal sobre representaciones estructurales ya establecidas. El interés académico reside en la separación entre propiedad matemática, observación situada y autoridad para continuar o actuar. Los procedimientos internos de coordinación, almacenamiento y resolución de políticas no se consideran axiomas del SCC.</w:t>
      </w:r>
    </w:p>
    <w:p w14:paraId="3B0D99A6" w14:textId="77777777" w:rsidR="003E272C" w:rsidRDefault="003E272C">
      <w:pPr>
        <w:ind w:firstLine="709"/>
        <w:jc w:val="both"/>
        <w:rPr>
          <w:lang w:val="es-ES"/>
        </w:rPr>
      </w:pPr>
    </w:p>
    <w:p w14:paraId="13CC3FF0" w14:textId="77777777" w:rsidR="00471480" w:rsidRDefault="008F2BAA">
      <w:pPr>
        <w:keepNext/>
        <w:ind w:firstLine="709"/>
        <w:jc w:val="both"/>
        <w:outlineLvl w:val="1"/>
        <w:rPr>
          <w:lang w:val="es-ES"/>
        </w:rPr>
      </w:pPr>
      <w:bookmarkStart w:id="41" w:name="_Toc242721877"/>
      <w:r>
        <w:rPr>
          <w:b/>
          <w:lang w:val="es-ES"/>
        </w:rPr>
        <w:t>7.4. mdpar_plugins: especialización CLOSED acotada</w:t>
      </w:r>
      <w:bookmarkEnd w:id="41"/>
    </w:p>
    <w:p w14:paraId="1DBD8A5E" w14:textId="77777777" w:rsidR="00471480" w:rsidRDefault="008F2BAA">
      <w:pPr>
        <w:ind w:firstLine="709"/>
        <w:jc w:val="both"/>
        <w:rPr>
          <w:lang w:val="es-ES"/>
        </w:rPr>
      </w:pPr>
      <w:r w:rsidRPr="00315EF1">
        <w:rPr>
          <w:lang w:val="es-ES"/>
        </w:rPr>
        <w:t>mdpar_plugins define la frontera CLOSED: competencias locales acotadas por dominio y perfil</w:t>
      </w:r>
      <w:r w:rsidR="003E272C">
        <w:rPr>
          <w:lang w:val="es-ES"/>
        </w:rPr>
        <w:t xml:space="preserve"> de dominio</w:t>
      </w:r>
      <w:r w:rsidRPr="00315EF1">
        <w:rPr>
          <w:lang w:val="es-ES"/>
        </w:rPr>
        <w:t xml:space="preserve"> que interpretan entradas admisibles, realizan proyección observada</w:t>
      </w:r>
      <w:r w:rsidR="003E272C">
        <w:rPr>
          <w:lang w:val="es-ES"/>
        </w:rPr>
        <w:t xml:space="preserve"> </w:t>
      </w:r>
      <w:r w:rsidRPr="00315EF1">
        <w:rPr>
          <w:lang w:val="es-ES"/>
        </w:rPr>
        <w:t>a-canónica y publican resultados sin convertirse en una ontología global del SCC. Una capacidad instalada no adquiere por instalación la autoridad de procesar cualquier observación: el routing debe concederle una ruta positiva. Los contratos comunes de ensamblaje y léxico distinguen el conocimiento local del cálculo estructural, la política de ENGINE y la autorización encarnada.</w:t>
      </w:r>
    </w:p>
    <w:p w14:paraId="0B720A20" w14:textId="77777777" w:rsidR="00471480" w:rsidRDefault="008F2BAA">
      <w:pPr>
        <w:ind w:firstLine="709"/>
        <w:jc w:val="both"/>
        <w:rPr>
          <w:lang w:val="es-ES"/>
        </w:rPr>
      </w:pPr>
      <w:r w:rsidRPr="006C2240">
        <w:rPr>
          <w:lang w:val="es-ES"/>
        </w:rPr>
        <w:t xml:space="preserve">La existencia de perfiles especializados permite estudiar cooperación entre competencias distintas sin introducir sus ontologías locales en el núcleo formal. La descripción académica se limita a su carácter acotado, a la separación entre competencia y </w:t>
      </w:r>
      <w:r w:rsidRPr="006C2240">
        <w:rPr>
          <w:lang w:val="es-ES"/>
        </w:rPr>
        <w:lastRenderedPageBreak/>
        <w:t>autorización y a la posibilidad de combinar capacidades bajo una estructura común. No se publica aquí el catálogo de perfiles ni sus mecanismos de coordinación.</w:t>
      </w:r>
    </w:p>
    <w:p w14:paraId="30FB162A" w14:textId="77777777" w:rsidR="003E272C" w:rsidRDefault="003E272C">
      <w:pPr>
        <w:ind w:firstLine="709"/>
        <w:jc w:val="both"/>
        <w:rPr>
          <w:lang w:val="es-ES"/>
        </w:rPr>
      </w:pPr>
    </w:p>
    <w:p w14:paraId="2B8E0700" w14:textId="77777777" w:rsidR="00471480" w:rsidRDefault="008F2BAA">
      <w:pPr>
        <w:keepNext/>
        <w:ind w:firstLine="709"/>
        <w:jc w:val="both"/>
        <w:outlineLvl w:val="1"/>
        <w:rPr>
          <w:lang w:val="es-ES"/>
        </w:rPr>
      </w:pPr>
      <w:bookmarkStart w:id="42" w:name="_Toc242721878"/>
      <w:r>
        <w:rPr>
          <w:b/>
          <w:lang w:val="es-ES"/>
        </w:rPr>
        <w:t>7.5. mdpar_routing: selección de capacidades y concesión de ruta</w:t>
      </w:r>
      <w:bookmarkEnd w:id="42"/>
    </w:p>
    <w:p w14:paraId="02AF5841" w14:textId="77777777" w:rsidR="00471480" w:rsidRDefault="008F2BAA">
      <w:pPr>
        <w:ind w:firstLine="709"/>
        <w:jc w:val="both"/>
        <w:rPr>
          <w:lang w:val="es-ES"/>
        </w:rPr>
      </w:pPr>
      <w:r w:rsidRPr="006C2240">
        <w:rPr>
          <w:lang w:val="es-ES"/>
        </w:rPr>
        <w:t>mdpar_routing separa la disponibilidad de una capacidad de su autorización para intervenir. La elección de recursos es una responsabilidad arquitectónica distinta de la validez matemática de la estructura y de la autoridad para actuar. Se presenta aquí esa frontera verificable, sin convertir el capítulo en una especificación del procedimiento interno de selección.</w:t>
      </w:r>
    </w:p>
    <w:p w14:paraId="1BD97382" w14:textId="77777777" w:rsidR="00471480" w:rsidRDefault="008F2BAA">
      <w:pPr>
        <w:ind w:firstLine="709"/>
        <w:jc w:val="both"/>
        <w:rPr>
          <w:lang w:val="es-ES"/>
        </w:rPr>
      </w:pPr>
      <w:r w:rsidRPr="00315EF1">
        <w:rPr>
          <w:lang w:val="es-ES"/>
        </w:rPr>
        <w:t>La ausencia de reclamación CLOSED positiva puede abrir la cooperación OPEN, sin que el router pase a ser el observador externo ni adquiera las decisiones de ENGINE. El módulo conserva la procedencia de la selección y permite distinguir una capacidad elegible de una capacidad autorizada para intervenir en una ejecución concreta.</w:t>
      </w:r>
    </w:p>
    <w:p w14:paraId="0030F70F" w14:textId="77777777" w:rsidR="00CA7215" w:rsidRDefault="00CA7215">
      <w:pPr>
        <w:ind w:firstLine="709"/>
        <w:jc w:val="both"/>
        <w:rPr>
          <w:lang w:val="es-ES"/>
        </w:rPr>
      </w:pPr>
    </w:p>
    <w:p w14:paraId="7182A0BC" w14:textId="77777777" w:rsidR="00471480" w:rsidRDefault="008F2BAA">
      <w:pPr>
        <w:keepNext/>
        <w:ind w:firstLine="709"/>
        <w:jc w:val="both"/>
        <w:outlineLvl w:val="1"/>
        <w:rPr>
          <w:lang w:val="es-ES"/>
        </w:rPr>
      </w:pPr>
      <w:bookmarkStart w:id="43" w:name="_Toc242721879"/>
      <w:r>
        <w:rPr>
          <w:b/>
          <w:lang w:val="es-ES"/>
        </w:rPr>
        <w:t>7.6. mdpar_input: representación de entradas y procedencia</w:t>
      </w:r>
      <w:bookmarkEnd w:id="43"/>
    </w:p>
    <w:p w14:paraId="3B5D4588" w14:textId="77777777" w:rsidR="00471480" w:rsidRDefault="008F2BAA">
      <w:pPr>
        <w:ind w:firstLine="709"/>
        <w:jc w:val="both"/>
        <w:rPr>
          <w:lang w:val="es-ES"/>
        </w:rPr>
      </w:pPr>
      <w:r w:rsidRPr="006C2240">
        <w:rPr>
          <w:lang w:val="es-ES"/>
        </w:rPr>
        <w:t>mdpar_input conserva la diferencia entre evidencia recibida y coordenada estructural autorizada. Su función es hacer explícita la procedencia y las condiciones de observabilidad de una entrada sin otorgar automáticamente a la fuente externa capacidad para modificar el formalismo. Los formatos concretos y los tipos auxiliares pertenecen a la documentación de implementación.</w:t>
      </w:r>
    </w:p>
    <w:p w14:paraId="04415697" w14:textId="77777777" w:rsidR="00471480" w:rsidRDefault="008F2BAA">
      <w:pPr>
        <w:ind w:firstLine="709"/>
        <w:jc w:val="both"/>
        <w:rPr>
          <w:lang w:val="es-ES"/>
        </w:rPr>
      </w:pPr>
      <w:r w:rsidRPr="00315EF1">
        <w:rPr>
          <w:lang w:val="es-ES"/>
        </w:rPr>
        <w:t>La frontera no asigna StateType, no decide propiedad de dominio y no efectúa routing. La semántica admisible corresponde al perfil CLOSED instalado o a la observación externa recibida por OPEN. Esta separación impide confundir la evidencia entregada por una fuente con la trayectoria canónica que PARSER reconstruirá posteriormente.</w:t>
      </w:r>
    </w:p>
    <w:p w14:paraId="59A38CB6" w14:textId="77777777" w:rsidR="00CA7215" w:rsidRDefault="00CA7215">
      <w:pPr>
        <w:ind w:firstLine="709"/>
        <w:jc w:val="both"/>
        <w:rPr>
          <w:lang w:val="es-ES"/>
        </w:rPr>
      </w:pPr>
    </w:p>
    <w:p w14:paraId="725A023F" w14:textId="77777777" w:rsidR="00471480" w:rsidRDefault="008F2BAA">
      <w:pPr>
        <w:keepNext/>
        <w:ind w:firstLine="709"/>
        <w:jc w:val="both"/>
        <w:outlineLvl w:val="1"/>
        <w:rPr>
          <w:lang w:val="es-ES"/>
        </w:rPr>
      </w:pPr>
      <w:bookmarkStart w:id="44" w:name="_Toc242721880"/>
      <w:r>
        <w:rPr>
          <w:b/>
          <w:lang w:val="es-ES"/>
        </w:rPr>
        <w:t>7.7. mdpar_runtime: orquestación neutral y continuidad</w:t>
      </w:r>
      <w:bookmarkEnd w:id="44"/>
    </w:p>
    <w:p w14:paraId="02152CD1" w14:textId="77777777" w:rsidR="00471480" w:rsidRDefault="008F2BAA">
      <w:pPr>
        <w:ind w:firstLine="709"/>
        <w:jc w:val="both"/>
        <w:rPr>
          <w:lang w:val="es-ES"/>
        </w:rPr>
      </w:pPr>
      <w:r w:rsidRPr="006C2240">
        <w:rPr>
          <w:lang w:val="es-ES"/>
        </w:rPr>
        <w:t>mdpar_runtime coordina la ejecución sin apropiarse de las definiciones matemáticas ni de la semántica de los observadores. Su responsabilidad científica es sostener una identidad estructural coherente durante la cooperación y la continuidad longitudinal, manteniendo separadas las facultades de observación, cálculo y actuación. La exposición se limita a esa distribución de responsabilidades, no al recorrido interno de los datos.</w:t>
      </w:r>
    </w:p>
    <w:p w14:paraId="01650035" w14:textId="77777777" w:rsidR="00471480" w:rsidRDefault="008F2BAA">
      <w:pPr>
        <w:ind w:firstLine="709"/>
        <w:jc w:val="both"/>
        <w:rPr>
          <w:lang w:val="es-ES"/>
        </w:rPr>
      </w:pPr>
      <w:r w:rsidRPr="006C2240">
        <w:rPr>
          <w:lang w:val="es-ES"/>
        </w:rPr>
        <w:lastRenderedPageBreak/>
        <w:t>La orquestación conserva las condiciones de continuidad y la separación entre responsabilidades sin reinterpretar observaciones ni sustituir el cálculo estructural. Las fronteras internas de transferencia, persistencia y coordinación se mantienen fuera de esta descripción, porque no son necesarias para justificar la contribución arquitectónica.</w:t>
      </w:r>
    </w:p>
    <w:p w14:paraId="1AC5A02A" w14:textId="77777777" w:rsidR="00CA7215" w:rsidRDefault="00CA7215">
      <w:pPr>
        <w:ind w:firstLine="709"/>
        <w:jc w:val="both"/>
        <w:rPr>
          <w:lang w:val="es-ES"/>
        </w:rPr>
      </w:pPr>
    </w:p>
    <w:p w14:paraId="2A9E2A7E" w14:textId="77777777" w:rsidR="00471480" w:rsidRDefault="008F2BAA">
      <w:pPr>
        <w:keepNext/>
        <w:ind w:firstLine="709"/>
        <w:jc w:val="both"/>
        <w:outlineLvl w:val="1"/>
        <w:rPr>
          <w:lang w:val="es-ES"/>
        </w:rPr>
      </w:pPr>
      <w:bookmarkStart w:id="45" w:name="_Toc242721881"/>
      <w:r>
        <w:rPr>
          <w:b/>
          <w:lang w:val="es-ES"/>
        </w:rPr>
        <w:t>7.8. embodimentAnchor: autorización encarnada acotada</w:t>
      </w:r>
      <w:bookmarkEnd w:id="45"/>
    </w:p>
    <w:p w14:paraId="10D0F629" w14:textId="77777777" w:rsidR="00471480" w:rsidRDefault="008F2BAA">
      <w:pPr>
        <w:ind w:firstLine="709"/>
        <w:jc w:val="both"/>
        <w:rPr>
          <w:lang w:val="es-ES"/>
        </w:rPr>
      </w:pPr>
      <w:r w:rsidRPr="006C2240">
        <w:rPr>
          <w:lang w:val="es-ES"/>
        </w:rPr>
        <w:t>embodimentAnchor representa una frontera de autorización para actuaciones situadas. La existencia de un resultado estructural o de una capacidad disponible no basta para conceder permiso de ejecución física. Esta separación define el alcance de la contribución y sus límites de seguridad; los mecanismos concretos de señalización y control no forman parte de la exposición del SCC.</w:t>
      </w:r>
    </w:p>
    <w:p w14:paraId="3B803E93" w14:textId="77777777" w:rsidR="00471480" w:rsidRDefault="008F2BAA">
      <w:pPr>
        <w:ind w:firstLine="709"/>
        <w:jc w:val="both"/>
        <w:rPr>
          <w:lang w:val="es-ES"/>
        </w:rPr>
      </w:pPr>
      <w:r w:rsidRPr="00315EF1">
        <w:rPr>
          <w:lang w:val="es-ES"/>
        </w:rPr>
        <w:t>La autorización resultante pertenece únicamente al criterio de embodiment de MDPAR. No demuestra seguridad física general, validez cinemática, ausencia de colisiones, suficiencia de actuadores ni permiso jurídico. Estas garantías requieren autoridades y verificaciones externas específicas.</w:t>
      </w:r>
    </w:p>
    <w:p w14:paraId="41ED6E06" w14:textId="77777777" w:rsidR="00CA7215" w:rsidRDefault="00CA7215">
      <w:pPr>
        <w:ind w:firstLine="709"/>
        <w:jc w:val="both"/>
        <w:rPr>
          <w:lang w:val="es-ES"/>
        </w:rPr>
      </w:pPr>
    </w:p>
    <w:p w14:paraId="4CA2AB74" w14:textId="77777777" w:rsidR="00471480" w:rsidRDefault="008F2BAA">
      <w:pPr>
        <w:keepNext/>
        <w:ind w:firstLine="709"/>
        <w:jc w:val="both"/>
        <w:outlineLvl w:val="1"/>
        <w:rPr>
          <w:lang w:val="es-ES"/>
        </w:rPr>
      </w:pPr>
      <w:bookmarkStart w:id="46" w:name="_Toc242721882"/>
      <w:r>
        <w:rPr>
          <w:b/>
          <w:lang w:val="es-ES"/>
        </w:rPr>
        <w:t>7.9. open: observación semántica externa y publicación</w:t>
      </w:r>
      <w:bookmarkEnd w:id="46"/>
    </w:p>
    <w:p w14:paraId="179861BA" w14:textId="77777777" w:rsidR="00471480" w:rsidRDefault="008F2BAA">
      <w:pPr>
        <w:ind w:firstLine="709"/>
        <w:jc w:val="both"/>
        <w:rPr>
          <w:lang w:val="es-ES"/>
        </w:rPr>
      </w:pPr>
      <w:r w:rsidRPr="006C2240">
        <w:rPr>
          <w:lang w:val="es-ES"/>
        </w:rPr>
        <w:t>open permite incorporar observaciones semánticas externas sin transferir a esas fuentes la autoridad sobre las propiedades estructurales. La tesis conserva cuatro garantías conceptuales: adquisición delimitada, procedencia, incertidumbre explícita y publicación distinguible de la inferencia. Las secuencias internas de extracción y composición de resultados no son necesarias para defender esta frontera arquitectónica.</w:t>
      </w:r>
    </w:p>
    <w:p w14:paraId="4BE9D537" w14:textId="77777777" w:rsidR="00471480" w:rsidRDefault="008F2BAA">
      <w:pPr>
        <w:ind w:firstLine="709"/>
        <w:jc w:val="both"/>
        <w:rPr>
          <w:lang w:val="es-ES"/>
        </w:rPr>
      </w:pPr>
      <w:r w:rsidRPr="006C2240">
        <w:rPr>
          <w:lang w:val="es-ES"/>
        </w:rPr>
        <w:t>Las observaciones externas pueden incorporar información de dominio, modalidad, idioma y procedencia, pero deben mantener explícitas sus condiciones de incertidumbre y no redefinir las coordenadas del SCC. La descripción no detalla el orden interno de interpretación, los esquemas auxiliares ni los campos de intercambio.</w:t>
      </w:r>
    </w:p>
    <w:p w14:paraId="64A5851B" w14:textId="77777777" w:rsidR="00471480" w:rsidRDefault="008F2BAA">
      <w:pPr>
        <w:ind w:firstLine="709"/>
        <w:jc w:val="both"/>
        <w:rPr>
          <w:lang w:val="es-ES"/>
        </w:rPr>
      </w:pPr>
      <w:r w:rsidRPr="006C2240">
        <w:rPr>
          <w:lang w:val="es-ES"/>
        </w:rPr>
        <w:t>La publicación de resultados reúne observaciones y conclusiones ya autorizadas por sus respectivas responsabilidades, conservando procedencia y estados no resueltos. Presentar conjuntamente los resultados no habilita a la capa de publicación para recalcular, reinterpretar o sustituir decisiones estructurales o de autorización.</w:t>
      </w:r>
    </w:p>
    <w:p w14:paraId="3CF04CC1" w14:textId="77777777" w:rsidR="00CA7215" w:rsidRDefault="00CA7215">
      <w:pPr>
        <w:ind w:firstLine="709"/>
        <w:jc w:val="both"/>
        <w:rPr>
          <w:lang w:val="es-ES"/>
        </w:rPr>
      </w:pPr>
    </w:p>
    <w:p w14:paraId="69BD49D3" w14:textId="77777777" w:rsidR="00471480" w:rsidRDefault="008F2BAA">
      <w:pPr>
        <w:keepNext/>
        <w:ind w:firstLine="709"/>
        <w:jc w:val="both"/>
        <w:outlineLvl w:val="1"/>
        <w:rPr>
          <w:lang w:val="es-ES"/>
        </w:rPr>
      </w:pPr>
      <w:bookmarkStart w:id="47" w:name="_Toc242721883"/>
      <w:r>
        <w:rPr>
          <w:b/>
          <w:lang w:val="es-ES"/>
        </w:rPr>
        <w:t>7.10. mdpar_registry: inventario contractual de operaciones</w:t>
      </w:r>
      <w:bookmarkEnd w:id="47"/>
    </w:p>
    <w:p w14:paraId="1DC608F5" w14:textId="77777777" w:rsidR="00471480" w:rsidRDefault="008F2BAA">
      <w:pPr>
        <w:ind w:firstLine="709"/>
        <w:jc w:val="both"/>
        <w:rPr>
          <w:lang w:val="es-ES"/>
        </w:rPr>
      </w:pPr>
      <w:r w:rsidRPr="006C2240">
        <w:rPr>
          <w:lang w:val="es-ES"/>
        </w:rPr>
        <w:t xml:space="preserve">mdpar_registry mantiene un inventario versionado de la superficie matemática declarada por la arquitectura. Su función en esta tesis es permitir comprobar que las </w:t>
      </w:r>
      <w:r w:rsidRPr="006C2240">
        <w:rPr>
          <w:lang w:val="es-ES"/>
        </w:rPr>
        <w:lastRenderedPageBreak/>
        <w:t>definiciones, propiedades y límites de dominio expuestos en la Parte II cubren las familias matemáticas relevantes, sin publicar aquí identificadores exhaustivos, dependencias internas ni un catálogo operativo que actúe como especificación de implementación.</w:t>
      </w:r>
    </w:p>
    <w:p w14:paraId="515268A8" w14:textId="77777777" w:rsidR="00CA7215" w:rsidRDefault="00CA7215">
      <w:pPr>
        <w:ind w:firstLine="709"/>
        <w:jc w:val="both"/>
        <w:rPr>
          <w:lang w:val="es-ES"/>
        </w:rPr>
      </w:pPr>
    </w:p>
    <w:p w14:paraId="6185E413" w14:textId="77777777" w:rsidR="00471480" w:rsidRDefault="008F2BAA">
      <w:pPr>
        <w:keepNext/>
        <w:ind w:firstLine="709"/>
        <w:jc w:val="both"/>
        <w:outlineLvl w:val="1"/>
        <w:rPr>
          <w:lang w:val="es-ES"/>
        </w:rPr>
      </w:pPr>
      <w:bookmarkStart w:id="48" w:name="_Toc242721884"/>
      <w:r>
        <w:rPr>
          <w:b/>
          <w:lang w:val="es-ES"/>
        </w:rPr>
        <w:t>7.11. mdpar_qa: verificación arquitectónica</w:t>
      </w:r>
      <w:bookmarkEnd w:id="48"/>
    </w:p>
    <w:p w14:paraId="688B8E15" w14:textId="77777777" w:rsidR="00471480" w:rsidRDefault="008F2BAA">
      <w:pPr>
        <w:ind w:firstLine="709"/>
        <w:jc w:val="both"/>
        <w:rPr>
          <w:lang w:val="es-ES"/>
        </w:rPr>
      </w:pPr>
      <w:r w:rsidRPr="006C2240">
        <w:rPr>
          <w:lang w:val="es-ES"/>
        </w:rPr>
        <w:t>mdpar_qa reúne comprobaciones de conformidad de la realización arquitectónica. Su papel en la tesis es diferenciar la verificación de contratos de implementación de la validación científica externa: superar comprobaciones internas acredita solo las condiciones efectivamente examinadas. No se detallan ejecutores, orden de invocación ni organización interna de la verificación.</w:t>
      </w:r>
    </w:p>
    <w:p w14:paraId="4CD6AC05" w14:textId="77777777" w:rsidR="00471480" w:rsidRDefault="008F2BAA">
      <w:pPr>
        <w:ind w:firstLine="709"/>
        <w:jc w:val="both"/>
        <w:rPr>
          <w:lang w:val="es-ES"/>
        </w:rPr>
      </w:pPr>
      <w:r w:rsidRPr="00315EF1">
        <w:rPr>
          <w:lang w:val="es-ES"/>
        </w:rPr>
        <w:t>La superación de QA acredita el cumplimiento de los contratos ejecutados bajo el entorno y la versión verificados; no equivale a corroboración empírica externa de MDPAR ni sustituye la campaña experimental del adapter.</w:t>
      </w:r>
    </w:p>
    <w:p w14:paraId="62922756" w14:textId="77777777" w:rsidR="00CA7215" w:rsidRDefault="00CA7215">
      <w:pPr>
        <w:ind w:firstLine="709"/>
        <w:jc w:val="both"/>
        <w:rPr>
          <w:lang w:val="es-ES"/>
        </w:rPr>
      </w:pPr>
    </w:p>
    <w:p w14:paraId="1BFC012F" w14:textId="77777777" w:rsidR="00471480" w:rsidRDefault="008F2BAA">
      <w:pPr>
        <w:keepNext/>
        <w:ind w:firstLine="709"/>
        <w:jc w:val="both"/>
        <w:outlineLvl w:val="1"/>
        <w:rPr>
          <w:lang w:val="es-ES"/>
        </w:rPr>
      </w:pPr>
      <w:bookmarkStart w:id="49" w:name="_Toc242721885"/>
      <w:r>
        <w:rPr>
          <w:b/>
          <w:lang w:val="es-ES"/>
        </w:rPr>
        <w:t>7.12. pom.xml: identidad y construcción reproducible</w:t>
      </w:r>
      <w:bookmarkEnd w:id="49"/>
    </w:p>
    <w:p w14:paraId="2DC633FA" w14:textId="77777777" w:rsidR="00471480" w:rsidRDefault="008F2BAA">
      <w:pPr>
        <w:ind w:firstLine="709"/>
        <w:jc w:val="both"/>
        <w:rPr>
          <w:lang w:val="es-ES"/>
        </w:rPr>
      </w:pPr>
      <w:r w:rsidRPr="006C2240">
        <w:rPr>
          <w:lang w:val="es-ES"/>
        </w:rPr>
        <w:t>La construcción del instrumento vincula la realización ejecutable a una identidad de versión y a condiciones reproducibles de compilación y comprobación. Esta responsabilidad es técnica, no matemática ni interpretativa; los detalles de empaquetado y configuración se reservan para la documentación de reproducibilidad.</w:t>
      </w:r>
    </w:p>
    <w:p w14:paraId="27C4D7BC" w14:textId="77777777" w:rsidR="00471480" w:rsidRDefault="008F2BAA">
      <w:pPr>
        <w:ind w:firstLine="709"/>
        <w:jc w:val="both"/>
        <w:rPr>
          <w:lang w:val="es-ES"/>
        </w:rPr>
      </w:pPr>
      <w:r w:rsidRPr="006C2240">
        <w:rPr>
          <w:lang w:val="es-ES"/>
        </w:rPr>
        <w:t>La construcción reproducible y la comprobación de conformidad permiten identificar la realización examinada y sus condiciones de ejecución. Un resultado conforme no demuestra por sí mismo la generalidad externa de la hipótesis científica. Los procedimientos operativos detallados se reservan para la documentación técnica que corresponda.</w:t>
      </w:r>
    </w:p>
    <w:p w14:paraId="45951FF0" w14:textId="77777777" w:rsidR="00071003" w:rsidRDefault="008F2BAA">
      <w:pPr>
        <w:ind w:firstLine="709"/>
        <w:jc w:val="both"/>
        <w:rPr>
          <w:lang w:val="es-ES"/>
        </w:rPr>
      </w:pPr>
      <w:r w:rsidRPr="00315EF1">
        <w:rPr>
          <w:lang w:val="es-ES"/>
        </w:rPr>
        <w:t>La distribución de autoridades descrita convierte las propiedades del SCC en operaciones ejecutables y auditables sin concentrar semántica, estructura, decisión y actuación en un mismo componente. El capítulo 8 examina por separado la instrumentación experimental y operacional de mdpar-ai-adapter.</w:t>
      </w:r>
    </w:p>
    <w:p w14:paraId="04F70F76" w14:textId="77777777" w:rsidR="000018BD" w:rsidRDefault="000018BD" w:rsidP="00071003">
      <w:pPr>
        <w:spacing w:after="200" w:line="276" w:lineRule="auto"/>
        <w:rPr>
          <w:lang w:val="es-ES"/>
        </w:rPr>
      </w:pPr>
    </w:p>
    <w:p w14:paraId="1518CA1B" w14:textId="77777777" w:rsidR="00CB5FF7" w:rsidRPr="00567F5A" w:rsidRDefault="002C5F92" w:rsidP="00567F5A">
      <w:pPr>
        <w:keepNext/>
        <w:jc w:val="both"/>
        <w:outlineLvl w:val="0"/>
        <w:rPr>
          <w:sz w:val="20"/>
          <w:szCs w:val="18"/>
          <w:lang w:val="es-ES"/>
        </w:rPr>
      </w:pPr>
      <w:bookmarkStart w:id="50" w:name="_Toc242721886"/>
      <w:r w:rsidRPr="00071003">
        <w:rPr>
          <w:b/>
          <w:lang w:val="es-ES"/>
        </w:rPr>
        <w:t>Capítulo 8: mdpar-ai-adapter — interfaz semántica y experimental</w:t>
      </w:r>
      <w:bookmarkEnd w:id="50"/>
    </w:p>
    <w:p w14:paraId="730E3609" w14:textId="77777777" w:rsidR="00071003" w:rsidRDefault="00071003">
      <w:pPr>
        <w:ind w:firstLine="709"/>
        <w:jc w:val="both"/>
        <w:rPr>
          <w:lang w:val="es-ES"/>
        </w:rPr>
      </w:pPr>
    </w:p>
    <w:p w14:paraId="033BFB5F" w14:textId="77777777" w:rsidR="00E52084" w:rsidRPr="00567F5A" w:rsidRDefault="004D49ED">
      <w:pPr>
        <w:ind w:firstLine="709"/>
        <w:jc w:val="both"/>
        <w:rPr>
          <w:lang w:val="es-ES"/>
        </w:rPr>
      </w:pPr>
      <w:r w:rsidRPr="00071003">
        <w:rPr>
          <w:lang w:val="es-ES"/>
        </w:rPr>
        <w:t xml:space="preserve">El capítulo anterior estableció la distribución ejecutable del SCC en la arquitectura Java. Para someterla a observación semántica y contraste experimental hace falta una </w:t>
      </w:r>
      <w:r w:rsidRPr="00071003">
        <w:rPr>
          <w:lang w:val="es-ES"/>
        </w:rPr>
        <w:lastRenderedPageBreak/>
        <w:t>frontera que admita entradas heterogéneas sin reproducir sus operaciones formales ni trasladar al observador externo la autoridad sobre el proceso. mdpar-ai-adapter desempeña esa función como capa Python de integración, instrumentación y publicación alrededor del runtime longitudinal de MDPAR.</w:t>
      </w:r>
    </w:p>
    <w:p w14:paraId="2F2727FB" w14:textId="77777777" w:rsidR="00E52084" w:rsidRPr="00567F5A" w:rsidRDefault="004D49ED">
      <w:pPr>
        <w:ind w:firstLine="709"/>
        <w:jc w:val="both"/>
        <w:rPr>
          <w:lang w:val="es-ES"/>
        </w:rPr>
      </w:pPr>
      <w:r w:rsidRPr="00071003">
        <w:rPr>
          <w:lang w:val="es-ES"/>
        </w:rPr>
        <w:t>Su arquitectura separa tres responsabilidades: la fuente Java canónica conserva el cálculo y el estado estructural; los proveedores y las capacidades especializadas aportan observaciones bajo contratos delimitados; y el adapter organiza el ingreso, la ejecución, la medición y la custodia de la evidencia. Esta separación impide que una conveniencia de interfaz, un resultado de benchmark o un informe legible adquieran por sí mismos autoridad para redefinir el SCC.</w:t>
      </w:r>
    </w:p>
    <w:p w14:paraId="0C359212" w14:textId="77777777" w:rsidR="00E52084" w:rsidRDefault="004D49ED">
      <w:pPr>
        <w:ind w:firstLine="709"/>
        <w:jc w:val="both"/>
        <w:rPr>
          <w:lang w:val="es-ES"/>
        </w:rPr>
      </w:pPr>
      <w:r w:rsidRPr="00071003">
        <w:rPr>
          <w:lang w:val="es-ES"/>
        </w:rPr>
        <w:t>La exposición sigue las carpetas principales del adapter y reserva un apartado específico a Swagger como superficie operacional, aunque no constituya un directorio independiente. Los instrumentos experimentales se describen por sus funciones y contratos comunes, sin convertir las capacidades individuales en un inventario de resultados. La explicación de los procedimientos exhaustivos de reproducción y del contrato público de assessment corresponde a los anexos técnicos.</w:t>
      </w:r>
    </w:p>
    <w:p w14:paraId="7E316466" w14:textId="77777777" w:rsidR="009A6EA2" w:rsidRDefault="009A6EA2">
      <w:pPr>
        <w:ind w:firstLine="709"/>
        <w:jc w:val="both"/>
        <w:rPr>
          <w:lang w:val="es-ES"/>
        </w:rPr>
      </w:pPr>
    </w:p>
    <w:tbl>
      <w:tblPr>
        <w:tblStyle w:val="Tablanormal2"/>
        <w:tblW w:w="0" w:type="auto"/>
        <w:tblLook w:val="04A0" w:firstRow="1" w:lastRow="0" w:firstColumn="1" w:lastColumn="0" w:noHBand="0" w:noVBand="1"/>
      </w:tblPr>
      <w:tblGrid>
        <w:gridCol w:w="1668"/>
        <w:gridCol w:w="7118"/>
      </w:tblGrid>
      <w:tr w:rsidR="00471480" w:rsidRPr="00315EF1" w14:paraId="70C1DC1E" w14:textId="77777777" w:rsidTr="00315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7E58F2C" w14:textId="77777777" w:rsidR="00471480" w:rsidRPr="00315EF1" w:rsidRDefault="008F2BAA" w:rsidP="00315EF1">
            <w:pPr>
              <w:spacing w:line="240" w:lineRule="auto"/>
              <w:rPr>
                <w:sz w:val="16"/>
                <w:szCs w:val="14"/>
              </w:rPr>
            </w:pPr>
            <w:r w:rsidRPr="00315EF1">
              <w:rPr>
                <w:sz w:val="16"/>
                <w:szCs w:val="14"/>
              </w:rPr>
              <w:t>Paquete o archivo</w:t>
            </w:r>
          </w:p>
        </w:tc>
        <w:tc>
          <w:tcPr>
            <w:tcW w:w="7118" w:type="dxa"/>
          </w:tcPr>
          <w:p w14:paraId="4CB25709" w14:textId="77777777" w:rsidR="00471480" w:rsidRPr="00315EF1" w:rsidRDefault="008F2BAA" w:rsidP="00315EF1">
            <w:pPr>
              <w:spacing w:line="240" w:lineRule="auto"/>
              <w:cnfStyle w:val="100000000000" w:firstRow="1" w:lastRow="0" w:firstColumn="0" w:lastColumn="0" w:oddVBand="0" w:evenVBand="0" w:oddHBand="0" w:evenHBand="0" w:firstRowFirstColumn="0" w:firstRowLastColumn="0" w:lastRowFirstColumn="0" w:lastRowLastColumn="0"/>
              <w:rPr>
                <w:sz w:val="16"/>
                <w:szCs w:val="14"/>
              </w:rPr>
            </w:pPr>
            <w:r w:rsidRPr="00315EF1">
              <w:rPr>
                <w:sz w:val="16"/>
                <w:szCs w:val="14"/>
              </w:rPr>
              <w:t>Responsabilidad arquitectónica</w:t>
            </w:r>
          </w:p>
        </w:tc>
      </w:tr>
      <w:tr w:rsidR="00F94A0E" w:rsidRPr="002F4F30" w14:paraId="0CD197F0" w14:textId="77777777" w:rsidTr="00F9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82661A9" w14:textId="77777777" w:rsidR="00F94A0E" w:rsidRDefault="00CD21A7">
            <w:pPr>
              <w:spacing w:line="240" w:lineRule="auto"/>
              <w:rPr>
                <w:sz w:val="16"/>
                <w:szCs w:val="14"/>
              </w:rPr>
            </w:pPr>
            <w:r>
              <w:rPr>
                <w:sz w:val="16"/>
                <w:szCs w:val="14"/>
              </w:rPr>
              <w:t>app</w:t>
            </w:r>
          </w:p>
        </w:tc>
        <w:tc>
          <w:tcPr>
            <w:tcW w:w="7118" w:type="dxa"/>
          </w:tcPr>
          <w:p w14:paraId="537D667C" w14:textId="77777777" w:rsidR="00F94A0E" w:rsidRDefault="00CD21A7">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Pr>
                <w:sz w:val="16"/>
                <w:szCs w:val="14"/>
                <w:lang w:val="es-ES"/>
              </w:rPr>
              <w:t>Integración Python–Java, ingreso y adquisición semántica, instrumentación, evaluación, temporalidad y publicación bajo autoridad canónica.</w:t>
            </w:r>
          </w:p>
        </w:tc>
      </w:tr>
      <w:tr w:rsidR="00F94A0E" w:rsidRPr="002F4F30" w14:paraId="798C1D3B" w14:textId="77777777" w:rsidTr="00F94A0E">
        <w:tc>
          <w:tcPr>
            <w:cnfStyle w:val="001000000000" w:firstRow="0" w:lastRow="0" w:firstColumn="1" w:lastColumn="0" w:oddVBand="0" w:evenVBand="0" w:oddHBand="0" w:evenHBand="0" w:firstRowFirstColumn="0" w:firstRowLastColumn="0" w:lastRowFirstColumn="0" w:lastRowLastColumn="0"/>
            <w:tcW w:w="1668" w:type="dxa"/>
          </w:tcPr>
          <w:p w14:paraId="5FBE9373" w14:textId="77777777" w:rsidR="00F94A0E" w:rsidRDefault="00CD21A7">
            <w:pPr>
              <w:spacing w:line="240" w:lineRule="auto"/>
              <w:rPr>
                <w:sz w:val="16"/>
                <w:szCs w:val="14"/>
              </w:rPr>
            </w:pPr>
            <w:r>
              <w:rPr>
                <w:sz w:val="16"/>
                <w:szCs w:val="14"/>
              </w:rPr>
              <w:t>corpus</w:t>
            </w:r>
          </w:p>
        </w:tc>
        <w:tc>
          <w:tcPr>
            <w:tcW w:w="7118" w:type="dxa"/>
          </w:tcPr>
          <w:p w14:paraId="2D2B84A3" w14:textId="77777777" w:rsidR="00F94A0E" w:rsidRDefault="00CD21A7">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Pr>
                <w:sz w:val="16"/>
                <w:szCs w:val="14"/>
                <w:lang w:val="es-ES"/>
              </w:rPr>
              <w:t>Estímulos y condiciones experimentales identificables, separados de los resultados y de su interpretación.</w:t>
            </w:r>
          </w:p>
        </w:tc>
      </w:tr>
      <w:tr w:rsidR="00F94A0E" w:rsidRPr="002F4F30" w14:paraId="77F2A22B" w14:textId="77777777" w:rsidTr="00F9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F4A4D3C" w14:textId="77777777" w:rsidR="00F94A0E" w:rsidRDefault="00CD21A7">
            <w:pPr>
              <w:spacing w:line="240" w:lineRule="auto"/>
              <w:rPr>
                <w:sz w:val="16"/>
                <w:szCs w:val="14"/>
              </w:rPr>
            </w:pPr>
            <w:r>
              <w:rPr>
                <w:sz w:val="16"/>
                <w:szCs w:val="14"/>
              </w:rPr>
              <w:t>scripts</w:t>
            </w:r>
          </w:p>
        </w:tc>
        <w:tc>
          <w:tcPr>
            <w:tcW w:w="7118" w:type="dxa"/>
          </w:tcPr>
          <w:p w14:paraId="3081A062" w14:textId="77777777" w:rsidR="00F94A0E" w:rsidRDefault="00CD21A7">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Pr>
                <w:sz w:val="16"/>
                <w:szCs w:val="14"/>
                <w:lang w:val="es-ES"/>
              </w:rPr>
              <w:t>Preparación y ejecución de protocolos, análisis posterior y validación de artefactos de evidencia.</w:t>
            </w:r>
          </w:p>
        </w:tc>
      </w:tr>
      <w:tr w:rsidR="00F94A0E" w:rsidRPr="002F4F30" w14:paraId="76864F02" w14:textId="77777777" w:rsidTr="00F94A0E">
        <w:tc>
          <w:tcPr>
            <w:cnfStyle w:val="001000000000" w:firstRow="0" w:lastRow="0" w:firstColumn="1" w:lastColumn="0" w:oddVBand="0" w:evenVBand="0" w:oddHBand="0" w:evenHBand="0" w:firstRowFirstColumn="0" w:firstRowLastColumn="0" w:lastRowFirstColumn="0" w:lastRowLastColumn="0"/>
            <w:tcW w:w="1668" w:type="dxa"/>
          </w:tcPr>
          <w:p w14:paraId="32445245" w14:textId="77777777" w:rsidR="00F94A0E" w:rsidRDefault="00CD21A7">
            <w:pPr>
              <w:spacing w:line="240" w:lineRule="auto"/>
              <w:rPr>
                <w:sz w:val="16"/>
                <w:szCs w:val="14"/>
              </w:rPr>
            </w:pPr>
            <w:r>
              <w:rPr>
                <w:sz w:val="16"/>
                <w:szCs w:val="14"/>
              </w:rPr>
              <w:t>tests</w:t>
            </w:r>
          </w:p>
        </w:tc>
        <w:tc>
          <w:tcPr>
            <w:tcW w:w="7118" w:type="dxa"/>
          </w:tcPr>
          <w:p w14:paraId="0214E448" w14:textId="77777777" w:rsidR="00F94A0E" w:rsidRDefault="00CD21A7">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Pr>
                <w:sz w:val="16"/>
                <w:szCs w:val="14"/>
                <w:lang w:val="es-ES"/>
              </w:rPr>
              <w:t>Pruebas de regresión y conformidad de los contratos de implementación e integración.</w:t>
            </w:r>
          </w:p>
        </w:tc>
      </w:tr>
      <w:tr w:rsidR="00F94A0E" w:rsidRPr="002F4F30" w14:paraId="071CE4F8" w14:textId="77777777" w:rsidTr="00F9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991EA0E" w14:textId="77777777" w:rsidR="00F94A0E" w:rsidRDefault="00CD21A7">
            <w:pPr>
              <w:spacing w:line="240" w:lineRule="auto"/>
              <w:rPr>
                <w:sz w:val="16"/>
                <w:szCs w:val="14"/>
              </w:rPr>
            </w:pPr>
            <w:r>
              <w:rPr>
                <w:sz w:val="16"/>
                <w:szCs w:val="14"/>
              </w:rPr>
              <w:t>runs</w:t>
            </w:r>
          </w:p>
        </w:tc>
        <w:tc>
          <w:tcPr>
            <w:tcW w:w="7118" w:type="dxa"/>
          </w:tcPr>
          <w:p w14:paraId="0DCCDBE7" w14:textId="77777777" w:rsidR="00F94A0E" w:rsidRDefault="00CD21A7">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Pr>
                <w:sz w:val="16"/>
                <w:szCs w:val="14"/>
                <w:lang w:val="es-ES"/>
              </w:rPr>
              <w:t>Custodia de las campañas C0–C13 y de su procedencia, con inventario index.json y reglas de conservación en README.md.</w:t>
            </w:r>
          </w:p>
        </w:tc>
      </w:tr>
      <w:tr w:rsidR="00F94A0E" w:rsidRPr="002F4F30" w14:paraId="017AA218" w14:textId="77777777" w:rsidTr="00F94A0E">
        <w:tc>
          <w:tcPr>
            <w:cnfStyle w:val="001000000000" w:firstRow="0" w:lastRow="0" w:firstColumn="1" w:lastColumn="0" w:oddVBand="0" w:evenVBand="0" w:oddHBand="0" w:evenHBand="0" w:firstRowFirstColumn="0" w:firstRowLastColumn="0" w:lastRowFirstColumn="0" w:lastRowLastColumn="0"/>
            <w:tcW w:w="1668" w:type="dxa"/>
          </w:tcPr>
          <w:p w14:paraId="7A88AC79" w14:textId="77777777" w:rsidR="00F94A0E" w:rsidRDefault="00CD21A7">
            <w:pPr>
              <w:spacing w:line="240" w:lineRule="auto"/>
              <w:rPr>
                <w:sz w:val="16"/>
                <w:szCs w:val="14"/>
              </w:rPr>
            </w:pPr>
            <w:r>
              <w:rPr>
                <w:sz w:val="16"/>
                <w:szCs w:val="14"/>
              </w:rPr>
              <w:t>verification</w:t>
            </w:r>
          </w:p>
        </w:tc>
        <w:tc>
          <w:tcPr>
            <w:tcW w:w="7118" w:type="dxa"/>
          </w:tcPr>
          <w:p w14:paraId="684D8881" w14:textId="77777777" w:rsidR="00F94A0E" w:rsidRDefault="00CD21A7">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Pr>
                <w:sz w:val="16"/>
                <w:szCs w:val="14"/>
                <w:lang w:val="es-ES"/>
              </w:rPr>
              <w:t>Contraste con la fuente Java de referencia y comprobación independiente de la integridad del almacén experimental.</w:t>
            </w:r>
          </w:p>
        </w:tc>
      </w:tr>
      <w:tr w:rsidR="00F94A0E" w:rsidRPr="002F4F30" w14:paraId="3EFA7767" w14:textId="77777777" w:rsidTr="00F9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8A93567" w14:textId="77777777" w:rsidR="00F94A0E" w:rsidRDefault="00CD21A7">
            <w:pPr>
              <w:spacing w:line="240" w:lineRule="auto"/>
              <w:rPr>
                <w:sz w:val="16"/>
                <w:szCs w:val="14"/>
              </w:rPr>
            </w:pPr>
            <w:r>
              <w:rPr>
                <w:sz w:val="16"/>
                <w:szCs w:val="14"/>
              </w:rPr>
              <w:t>fixtures</w:t>
            </w:r>
          </w:p>
        </w:tc>
        <w:tc>
          <w:tcPr>
            <w:tcW w:w="7118" w:type="dxa"/>
          </w:tcPr>
          <w:p w14:paraId="6E72A395" w14:textId="77777777" w:rsidR="00F94A0E" w:rsidRDefault="00CD21A7">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Pr>
                <w:sz w:val="16"/>
                <w:szCs w:val="14"/>
                <w:lang w:val="es-ES"/>
              </w:rPr>
              <w:t>Auxiliares delimitados para contrastes reproducibles y comprobaciones diferenciales.</w:t>
            </w:r>
          </w:p>
        </w:tc>
      </w:tr>
      <w:tr w:rsidR="00F94A0E" w:rsidRPr="002F4F30" w14:paraId="21F67038" w14:textId="77777777" w:rsidTr="00F94A0E">
        <w:tc>
          <w:tcPr>
            <w:cnfStyle w:val="001000000000" w:firstRow="0" w:lastRow="0" w:firstColumn="1" w:lastColumn="0" w:oddVBand="0" w:evenVBand="0" w:oddHBand="0" w:evenHBand="0" w:firstRowFirstColumn="0" w:firstRowLastColumn="0" w:lastRowFirstColumn="0" w:lastRowLastColumn="0"/>
            <w:tcW w:w="1668" w:type="dxa"/>
          </w:tcPr>
          <w:p w14:paraId="29C37007" w14:textId="77777777" w:rsidR="00F94A0E" w:rsidRDefault="00CD21A7">
            <w:pPr>
              <w:spacing w:line="240" w:lineRule="auto"/>
              <w:rPr>
                <w:sz w:val="16"/>
                <w:szCs w:val="14"/>
              </w:rPr>
            </w:pPr>
            <w:r>
              <w:rPr>
                <w:sz w:val="16"/>
                <w:szCs w:val="14"/>
              </w:rPr>
              <w:t>Swagger</w:t>
            </w:r>
          </w:p>
        </w:tc>
        <w:tc>
          <w:tcPr>
            <w:tcW w:w="7118" w:type="dxa"/>
          </w:tcPr>
          <w:p w14:paraId="49AD8C91" w14:textId="77777777" w:rsidR="00F94A0E" w:rsidRDefault="00CD21A7">
            <w:pPr>
              <w:spacing w:line="240" w:lineRule="auto"/>
              <w:cnfStyle w:val="000000000000" w:firstRow="0" w:lastRow="0" w:firstColumn="0" w:lastColumn="0" w:oddVBand="0" w:evenVBand="0" w:oddHBand="0" w:evenHBand="0" w:firstRowFirstColumn="0" w:firstRowLastColumn="0" w:lastRowFirstColumn="0" w:lastRowLastColumn="0"/>
              <w:rPr>
                <w:sz w:val="16"/>
                <w:szCs w:val="14"/>
                <w:lang w:val="es-ES"/>
              </w:rPr>
            </w:pPr>
            <w:r>
              <w:rPr>
                <w:sz w:val="16"/>
                <w:szCs w:val="14"/>
                <w:lang w:val="es-ES"/>
              </w:rPr>
              <w:t>Exposición operacional de la API pública de evaluación documental, diferenciada de la superficie interna de ingeniería.</w:t>
            </w:r>
          </w:p>
        </w:tc>
      </w:tr>
      <w:tr w:rsidR="00F94A0E" w:rsidRPr="002F4F30" w14:paraId="677F4D5D" w14:textId="77777777" w:rsidTr="00F9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63BCA25" w14:textId="77777777" w:rsidR="00F94A0E" w:rsidRDefault="00CD21A7">
            <w:pPr>
              <w:spacing w:line="240" w:lineRule="auto"/>
              <w:rPr>
                <w:sz w:val="16"/>
                <w:szCs w:val="14"/>
              </w:rPr>
            </w:pPr>
            <w:r>
              <w:rPr>
                <w:sz w:val="16"/>
                <w:szCs w:val="14"/>
              </w:rPr>
              <w:t>docs</w:t>
            </w:r>
          </w:p>
        </w:tc>
        <w:tc>
          <w:tcPr>
            <w:tcW w:w="7118" w:type="dxa"/>
          </w:tcPr>
          <w:p w14:paraId="3EC6B0F4" w14:textId="77777777" w:rsidR="00F94A0E" w:rsidRDefault="00CD21A7">
            <w:pPr>
              <w:spacing w:line="240" w:lineRule="auto"/>
              <w:cnfStyle w:val="000000100000" w:firstRow="0" w:lastRow="0" w:firstColumn="0" w:lastColumn="0" w:oddVBand="0" w:evenVBand="0" w:oddHBand="1" w:evenHBand="0" w:firstRowFirstColumn="0" w:firstRowLastColumn="0" w:lastRowFirstColumn="0" w:lastRowLastColumn="0"/>
              <w:rPr>
                <w:sz w:val="16"/>
                <w:szCs w:val="14"/>
                <w:lang w:val="es-ES"/>
              </w:rPr>
            </w:pPr>
            <w:r>
              <w:rPr>
                <w:sz w:val="16"/>
                <w:szCs w:val="14"/>
                <w:lang w:val="es-ES"/>
              </w:rPr>
              <w:t>Documentación canónica de la release y de la investigación, diferenciada de los materiales temporales de trabajo.</w:t>
            </w:r>
          </w:p>
        </w:tc>
      </w:tr>
    </w:tbl>
    <w:p w14:paraId="19C7E8FD" w14:textId="77777777" w:rsidR="00071003" w:rsidRPr="00567F5A" w:rsidRDefault="00071003" w:rsidP="009A6EA2">
      <w:pPr>
        <w:jc w:val="both"/>
        <w:rPr>
          <w:lang w:val="es-ES"/>
        </w:rPr>
      </w:pPr>
    </w:p>
    <w:p w14:paraId="25420395" w14:textId="77777777" w:rsidR="00E52084" w:rsidRPr="00567F5A" w:rsidRDefault="004D49ED" w:rsidP="000D20C1">
      <w:pPr>
        <w:keepNext/>
        <w:ind w:firstLine="709"/>
        <w:jc w:val="both"/>
        <w:outlineLvl w:val="1"/>
        <w:rPr>
          <w:lang w:val="es-ES"/>
        </w:rPr>
      </w:pPr>
      <w:bookmarkStart w:id="51" w:name="_Toc242721887"/>
      <w:r w:rsidRPr="00071003">
        <w:rPr>
          <w:b/>
          <w:lang w:val="es-ES"/>
        </w:rPr>
        <w:t>8.1. app: integración, ejecución y publicación bajo autoridad canónica</w:t>
      </w:r>
      <w:bookmarkEnd w:id="51"/>
    </w:p>
    <w:p w14:paraId="70904484" w14:textId="77777777" w:rsidR="00E52084" w:rsidRPr="00567F5A" w:rsidRDefault="004D49ED">
      <w:pPr>
        <w:ind w:firstLine="709"/>
        <w:jc w:val="both"/>
        <w:rPr>
          <w:lang w:val="es-ES"/>
        </w:rPr>
      </w:pPr>
      <w:r w:rsidRPr="006C2240">
        <w:rPr>
          <w:lang w:val="es-ES"/>
        </w:rPr>
        <w:t>La superficie de aplicación conecta la realización estructural con las observaciones y con la evaluación experimental. Su contribución científica consiste en mantener diferenciadas la adquisición semántica, la representación matemática y la autoridad sobre los resultados. La interoperabilidad se documenta mediante contratos observables y evidencia de ejecución, sin convertir la descripción académica en una secuencia de ensamblaje o una especificación del puente entre lenguajes.</w:t>
      </w:r>
    </w:p>
    <w:p w14:paraId="69A1708A" w14:textId="77777777" w:rsidR="00071003" w:rsidRPr="00567F5A" w:rsidRDefault="00071003">
      <w:pPr>
        <w:ind w:firstLine="709"/>
        <w:jc w:val="both"/>
        <w:rPr>
          <w:lang w:val="es-ES"/>
        </w:rPr>
      </w:pPr>
    </w:p>
    <w:p w14:paraId="7167503F" w14:textId="77777777" w:rsidR="00E52084" w:rsidRPr="00567F5A" w:rsidRDefault="004D49ED" w:rsidP="000D20C1">
      <w:pPr>
        <w:keepNext/>
        <w:ind w:firstLine="709"/>
        <w:jc w:val="both"/>
        <w:outlineLvl w:val="1"/>
        <w:rPr>
          <w:lang w:val="es-ES"/>
        </w:rPr>
      </w:pPr>
      <w:bookmarkStart w:id="52" w:name="_Toc242721888"/>
      <w:r w:rsidRPr="00071003">
        <w:rPr>
          <w:b/>
          <w:lang w:val="es-ES"/>
        </w:rPr>
        <w:lastRenderedPageBreak/>
        <w:t>8.2. corpus: condiciones experimentales y estímulos reproducibles</w:t>
      </w:r>
      <w:bookmarkEnd w:id="52"/>
    </w:p>
    <w:p w14:paraId="237E733B" w14:textId="77777777" w:rsidR="00E52084" w:rsidRPr="00567F5A" w:rsidRDefault="004D49ED">
      <w:pPr>
        <w:ind w:firstLine="709"/>
        <w:jc w:val="both"/>
        <w:rPr>
          <w:lang w:val="es-ES"/>
        </w:rPr>
      </w:pPr>
      <w:r w:rsidRPr="00071003">
        <w:rPr>
          <w:lang w:val="es-ES"/>
        </w:rPr>
        <w:t>corpus conserva las entradas y condiciones de los ensayos de forma separada de las respuestas obtenidas. Su organización permite congelar estímulos, fijar las condiciones relevantes de una comparación y volver a presentar una misma pregunta al instrumento sin alterar retrospectivamente el material observado. Los casos pueden ser deterministas, cooperativos, longitudinales o dependientes de observación externa; esa heterogeneidad pertenece al diseño experimental, no a una ampliación de la ontología del SCC.</w:t>
      </w:r>
    </w:p>
    <w:p w14:paraId="4517591A" w14:textId="77777777" w:rsidR="00E52084" w:rsidRDefault="004D49ED">
      <w:pPr>
        <w:ind w:firstLine="709"/>
        <w:jc w:val="both"/>
        <w:rPr>
          <w:lang w:val="es-ES"/>
        </w:rPr>
      </w:pPr>
      <w:r w:rsidRPr="00071003">
        <w:rPr>
          <w:lang w:val="es-ES"/>
        </w:rPr>
        <w:t>La función de corpus es sostener comparaciones reproducibles. La validez de una condición depende de que sus entradas, restricciones y criterios aplicables sean identificables, no de que su nombre o su ubicación anticipen un resultado favorable. Cuando un instrumento genera material derivado, su procedencia debe poder reconstruirse y distinguirse de los estímulos previamente congelados.</w:t>
      </w:r>
    </w:p>
    <w:p w14:paraId="2BC21CE7" w14:textId="77777777" w:rsidR="00071003" w:rsidRPr="00567F5A" w:rsidRDefault="00071003">
      <w:pPr>
        <w:ind w:firstLine="709"/>
        <w:jc w:val="both"/>
        <w:rPr>
          <w:lang w:val="es-ES"/>
        </w:rPr>
      </w:pPr>
    </w:p>
    <w:p w14:paraId="50DB9751" w14:textId="77777777" w:rsidR="00E52084" w:rsidRPr="00567F5A" w:rsidRDefault="004D49ED" w:rsidP="000D20C1">
      <w:pPr>
        <w:keepNext/>
        <w:ind w:firstLine="709"/>
        <w:jc w:val="both"/>
        <w:outlineLvl w:val="1"/>
        <w:rPr>
          <w:lang w:val="es-ES"/>
        </w:rPr>
      </w:pPr>
      <w:bookmarkStart w:id="53" w:name="_Toc242721889"/>
      <w:r w:rsidRPr="00071003">
        <w:rPr>
          <w:b/>
          <w:lang w:val="es-ES"/>
        </w:rPr>
        <w:t>8.3. scripts: ejecución prospectiva y análisis de la evidencia</w:t>
      </w:r>
      <w:bookmarkEnd w:id="53"/>
    </w:p>
    <w:p w14:paraId="1348F09F" w14:textId="77777777" w:rsidR="00E52084" w:rsidRPr="00567F5A" w:rsidRDefault="004D49ED">
      <w:pPr>
        <w:ind w:firstLine="709"/>
        <w:jc w:val="both"/>
        <w:rPr>
          <w:lang w:val="es-ES"/>
        </w:rPr>
      </w:pPr>
      <w:r w:rsidRPr="00071003">
        <w:rPr>
          <w:lang w:val="es-ES"/>
        </w:rPr>
        <w:t>scripts reúne los puntos de entrada para ejecutar protocolos, preparar determinados corpus, analizar resultados conservados y comprobar artefactos. La pluralidad de ejecutores responde a diferencias instrumentales: algunas condiciones verifican directamente operaciones formales; otras requieren un proveedor semántico, un régimen temporal o una comparación entre realizaciones. Esa diversidad no implica la existencia de diferentes núcleos SCC.</w:t>
      </w:r>
    </w:p>
    <w:p w14:paraId="7043B057" w14:textId="77777777" w:rsidR="00E52084" w:rsidRDefault="004D49ED">
      <w:pPr>
        <w:ind w:firstLine="709"/>
        <w:jc w:val="both"/>
        <w:rPr>
          <w:lang w:val="es-ES"/>
        </w:rPr>
      </w:pPr>
      <w:r w:rsidRPr="00071003">
        <w:rPr>
          <w:lang w:val="es-ES"/>
        </w:rPr>
        <w:t>La separación entre ejecución y análisis es metodológica. Una ejecución produce observaciones y registra las condiciones efectivas bajo las que se obtuvieron; el análisis posterior calcula o resume magnitudes sobre esos registros. Los scripts de comprobación de integridad y de completitud de release desempeñan una tercera función: establecen qué artefactos están presentes y si conservan la identidad declarada, sin decidir por ello la verdad de una hipótesis científica.</w:t>
      </w:r>
    </w:p>
    <w:p w14:paraId="6FD0FCBA" w14:textId="77777777" w:rsidR="00992ACB" w:rsidRPr="00567F5A" w:rsidRDefault="00992ACB">
      <w:pPr>
        <w:ind w:firstLine="709"/>
        <w:jc w:val="both"/>
        <w:rPr>
          <w:lang w:val="es-ES"/>
        </w:rPr>
      </w:pPr>
    </w:p>
    <w:p w14:paraId="3F7C66FA" w14:textId="77777777" w:rsidR="00E52084" w:rsidRPr="00567F5A" w:rsidRDefault="004D49ED" w:rsidP="000D20C1">
      <w:pPr>
        <w:keepNext/>
        <w:ind w:firstLine="709"/>
        <w:jc w:val="both"/>
        <w:outlineLvl w:val="1"/>
        <w:rPr>
          <w:lang w:val="es-ES"/>
        </w:rPr>
      </w:pPr>
      <w:bookmarkStart w:id="54" w:name="_Toc242721890"/>
      <w:r w:rsidRPr="00071003">
        <w:rPr>
          <w:b/>
          <w:lang w:val="es-ES"/>
        </w:rPr>
        <w:t>8.4. tests: regresión y conformidad de implementación</w:t>
      </w:r>
      <w:bookmarkEnd w:id="54"/>
    </w:p>
    <w:p w14:paraId="228764F5" w14:textId="77777777" w:rsidR="00E52084" w:rsidRPr="00567F5A" w:rsidRDefault="004D49ED">
      <w:pPr>
        <w:ind w:firstLine="709"/>
        <w:jc w:val="both"/>
        <w:rPr>
          <w:lang w:val="es-ES"/>
        </w:rPr>
      </w:pPr>
      <w:r w:rsidRPr="00071003">
        <w:rPr>
          <w:lang w:val="es-ES"/>
        </w:rPr>
        <w:t>tests protege las fronteras ejecutables del adapter. Sus comprobaciones cubren la integración con Java, el ingreso de evidencia, los contratos públicos, la adquisición semántica, la evaluación, la continuidad, la temporalidad, la procedencia y la publicación de resultados. Su función es detectar que una modificación de software no cambie silenciosamente un esquema, no atribuya autoridad estructural a Python ni sustituya estados explícitos de incertidumbre por valores fabricados.</w:t>
      </w:r>
    </w:p>
    <w:p w14:paraId="3F38C034" w14:textId="77777777" w:rsidR="00E52084" w:rsidRDefault="004D49ED">
      <w:pPr>
        <w:ind w:firstLine="709"/>
        <w:jc w:val="both"/>
        <w:rPr>
          <w:lang w:val="es-ES"/>
        </w:rPr>
      </w:pPr>
      <w:r w:rsidRPr="00071003">
        <w:rPr>
          <w:lang w:val="es-ES"/>
        </w:rPr>
        <w:lastRenderedPageBreak/>
        <w:t>Una prueba superada acredita conformidad con las aserciones y los casos que efectivamente ejecuta. No equivale por sí sola a validar la suficiencia científica de esos casos ni a demostrar transferencia a dominios no examinados. Por ello, las pruebas de implementación deben mantenerse diferenciadas de la evidencia experimental retenida y de las proposiciones matemáticas que exigen justificación independiente.</w:t>
      </w:r>
    </w:p>
    <w:p w14:paraId="7F326361" w14:textId="77777777" w:rsidR="00992ACB" w:rsidRPr="00567F5A" w:rsidRDefault="00992ACB">
      <w:pPr>
        <w:ind w:firstLine="709"/>
        <w:jc w:val="both"/>
        <w:rPr>
          <w:lang w:val="es-ES"/>
        </w:rPr>
      </w:pPr>
    </w:p>
    <w:p w14:paraId="4B1B6DEF" w14:textId="77777777" w:rsidR="00E52084" w:rsidRPr="00567F5A" w:rsidRDefault="004D49ED" w:rsidP="000D20C1">
      <w:pPr>
        <w:keepNext/>
        <w:ind w:firstLine="709"/>
        <w:jc w:val="both"/>
        <w:outlineLvl w:val="1"/>
        <w:rPr>
          <w:lang w:val="es-ES"/>
        </w:rPr>
      </w:pPr>
      <w:bookmarkStart w:id="55" w:name="_Toc242721891"/>
      <w:r w:rsidRPr="00071003">
        <w:rPr>
          <w:b/>
          <w:lang w:val="es-ES"/>
        </w:rPr>
        <w:t>8.5. runs: almacén canónico de campañas y procedencia experimental</w:t>
      </w:r>
      <w:bookmarkEnd w:id="55"/>
    </w:p>
    <w:p w14:paraId="765540AA" w14:textId="77777777" w:rsidR="00E52084" w:rsidRPr="00567F5A" w:rsidRDefault="004D49ED">
      <w:pPr>
        <w:ind w:firstLine="709"/>
        <w:jc w:val="both"/>
        <w:rPr>
          <w:lang w:val="es-ES"/>
        </w:rPr>
      </w:pPr>
      <w:r w:rsidRPr="00071003">
        <w:rPr>
          <w:lang w:val="es-ES"/>
        </w:rPr>
        <w:t>runs conserva las campañas C0–C13 como evidencia experimental situada. Su organización por capacidad, versión, instrumento y, cuando corresponde, régimen de ejecución permite distinguir resultados obtenidos bajo condiciones diferentes sin convertir la taxonomía de carpetas en una escala de mérito. Los artefactos retenidos deben preservar su identidad histórica: una ejecución posterior no modifica los registros originales ni hereda automáticamente su estatuto probatorio.</w:t>
      </w:r>
    </w:p>
    <w:p w14:paraId="3F9EA79A" w14:textId="77777777" w:rsidR="00E52084" w:rsidRPr="00567F5A" w:rsidRDefault="004D49ED">
      <w:pPr>
        <w:ind w:firstLine="709"/>
        <w:jc w:val="both"/>
        <w:rPr>
          <w:lang w:val="es-ES"/>
        </w:rPr>
      </w:pPr>
      <w:r w:rsidRPr="006C2240">
        <w:rPr>
          <w:lang w:val="es-ES"/>
        </w:rPr>
        <w:t>La custodia experimental exige que cada artefacto conservado posea identidad, procedencia y una comprobación de integridad reproducible. La estructura concreta de los índices, los nombres de archivos y los campos técnicos pertenecen al anexo de reproducibilidad, no a la descripción arquitectónica de este capítulo.</w:t>
      </w:r>
    </w:p>
    <w:p w14:paraId="4490A3E0" w14:textId="77777777" w:rsidR="00E52084" w:rsidRDefault="004D49ED">
      <w:pPr>
        <w:ind w:firstLine="709"/>
        <w:jc w:val="both"/>
        <w:rPr>
          <w:lang w:val="es-ES"/>
        </w:rPr>
      </w:pPr>
      <w:r w:rsidRPr="00071003">
        <w:rPr>
          <w:lang w:val="es-ES"/>
        </w:rPr>
        <w:t>La integridad de una run y su fuerza probatoria son propiedades distintas. Una ejecución correctamente indexada puede registrar resultados adversos, estados no evaluables o fallos de contrato; una observación interesante puede carecer todavía de los requisitos exigidos para una release. El almacén conserva esas diferencias para que la interpretación científica posterior no dependa de una selección retrospectiva de resultados.</w:t>
      </w:r>
    </w:p>
    <w:p w14:paraId="7BEB958C" w14:textId="77777777" w:rsidR="00992ACB" w:rsidRPr="00567F5A" w:rsidRDefault="00992ACB">
      <w:pPr>
        <w:ind w:firstLine="709"/>
        <w:jc w:val="both"/>
        <w:rPr>
          <w:lang w:val="es-ES"/>
        </w:rPr>
      </w:pPr>
    </w:p>
    <w:p w14:paraId="17D51F83" w14:textId="77777777" w:rsidR="00E52084" w:rsidRPr="00567F5A" w:rsidRDefault="004D49ED" w:rsidP="000D20C1">
      <w:pPr>
        <w:keepNext/>
        <w:ind w:firstLine="709"/>
        <w:jc w:val="both"/>
        <w:outlineLvl w:val="1"/>
        <w:rPr>
          <w:lang w:val="es-ES"/>
        </w:rPr>
      </w:pPr>
      <w:bookmarkStart w:id="56" w:name="_Toc242721892"/>
      <w:r w:rsidRPr="00071003">
        <w:rPr>
          <w:b/>
          <w:lang w:val="es-ES"/>
        </w:rPr>
        <w:t>8.6. verification: contraste independiente e integridad del almacén</w:t>
      </w:r>
      <w:bookmarkEnd w:id="56"/>
    </w:p>
    <w:p w14:paraId="66269D9C" w14:textId="77777777" w:rsidR="00E52084" w:rsidRPr="00567F5A" w:rsidRDefault="004D49ED">
      <w:pPr>
        <w:ind w:firstLine="709"/>
        <w:jc w:val="both"/>
        <w:rPr>
          <w:lang w:val="es-ES"/>
        </w:rPr>
      </w:pPr>
      <w:r w:rsidRPr="006C2240">
        <w:rPr>
          <w:lang w:val="es-ES"/>
        </w:rPr>
        <w:t>La verificación independiente contrasta que los resultados declarados sean reconstruibles bajo condiciones identificadas y que los artefactos conservados mantengan su integridad. Este apartado documenta la función metodológica de la comprobación, sin identificar copias internas del código, herramientas auxiliares concretas ni mecanismos de integración que no sean necesarios para evaluar la evidencia.</w:t>
      </w:r>
    </w:p>
    <w:p w14:paraId="72794C46" w14:textId="77777777" w:rsidR="00992ACB" w:rsidRPr="00567F5A" w:rsidRDefault="00992ACB">
      <w:pPr>
        <w:ind w:firstLine="709"/>
        <w:jc w:val="both"/>
        <w:rPr>
          <w:lang w:val="es-ES"/>
        </w:rPr>
      </w:pPr>
    </w:p>
    <w:p w14:paraId="32701B22" w14:textId="77777777" w:rsidR="00E52084" w:rsidRPr="00567F5A" w:rsidRDefault="004D49ED" w:rsidP="000D20C1">
      <w:pPr>
        <w:keepNext/>
        <w:ind w:firstLine="709"/>
        <w:jc w:val="both"/>
        <w:outlineLvl w:val="1"/>
        <w:rPr>
          <w:lang w:val="es-ES"/>
        </w:rPr>
      </w:pPr>
      <w:bookmarkStart w:id="57" w:name="_Toc242721893"/>
      <w:r w:rsidRPr="00071003">
        <w:rPr>
          <w:b/>
          <w:lang w:val="es-ES"/>
        </w:rPr>
        <w:t>8.7. fixtures: auxiliares de contraste reproducible</w:t>
      </w:r>
      <w:bookmarkEnd w:id="57"/>
    </w:p>
    <w:p w14:paraId="11CDAB04" w14:textId="77777777" w:rsidR="00E52084" w:rsidRDefault="004D49ED">
      <w:pPr>
        <w:ind w:firstLine="709"/>
        <w:jc w:val="both"/>
        <w:rPr>
          <w:lang w:val="es-ES"/>
        </w:rPr>
      </w:pPr>
      <w:r w:rsidRPr="006C2240">
        <w:rPr>
          <w:lang w:val="es-ES"/>
        </w:rPr>
        <w:t xml:space="preserve">fixtures aporta casos auxiliares de contraste reproducible. Su función metodológica es permitir comparaciones acotadas entre resultados de una misma definición formal, sin </w:t>
      </w:r>
      <w:r w:rsidRPr="006C2240">
        <w:rPr>
          <w:lang w:val="es-ES"/>
        </w:rPr>
        <w:lastRenderedPageBreak/>
        <w:t>constituir una segunda fuente de autoridad matemática ni describir aquí las herramientas concretas empleadas.</w:t>
      </w:r>
    </w:p>
    <w:p w14:paraId="1A266CC1" w14:textId="77777777" w:rsidR="00992ACB" w:rsidRPr="00567F5A" w:rsidRDefault="00992ACB">
      <w:pPr>
        <w:ind w:firstLine="709"/>
        <w:jc w:val="both"/>
        <w:rPr>
          <w:lang w:val="es-ES"/>
        </w:rPr>
      </w:pPr>
    </w:p>
    <w:p w14:paraId="4F26F9B6" w14:textId="77777777" w:rsidR="00E52084" w:rsidRPr="00567F5A" w:rsidRDefault="004D49ED" w:rsidP="000D20C1">
      <w:pPr>
        <w:keepNext/>
        <w:ind w:firstLine="709"/>
        <w:jc w:val="both"/>
        <w:outlineLvl w:val="1"/>
        <w:rPr>
          <w:lang w:val="es-ES"/>
        </w:rPr>
      </w:pPr>
      <w:bookmarkStart w:id="58" w:name="_Toc242721894"/>
      <w:r w:rsidRPr="00071003">
        <w:rPr>
          <w:b/>
          <w:lang w:val="es-ES"/>
        </w:rPr>
        <w:t>8.8. Swagger: exposición operacional de un resultado canónico</w:t>
      </w:r>
      <w:bookmarkEnd w:id="58"/>
    </w:p>
    <w:p w14:paraId="25468D8A" w14:textId="77777777" w:rsidR="00E52084" w:rsidRPr="00567F5A" w:rsidRDefault="004D49ED">
      <w:pPr>
        <w:ind w:firstLine="709"/>
        <w:jc w:val="both"/>
        <w:rPr>
          <w:lang w:val="es-ES"/>
        </w:rPr>
      </w:pPr>
      <w:r w:rsidRPr="00071003">
        <w:rPr>
          <w:lang w:val="es-ES"/>
        </w:rPr>
        <w:t>Swagger documenta la interfaz pública de evaluación documental implementada principalmente en app. La superficie operacional expone la salud del servicio, la identidad del runtime, el ingreso de un assessment y la recuperación de sus informes. No ofrece al solicitante la taxonomía interna de capacidades como menú de ejecución ni le concede autoridad para redefinir versiones, seleccionar por decreto la competencia estructural o alterar los contratos del SCC.</w:t>
      </w:r>
    </w:p>
    <w:p w14:paraId="1EB0B97B" w14:textId="77777777" w:rsidR="00E52084" w:rsidRPr="00567F5A" w:rsidRDefault="004D49ED">
      <w:pPr>
        <w:ind w:firstLine="709"/>
        <w:jc w:val="both"/>
        <w:rPr>
          <w:lang w:val="es-ES"/>
        </w:rPr>
      </w:pPr>
      <w:r w:rsidRPr="00071003">
        <w:rPr>
          <w:lang w:val="es-ES"/>
        </w:rPr>
        <w:t>La extracción documental pertenece al adapter y precede al ingreso canónico. Los formatos admitidos se convierten, dentro de sus límites efectivos de observabilidad, en representaciones neutrales acompañadas de procedencia, método de extracción y cobertura. Una superficie no observada no puede presentarse como contenido inspeccionado. Después del procesamiento, el resultado machine-readable permanece como objeto canónico del expediente y los informes legibles se derivan de él sin modificar sus conclusiones o incertidumbres.</w:t>
      </w:r>
    </w:p>
    <w:p w14:paraId="7CC86F0F" w14:textId="77777777" w:rsidR="00E52084" w:rsidRDefault="004D49ED">
      <w:pPr>
        <w:ind w:firstLine="709"/>
        <w:jc w:val="both"/>
        <w:rPr>
          <w:lang w:val="es-ES"/>
        </w:rPr>
      </w:pPr>
      <w:r w:rsidRPr="006C2240">
        <w:rPr>
          <w:lang w:val="es-ES"/>
        </w:rPr>
        <w:t>La exposición pública permanece separada de las superficies internas de ingeniería. El contrato documental necesario para interpretar una evaluación se desarrolla en el Anexo C; aquí interesa su función como vía controlada de observación operacional.</w:t>
      </w:r>
    </w:p>
    <w:p w14:paraId="30598850" w14:textId="77777777" w:rsidR="00992ACB" w:rsidRPr="00567F5A" w:rsidRDefault="00992ACB">
      <w:pPr>
        <w:ind w:firstLine="709"/>
        <w:jc w:val="both"/>
        <w:rPr>
          <w:lang w:val="es-ES"/>
        </w:rPr>
      </w:pPr>
    </w:p>
    <w:p w14:paraId="75CF3442" w14:textId="77777777" w:rsidR="00E52084" w:rsidRPr="00567F5A" w:rsidRDefault="004D49ED" w:rsidP="000D20C1">
      <w:pPr>
        <w:keepNext/>
        <w:ind w:firstLine="709"/>
        <w:jc w:val="both"/>
        <w:outlineLvl w:val="1"/>
        <w:rPr>
          <w:lang w:val="es-ES"/>
        </w:rPr>
      </w:pPr>
      <w:bookmarkStart w:id="59" w:name="_Toc242721895"/>
      <w:r w:rsidRPr="00071003">
        <w:rPr>
          <w:b/>
          <w:lang w:val="es-ES"/>
        </w:rPr>
        <w:t>8.9. docs: documentación canónica y materiales de trabajo</w:t>
      </w:r>
      <w:bookmarkEnd w:id="59"/>
    </w:p>
    <w:p w14:paraId="2914C7F5" w14:textId="77777777" w:rsidR="00E52084" w:rsidRPr="00567F5A" w:rsidRDefault="004D49ED">
      <w:pPr>
        <w:ind w:firstLine="709"/>
        <w:jc w:val="both"/>
        <w:rPr>
          <w:lang w:val="es-ES"/>
        </w:rPr>
      </w:pPr>
      <w:r w:rsidRPr="006C2240">
        <w:rPr>
          <w:lang w:val="es-ES"/>
        </w:rPr>
        <w:t>docs conserva la documentación científica y técnica que acompaña al instrumento. Su función es distinguir las fuentes normativas de los materiales de investigación y de los documentos de reproducibilidad, preservando la identidad y vigencia de cada versión sin presentar un inventario de archivos internos.</w:t>
      </w:r>
    </w:p>
    <w:p w14:paraId="1D47BEC6" w14:textId="77777777" w:rsidR="007C36DC" w:rsidRDefault="004D49ED" w:rsidP="009625F3">
      <w:pPr>
        <w:ind w:firstLine="709"/>
        <w:jc w:val="both"/>
        <w:rPr>
          <w:lang w:val="es-ES"/>
        </w:rPr>
      </w:pPr>
      <w:r w:rsidRPr="00071003">
        <w:rPr>
          <w:lang w:val="es-ES"/>
        </w:rPr>
        <w:t>La condición canónica de un documento no debe confundirse con la vigencia automática de todas sus versiones: su identidad, fecha y relación con la release correspondiente deben mantenerse explícitas cuando se utilice como fuente normativa o reproducible.</w:t>
      </w:r>
    </w:p>
    <w:p w14:paraId="646E7151" w14:textId="77777777" w:rsidR="007C36DC" w:rsidRDefault="007C36DC">
      <w:pPr>
        <w:spacing w:after="200" w:line="276" w:lineRule="auto"/>
        <w:rPr>
          <w:lang w:val="es-ES"/>
        </w:rPr>
      </w:pPr>
      <w:r>
        <w:rPr>
          <w:lang w:val="es-ES"/>
        </w:rPr>
        <w:br w:type="page"/>
      </w:r>
    </w:p>
    <w:p w14:paraId="7BFE23E3" w14:textId="77777777" w:rsidR="006F2537" w:rsidRPr="00B20A9B" w:rsidRDefault="006B1A89" w:rsidP="00B20A9B">
      <w:pPr>
        <w:pStyle w:val="MDPARProfileH1"/>
        <w:spacing w:before="0" w:after="0"/>
        <w:jc w:val="center"/>
        <w:outlineLvl w:val="0"/>
        <w:rPr>
          <w:sz w:val="24"/>
          <w:szCs w:val="20"/>
          <w:lang w:val="es-ES"/>
        </w:rPr>
      </w:pPr>
      <w:bookmarkStart w:id="60" w:name="_Toc242721896"/>
      <w:r w:rsidRPr="00B20A9B">
        <w:rPr>
          <w:sz w:val="24"/>
          <w:szCs w:val="20"/>
          <w:lang w:val="es-ES"/>
        </w:rPr>
        <w:lastRenderedPageBreak/>
        <w:t>PARTE IV — Valor científico, corporativo-comercial y social de MDPAR</w:t>
      </w:r>
      <w:bookmarkEnd w:id="60"/>
    </w:p>
    <w:p w14:paraId="5FB3B825" w14:textId="77777777" w:rsidR="00B20A9B" w:rsidRPr="00B20A9B" w:rsidRDefault="00B20A9B">
      <w:pPr>
        <w:pStyle w:val="MDPARThesisBody"/>
        <w:rPr>
          <w:lang w:val="es-ES"/>
        </w:rPr>
      </w:pPr>
    </w:p>
    <w:p w14:paraId="0CAC46E0" w14:textId="77777777" w:rsidR="006F2537" w:rsidRDefault="006B1A89" w:rsidP="00B20A9B">
      <w:pPr>
        <w:pStyle w:val="MDPARThesisBody"/>
        <w:rPr>
          <w:lang w:val="es-ES"/>
        </w:rPr>
      </w:pPr>
      <w:r w:rsidRPr="00B20A9B">
        <w:rPr>
          <w:lang w:val="es-ES"/>
        </w:rPr>
        <w:t>La Parte IV abandona la descripción del instrumento y examina el valor que puede atribuirse a sus resultados y a su manifestación operativa. Sus tres capítulos mantienen deliberadamente perfiles autónomos: el Capítulo 9 presenta el perfil científico de MDPAR; el Capítulo 10 desarrollará su perfil corporativo-comercial; y el Capítulo 11 estudiará su perfil social a partir de la superficie Swagger y de evidencia publicable compatible con las restricciones de protección de datos.</w:t>
      </w:r>
    </w:p>
    <w:p w14:paraId="4827B446" w14:textId="77777777" w:rsidR="00B20A9B" w:rsidRPr="00B20A9B" w:rsidRDefault="00B20A9B" w:rsidP="00B20A9B">
      <w:pPr>
        <w:pStyle w:val="MDPARThesisBody"/>
        <w:rPr>
          <w:lang w:val="es-ES"/>
        </w:rPr>
      </w:pPr>
    </w:p>
    <w:p w14:paraId="363BC469" w14:textId="77777777" w:rsidR="006F2537" w:rsidRDefault="006B1A89" w:rsidP="00B20A9B">
      <w:pPr>
        <w:pStyle w:val="MDPARProfileH1"/>
        <w:spacing w:before="0" w:after="0" w:line="360" w:lineRule="auto"/>
        <w:jc w:val="both"/>
        <w:outlineLvl w:val="0"/>
        <w:rPr>
          <w:sz w:val="24"/>
          <w:szCs w:val="20"/>
          <w:lang w:val="es-ES"/>
        </w:rPr>
      </w:pPr>
      <w:bookmarkStart w:id="61" w:name="_Toc242721897"/>
      <w:r w:rsidRPr="00B20A9B">
        <w:rPr>
          <w:sz w:val="24"/>
          <w:szCs w:val="20"/>
          <w:lang w:val="es-ES"/>
        </w:rPr>
        <w:t>Capítulo 9: perfil científico de MDPAR</w:t>
      </w:r>
      <w:bookmarkEnd w:id="61"/>
    </w:p>
    <w:p w14:paraId="2DEAC7F6" w14:textId="77777777" w:rsidR="00B20A9B" w:rsidRPr="00B20A9B" w:rsidRDefault="00B20A9B" w:rsidP="00B20A9B">
      <w:pPr>
        <w:pStyle w:val="MDPARProfileH1"/>
        <w:spacing w:before="0" w:after="0" w:line="360" w:lineRule="auto"/>
        <w:rPr>
          <w:sz w:val="24"/>
          <w:szCs w:val="20"/>
          <w:lang w:val="es-ES"/>
        </w:rPr>
      </w:pPr>
    </w:p>
    <w:p w14:paraId="2305FDB6" w14:textId="77777777" w:rsidR="006F2537" w:rsidRPr="007C36DC" w:rsidRDefault="006B1A89" w:rsidP="00B20A9B">
      <w:pPr>
        <w:pStyle w:val="MDPARProfileCallout"/>
        <w:spacing w:line="360" w:lineRule="auto"/>
        <w:jc w:val="both"/>
        <w:rPr>
          <w:sz w:val="16"/>
          <w:szCs w:val="14"/>
          <w:lang w:val="es-ES"/>
        </w:rPr>
      </w:pPr>
      <w:r w:rsidRPr="007C36DC">
        <w:rPr>
          <w:sz w:val="20"/>
          <w:szCs w:val="18"/>
          <w:lang w:val="es-ES"/>
        </w:rPr>
        <w:t>Qué cambia cuando la estructura del razonamiento constituye un objeto matemático autónomo, una arquitectura ejecutable y un programa de falsación</w:t>
      </w:r>
    </w:p>
    <w:p w14:paraId="37E304B0" w14:textId="77777777" w:rsidR="00B20A9B" w:rsidRDefault="00B20A9B" w:rsidP="00B20A9B">
      <w:pPr>
        <w:pStyle w:val="MDPARThesisBody"/>
        <w:rPr>
          <w:lang w:val="es-ES"/>
        </w:rPr>
      </w:pPr>
    </w:p>
    <w:p w14:paraId="1B37980D" w14:textId="77777777" w:rsidR="006F2537" w:rsidRPr="00B20A9B" w:rsidRDefault="006B1A89" w:rsidP="00B20A9B">
      <w:pPr>
        <w:pStyle w:val="MDPARThesisBody"/>
        <w:rPr>
          <w:lang w:val="es-ES"/>
        </w:rPr>
      </w:pPr>
      <w:r w:rsidRPr="00770DB8">
        <w:rPr>
          <w:lang w:val="es-ES"/>
        </w:rPr>
        <w:t>El problema científico de MDPAR no comienza preguntando qué modelo razona mejor, sino qué parte de la organización inferencial puede definirse, calcularse, transformarse y conservarse con independencia del componente que proporciona su interpretación semántica. La Parte II construye el Sistema de Coordenadas Cognitivas (SCC) como formalismo; la Parte III describe su realización en MDPAR 2.3.0; y esta Parte IV sitúa las consecuencias de las capacidades C0–C12 frente al conocimiento existente. El presente capítulo distingue las propiedades formales, la evidencia experimental y las condiciones aún pendientes de contraste externo.</w:t>
      </w:r>
    </w:p>
    <w:p w14:paraId="3ED0E278" w14:textId="77777777" w:rsidR="00B21AE4" w:rsidRPr="00B21AE4" w:rsidRDefault="00B21AE4" w:rsidP="00B21AE4">
      <w:pPr>
        <w:pStyle w:val="MDPARThesisBody"/>
        <w:rPr>
          <w:lang w:val="es-ES"/>
        </w:rPr>
      </w:pPr>
      <w:r w:rsidRPr="007C36DC">
        <w:rPr>
          <w:lang w:val="es-ES"/>
        </w:rPr>
        <w:t>La hipótesis de universalidad estructural es constitutiva de la propuesta: existe una organización inferencial suficientemente general para admitir representaciones estructuralmente comparables a través de dominios, perfiles y modalidades heterogéneos sin exigir una ontología semántica global compartida. El SCC ha sido diseñado para expresar esa pretensión mediante objetos, relaciones y operaciones explícitas; no se ha inferido retrospectivamente de una colección de resultados favorables. MDPAR realiza el formalismo y las campañas C aportan evidencia de conformidad y comportamiento bajo contratos y condiciones documentados. La validez externa no constituye la hipótesis: somete su alcance a intentos crecientemente independientes de falsación, con capacidad para revelar tanto nuevas instancias de aplicación como límites reales.</w:t>
      </w:r>
    </w:p>
    <w:p w14:paraId="6E8CF4D3" w14:textId="77777777" w:rsidR="00B21AE4" w:rsidRDefault="00B21AE4" w:rsidP="00B21AE4">
      <w:pPr>
        <w:pStyle w:val="MDPARThesisBody"/>
        <w:rPr>
          <w:lang w:val="es-ES"/>
        </w:rPr>
      </w:pPr>
      <w:r w:rsidRPr="007C36DC">
        <w:rPr>
          <w:lang w:val="es-ES"/>
        </w:rPr>
        <w:t xml:space="preserve">La reivindicación de originalidad se refiere, ante todo, a la construcción matemática conjunta: observaciones estructurales, trayectorias, correspondencias entre ocurrencias, </w:t>
      </w:r>
      <w:r w:rsidRPr="007C36DC">
        <w:rPr>
          <w:lang w:val="es-ES"/>
        </w:rPr>
        <w:lastRenderedPageBreak/>
        <w:t>transporte dirigido de propiedades, invariancia longitudinal, transformaciones de representación y obligaciones de reconstrucción y prueba. Ninguno de esos instrumentos aislados se reclama como una invención sin precedentes. La contribución arquitectónica consiste en convertir el cálculo en responsabilidad propia de un sistema que separa observación semántica, estructura, continuidad, adquisición de capacidades y autoridad. Su expresión experimental hace que ambas contribuciones sean examinables mediante contratos, testigos y contraejemplos, sin sustituir las pruebas formales por puntuaciones agregadas.</w:t>
      </w:r>
    </w:p>
    <w:p w14:paraId="30993DB0" w14:textId="77777777" w:rsidR="00B20A9B" w:rsidRDefault="00B20A9B" w:rsidP="00B20A9B">
      <w:pPr>
        <w:pStyle w:val="MDPARProfileH1"/>
        <w:spacing w:before="0" w:after="0" w:line="360" w:lineRule="auto"/>
        <w:rPr>
          <w:lang w:val="es-ES"/>
        </w:rPr>
      </w:pPr>
    </w:p>
    <w:p w14:paraId="01E0464F" w14:textId="77777777" w:rsidR="006F2537" w:rsidRPr="00B20A9B" w:rsidRDefault="006B1A89" w:rsidP="00B20A9B">
      <w:pPr>
        <w:pStyle w:val="MDPARProfileH1"/>
        <w:spacing w:before="0" w:after="0" w:line="360" w:lineRule="auto"/>
        <w:ind w:firstLine="709"/>
        <w:jc w:val="both"/>
        <w:outlineLvl w:val="1"/>
        <w:rPr>
          <w:sz w:val="24"/>
          <w:szCs w:val="20"/>
          <w:lang w:val="es-ES"/>
        </w:rPr>
      </w:pPr>
      <w:bookmarkStart w:id="62" w:name="_Toc242721898"/>
      <w:r w:rsidRPr="00B20A9B">
        <w:rPr>
          <w:sz w:val="24"/>
          <w:szCs w:val="20"/>
          <w:lang w:val="es-ES"/>
        </w:rPr>
        <w:t>9.1. Una pregunta antigua: ¿qué permanece cuando cambia el contenido?</w:t>
      </w:r>
      <w:bookmarkEnd w:id="62"/>
    </w:p>
    <w:p w14:paraId="13F5EF1D" w14:textId="77777777" w:rsidR="006F2537" w:rsidRDefault="006B1A89">
      <w:pPr>
        <w:pStyle w:val="MDPARThesisBody"/>
        <w:rPr>
          <w:lang w:val="es-ES"/>
        </w:rPr>
      </w:pPr>
      <w:r w:rsidRPr="007C36DC">
        <w:rPr>
          <w:lang w:val="es-ES"/>
        </w:rPr>
        <w:t>La pregunta por lo que permanece cuando cambia el contenido antecede a los modelos neuronales contemporáneos. La teoría de correspondencia estructural de Gentner (1983) mostró la importancia de las relaciones</w:t>
      </w:r>
      <w:r w:rsidR="007C36DC">
        <w:rPr>
          <w:lang w:val="es-ES"/>
        </w:rPr>
        <w:t>,</w:t>
      </w:r>
      <w:r w:rsidRPr="007C36DC">
        <w:rPr>
          <w:lang w:val="es-ES"/>
        </w:rPr>
        <w:t xml:space="preserve"> frente a la simple semejanza de atributos, en la analogía entre dominios. La teoría de categorías también ha servido para explicar propiedades de la cognición mediante relaciones entre procesos, como en Phillips y Wilson (2010). Estos antecedentes impiden atribuir al SCC la invención de la comparación estructural. Su reivindicación se sitúa en otra escala: construir un objeto inferencial con operaciones y condiciones de prueba propias y realizarlo como infraestructura cognitiva reutilizable.</w:t>
      </w:r>
    </w:p>
    <w:p w14:paraId="5CE2D7AB" w14:textId="77777777" w:rsidR="00770DB8" w:rsidRPr="00B20A9B" w:rsidRDefault="00770DB8">
      <w:pPr>
        <w:pStyle w:val="MDPARThesisBody"/>
        <w:rPr>
          <w:lang w:val="es-ES"/>
        </w:rPr>
      </w:pPr>
    </w:p>
    <w:p w14:paraId="0578AB71" w14:textId="77777777" w:rsidR="006F2537" w:rsidRPr="00B20A9B" w:rsidRDefault="006B1A89" w:rsidP="00B20A9B">
      <w:pPr>
        <w:pStyle w:val="MDPARProfileH1"/>
        <w:spacing w:before="0" w:after="0" w:line="360" w:lineRule="auto"/>
        <w:ind w:firstLine="709"/>
        <w:jc w:val="both"/>
        <w:outlineLvl w:val="1"/>
        <w:rPr>
          <w:sz w:val="24"/>
          <w:szCs w:val="20"/>
          <w:lang w:val="es-ES"/>
        </w:rPr>
      </w:pPr>
      <w:bookmarkStart w:id="63" w:name="_Toc242721899"/>
      <w:r w:rsidRPr="00B20A9B">
        <w:rPr>
          <w:sz w:val="24"/>
          <w:szCs w:val="20"/>
          <w:lang w:val="es-ES"/>
        </w:rPr>
        <w:t>9.2. Sistematicidad y composicionalidad: la disputa que MDPAR desplaza fuera del modelo</w:t>
      </w:r>
      <w:bookmarkEnd w:id="63"/>
    </w:p>
    <w:p w14:paraId="0155CC3F" w14:textId="77777777" w:rsidR="00B20A9B" w:rsidRDefault="006B1A89" w:rsidP="00770DB8">
      <w:pPr>
        <w:pStyle w:val="MDPARThesisBody"/>
        <w:rPr>
          <w:lang w:val="es-ES"/>
        </w:rPr>
      </w:pPr>
      <w:r w:rsidRPr="007C36DC">
        <w:rPr>
          <w:lang w:val="es-ES"/>
        </w:rPr>
        <w:t>La sistematicidad y la composicionalidad plantean un problema clásico: explicar por qué ciertas capacidades combinatorias se presentan conjuntamente y qué arquitectura las hace posibles (Fodor y Pylyshyn, 1988). La discusión no terminó con la oposición entre símbolos y redes neuronales. Phillips y Wilson (2010) propusieron una explicación categórica de la sistematicidad basada en relaciones estructurales entre procesos cognitivos, mientras que Lake y Baroni (2023) investigaron generalización sistemática mediante aprendizaje neuronal. Por tanto, no basta con afirmar que MDPAR externaliza estructura para atribuirle la solución exclusiva de un problema que cuenta con formulaciones y resultados propios.</w:t>
      </w:r>
    </w:p>
    <w:p w14:paraId="53893738" w14:textId="77777777" w:rsidR="00770DB8" w:rsidRDefault="00770DB8" w:rsidP="00770DB8">
      <w:pPr>
        <w:pStyle w:val="MDPARThesisBody"/>
        <w:rPr>
          <w:lang w:val="es-ES"/>
        </w:rPr>
      </w:pPr>
    </w:p>
    <w:p w14:paraId="5218513C" w14:textId="77777777" w:rsidR="00770DB8" w:rsidRPr="00770DB8" w:rsidRDefault="006B1A89" w:rsidP="00770DB8">
      <w:pPr>
        <w:pStyle w:val="MDPARProfileH1"/>
        <w:spacing w:before="0" w:after="0" w:line="360" w:lineRule="auto"/>
        <w:ind w:firstLine="709"/>
        <w:jc w:val="both"/>
        <w:outlineLvl w:val="1"/>
        <w:rPr>
          <w:sz w:val="24"/>
          <w:szCs w:val="20"/>
          <w:lang w:val="es-ES"/>
        </w:rPr>
      </w:pPr>
      <w:bookmarkStart w:id="64" w:name="_Toc242721900"/>
      <w:r w:rsidRPr="00B20A9B">
        <w:rPr>
          <w:sz w:val="24"/>
          <w:szCs w:val="20"/>
          <w:lang w:val="es-ES"/>
        </w:rPr>
        <w:lastRenderedPageBreak/>
        <w:t>9.3. Representaciones universales</w:t>
      </w:r>
      <w:r w:rsidR="00B20A9B">
        <w:rPr>
          <w:sz w:val="24"/>
          <w:szCs w:val="20"/>
          <w:lang w:val="es-ES"/>
        </w:rPr>
        <w:t xml:space="preserve"> y la invarianza lingüística</w:t>
      </w:r>
      <w:r w:rsidRPr="00B20A9B">
        <w:rPr>
          <w:sz w:val="24"/>
          <w:szCs w:val="20"/>
          <w:lang w:val="es-ES"/>
        </w:rPr>
        <w:t>: un antecedente fuerte y una diferencia crucial</w:t>
      </w:r>
      <w:bookmarkEnd w:id="64"/>
    </w:p>
    <w:p w14:paraId="09F153B3" w14:textId="77777777" w:rsidR="00770DB8" w:rsidRDefault="00770DB8" w:rsidP="00770DB8">
      <w:pPr>
        <w:pStyle w:val="MDPARThesisBody"/>
        <w:rPr>
          <w:lang w:val="es-ES"/>
        </w:rPr>
      </w:pPr>
      <w:r w:rsidRPr="007C36DC">
        <w:rPr>
          <w:lang w:val="es-ES"/>
        </w:rPr>
        <w:t>La búsqueda de representaciones comparables entre lenguas cuenta con antecedentes consolidados. Universal Dependencies ofrece un marco de anotación morfosintáctica interlingüística; UCCA propone una representación semántica orientada a la portabilidad entre lenguas y dominios; y AMR organiza parte del significado mediante grafos de predicados y argumentos (Nivre et al., 2016; Abend y Rappoport, 2013; Banarescu et al., 2013). El estudio de Wein y Schneider (2024) muestra que incluso representaciones AMR de textos paralelos pueden diferir por la lengua de origen, las decisiones de traducción y la anotación. Estas contribuciones constituyen antecedentes efectivos, pero no agotan el problema que plantea el SCC: transportar y verificar propiedades de organizaciones inferenciales sin imponer una representación semántica global idéntica a todas las lenguas.</w:t>
      </w:r>
    </w:p>
    <w:p w14:paraId="0A24B8E5" w14:textId="77777777" w:rsidR="00770DB8" w:rsidRPr="00B20A9B" w:rsidRDefault="00770DB8" w:rsidP="00770DB8">
      <w:pPr>
        <w:pStyle w:val="MDPARThesisBody"/>
        <w:rPr>
          <w:lang w:val="es-ES"/>
        </w:rPr>
      </w:pPr>
    </w:p>
    <w:p w14:paraId="3DD5EBE1" w14:textId="77777777" w:rsidR="00770DB8" w:rsidRPr="00770DB8" w:rsidRDefault="00770DB8" w:rsidP="00770DB8">
      <w:pPr>
        <w:pStyle w:val="MDPARProfileCallout"/>
        <w:spacing w:before="0" w:after="0" w:line="360" w:lineRule="auto"/>
        <w:jc w:val="both"/>
        <w:rPr>
          <w:sz w:val="16"/>
          <w:szCs w:val="14"/>
          <w:lang w:val="es-ES"/>
        </w:rPr>
      </w:pPr>
      <w:r w:rsidRPr="00673361">
        <w:rPr>
          <w:sz w:val="20"/>
          <w:szCs w:val="18"/>
          <w:lang w:val="es-ES"/>
        </w:rPr>
        <w:t>MDPAR reclama la capacidad formal de construir, buscar y verificar sendas de invariancia entre realizaciones lingüísticas heterogéneas; el capítulo 14 desarrollará el contraste específico de la invariancia lingüística y sus consecuencias para la ciberseguridad.</w:t>
      </w:r>
    </w:p>
    <w:p w14:paraId="52C6E38A" w14:textId="77777777" w:rsidR="000D20C1" w:rsidRPr="000D20C1" w:rsidRDefault="000D20C1" w:rsidP="000D20C1">
      <w:pPr>
        <w:pStyle w:val="MDPARProfileH1"/>
        <w:spacing w:before="0" w:after="0" w:line="360" w:lineRule="auto"/>
        <w:ind w:firstLine="709"/>
        <w:jc w:val="both"/>
        <w:rPr>
          <w:sz w:val="24"/>
          <w:szCs w:val="20"/>
          <w:lang w:val="es-ES"/>
        </w:rPr>
      </w:pPr>
    </w:p>
    <w:p w14:paraId="331405F1" w14:textId="77777777" w:rsidR="005E1EC2" w:rsidRPr="007D55C6" w:rsidRDefault="00F46BC1" w:rsidP="007D55C6">
      <w:pPr>
        <w:pStyle w:val="MDPARProfileH1"/>
        <w:spacing w:before="0" w:after="0" w:line="360" w:lineRule="auto"/>
        <w:ind w:firstLine="709"/>
        <w:jc w:val="both"/>
        <w:outlineLvl w:val="1"/>
        <w:rPr>
          <w:sz w:val="24"/>
          <w:szCs w:val="20"/>
          <w:lang w:val="es-ES"/>
        </w:rPr>
      </w:pPr>
      <w:bookmarkStart w:id="65" w:name="_Toc242721901"/>
      <w:r w:rsidRPr="007D55C6">
        <w:rPr>
          <w:sz w:val="24"/>
          <w:szCs w:val="20"/>
          <w:lang w:val="es-ES"/>
        </w:rPr>
        <w:t>9.4. Neuro-symbolic AI: vecino natural, categoría insuficiente</w:t>
      </w:r>
      <w:bookmarkEnd w:id="65"/>
    </w:p>
    <w:p w14:paraId="2234BC1B" w14:textId="77777777" w:rsidR="005E1EC2" w:rsidRPr="007D55C6" w:rsidRDefault="00F46BC1">
      <w:pPr>
        <w:pStyle w:val="MDPARThesisBody"/>
        <w:rPr>
          <w:lang w:val="es-ES"/>
        </w:rPr>
      </w:pPr>
      <w:r w:rsidRPr="007D55C6">
        <w:rPr>
          <w:lang w:val="es-ES"/>
        </w:rPr>
        <w:t>La inteligencia artificial neuro-simbólica ofrece el parentesco más inmediato de MDPAR: articula capacidades de aprendizaje o interpretación neuronal con representaciones y operaciones simbólicas. No constituye, sin embargo, una clase arquitectónica única. Sus taxonomías distinguen la incorporación de conocimiento simbólico al aprendizaje, la extracción de estructuras a partir de modelos y los sistemas en que ambos mecanismos cooperan; las revisiones recientes muestran que esas relaciones pueden organizarse de maneras considerablemente distintas (Marra et al., 2024; Yang et al., 2025; Delvecchio et al., 2025). Situar MDPAR dentro de esa tradición no exige atribuirle la invención de la cooperación neuronal y simbólica: exige precisar qué objeto comparte y qué responsabilidades mantiene separadas.</w:t>
      </w:r>
    </w:p>
    <w:p w14:paraId="5C210B35" w14:textId="77777777" w:rsidR="007D55C6" w:rsidRPr="007D55C6" w:rsidRDefault="007D55C6">
      <w:pPr>
        <w:pStyle w:val="MDPARThesisBody"/>
        <w:rPr>
          <w:lang w:val="es-ES"/>
        </w:rPr>
      </w:pPr>
    </w:p>
    <w:p w14:paraId="7AB7E151" w14:textId="77777777" w:rsidR="005E1EC2" w:rsidRPr="007D55C6" w:rsidRDefault="00F46BC1" w:rsidP="007D55C6">
      <w:pPr>
        <w:pStyle w:val="MDPARProfileH1"/>
        <w:spacing w:before="0" w:after="0" w:line="360" w:lineRule="auto"/>
        <w:ind w:firstLine="709"/>
        <w:jc w:val="both"/>
        <w:outlineLvl w:val="1"/>
        <w:rPr>
          <w:sz w:val="24"/>
          <w:szCs w:val="20"/>
          <w:lang w:val="es-ES"/>
        </w:rPr>
      </w:pPr>
      <w:bookmarkStart w:id="66" w:name="_Toc242721902"/>
      <w:r w:rsidRPr="007D55C6">
        <w:rPr>
          <w:sz w:val="24"/>
          <w:szCs w:val="20"/>
          <w:lang w:val="es-ES"/>
        </w:rPr>
        <w:t>9.5. Tree of Thoughts, Graph of Thoughts y agentes: externalizar estructura no es todavía externalizar autoridad</w:t>
      </w:r>
      <w:bookmarkEnd w:id="66"/>
    </w:p>
    <w:p w14:paraId="7B4BE44C" w14:textId="77777777" w:rsidR="005E1EC2" w:rsidRPr="007D55C6" w:rsidRDefault="00F46BC1">
      <w:pPr>
        <w:pStyle w:val="MDPARThesisBody"/>
        <w:rPr>
          <w:lang w:val="es-ES"/>
        </w:rPr>
      </w:pPr>
      <w:r w:rsidRPr="007D55C6">
        <w:rPr>
          <w:lang w:val="es-ES"/>
        </w:rPr>
        <w:t xml:space="preserve">La externalización de la deliberación posee antecedentes directos. Tree of Thoughts organiza la exploración de candidatos en un árbol; Graph of Thoughts admite dependencias </w:t>
      </w:r>
      <w:r w:rsidRPr="007D55C6">
        <w:rPr>
          <w:lang w:val="es-ES"/>
        </w:rPr>
        <w:lastRenderedPageBreak/>
        <w:t>y recombinaciones más generales; ReAct alterna generación de razonamiento y acciones instrumentales. Generative Agents y MemGPT, desde otro problema, conservan experiencias o gestionan memoria más allá de una interacción aislada (Yao et al., 2023a, 2023b; Besta et al., 2024; Park et al., 2023; Packer et al., 2023). Estas contribuciones impiden presentar como novedad la mera existencia de trazas, grafos, herramientas o memoria externa.</w:t>
      </w:r>
    </w:p>
    <w:p w14:paraId="29822BD3" w14:textId="77777777" w:rsidR="005E1EC2" w:rsidRPr="007D55C6" w:rsidRDefault="00F46BC1">
      <w:pPr>
        <w:pStyle w:val="MDPARThesisBody"/>
        <w:rPr>
          <w:lang w:val="es-ES"/>
        </w:rPr>
      </w:pPr>
      <w:r w:rsidRPr="007D55C6">
        <w:rPr>
          <w:lang w:val="es-ES"/>
        </w:rPr>
        <w:t>La pregunta del SCC es distinta de la pregunta sobre cómo organizar mejores generaciones. Una trayectoria constituye un objeto representable con condiciones de admisibilidad, orden, transformación, correspondencia y prueba, no solamente un conjunto de pensamientos expresados por un modelo. Las sendas de invarianza y el Atlas permiten estudiar qué propiedades sobreviven al cambio de representación y cuáles requieren un testigo o una condición adicional. Una rama descartada, una observación todavía no identificable o una transformación no autorizada no tienen que desaparecer para que el sistema avance: conservan el estatuto que les corresponde dentro de la historia reconstruible.</w:t>
      </w:r>
    </w:p>
    <w:p w14:paraId="01D80D01" w14:textId="77777777" w:rsidR="005E1EC2" w:rsidRDefault="00F46BC1">
      <w:pPr>
        <w:pStyle w:val="MDPARThesisBody"/>
        <w:rPr>
          <w:lang w:val="es-ES"/>
        </w:rPr>
      </w:pPr>
      <w:r w:rsidRPr="007D55C6">
        <w:rPr>
          <w:lang w:val="es-ES"/>
        </w:rPr>
        <w:t>La diferencia se vuelve operativa cuando se separa la generación de candidatos de la autoridad para incorporarlos. El modelo puede proponer una continuación sin decidir por sí mismo si esa continuación satisface los contratos estructurales, si altera legítimamente un compromiso previo o si llega a tiempo para producir efectos. C4 y C5 aportan el puente entre transformación y cooperación; C6 y C10–C12 extienden la cuestión a historia, temporalidad y recuperación. MDPAR no afirma que todo sistema basado en agentes carezca de estas funciones; propone una construcción conjunta en la que se especifican, calculan y contrastan como responsabilidades diferenciadas.</w:t>
      </w:r>
    </w:p>
    <w:p w14:paraId="5877A08D" w14:textId="77777777" w:rsidR="00770DB8" w:rsidRDefault="00770DB8">
      <w:pPr>
        <w:pStyle w:val="MDPARThesisBody"/>
        <w:rPr>
          <w:lang w:val="es-ES"/>
        </w:rPr>
      </w:pPr>
    </w:p>
    <w:p w14:paraId="00571C1E" w14:textId="77777777" w:rsidR="005E1EC2" w:rsidRPr="007D55C6" w:rsidRDefault="00F46BC1" w:rsidP="007D55C6">
      <w:pPr>
        <w:pStyle w:val="MDPARProfileH1"/>
        <w:spacing w:before="0" w:after="0" w:line="360" w:lineRule="auto"/>
        <w:ind w:firstLine="709"/>
        <w:jc w:val="both"/>
        <w:outlineLvl w:val="1"/>
        <w:rPr>
          <w:sz w:val="24"/>
          <w:szCs w:val="20"/>
          <w:lang w:val="es-ES"/>
        </w:rPr>
      </w:pPr>
      <w:bookmarkStart w:id="67" w:name="_Toc242721903"/>
      <w:r w:rsidRPr="007D55C6">
        <w:rPr>
          <w:sz w:val="24"/>
          <w:szCs w:val="20"/>
          <w:lang w:val="es-ES"/>
        </w:rPr>
        <w:t>9.6. Routing y test-time compute: MDPAR no inventa la selección adaptativa; cambia la pregunta previa</w:t>
      </w:r>
      <w:bookmarkEnd w:id="67"/>
    </w:p>
    <w:p w14:paraId="28DE5BAE" w14:textId="77777777" w:rsidR="005E1EC2" w:rsidRPr="007D55C6" w:rsidRDefault="00F46BC1">
      <w:pPr>
        <w:pStyle w:val="MDPARThesisBody"/>
        <w:rPr>
          <w:lang w:val="es-ES"/>
        </w:rPr>
      </w:pPr>
      <w:r w:rsidRPr="007D55C6">
        <w:rPr>
          <w:lang w:val="es-ES"/>
        </w:rPr>
        <w:t>La asignación dinámica de recursos es un problema establecido. FrugalGPT explora combinaciones de modelos bajo compromisos de coste y rendimiento; RouteLLM aprende políticas de selección a partir de preferencias; los enfoques que integran routing, cascadas y computación adicional en inferencia amplían el repertorio de decisiones disponibles (Chen et al., 2024; Ong et al., 2025; Dekoninck et al., 2025; Snell et al., 2024; Ding et al., 2025). La contribución de MDPAR no consiste en descubrir que una consulta puede enviarse a un modelo más económico o que una tarea difícil puede justificar más cómputo.</w:t>
      </w:r>
    </w:p>
    <w:p w14:paraId="756FDF33" w14:textId="77777777" w:rsidR="005E1EC2" w:rsidRPr="007D55C6" w:rsidRDefault="00F46BC1">
      <w:pPr>
        <w:pStyle w:val="MDPARThesisBody"/>
        <w:rPr>
          <w:lang w:val="es-ES"/>
        </w:rPr>
      </w:pPr>
      <w:r w:rsidRPr="007D55C6">
        <w:rPr>
          <w:lang w:val="es-ES"/>
        </w:rPr>
        <w:lastRenderedPageBreak/>
        <w:t>La arquitectura sitúa antes de esa elección una pregunta estructural: qué responsabilidad permanece pendiente y qué clase de capacidad, si alguna, necesita adquirirse. Una operación ya definida por el SCC puede resolverse mediante cálculo determinista; una responsabilidad especializada puede corresponder a un componente CLOSED; una observación semántica no disponible internamente puede requerir OPEN. La selección del proveedor se subordina a la identidad del trabajo, a las dependencias entre operaciones y a los límites de autoridad. En este sentido, el routing no determina qué es una trayectoria: recibe una trayectoria cuyo estado y obligaciones pueden examinarse antes y después de la intervención.</w:t>
      </w:r>
    </w:p>
    <w:p w14:paraId="5FD2B092" w14:textId="77777777" w:rsidR="005E1EC2" w:rsidRDefault="00F46BC1">
      <w:pPr>
        <w:pStyle w:val="MDPARThesisBody"/>
        <w:rPr>
          <w:lang w:val="es-ES"/>
        </w:rPr>
      </w:pPr>
      <w:r w:rsidRPr="007D55C6">
        <w:rPr>
          <w:lang w:val="es-ES"/>
        </w:rPr>
        <w:t>C3 aporta la base para no adquirir inferencia neuronal cuando basta una operación formalizada; C7–C9 estudian cooperación acotada, composición CLOSED/OPEN y adquisición adaptativa o concurrente de capacidad. Las magnitudes de coste y latencia siguen siendo experimentales y dependen de tarea, proveedor y configuración. La proposición arquitectónica es diferente: el sistema puede conservar la responsabilidad cognitiva y decidir cómo abastecerla sin identificarla con un modelo determinado. Por ello, la comparación pertinente no se limita al ahorro por consulta, sino que incluye el trabajo evitado, la reconstruibilidad del proceso y el coste de mantener sus contratos.</w:t>
      </w:r>
    </w:p>
    <w:p w14:paraId="30CCB36C" w14:textId="77777777" w:rsidR="005C39BB" w:rsidRPr="007D55C6" w:rsidRDefault="005C39BB">
      <w:pPr>
        <w:pStyle w:val="MDPARThesisBody"/>
        <w:rPr>
          <w:lang w:val="es-ES"/>
        </w:rPr>
      </w:pPr>
    </w:p>
    <w:p w14:paraId="380BFCAB" w14:textId="77777777" w:rsidR="005E1EC2" w:rsidRPr="005C39BB" w:rsidRDefault="00F46BC1" w:rsidP="005C39BB">
      <w:pPr>
        <w:pStyle w:val="MDPARProfileH1"/>
        <w:spacing w:before="0" w:after="0" w:line="360" w:lineRule="auto"/>
        <w:ind w:firstLine="709"/>
        <w:jc w:val="both"/>
        <w:outlineLvl w:val="1"/>
        <w:rPr>
          <w:sz w:val="24"/>
          <w:szCs w:val="20"/>
          <w:lang w:val="es-ES"/>
        </w:rPr>
      </w:pPr>
      <w:bookmarkStart w:id="68" w:name="_Toc242721904"/>
      <w:r w:rsidRPr="005C39BB">
        <w:rPr>
          <w:sz w:val="24"/>
          <w:szCs w:val="20"/>
          <w:lang w:val="es-ES"/>
        </w:rPr>
        <w:t>9.7. Autoridad: cuando una respuesta correcta deja de tener permiso</w:t>
      </w:r>
      <w:bookmarkEnd w:id="68"/>
    </w:p>
    <w:p w14:paraId="3EE8FC12" w14:textId="77777777" w:rsidR="005E1EC2" w:rsidRPr="007D55C6" w:rsidRDefault="00F46BC1">
      <w:pPr>
        <w:pStyle w:val="MDPARThesisBody"/>
        <w:rPr>
          <w:lang w:val="es-ES"/>
        </w:rPr>
      </w:pPr>
      <w:r w:rsidRPr="007D55C6">
        <w:rPr>
          <w:lang w:val="es-ES"/>
        </w:rPr>
        <w:t>La separación entre un controlador capaz y otro autorizado para intervenir tiene antecedentes sólidos en la arquitectura Simplex y en runtime assurance: un componente de alto rendimiento puede quedar subordinado a mecanismos que preservan restricciones críticas de ejecución (Slagel et al., 2024). MDPAR no reclama haber inventado esta separación. Su planteamiento consiste en trasladarla al interior de la organización inferencial, antes de que una observación se convierta en estado comprometido y antes de que un resultado se traduzca en actuación.</w:t>
      </w:r>
    </w:p>
    <w:p w14:paraId="0B1B111D" w14:textId="77777777" w:rsidR="005E1EC2" w:rsidRPr="007D55C6" w:rsidRDefault="00F46BC1">
      <w:pPr>
        <w:pStyle w:val="MDPARThesisBody"/>
        <w:rPr>
          <w:lang w:val="es-ES"/>
        </w:rPr>
      </w:pPr>
      <w:r w:rsidRPr="007D55C6">
        <w:rPr>
          <w:lang w:val="es-ES"/>
        </w:rPr>
        <w:t>Una respuesta puede ser semánticamente pertinente y estructuralmente admisible sin poseer autoridad para modificar una trayectoria. También puede llegar después de que haya vencido la ventana temporal de la decisión a la que se refiere. En ambos casos, su contenido puede conservarse como evidencia histórica sin recibir autorización retrospectiva. La procedencia responde a quién aportó la observación; la validez estructural, a qué contratos satisface; la vigencia, a cuándo puede producir efectos; y la autorización, a quién o qué componente puede comprometerlos. Ninguna de esas dimensiones se deduce automáticamente de las restantes.</w:t>
      </w:r>
    </w:p>
    <w:p w14:paraId="286C3F75" w14:textId="77777777" w:rsidR="005C39BB" w:rsidRPr="007D55C6" w:rsidRDefault="005C39BB">
      <w:pPr>
        <w:pStyle w:val="MDPARThesisBody"/>
        <w:rPr>
          <w:lang w:val="es-ES"/>
        </w:rPr>
      </w:pPr>
    </w:p>
    <w:p w14:paraId="5BCB2EA3" w14:textId="77777777" w:rsidR="005E1EC2" w:rsidRPr="005C39BB" w:rsidRDefault="00F46BC1" w:rsidP="005C39BB">
      <w:pPr>
        <w:pStyle w:val="MDPARProfileH1"/>
        <w:spacing w:before="0" w:after="0" w:line="360" w:lineRule="auto"/>
        <w:ind w:firstLine="709"/>
        <w:jc w:val="both"/>
        <w:outlineLvl w:val="1"/>
        <w:rPr>
          <w:sz w:val="24"/>
          <w:szCs w:val="20"/>
          <w:lang w:val="es-ES"/>
        </w:rPr>
      </w:pPr>
      <w:bookmarkStart w:id="69" w:name="_Toc242721905"/>
      <w:r w:rsidRPr="005C39BB">
        <w:rPr>
          <w:sz w:val="24"/>
          <w:szCs w:val="20"/>
          <w:lang w:val="es-ES"/>
        </w:rPr>
        <w:t>9.8. Continuidad, degradación y recuperación: del agente persistente al sistema cognitivo durable</w:t>
      </w:r>
      <w:bookmarkEnd w:id="69"/>
    </w:p>
    <w:p w14:paraId="1CC919D4" w14:textId="77777777" w:rsidR="005E1EC2" w:rsidRPr="007D55C6" w:rsidRDefault="00F46BC1">
      <w:pPr>
        <w:pStyle w:val="MDPARThesisBody"/>
        <w:rPr>
          <w:lang w:val="es-ES"/>
        </w:rPr>
      </w:pPr>
      <w:r w:rsidRPr="007D55C6">
        <w:rPr>
          <w:lang w:val="es-ES"/>
        </w:rPr>
        <w:t>La memoria externa y la persistencia de agentes constituyen campos desarrollados. Generative Agents conserva experiencias y reflexiones para influir en comportamientos posteriores; MemGPT gestiona jerarquías de memoria y recuperación fuera del contexto inmediato (Park et al., 2023; Packer et al., 2023). La conservación de información, sin embargo, no determina por sí sola la identidad de un proceso. Un transcript íntegro puede no especificar qué obligación sigue pendiente, qué resultado ha perdido vigencia o qué inferencia debe reabrirse tras una interrupción.</w:t>
      </w:r>
    </w:p>
    <w:p w14:paraId="69F0A218" w14:textId="77777777" w:rsidR="005E1EC2" w:rsidRPr="007D55C6" w:rsidRDefault="00F46BC1">
      <w:pPr>
        <w:pStyle w:val="MDPARThesisBody"/>
        <w:rPr>
          <w:lang w:val="es-ES"/>
        </w:rPr>
      </w:pPr>
      <w:r w:rsidRPr="007D55C6">
        <w:rPr>
          <w:lang w:val="es-ES"/>
        </w:rPr>
        <w:t>El SCC permite formular la continuidad en términos de estados, relaciones, trayectorias y compromisos reconstruibles. En MDPAR, la capacidad que aporta semántica no tiene que ser la propietaria de la historia ni del estado estructural que continuará cuando aquella cambie. La interrupción de OPEN puede suspender una responsabilidad que requiere observación adicional sin invalidar las operaciones ya formalizadas ni borrar las alternativas que permanecen abiertas. Del mismo modo, la recuperación de un proveedor no le concede permiso para reescribir retrospectivamente decisiones que ya han sido comprometidas.</w:t>
      </w:r>
    </w:p>
    <w:p w14:paraId="4F8768E1" w14:textId="77777777" w:rsidR="00443195" w:rsidRPr="007D55C6" w:rsidRDefault="00443195">
      <w:pPr>
        <w:pStyle w:val="MDPARThesisBody"/>
        <w:rPr>
          <w:lang w:val="es-ES"/>
        </w:rPr>
      </w:pPr>
    </w:p>
    <w:p w14:paraId="18CF6ABD" w14:textId="77777777" w:rsidR="005E1EC2" w:rsidRPr="00443195" w:rsidRDefault="00F46BC1" w:rsidP="00443195">
      <w:pPr>
        <w:pStyle w:val="MDPARProfileH1"/>
        <w:spacing w:before="0" w:after="0" w:line="360" w:lineRule="auto"/>
        <w:ind w:firstLine="709"/>
        <w:jc w:val="both"/>
        <w:outlineLvl w:val="1"/>
        <w:rPr>
          <w:sz w:val="24"/>
          <w:szCs w:val="20"/>
          <w:lang w:val="es-ES"/>
        </w:rPr>
      </w:pPr>
      <w:bookmarkStart w:id="70" w:name="_Toc242721906"/>
      <w:r w:rsidRPr="00443195">
        <w:rPr>
          <w:sz w:val="24"/>
          <w:szCs w:val="20"/>
          <w:lang w:val="es-ES"/>
        </w:rPr>
        <w:t>9.9. Arquitecturas cognitivas y AGI</w:t>
      </w:r>
      <w:bookmarkEnd w:id="70"/>
    </w:p>
    <w:p w14:paraId="683E96D2" w14:textId="77777777" w:rsidR="005E1EC2" w:rsidRPr="007D55C6" w:rsidRDefault="00F46BC1">
      <w:pPr>
        <w:pStyle w:val="MDPARThesisBody"/>
        <w:rPr>
          <w:lang w:val="es-ES"/>
        </w:rPr>
      </w:pPr>
      <w:r w:rsidRPr="007D55C6">
        <w:rPr>
          <w:lang w:val="es-ES"/>
        </w:rPr>
        <w:t>Las arquitecturas cognitivas poseen una tradición que MDPAR debe reconocer expresamente. Soar y las propuestas integradoras reunidas en el Standard Model of the Mind investigan mecanismos generales de memoria, aprendizaje, control y acción, con aspiraciones explicativas que exceden una interfaz entre componentes (Laird et al., 1987; Laird et al., 2017). El SCC no pretende sustituir una teoría completa de la mente ni convertir una representación de trayectorias en una explicación exhaustiva de toda capacidad cognitiva humana o artificial.</w:t>
      </w:r>
    </w:p>
    <w:p w14:paraId="442CDF0A" w14:textId="77777777" w:rsidR="005E1EC2" w:rsidRPr="007D55C6" w:rsidRDefault="006B3210">
      <w:pPr>
        <w:pStyle w:val="MDPARThesisBody"/>
        <w:rPr>
          <w:lang w:val="es-ES"/>
        </w:rPr>
      </w:pPr>
      <w:r>
        <w:rPr>
          <w:lang w:val="es-ES"/>
        </w:rPr>
        <w:t>Por consiguiente, l</w:t>
      </w:r>
      <w:r w:rsidR="00F46BC1" w:rsidRPr="007D55C6">
        <w:rPr>
          <w:lang w:val="es-ES"/>
        </w:rPr>
        <w:t xml:space="preserve">a comparación pertinente se establece en otro nivel. MDPAR formaliza una organización inferencial que puede mantenerse pública y operable cuando el sistema adquiere capacidad de observadores heterogéneos. Su generalidad no se define por la amplitud de un catálogo de tareas que el mismo modelo resuelve, sino por las propiedades que la representación conserva bajo transformaciones, sustituciones y condiciones de continuidad. La arquitectura reclama ese alcance porque ha sido construida para separar estructura, semántica y autoridad; las campañas verifican su realización bajo </w:t>
      </w:r>
      <w:r w:rsidR="00F46BC1" w:rsidRPr="007D55C6">
        <w:rPr>
          <w:lang w:val="es-ES"/>
        </w:rPr>
        <w:lastRenderedPageBreak/>
        <w:t>contratos determinados y los contrastes externos deberán identificar el límite de transferencia, si lo hubiera.</w:t>
      </w:r>
    </w:p>
    <w:p w14:paraId="087559EE" w14:textId="77777777" w:rsidR="005E1EC2" w:rsidRDefault="00F46BC1">
      <w:pPr>
        <w:pStyle w:val="MDPARThesisBody"/>
        <w:rPr>
          <w:lang w:val="es-ES"/>
        </w:rPr>
      </w:pPr>
      <w:r w:rsidRPr="007D55C6">
        <w:rPr>
          <w:lang w:val="es-ES"/>
        </w:rPr>
        <w:t>Esta posición tampoco equivale a declarar resueltos por MDPAR todos los problemas de aprendizaje continuo, causalidad, modelado del mundo o inteligencia general. Establece una contribución transversal distinta: una infraestructura estructural candidata a ser compartida por capacidades cognitivas diferentes sin absorber necesariamente sus ontologías. La relación con las arquitecturas cognitivas y con la investigación sobre sistemas más generales se examina, por tanto, desde la interoperabilidad y la propiedad del proceso, no desde una supuesta equivalencia entre SCC y mente completa.</w:t>
      </w:r>
    </w:p>
    <w:p w14:paraId="1907A407" w14:textId="77777777" w:rsidR="000A438A" w:rsidRPr="007D55C6" w:rsidRDefault="000A438A">
      <w:pPr>
        <w:pStyle w:val="MDPARThesisBody"/>
        <w:rPr>
          <w:lang w:val="es-ES"/>
        </w:rPr>
      </w:pPr>
    </w:p>
    <w:p w14:paraId="552C6C98" w14:textId="77777777" w:rsidR="006F2537" w:rsidRPr="009F5587" w:rsidRDefault="006B1A89" w:rsidP="009F5587">
      <w:pPr>
        <w:pStyle w:val="MDPARProfileH1"/>
        <w:spacing w:before="0" w:after="0" w:line="360" w:lineRule="auto"/>
        <w:ind w:firstLine="709"/>
        <w:jc w:val="both"/>
        <w:outlineLvl w:val="1"/>
        <w:rPr>
          <w:sz w:val="24"/>
          <w:szCs w:val="20"/>
          <w:lang w:val="es-ES"/>
        </w:rPr>
      </w:pPr>
      <w:bookmarkStart w:id="71" w:name="_Toc242721907"/>
      <w:r w:rsidRPr="009F5587">
        <w:rPr>
          <w:sz w:val="24"/>
          <w:szCs w:val="20"/>
          <w:lang w:val="es-ES"/>
        </w:rPr>
        <w:t>9.10. Dónde queda MDPAR frente a sus vecinos</w:t>
      </w:r>
      <w:r w:rsidR="00B21AE4">
        <w:rPr>
          <w:sz w:val="24"/>
          <w:szCs w:val="20"/>
          <w:lang w:val="es-ES"/>
        </w:rPr>
        <w:t>: una conjunción arquitectónica</w:t>
      </w:r>
      <w:bookmarkEnd w:id="71"/>
    </w:p>
    <w:p w14:paraId="244EEB12" w14:textId="77777777" w:rsidR="00055665" w:rsidRDefault="00D403A7">
      <w:pPr>
        <w:pStyle w:val="MDPARThesisBody"/>
        <w:rPr>
          <w:lang w:val="es-ES"/>
        </w:rPr>
      </w:pPr>
      <w:r w:rsidRPr="004B177B">
        <w:rPr>
          <w:lang w:val="es-ES"/>
        </w:rPr>
        <w:t>La posición científica de MDPAR se comprende mejor como una conjunción arquitectónica que como la reivindicación de un mecanismo aislado. La correspondencia relacional, las arquitecturas de memoria compartida, los sistemas de transición, la selección dinámica de modelos y la supervisión de autoridad cuentan con antecedentes propios. La cuestión que introduce el SCC es si esas responsabilidades pueden operar sobre una misma representación inferencial pública, calculable y persistente, sin exigir que todos los participantes compartan una ontología semántica global.</w:t>
      </w:r>
    </w:p>
    <w:p w14:paraId="029CE1F1" w14:textId="77777777" w:rsidR="006B3210" w:rsidRPr="004B177B" w:rsidRDefault="006B3210">
      <w:pPr>
        <w:pStyle w:val="MDPARThesisBody"/>
        <w:rPr>
          <w:lang w:val="es-ES"/>
        </w:rPr>
      </w:pPr>
    </w:p>
    <w:p w14:paraId="57948A34" w14:textId="77777777" w:rsidR="006F2537" w:rsidRPr="009F5587" w:rsidRDefault="006B1A89" w:rsidP="009F5587">
      <w:pPr>
        <w:pStyle w:val="MDPARProfileH1"/>
        <w:spacing w:before="0" w:after="0" w:line="360" w:lineRule="auto"/>
        <w:ind w:firstLine="709"/>
        <w:jc w:val="both"/>
        <w:outlineLvl w:val="1"/>
        <w:rPr>
          <w:sz w:val="24"/>
          <w:szCs w:val="20"/>
        </w:rPr>
      </w:pPr>
      <w:bookmarkStart w:id="72" w:name="_Toc242721908"/>
      <w:r w:rsidRPr="009F5587">
        <w:rPr>
          <w:sz w:val="24"/>
          <w:szCs w:val="20"/>
        </w:rPr>
        <w:t>9.1</w:t>
      </w:r>
      <w:r w:rsidR="00B21AE4">
        <w:rPr>
          <w:sz w:val="24"/>
          <w:szCs w:val="20"/>
        </w:rPr>
        <w:t>1</w:t>
      </w:r>
      <w:r w:rsidRPr="009F5587">
        <w:rPr>
          <w:sz w:val="24"/>
          <w:szCs w:val="20"/>
        </w:rPr>
        <w:t>. Cognitive ownership frente a semantic capability</w:t>
      </w:r>
      <w:bookmarkEnd w:id="72"/>
    </w:p>
    <w:p w14:paraId="7886DACF" w14:textId="77777777" w:rsidR="00055665" w:rsidRPr="004B177B" w:rsidRDefault="00D403A7">
      <w:pPr>
        <w:pStyle w:val="MDPARThesisBody"/>
        <w:rPr>
          <w:lang w:val="es-ES"/>
        </w:rPr>
      </w:pPr>
      <w:r w:rsidRPr="004B177B">
        <w:rPr>
          <w:lang w:val="es-ES"/>
        </w:rPr>
        <w:t>La distinción entre capacidad semántica y propiedad del proceso cognitivo permite formular con precisión la dependencia de proveedor. La primera designa la aptitud de un componente para interpretar, proponer o resolver una tarea; la segunda comprende la conservación del estado estructural, su procedencia, los compromisos pendientes, las condiciones de continuidad y la autoridad necesaria para incorporar resultados o ejecutar actuaciones. Ninguna de estas responsabilidades se deriva automáticamente de la calidad de una respuesta.</w:t>
      </w:r>
    </w:p>
    <w:p w14:paraId="688539F2" w14:textId="77777777" w:rsidR="00055665" w:rsidRPr="004B177B" w:rsidRDefault="00D403A7">
      <w:pPr>
        <w:pStyle w:val="MDPARThesisBody"/>
        <w:rPr>
          <w:lang w:val="es-ES"/>
        </w:rPr>
      </w:pPr>
      <w:r w:rsidRPr="004B177B">
        <w:rPr>
          <w:lang w:val="es-ES"/>
        </w:rPr>
        <w:t xml:space="preserve">Los ensayos de degradación y cooperación sostenida de C11–C12 ofrecen evidencia interna sobre esta separación: una interrupción de capacidad no obliga a borrar el estado persistido y la recuperación de disponibilidad no equivale a recuperar automáticamente permiso o certificación. Este resultado no demuestra independencia absoluta respecto de los proveedores, porque ciertas tareas OPEN siguen requiriendo sus </w:t>
      </w:r>
      <w:r w:rsidRPr="004B177B">
        <w:rPr>
          <w:lang w:val="es-ES"/>
        </w:rPr>
        <w:lastRenderedPageBreak/>
        <w:t>capacidades y la calidad de la observación condiciona la utilidad de la proyección estructural.</w:t>
      </w:r>
    </w:p>
    <w:p w14:paraId="5A0CF7C4" w14:textId="77777777" w:rsidR="00055665" w:rsidRDefault="00D403A7">
      <w:pPr>
        <w:pStyle w:val="MDPARThesisBody"/>
        <w:rPr>
          <w:lang w:val="es-ES"/>
        </w:rPr>
      </w:pPr>
      <w:r w:rsidRPr="004B177B">
        <w:rPr>
          <w:lang w:val="es-ES"/>
        </w:rPr>
        <w:t>La consecuencia arquitectónica es más acotada y comprobable: es posible contratar o sustituir capacidad semántica sin contratar necesariamente con ella la propiedad completa del proceso. Su traducción económica y organizativa depende de los costes reales de integración, mantenimiento, certificación y operación, que se examinan en el capítulo siguiente.</w:t>
      </w:r>
    </w:p>
    <w:p w14:paraId="3E8A07E6" w14:textId="77777777" w:rsidR="004B177B" w:rsidRPr="004B177B" w:rsidRDefault="004B177B">
      <w:pPr>
        <w:pStyle w:val="MDPARThesisBody"/>
        <w:rPr>
          <w:lang w:val="es-ES"/>
        </w:rPr>
      </w:pPr>
    </w:p>
    <w:p w14:paraId="505DD965" w14:textId="77777777" w:rsidR="00B21AE4" w:rsidRPr="00B21AE4" w:rsidRDefault="006B1A89" w:rsidP="00B21AE4">
      <w:pPr>
        <w:pStyle w:val="MDPARProfileH1"/>
        <w:spacing w:before="0" w:after="0" w:line="360" w:lineRule="auto"/>
        <w:ind w:firstLine="709"/>
        <w:jc w:val="both"/>
        <w:outlineLvl w:val="1"/>
        <w:rPr>
          <w:sz w:val="24"/>
          <w:szCs w:val="20"/>
          <w:lang w:val="es-ES"/>
        </w:rPr>
      </w:pPr>
      <w:bookmarkStart w:id="73" w:name="_Toc242721909"/>
      <w:r w:rsidRPr="009F5587">
        <w:rPr>
          <w:sz w:val="24"/>
          <w:szCs w:val="20"/>
          <w:lang w:val="es-ES"/>
        </w:rPr>
        <w:t>9.1</w:t>
      </w:r>
      <w:r w:rsidR="00B21AE4">
        <w:rPr>
          <w:sz w:val="24"/>
          <w:szCs w:val="20"/>
          <w:lang w:val="es-ES"/>
        </w:rPr>
        <w:t>2</w:t>
      </w:r>
      <w:r w:rsidRPr="009F5587">
        <w:rPr>
          <w:sz w:val="24"/>
          <w:szCs w:val="20"/>
          <w:lang w:val="es-ES"/>
        </w:rPr>
        <w:t>. Ontology-light no significa adapter-free</w:t>
      </w:r>
      <w:bookmarkEnd w:id="73"/>
    </w:p>
    <w:p w14:paraId="3B69E589" w14:textId="77777777" w:rsidR="00055665" w:rsidRPr="004B177B" w:rsidRDefault="00D403A7">
      <w:pPr>
        <w:pStyle w:val="MDPARThesisBody"/>
        <w:rPr>
          <w:lang w:val="es-ES"/>
        </w:rPr>
      </w:pPr>
      <w:r w:rsidRPr="004B177B">
        <w:rPr>
          <w:lang w:val="es-ES"/>
        </w:rPr>
        <w:t>Que el SCC reduzca su compromiso ontológico no significa que pueda observar cualquier dominio sin mediación. Una proyección estructural necesita reconocer ocurrencias, relaciones, orden y demás elementos exigidos por el contrato de entrada. Esa tarea puede requerir interpretación lingüística, conocimiento especializado, instrumentación multimodal o reglas de adaptación específicas. La separación relevante no consiste en eliminar la semántica, sino en delimitar dónde interviene y qué propiedades pueden calcularse después sin volver a incorporarla de forma encubierta al núcleo.</w:t>
      </w:r>
    </w:p>
    <w:p w14:paraId="68979D8C" w14:textId="77777777" w:rsidR="00055665" w:rsidRPr="004B177B" w:rsidRDefault="00D403A7">
      <w:pPr>
        <w:pStyle w:val="MDPARThesisBody"/>
        <w:rPr>
          <w:lang w:val="es-ES"/>
        </w:rPr>
      </w:pPr>
      <w:r w:rsidRPr="004B177B">
        <w:rPr>
          <w:lang w:val="es-ES"/>
        </w:rPr>
        <w:t>Esta frontera impone una obligación experimental. Ante un nuevo idioma, dominio, perfil o modalidad, no basta con obtener una trayectoria formalmente bien construida: debe documentarse qué información aportó el adaptador, qué supuestos fueron necesarios, qué pérdidas introdujo la proyección y cuáles de las propiedades comparadas sobrevivieron a esos cambios. Una correspondencia lograda gracias a codificar previamente la solución semántica en el adaptador no constituye evidencia independiente de generalidad estructural.</w:t>
      </w:r>
    </w:p>
    <w:p w14:paraId="1B83E977" w14:textId="77777777" w:rsidR="00055665" w:rsidRDefault="00D403A7">
      <w:pPr>
        <w:pStyle w:val="MDPARThesisBody"/>
        <w:rPr>
          <w:lang w:val="es-ES"/>
        </w:rPr>
      </w:pPr>
      <w:r w:rsidRPr="004B177B">
        <w:rPr>
          <w:lang w:val="es-ES"/>
        </w:rPr>
        <w:t>Por ello, la hipótesis de universalidad debe contrastarse junto con el coste y el contenido de la adaptación. Si cada ampliación del dominio exige transferir progresivamente sus ontologías al SCC, o si el resultado depende de decisiones ad hoc del observador, la pretensión de generalidad deberá restringirse. Las sendas de invarianza y el Atlas proporcionan instrumentos para formular y verificar comparaciones bajo precondiciones explícitas; determinar hasta dónde esas comparaciones resisten observadores verdaderamente independientes corresponde al programa de investigación posterior.</w:t>
      </w:r>
    </w:p>
    <w:p w14:paraId="2EA03965" w14:textId="77777777" w:rsidR="00D72BA2" w:rsidRPr="004B177B" w:rsidRDefault="00D72BA2">
      <w:pPr>
        <w:pStyle w:val="MDPARThesisBody"/>
        <w:rPr>
          <w:lang w:val="es-ES"/>
        </w:rPr>
      </w:pPr>
    </w:p>
    <w:p w14:paraId="53C6B640" w14:textId="77777777" w:rsidR="006F2537" w:rsidRPr="009F5587" w:rsidRDefault="006B1A89" w:rsidP="009F5587">
      <w:pPr>
        <w:pStyle w:val="MDPARProfileH1"/>
        <w:spacing w:before="0" w:after="0" w:line="360" w:lineRule="auto"/>
        <w:ind w:firstLine="709"/>
        <w:jc w:val="both"/>
        <w:outlineLvl w:val="1"/>
        <w:rPr>
          <w:sz w:val="24"/>
          <w:szCs w:val="20"/>
          <w:lang w:val="es-ES"/>
        </w:rPr>
      </w:pPr>
      <w:bookmarkStart w:id="74" w:name="_Toc242721910"/>
      <w:r w:rsidRPr="009F5587">
        <w:rPr>
          <w:sz w:val="24"/>
          <w:szCs w:val="20"/>
          <w:lang w:val="es-ES"/>
        </w:rPr>
        <w:lastRenderedPageBreak/>
        <w:t>9.1</w:t>
      </w:r>
      <w:r w:rsidR="00B21AE4">
        <w:rPr>
          <w:sz w:val="24"/>
          <w:szCs w:val="20"/>
          <w:lang w:val="es-ES"/>
        </w:rPr>
        <w:t>3</w:t>
      </w:r>
      <w:r w:rsidRPr="009F5587">
        <w:rPr>
          <w:sz w:val="24"/>
          <w:szCs w:val="20"/>
          <w:lang w:val="es-ES"/>
        </w:rPr>
        <w:t>. Contestabilidad: el objeto público debe poder ser discutido</w:t>
      </w:r>
      <w:bookmarkEnd w:id="74"/>
    </w:p>
    <w:p w14:paraId="094A97EF" w14:textId="77777777" w:rsidR="00055665" w:rsidRPr="004B177B" w:rsidRDefault="00D403A7">
      <w:pPr>
        <w:pStyle w:val="MDPARThesisBody"/>
        <w:rPr>
          <w:lang w:val="es-ES"/>
        </w:rPr>
      </w:pPr>
      <w:r w:rsidRPr="004B177B">
        <w:rPr>
          <w:lang w:val="es-ES"/>
        </w:rPr>
        <w:t>La consecuencia epistemológica de una representación pública no se agota en la explicabilidad de una salida. Una explicación generada retrospectivamente puede resultar convincente sin permitir reconstruir qué evidencia ingresó, qué observación se produjo, qué transformación se autorizó o qué inferencia sostuvo el resultado. MDPAR plantea un objeto diferente: una trayectoria cuya procedencia, relaciones, operaciones y límites de autoridad puedan inspeccionarse y discutirse sin depender exclusivamente del relato del componente que aportó la semántica.</w:t>
      </w:r>
    </w:p>
    <w:p w14:paraId="0DB367C5" w14:textId="77777777" w:rsidR="00055665" w:rsidRPr="004B177B" w:rsidRDefault="00D403A7">
      <w:pPr>
        <w:pStyle w:val="MDPARThesisBody"/>
        <w:rPr>
          <w:lang w:val="es-ES"/>
        </w:rPr>
      </w:pPr>
      <w:r w:rsidRPr="004B177B">
        <w:rPr>
          <w:lang w:val="es-ES"/>
        </w:rPr>
        <w:t>La contestabilidad exige que una afirmación pueda localizarse en la cadena evidencia, observación, estructura, inferencia y autoridad. Una discrepancia puede recaer sobre la fuente, la interpretación inicial, la admisibilidad de una proyección, la validez de una transformación o la vigencia de una conclusión. Distinguir esos niveles permite revisar una etapa sin convertir toda la trayectoria en una afirmación indivisible y evita confundir la reproducción de una ejecución con la verdad material de sus premisas.</w:t>
      </w:r>
    </w:p>
    <w:p w14:paraId="36A0B008" w14:textId="77777777" w:rsidR="004B177B" w:rsidRDefault="00D403A7">
      <w:pPr>
        <w:pStyle w:val="MDPARThesisBody"/>
        <w:rPr>
          <w:lang w:val="es-ES"/>
        </w:rPr>
      </w:pPr>
      <w:r w:rsidRPr="004B177B">
        <w:rPr>
          <w:lang w:val="es-ES"/>
        </w:rPr>
        <w:t>El capítulo cierra así el perfil científico de MDPAR en el punto donde su arquitectura se vuelve discutible por terceros: no en la promesa de que toda inferencia será correcta, sino en la posibilidad de identificar qué se afirma, con qué testigos, bajo qué condiciones y por quién puede ser contradicho. El capítulo 10 examinará el coste y el valor de mantener esta infraestructura; el capítulo 11 estudiará su proyección social y profesional, donde la autoridad final debe permanecer diferenciada de la capacidad computacional.</w:t>
      </w:r>
    </w:p>
    <w:p w14:paraId="4D8DF6FA" w14:textId="77777777" w:rsidR="004B177B" w:rsidRDefault="004B177B">
      <w:pPr>
        <w:spacing w:after="200" w:line="276" w:lineRule="auto"/>
        <w:rPr>
          <w:lang w:val="es-ES"/>
        </w:rPr>
      </w:pPr>
      <w:r>
        <w:rPr>
          <w:lang w:val="es-ES"/>
        </w:rPr>
        <w:br w:type="page"/>
      </w:r>
    </w:p>
    <w:p w14:paraId="5A48A704" w14:textId="77777777" w:rsidR="00FA297C" w:rsidRPr="009E2FF4" w:rsidRDefault="00DA12E4" w:rsidP="009E2FF4">
      <w:pPr>
        <w:pStyle w:val="MDPARProfileH1"/>
        <w:spacing w:before="0" w:after="0" w:line="360" w:lineRule="auto"/>
        <w:jc w:val="both"/>
        <w:outlineLvl w:val="0"/>
        <w:rPr>
          <w:sz w:val="24"/>
          <w:szCs w:val="20"/>
          <w:lang w:val="es-ES"/>
        </w:rPr>
      </w:pPr>
      <w:bookmarkStart w:id="75" w:name="_Toc242721911"/>
      <w:r w:rsidRPr="009E2FF4">
        <w:rPr>
          <w:sz w:val="24"/>
          <w:szCs w:val="20"/>
          <w:lang w:val="es-ES"/>
        </w:rPr>
        <w:lastRenderedPageBreak/>
        <w:t>Capítulo 10: perfil corporativo-comercial de MDPAR</w:t>
      </w:r>
      <w:bookmarkEnd w:id="75"/>
    </w:p>
    <w:p w14:paraId="303C2842" w14:textId="77777777" w:rsidR="009E2FF4" w:rsidRPr="009E2FF4" w:rsidRDefault="009E2FF4" w:rsidP="009E2FF4">
      <w:pPr>
        <w:pStyle w:val="MDPARProfileH1"/>
        <w:spacing w:before="0" w:after="0" w:line="360" w:lineRule="auto"/>
        <w:rPr>
          <w:lang w:val="es-ES"/>
        </w:rPr>
      </w:pPr>
    </w:p>
    <w:p w14:paraId="0EE143B9" w14:textId="77777777" w:rsidR="00FA297C" w:rsidRPr="009E2FF4" w:rsidRDefault="00DA12E4" w:rsidP="009E2FF4">
      <w:pPr>
        <w:pStyle w:val="MDPARProfileCallout"/>
        <w:spacing w:before="0" w:after="0" w:line="360" w:lineRule="auto"/>
        <w:jc w:val="both"/>
        <w:rPr>
          <w:sz w:val="20"/>
          <w:szCs w:val="18"/>
          <w:lang w:val="es-ES"/>
        </w:rPr>
      </w:pPr>
      <w:r w:rsidRPr="009E2FF4">
        <w:rPr>
          <w:sz w:val="20"/>
          <w:szCs w:val="18"/>
          <w:lang w:val="es-ES"/>
        </w:rPr>
        <w:t>Qué se compra, qué deja de comprarse y cuánto podría valer convertir cognición en infraestructura</w:t>
      </w:r>
    </w:p>
    <w:p w14:paraId="72EFB837" w14:textId="77777777" w:rsidR="009E2FF4" w:rsidRDefault="009E2FF4" w:rsidP="009E2FF4">
      <w:pPr>
        <w:pStyle w:val="MDPARProfileH1"/>
        <w:spacing w:before="0" w:after="0" w:line="360" w:lineRule="auto"/>
        <w:rPr>
          <w:lang w:val="es-ES"/>
        </w:rPr>
      </w:pPr>
    </w:p>
    <w:p w14:paraId="717B1608" w14:textId="77777777" w:rsidR="00FA297C" w:rsidRDefault="00DA12E4">
      <w:pPr>
        <w:pStyle w:val="MDPARThesisBody"/>
        <w:rPr>
          <w:lang w:val="es-ES"/>
        </w:rPr>
      </w:pPr>
      <w:r w:rsidRPr="009E2FF4">
        <w:rPr>
          <w:lang w:val="es-ES"/>
        </w:rPr>
        <w:t>La propuesta corporativa no es «un modelo más barato». Es una capa capaz de decidir qué responsabilidades no deberían recomprarse a un modelo y de impedir que una respuesta neuronal, aunque sea semánticamente competente, adquiera por defecto routing, estructura, continuidad o autoridad operacional. El valor aparece, por tanto, en cinco superficies distintas: coste/compute, tiempo, infraestructura, mantenimiento y capacidad/calidad.</w:t>
      </w:r>
    </w:p>
    <w:p w14:paraId="1A091B15" w14:textId="77777777" w:rsidR="00F4173F" w:rsidRPr="009E2FF4" w:rsidRDefault="00F4173F">
      <w:pPr>
        <w:pStyle w:val="MDPARThesisBody"/>
        <w:rPr>
          <w:lang w:val="es-ES"/>
        </w:rPr>
      </w:pPr>
    </w:p>
    <w:p w14:paraId="6A60B6F0" w14:textId="77777777" w:rsidR="00FA297C" w:rsidRPr="00F4173F" w:rsidRDefault="00DA12E4" w:rsidP="00F4173F">
      <w:pPr>
        <w:pStyle w:val="MDPARProfileH1"/>
        <w:spacing w:before="0" w:after="0" w:line="360" w:lineRule="auto"/>
        <w:ind w:firstLine="709"/>
        <w:jc w:val="both"/>
        <w:outlineLvl w:val="1"/>
        <w:rPr>
          <w:sz w:val="24"/>
          <w:szCs w:val="20"/>
          <w:lang w:val="es-ES"/>
        </w:rPr>
      </w:pPr>
      <w:bookmarkStart w:id="76" w:name="_Toc242721912"/>
      <w:r w:rsidRPr="00F4173F">
        <w:rPr>
          <w:sz w:val="24"/>
          <w:szCs w:val="20"/>
          <w:lang w:val="es-ES"/>
        </w:rPr>
        <w:t>10.</w:t>
      </w:r>
      <w:r w:rsidR="009F5B98">
        <w:rPr>
          <w:sz w:val="24"/>
          <w:szCs w:val="20"/>
          <w:lang w:val="es-ES"/>
        </w:rPr>
        <w:t>1</w:t>
      </w:r>
      <w:r w:rsidRPr="00F4173F">
        <w:rPr>
          <w:sz w:val="24"/>
          <w:szCs w:val="20"/>
          <w:lang w:val="es-ES"/>
        </w:rPr>
        <w:t>. Disciplina epistemológica para cuantificar sin convertir escenarios en resultados</w:t>
      </w:r>
      <w:bookmarkEnd w:id="76"/>
    </w:p>
    <w:p w14:paraId="1B570BE0" w14:textId="77777777" w:rsidR="00FA297C" w:rsidRPr="009E2FF4" w:rsidRDefault="00DA12E4">
      <w:pPr>
        <w:pStyle w:val="MDPARThesisBody"/>
        <w:rPr>
          <w:lang w:val="es-ES"/>
        </w:rPr>
      </w:pPr>
      <w:r w:rsidRPr="009E2FF4">
        <w:rPr>
          <w:lang w:val="es-ES"/>
        </w:rPr>
        <w:t>El perfil económico utiliza cuatro niveles de afirmación: medido, derivado, escenario y comercial. Una magnitud medida procede directamente de una ejecución o contrato experimental; una derivada resulta de aplicar una operación explícita a datos medidos y precios externos; un escenario introduce supuestos visibles sobre una población o denominador; y una afirmación comercial traduce esos elementos a una regla de decisión o pricing. La separación es obligatoria porque un escenario económicamente grande no adquiere causalidad por estar expresado en dólares o TWh.</w:t>
      </w:r>
    </w:p>
    <w:p w14:paraId="756F5F6C" w14:textId="77777777" w:rsidR="00FA297C" w:rsidRDefault="00DA12E4">
      <w:pPr>
        <w:pStyle w:val="MDPARThesisBody"/>
        <w:rPr>
          <w:lang w:val="es-ES"/>
        </w:rPr>
      </w:pPr>
      <w:r w:rsidRPr="009E2FF4">
        <w:rPr>
          <w:lang w:val="es-ES"/>
        </w:rPr>
        <w:t>Esta disciplina permite que la ambición comercial sea auditable. MDPAR puede utilizar denominadores industriales de gran escala para mostrar materialidad potencial sin afirmar que los controla. Del mismo modo, una reducción de reasoning, una latencia solapada o una continuidad durante outage son mecanismos medidos; el valor monetario que una empresa asigne a cada mecanismo depende de su workload, SLA, infraestructura y coste de fallo.</w:t>
      </w:r>
    </w:p>
    <w:p w14:paraId="4CACA446" w14:textId="77777777" w:rsidR="00F4173F" w:rsidRPr="009E2FF4" w:rsidRDefault="00F4173F">
      <w:pPr>
        <w:pStyle w:val="MDPARThesisBody"/>
        <w:rPr>
          <w:lang w:val="es-ES"/>
        </w:rPr>
      </w:pPr>
    </w:p>
    <w:p w14:paraId="1626FCF4" w14:textId="77777777" w:rsidR="00FA297C" w:rsidRPr="00F4173F" w:rsidRDefault="00DA12E4" w:rsidP="00F4173F">
      <w:pPr>
        <w:pStyle w:val="MDPARProfileH1"/>
        <w:spacing w:before="0" w:after="0" w:line="360" w:lineRule="auto"/>
        <w:ind w:firstLine="709"/>
        <w:jc w:val="both"/>
        <w:outlineLvl w:val="1"/>
        <w:rPr>
          <w:sz w:val="24"/>
          <w:szCs w:val="20"/>
          <w:lang w:val="es-ES"/>
        </w:rPr>
      </w:pPr>
      <w:bookmarkStart w:id="77" w:name="_Toc242721913"/>
      <w:r w:rsidRPr="00F4173F">
        <w:rPr>
          <w:sz w:val="24"/>
          <w:szCs w:val="20"/>
          <w:lang w:val="es-ES"/>
        </w:rPr>
        <w:t>10.</w:t>
      </w:r>
      <w:r w:rsidR="009F5B98">
        <w:rPr>
          <w:sz w:val="24"/>
          <w:szCs w:val="20"/>
          <w:lang w:val="es-ES"/>
        </w:rPr>
        <w:t>2</w:t>
      </w:r>
      <w:r w:rsidRPr="00F4173F">
        <w:rPr>
          <w:sz w:val="24"/>
          <w:szCs w:val="20"/>
          <w:lang w:val="es-ES"/>
        </w:rPr>
        <w:t>. El ledger económico: C, T, I, M y Q</w:t>
      </w:r>
      <w:bookmarkEnd w:id="77"/>
    </w:p>
    <w:p w14:paraId="70C2E937" w14:textId="77777777" w:rsidR="00FA297C" w:rsidRPr="009E2FF4" w:rsidRDefault="00DA12E4">
      <w:pPr>
        <w:pStyle w:val="MDPARThesisBody"/>
        <w:rPr>
          <w:lang w:val="es-ES"/>
        </w:rPr>
      </w:pPr>
      <w:r w:rsidRPr="009E2FF4">
        <w:rPr>
          <w:lang w:val="es-ES"/>
        </w:rPr>
        <w:t xml:space="preserve">La economía de MDPAR no se reduce al contador de tokens. Se representa mediante el ledger E_MDPAR=(C,T,I,M,Q): C para coste/compute; T para tiempo; I para infraestructura; M para mantenimiento; y Q para capacidad/calidad. Estas dimensiones son ortogonales y no deben sumarse sin una regla de atribución. Compute evitado, latencia </w:t>
      </w:r>
      <w:r w:rsidRPr="009E2FF4">
        <w:rPr>
          <w:lang w:val="es-ES"/>
        </w:rPr>
        <w:lastRenderedPageBreak/>
        <w:t>ocultada, capacidad liberada, riesgo contenido y mantenimiento desplazado son magnitudes diferentes.</w:t>
      </w:r>
    </w:p>
    <w:p w14:paraId="0079D540" w14:textId="77777777" w:rsidR="00FA297C" w:rsidRDefault="00DA12E4">
      <w:pPr>
        <w:pStyle w:val="MDPARThesisBody"/>
        <w:rPr>
          <w:lang w:val="es-ES"/>
        </w:rPr>
      </w:pPr>
      <w:r w:rsidRPr="009E2FF4">
        <w:rPr>
          <w:lang w:val="es-ES"/>
        </w:rPr>
        <w:t>Q actúa como restricción. Reducir coste destruyendo la capacidad requerida no constituye ahorro. Esta condición explica por qué una campaña puede ser económicamente interesante</w:t>
      </w:r>
      <w:r w:rsidR="00F4173F">
        <w:rPr>
          <w:lang w:val="es-ES"/>
        </w:rPr>
        <w:t>,</w:t>
      </w:r>
      <w:r w:rsidRPr="009E2FF4">
        <w:rPr>
          <w:lang w:val="es-ES"/>
        </w:rPr>
        <w:t xml:space="preserve"> aunque aumenten los tokens totales: si compra menos deep reasoning, reduce el camino crítico, conserva autoridad o mejora la cobertura válida, la composición del recurso ha cambiado</w:t>
      </w:r>
      <w:r w:rsidR="00F4173F">
        <w:rPr>
          <w:lang w:val="es-ES"/>
        </w:rPr>
        <w:t>,</w:t>
      </w:r>
      <w:r w:rsidRPr="009E2FF4">
        <w:rPr>
          <w:lang w:val="es-ES"/>
        </w:rPr>
        <w:t xml:space="preserve"> aunque una métrica aislada empeore.</w:t>
      </w:r>
    </w:p>
    <w:p w14:paraId="5CF6ABE0" w14:textId="77777777" w:rsidR="00F4173F" w:rsidRPr="009E2FF4" w:rsidRDefault="00F4173F">
      <w:pPr>
        <w:pStyle w:val="MDPARThesisBody"/>
        <w:rPr>
          <w:lang w:val="es-ES"/>
        </w:rPr>
      </w:pPr>
    </w:p>
    <w:p w14:paraId="7E2C8FFB" w14:textId="77777777" w:rsidR="007563C0" w:rsidRPr="009F5B98" w:rsidRDefault="00DA12E4" w:rsidP="007563C0">
      <w:pPr>
        <w:pStyle w:val="MDPARProfileH1"/>
        <w:spacing w:before="0" w:after="0" w:line="360" w:lineRule="auto"/>
        <w:ind w:firstLine="709"/>
        <w:jc w:val="both"/>
        <w:outlineLvl w:val="1"/>
        <w:rPr>
          <w:sz w:val="22"/>
          <w:szCs w:val="18"/>
          <w:lang w:val="es-ES"/>
        </w:rPr>
      </w:pPr>
      <w:bookmarkStart w:id="78" w:name="_Toc242721914"/>
      <w:r w:rsidRPr="009F5B98">
        <w:rPr>
          <w:sz w:val="24"/>
          <w:szCs w:val="20"/>
          <w:lang w:val="es-ES"/>
        </w:rPr>
        <w:t>10.</w:t>
      </w:r>
      <w:r w:rsidR="009F5B98">
        <w:rPr>
          <w:sz w:val="24"/>
          <w:szCs w:val="20"/>
          <w:lang w:val="es-ES"/>
        </w:rPr>
        <w:t>3</w:t>
      </w:r>
      <w:r w:rsidRPr="009F5B98">
        <w:rPr>
          <w:sz w:val="24"/>
          <w:szCs w:val="20"/>
          <w:lang w:val="es-ES"/>
        </w:rPr>
        <w:t>. Lo que C0–C12 ya ponen sobre la mesa</w:t>
      </w:r>
      <w:bookmarkEnd w:id="78"/>
    </w:p>
    <w:p w14:paraId="0E9C9329" w14:textId="77777777" w:rsidR="007563C0" w:rsidRPr="007563C0" w:rsidRDefault="007563C0" w:rsidP="007563C0">
      <w:pPr>
        <w:pStyle w:val="MDPARThesisBody"/>
        <w:rPr>
          <w:lang w:val="es-ES"/>
        </w:rPr>
      </w:pPr>
      <w:r w:rsidRPr="007563C0">
        <w:rPr>
          <w:lang w:val="es-ES"/>
        </w:rPr>
        <w:t>Las capacidades C0–C12 permiten identificar distintas superficies de valor económico sin reducirlas a una métrica común de ahorro. La reproducibilidad contractual y la identificación estructural reducen el coste de verificar qué sistema produjo un resultado y bajo qué condiciones. La metrología y el cálculo determinista permiten diferenciar responsabilidades formalizadas de aquellas que requieren adquisición de capacidad semántica. La transformación estructural, la cooperación contextual y la continuidad longitudinal amplían el conjunto de operaciones que pueden conservarse y administrarse fuera de un proveedor neuronal concreto.</w:t>
      </w:r>
    </w:p>
    <w:p w14:paraId="27C652DA" w14:textId="77777777" w:rsidR="007563C0" w:rsidRPr="007563C0" w:rsidRDefault="007563C0" w:rsidP="007563C0">
      <w:pPr>
        <w:pStyle w:val="MDPARThesisBody"/>
        <w:rPr>
          <w:lang w:val="es-ES"/>
        </w:rPr>
      </w:pPr>
      <w:r w:rsidRPr="007563C0">
        <w:rPr>
          <w:lang w:val="es-ES"/>
        </w:rPr>
        <w:t>Desde la perspectiva corporativa, C7–C12 añaden especialización local, composición cooperativa, adquisición adaptativa de computación, concurrencia, autoridad temporal y continuidad ante degradación. Su valor conjunto consiste en que una organización puede distinguir qué recursos adquiere, qué responsabilidades mantiene bajo su control, qué costes son recurrentes y qué compromisos operacionales deben sobrevivir a la indisponibilidad de un proveedor.</w:t>
      </w:r>
    </w:p>
    <w:p w14:paraId="7E654F8E" w14:textId="77777777" w:rsidR="007563C0" w:rsidRDefault="007563C0" w:rsidP="007563C0">
      <w:pPr>
        <w:pStyle w:val="MDPARThesisBody"/>
        <w:rPr>
          <w:lang w:val="es-ES"/>
        </w:rPr>
      </w:pPr>
      <w:r w:rsidRPr="007563C0">
        <w:rPr>
          <w:lang w:val="es-ES"/>
        </w:rPr>
        <w:t>Cada capacidad representa, por tanto, una superficie económica diferente. Su contribución al valor total depende del proceso empresarial al que se aplique y de las relaciones que mantenga con las demás capacidades.</w:t>
      </w:r>
    </w:p>
    <w:p w14:paraId="0FA9FD0A" w14:textId="77777777" w:rsidR="009A4E4F" w:rsidRDefault="009A4E4F" w:rsidP="007563C0">
      <w:pPr>
        <w:pStyle w:val="MDPARThesisBody"/>
        <w:rPr>
          <w:lang w:val="es-ES"/>
        </w:rPr>
      </w:pPr>
    </w:p>
    <w:p w14:paraId="075D2541" w14:textId="77777777" w:rsidR="009A4E4F" w:rsidRDefault="009A4E4F" w:rsidP="007563C0">
      <w:pPr>
        <w:pStyle w:val="MDPARThesisBody"/>
        <w:rPr>
          <w:lang w:val="es-ES"/>
        </w:rPr>
      </w:pPr>
    </w:p>
    <w:tbl>
      <w:tblPr>
        <w:tblStyle w:val="Tablanormal2"/>
        <w:tblW w:w="0" w:type="auto"/>
        <w:tblLook w:val="04A0" w:firstRow="1" w:lastRow="0" w:firstColumn="1" w:lastColumn="0" w:noHBand="0" w:noVBand="1"/>
      </w:tblPr>
      <w:tblGrid>
        <w:gridCol w:w="959"/>
        <w:gridCol w:w="2268"/>
        <w:gridCol w:w="2977"/>
        <w:gridCol w:w="2799"/>
      </w:tblGrid>
      <w:tr w:rsidR="009A4E4F" w:rsidRPr="009A4E4F" w14:paraId="46FD2D41" w14:textId="77777777" w:rsidTr="009A4E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B6AE012" w14:textId="77777777" w:rsidR="009A4E4F" w:rsidRPr="009A4E4F" w:rsidRDefault="009A4E4F" w:rsidP="009A4E4F">
            <w:pPr>
              <w:spacing w:line="240" w:lineRule="auto"/>
              <w:rPr>
                <w:rFonts w:cs="Times New Roman"/>
                <w:sz w:val="16"/>
                <w:szCs w:val="16"/>
              </w:rPr>
            </w:pPr>
            <w:r w:rsidRPr="009A4E4F">
              <w:rPr>
                <w:rFonts w:cs="Times New Roman"/>
                <w:sz w:val="16"/>
                <w:szCs w:val="16"/>
              </w:rPr>
              <w:t>Capacidad</w:t>
            </w:r>
          </w:p>
        </w:tc>
        <w:tc>
          <w:tcPr>
            <w:tcW w:w="2268" w:type="dxa"/>
          </w:tcPr>
          <w:p w14:paraId="6E22C184" w14:textId="77777777" w:rsidR="009A4E4F" w:rsidRPr="009A4E4F" w:rsidRDefault="009A4E4F" w:rsidP="009A4E4F">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9A4E4F">
              <w:rPr>
                <w:rFonts w:cs="Times New Roman"/>
                <w:sz w:val="16"/>
                <w:szCs w:val="16"/>
              </w:rPr>
              <w:t>Mecanismo</w:t>
            </w:r>
          </w:p>
        </w:tc>
        <w:tc>
          <w:tcPr>
            <w:tcW w:w="2977" w:type="dxa"/>
          </w:tcPr>
          <w:p w14:paraId="4666E0E2" w14:textId="77777777" w:rsidR="009A4E4F" w:rsidRPr="009A4E4F" w:rsidRDefault="009A4E4F" w:rsidP="009A4E4F">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9A4E4F">
              <w:rPr>
                <w:rFonts w:cs="Times New Roman"/>
                <w:sz w:val="16"/>
                <w:szCs w:val="16"/>
              </w:rPr>
              <w:t>Superficie económica</w:t>
            </w:r>
          </w:p>
        </w:tc>
        <w:tc>
          <w:tcPr>
            <w:tcW w:w="2799" w:type="dxa"/>
          </w:tcPr>
          <w:p w14:paraId="73CE28B9" w14:textId="77777777" w:rsidR="009A4E4F" w:rsidRPr="009A4E4F" w:rsidRDefault="009A4E4F" w:rsidP="009A4E4F">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9A4E4F">
              <w:rPr>
                <w:rFonts w:cs="Times New Roman"/>
                <w:sz w:val="16"/>
                <w:szCs w:val="16"/>
              </w:rPr>
              <w:t>Límite de la afirmación</w:t>
            </w:r>
          </w:p>
        </w:tc>
      </w:tr>
      <w:tr w:rsidR="009A4E4F" w:rsidRPr="002F4F30" w14:paraId="0692D3E7"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9BDEDC0" w14:textId="77777777" w:rsidR="009A4E4F" w:rsidRPr="009A4E4F" w:rsidRDefault="009A4E4F" w:rsidP="009A4E4F">
            <w:pPr>
              <w:spacing w:line="240" w:lineRule="auto"/>
              <w:rPr>
                <w:rFonts w:cs="Times New Roman"/>
                <w:sz w:val="16"/>
                <w:szCs w:val="16"/>
              </w:rPr>
            </w:pPr>
            <w:r w:rsidRPr="009A4E4F">
              <w:rPr>
                <w:rFonts w:cs="Times New Roman"/>
                <w:sz w:val="16"/>
                <w:szCs w:val="16"/>
              </w:rPr>
              <w:t>C0</w:t>
            </w:r>
          </w:p>
        </w:tc>
        <w:tc>
          <w:tcPr>
            <w:tcW w:w="2268" w:type="dxa"/>
          </w:tcPr>
          <w:p w14:paraId="0656E879"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A4E4F">
              <w:rPr>
                <w:rFonts w:cs="Times New Roman"/>
                <w:sz w:val="16"/>
                <w:szCs w:val="16"/>
              </w:rPr>
              <w:t>Reproducibilidad contractual</w:t>
            </w:r>
          </w:p>
        </w:tc>
        <w:tc>
          <w:tcPr>
            <w:tcW w:w="2977" w:type="dxa"/>
          </w:tcPr>
          <w:p w14:paraId="4F21180A"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Verificación de versión, contrato y artefacto</w:t>
            </w:r>
          </w:p>
        </w:tc>
        <w:tc>
          <w:tcPr>
            <w:tcW w:w="2799" w:type="dxa"/>
          </w:tcPr>
          <w:p w14:paraId="43A4064F"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Coste de auditoría potencialmente reducible; no cuantificado.</w:t>
            </w:r>
          </w:p>
        </w:tc>
      </w:tr>
      <w:tr w:rsidR="009A4E4F" w:rsidRPr="002F4F30" w14:paraId="71D9F5C9" w14:textId="77777777" w:rsidTr="009A4E4F">
        <w:tc>
          <w:tcPr>
            <w:cnfStyle w:val="001000000000" w:firstRow="0" w:lastRow="0" w:firstColumn="1" w:lastColumn="0" w:oddVBand="0" w:evenVBand="0" w:oddHBand="0" w:evenHBand="0" w:firstRowFirstColumn="0" w:firstRowLastColumn="0" w:lastRowFirstColumn="0" w:lastRowLastColumn="0"/>
            <w:tcW w:w="959" w:type="dxa"/>
          </w:tcPr>
          <w:p w14:paraId="49D7F82B" w14:textId="77777777" w:rsidR="009A4E4F" w:rsidRPr="009A4E4F" w:rsidRDefault="009A4E4F" w:rsidP="009A4E4F">
            <w:pPr>
              <w:spacing w:line="240" w:lineRule="auto"/>
              <w:rPr>
                <w:rFonts w:cs="Times New Roman"/>
                <w:sz w:val="16"/>
                <w:szCs w:val="16"/>
              </w:rPr>
            </w:pPr>
            <w:r w:rsidRPr="009A4E4F">
              <w:rPr>
                <w:rFonts w:cs="Times New Roman"/>
                <w:sz w:val="16"/>
                <w:szCs w:val="16"/>
              </w:rPr>
              <w:t>C1</w:t>
            </w:r>
          </w:p>
        </w:tc>
        <w:tc>
          <w:tcPr>
            <w:tcW w:w="2268" w:type="dxa"/>
          </w:tcPr>
          <w:p w14:paraId="7D586CBF"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9A4E4F">
              <w:rPr>
                <w:rFonts w:cs="Times New Roman"/>
                <w:sz w:val="16"/>
                <w:szCs w:val="16"/>
              </w:rPr>
              <w:t>Identificación estructural</w:t>
            </w:r>
          </w:p>
        </w:tc>
        <w:tc>
          <w:tcPr>
            <w:tcW w:w="2977" w:type="dxa"/>
          </w:tcPr>
          <w:p w14:paraId="4450E781"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Separar capacidad observada de certificación</w:t>
            </w:r>
          </w:p>
        </w:tc>
        <w:tc>
          <w:tcPr>
            <w:tcW w:w="2799" w:type="dxa"/>
          </w:tcPr>
          <w:p w14:paraId="6ECE0D1D"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Selección y QA por propiedad acreditada; sin ahorro universal.</w:t>
            </w:r>
          </w:p>
        </w:tc>
      </w:tr>
      <w:tr w:rsidR="009A4E4F" w:rsidRPr="002F4F30" w14:paraId="084F6FA3"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1B721B8" w14:textId="77777777" w:rsidR="009A4E4F" w:rsidRPr="009A4E4F" w:rsidRDefault="009A4E4F" w:rsidP="009A4E4F">
            <w:pPr>
              <w:spacing w:line="240" w:lineRule="auto"/>
              <w:rPr>
                <w:rFonts w:cs="Times New Roman"/>
                <w:sz w:val="16"/>
                <w:szCs w:val="16"/>
              </w:rPr>
            </w:pPr>
            <w:r w:rsidRPr="009A4E4F">
              <w:rPr>
                <w:rFonts w:cs="Times New Roman"/>
                <w:sz w:val="16"/>
                <w:szCs w:val="16"/>
              </w:rPr>
              <w:t>C2</w:t>
            </w:r>
          </w:p>
        </w:tc>
        <w:tc>
          <w:tcPr>
            <w:tcW w:w="2268" w:type="dxa"/>
          </w:tcPr>
          <w:p w14:paraId="799579DD"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A4E4F">
              <w:rPr>
                <w:rFonts w:cs="Times New Roman"/>
                <w:sz w:val="16"/>
                <w:szCs w:val="16"/>
              </w:rPr>
              <w:t>Metrología estructural</w:t>
            </w:r>
          </w:p>
        </w:tc>
        <w:tc>
          <w:tcPr>
            <w:tcW w:w="2977" w:type="dxa"/>
          </w:tcPr>
          <w:p w14:paraId="7671144F"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Declarar lo medible y lo no evaluable</w:t>
            </w:r>
          </w:p>
        </w:tc>
        <w:tc>
          <w:tcPr>
            <w:tcW w:w="2799" w:type="dxa"/>
          </w:tcPr>
          <w:p w14:paraId="6B2512CF"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Menos riesgo de falsa certeza; impacto monetario no medido.</w:t>
            </w:r>
          </w:p>
        </w:tc>
      </w:tr>
      <w:tr w:rsidR="009A4E4F" w:rsidRPr="002F4F30" w14:paraId="389A4245" w14:textId="77777777" w:rsidTr="009A4E4F">
        <w:tc>
          <w:tcPr>
            <w:cnfStyle w:val="001000000000" w:firstRow="0" w:lastRow="0" w:firstColumn="1" w:lastColumn="0" w:oddVBand="0" w:evenVBand="0" w:oddHBand="0" w:evenHBand="0" w:firstRowFirstColumn="0" w:firstRowLastColumn="0" w:lastRowFirstColumn="0" w:lastRowLastColumn="0"/>
            <w:tcW w:w="959" w:type="dxa"/>
          </w:tcPr>
          <w:p w14:paraId="6A7A6AFF" w14:textId="77777777" w:rsidR="009A4E4F" w:rsidRPr="009A4E4F" w:rsidRDefault="009A4E4F" w:rsidP="009A4E4F">
            <w:pPr>
              <w:spacing w:line="240" w:lineRule="auto"/>
              <w:rPr>
                <w:rFonts w:cs="Times New Roman"/>
                <w:sz w:val="16"/>
                <w:szCs w:val="16"/>
              </w:rPr>
            </w:pPr>
            <w:r w:rsidRPr="009A4E4F">
              <w:rPr>
                <w:rFonts w:cs="Times New Roman"/>
                <w:sz w:val="16"/>
                <w:szCs w:val="16"/>
              </w:rPr>
              <w:t>C3</w:t>
            </w:r>
          </w:p>
        </w:tc>
        <w:tc>
          <w:tcPr>
            <w:tcW w:w="2268" w:type="dxa"/>
          </w:tcPr>
          <w:p w14:paraId="7567ADF9"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9A4E4F">
              <w:rPr>
                <w:rFonts w:cs="Times New Roman"/>
                <w:sz w:val="16"/>
                <w:szCs w:val="16"/>
              </w:rPr>
              <w:t>Cálculo estructural</w:t>
            </w:r>
          </w:p>
        </w:tc>
        <w:tc>
          <w:tcPr>
            <w:tcW w:w="2977" w:type="dxa"/>
          </w:tcPr>
          <w:p w14:paraId="258A1488"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Resolver responsabilidades formalizadas sin OPEN</w:t>
            </w:r>
          </w:p>
        </w:tc>
        <w:tc>
          <w:tcPr>
            <w:tcW w:w="2799" w:type="dxa"/>
          </w:tcPr>
          <w:p w14:paraId="3D426E9D"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API neuronal nula en operaciones estrictamente deterministas; persisten costes propios.</w:t>
            </w:r>
          </w:p>
        </w:tc>
      </w:tr>
      <w:tr w:rsidR="009A4E4F" w:rsidRPr="002F4F30" w14:paraId="4273E2FB"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0ED249D" w14:textId="77777777" w:rsidR="009A4E4F" w:rsidRPr="009A4E4F" w:rsidRDefault="009A4E4F" w:rsidP="009A4E4F">
            <w:pPr>
              <w:spacing w:line="240" w:lineRule="auto"/>
              <w:rPr>
                <w:rFonts w:cs="Times New Roman"/>
                <w:sz w:val="16"/>
                <w:szCs w:val="16"/>
              </w:rPr>
            </w:pPr>
            <w:r w:rsidRPr="009A4E4F">
              <w:rPr>
                <w:rFonts w:cs="Times New Roman"/>
                <w:sz w:val="16"/>
                <w:szCs w:val="16"/>
              </w:rPr>
              <w:t>C4</w:t>
            </w:r>
          </w:p>
        </w:tc>
        <w:tc>
          <w:tcPr>
            <w:tcW w:w="2268" w:type="dxa"/>
          </w:tcPr>
          <w:p w14:paraId="74A262D0"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A4E4F">
              <w:rPr>
                <w:rFonts w:cs="Times New Roman"/>
                <w:sz w:val="16"/>
                <w:szCs w:val="16"/>
              </w:rPr>
              <w:t>Transformación e invariancia</w:t>
            </w:r>
          </w:p>
        </w:tc>
        <w:tc>
          <w:tcPr>
            <w:tcW w:w="2977" w:type="dxa"/>
          </w:tcPr>
          <w:p w14:paraId="14B5C638"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A4E4F">
              <w:rPr>
                <w:rFonts w:cs="Times New Roman"/>
                <w:sz w:val="16"/>
                <w:szCs w:val="16"/>
              </w:rPr>
              <w:t>Contrastar propiedades bajo transformaciones</w:t>
            </w:r>
          </w:p>
        </w:tc>
        <w:tc>
          <w:tcPr>
            <w:tcW w:w="2799" w:type="dxa"/>
          </w:tcPr>
          <w:p w14:paraId="1C82012D"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Coste de verificación y reidentificación; invariancia general no demostrada.</w:t>
            </w:r>
          </w:p>
        </w:tc>
      </w:tr>
      <w:tr w:rsidR="009A4E4F" w:rsidRPr="002F4F30" w14:paraId="04E0841D" w14:textId="77777777" w:rsidTr="009A4E4F">
        <w:tc>
          <w:tcPr>
            <w:cnfStyle w:val="001000000000" w:firstRow="0" w:lastRow="0" w:firstColumn="1" w:lastColumn="0" w:oddVBand="0" w:evenVBand="0" w:oddHBand="0" w:evenHBand="0" w:firstRowFirstColumn="0" w:firstRowLastColumn="0" w:lastRowFirstColumn="0" w:lastRowLastColumn="0"/>
            <w:tcW w:w="959" w:type="dxa"/>
          </w:tcPr>
          <w:p w14:paraId="72D78388" w14:textId="77777777" w:rsidR="009A4E4F" w:rsidRPr="009A4E4F" w:rsidRDefault="009A4E4F" w:rsidP="009A4E4F">
            <w:pPr>
              <w:spacing w:line="240" w:lineRule="auto"/>
              <w:rPr>
                <w:rFonts w:cs="Times New Roman"/>
                <w:sz w:val="16"/>
                <w:szCs w:val="16"/>
              </w:rPr>
            </w:pPr>
            <w:r w:rsidRPr="009A4E4F">
              <w:rPr>
                <w:rFonts w:cs="Times New Roman"/>
                <w:sz w:val="16"/>
                <w:szCs w:val="16"/>
              </w:rPr>
              <w:lastRenderedPageBreak/>
              <w:t>C5</w:t>
            </w:r>
          </w:p>
        </w:tc>
        <w:tc>
          <w:tcPr>
            <w:tcW w:w="2268" w:type="dxa"/>
          </w:tcPr>
          <w:p w14:paraId="50DDFC21"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9A4E4F">
              <w:rPr>
                <w:rFonts w:cs="Times New Roman"/>
                <w:sz w:val="16"/>
                <w:szCs w:val="16"/>
              </w:rPr>
              <w:t>Cooperación contextual</w:t>
            </w:r>
          </w:p>
        </w:tc>
        <w:tc>
          <w:tcPr>
            <w:tcW w:w="2977" w:type="dxa"/>
          </w:tcPr>
          <w:p w14:paraId="6F1E646A"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Componer competencias con fronteras explícitas</w:t>
            </w:r>
          </w:p>
        </w:tc>
        <w:tc>
          <w:tcPr>
            <w:tcW w:w="2799" w:type="dxa"/>
          </w:tcPr>
          <w:p w14:paraId="7BFF1BF5"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Reutilización potencial; depende de integración y calidad.</w:t>
            </w:r>
          </w:p>
        </w:tc>
      </w:tr>
      <w:tr w:rsidR="009A4E4F" w:rsidRPr="002F4F30" w14:paraId="0C3EA611"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438F49F" w14:textId="77777777" w:rsidR="009A4E4F" w:rsidRPr="009A4E4F" w:rsidRDefault="009A4E4F" w:rsidP="009A4E4F">
            <w:pPr>
              <w:spacing w:line="240" w:lineRule="auto"/>
              <w:rPr>
                <w:rFonts w:cs="Times New Roman"/>
                <w:sz w:val="16"/>
                <w:szCs w:val="16"/>
              </w:rPr>
            </w:pPr>
            <w:r w:rsidRPr="009A4E4F">
              <w:rPr>
                <w:rFonts w:cs="Times New Roman"/>
                <w:sz w:val="16"/>
                <w:szCs w:val="16"/>
              </w:rPr>
              <w:t>C6</w:t>
            </w:r>
          </w:p>
        </w:tc>
        <w:tc>
          <w:tcPr>
            <w:tcW w:w="2268" w:type="dxa"/>
          </w:tcPr>
          <w:p w14:paraId="080D586C"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A4E4F">
              <w:rPr>
                <w:rFonts w:cs="Times New Roman"/>
                <w:sz w:val="16"/>
                <w:szCs w:val="16"/>
              </w:rPr>
              <w:t>Continuidad longitudinal</w:t>
            </w:r>
          </w:p>
        </w:tc>
        <w:tc>
          <w:tcPr>
            <w:tcW w:w="2977" w:type="dxa"/>
          </w:tcPr>
          <w:p w14:paraId="0305E6DA"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Conservar estado, revisiones y cuestiones pendientes</w:t>
            </w:r>
          </w:p>
        </w:tc>
        <w:tc>
          <w:tcPr>
            <w:tcW w:w="2799" w:type="dxa"/>
          </w:tcPr>
          <w:p w14:paraId="1475F4D7"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Coste real de seguimiento y reobservación; no equiparar persistencia con ahorro.</w:t>
            </w:r>
          </w:p>
        </w:tc>
      </w:tr>
      <w:tr w:rsidR="009A4E4F" w:rsidRPr="002F4F30" w14:paraId="5BB6FC29" w14:textId="77777777" w:rsidTr="009A4E4F">
        <w:tc>
          <w:tcPr>
            <w:cnfStyle w:val="001000000000" w:firstRow="0" w:lastRow="0" w:firstColumn="1" w:lastColumn="0" w:oddVBand="0" w:evenVBand="0" w:oddHBand="0" w:evenHBand="0" w:firstRowFirstColumn="0" w:firstRowLastColumn="0" w:lastRowFirstColumn="0" w:lastRowLastColumn="0"/>
            <w:tcW w:w="959" w:type="dxa"/>
          </w:tcPr>
          <w:p w14:paraId="5A758901" w14:textId="77777777" w:rsidR="009A4E4F" w:rsidRPr="009A4E4F" w:rsidRDefault="009A4E4F" w:rsidP="009A4E4F">
            <w:pPr>
              <w:spacing w:line="240" w:lineRule="auto"/>
              <w:rPr>
                <w:rFonts w:cs="Times New Roman"/>
                <w:sz w:val="16"/>
                <w:szCs w:val="16"/>
              </w:rPr>
            </w:pPr>
            <w:r w:rsidRPr="009A4E4F">
              <w:rPr>
                <w:rFonts w:cs="Times New Roman"/>
                <w:sz w:val="16"/>
                <w:szCs w:val="16"/>
              </w:rPr>
              <w:t>C7</w:t>
            </w:r>
          </w:p>
        </w:tc>
        <w:tc>
          <w:tcPr>
            <w:tcW w:w="2268" w:type="dxa"/>
          </w:tcPr>
          <w:p w14:paraId="6A15D95B"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9A4E4F">
              <w:rPr>
                <w:rFonts w:cs="Times New Roman"/>
                <w:sz w:val="16"/>
                <w:szCs w:val="16"/>
              </w:rPr>
              <w:t>Competencias CLOSED heterogéneas</w:t>
            </w:r>
          </w:p>
        </w:tc>
        <w:tc>
          <w:tcPr>
            <w:tcW w:w="2977" w:type="dxa"/>
          </w:tcPr>
          <w:p w14:paraId="63406AC6"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Ejecutar competencias locales y rechazar casos sin propietario</w:t>
            </w:r>
          </w:p>
        </w:tc>
        <w:tc>
          <w:tcPr>
            <w:tcW w:w="2799" w:type="dxa"/>
          </w:tcPr>
          <w:p w14:paraId="394D0B4B"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Cero llamadas neuronales en los instrumentos C7; routing léxico 80/100.</w:t>
            </w:r>
          </w:p>
        </w:tc>
      </w:tr>
      <w:tr w:rsidR="009A4E4F" w:rsidRPr="002F4F30" w14:paraId="78D121D1"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5F4886A" w14:textId="77777777" w:rsidR="009A4E4F" w:rsidRPr="009A4E4F" w:rsidRDefault="009A4E4F" w:rsidP="009A4E4F">
            <w:pPr>
              <w:spacing w:line="240" w:lineRule="auto"/>
              <w:rPr>
                <w:rFonts w:cs="Times New Roman"/>
                <w:sz w:val="16"/>
                <w:szCs w:val="16"/>
              </w:rPr>
            </w:pPr>
            <w:r w:rsidRPr="009A4E4F">
              <w:rPr>
                <w:rFonts w:cs="Times New Roman"/>
                <w:sz w:val="16"/>
                <w:szCs w:val="16"/>
              </w:rPr>
              <w:t>C8</w:t>
            </w:r>
          </w:p>
        </w:tc>
        <w:tc>
          <w:tcPr>
            <w:tcW w:w="2268" w:type="dxa"/>
          </w:tcPr>
          <w:p w14:paraId="612203FA"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A4E4F">
              <w:rPr>
                <w:rFonts w:cs="Times New Roman"/>
                <w:sz w:val="16"/>
                <w:szCs w:val="16"/>
              </w:rPr>
              <w:t>Composición CLOSED/OPEN</w:t>
            </w:r>
          </w:p>
        </w:tc>
        <w:tc>
          <w:tcPr>
            <w:tcW w:w="2977" w:type="dxa"/>
          </w:tcPr>
          <w:p w14:paraId="70FF73DF"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Gobernar propiedad, estado y autoridad en cooperación</w:t>
            </w:r>
          </w:p>
        </w:tc>
        <w:tc>
          <w:tcPr>
            <w:tcW w:w="2799" w:type="dxa"/>
          </w:tcPr>
          <w:p w14:paraId="130D1AFD"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3 adquisiciones OPEN / 10 casos; 72.073 tokens; no demuestra ahorro comparativo.</w:t>
            </w:r>
          </w:p>
        </w:tc>
      </w:tr>
      <w:tr w:rsidR="009A4E4F" w:rsidRPr="002F4F30" w14:paraId="68C7F261" w14:textId="77777777" w:rsidTr="009A4E4F">
        <w:tc>
          <w:tcPr>
            <w:cnfStyle w:val="001000000000" w:firstRow="0" w:lastRow="0" w:firstColumn="1" w:lastColumn="0" w:oddVBand="0" w:evenVBand="0" w:oddHBand="0" w:evenHBand="0" w:firstRowFirstColumn="0" w:firstRowLastColumn="0" w:lastRowFirstColumn="0" w:lastRowLastColumn="0"/>
            <w:tcW w:w="959" w:type="dxa"/>
          </w:tcPr>
          <w:p w14:paraId="0A0B3AD3" w14:textId="77777777" w:rsidR="009A4E4F" w:rsidRPr="009A4E4F" w:rsidRDefault="009A4E4F" w:rsidP="009A4E4F">
            <w:pPr>
              <w:spacing w:line="240" w:lineRule="auto"/>
              <w:rPr>
                <w:rFonts w:cs="Times New Roman"/>
                <w:sz w:val="16"/>
                <w:szCs w:val="16"/>
              </w:rPr>
            </w:pPr>
            <w:r w:rsidRPr="009A4E4F">
              <w:rPr>
                <w:rFonts w:cs="Times New Roman"/>
                <w:sz w:val="16"/>
                <w:szCs w:val="16"/>
              </w:rPr>
              <w:t>C9</w:t>
            </w:r>
          </w:p>
        </w:tc>
        <w:tc>
          <w:tcPr>
            <w:tcW w:w="2268" w:type="dxa"/>
          </w:tcPr>
          <w:p w14:paraId="6BDC79B5"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9A4E4F">
              <w:rPr>
                <w:rFonts w:cs="Times New Roman"/>
                <w:sz w:val="16"/>
                <w:szCs w:val="16"/>
              </w:rPr>
              <w:t>Adquisición adaptativa y concurrencia</w:t>
            </w:r>
          </w:p>
        </w:tc>
        <w:tc>
          <w:tcPr>
            <w:tcW w:w="2977" w:type="dxa"/>
          </w:tcPr>
          <w:p w14:paraId="0435F26B"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Asignar clase de compute y solapar trabajo</w:t>
            </w:r>
          </w:p>
        </w:tc>
        <w:tc>
          <w:tcPr>
            <w:tcW w:w="2799" w:type="dxa"/>
          </w:tcPr>
          <w:p w14:paraId="24A1A872"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Trade-offs observados entre Q, coste, tokens y tiempo; sin mejora uniforme.</w:t>
            </w:r>
          </w:p>
        </w:tc>
      </w:tr>
      <w:tr w:rsidR="009A4E4F" w:rsidRPr="002F4F30" w14:paraId="65497B21"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9AA72B1" w14:textId="77777777" w:rsidR="009A4E4F" w:rsidRPr="009A4E4F" w:rsidRDefault="009A4E4F" w:rsidP="009A4E4F">
            <w:pPr>
              <w:spacing w:line="240" w:lineRule="auto"/>
              <w:rPr>
                <w:rFonts w:cs="Times New Roman"/>
                <w:sz w:val="16"/>
                <w:szCs w:val="16"/>
              </w:rPr>
            </w:pPr>
            <w:r w:rsidRPr="009A4E4F">
              <w:rPr>
                <w:rFonts w:cs="Times New Roman"/>
                <w:sz w:val="16"/>
                <w:szCs w:val="16"/>
              </w:rPr>
              <w:t>C10</w:t>
            </w:r>
          </w:p>
        </w:tc>
        <w:tc>
          <w:tcPr>
            <w:tcW w:w="2268" w:type="dxa"/>
          </w:tcPr>
          <w:p w14:paraId="7AFEC903"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A4E4F">
              <w:rPr>
                <w:rFonts w:cs="Times New Roman"/>
                <w:sz w:val="16"/>
                <w:szCs w:val="16"/>
              </w:rPr>
              <w:t>Autoridad temporal y embodiment</w:t>
            </w:r>
          </w:p>
        </w:tc>
        <w:tc>
          <w:tcPr>
            <w:tcW w:w="2977" w:type="dxa"/>
          </w:tcPr>
          <w:p w14:paraId="1B727AB1"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Evitar actuación fuera de vigencia o jurisdicción</w:t>
            </w:r>
          </w:p>
        </w:tc>
        <w:tc>
          <w:tcPr>
            <w:tcW w:w="2799" w:type="dxa"/>
          </w:tcPr>
          <w:p w14:paraId="11D9A2DC"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Valor potencial de abstención segura; pérdidas evitadas no medidas.</w:t>
            </w:r>
          </w:p>
        </w:tc>
      </w:tr>
      <w:tr w:rsidR="009A4E4F" w:rsidRPr="002F4F30" w14:paraId="72FD8E40" w14:textId="77777777" w:rsidTr="009A4E4F">
        <w:tc>
          <w:tcPr>
            <w:cnfStyle w:val="001000000000" w:firstRow="0" w:lastRow="0" w:firstColumn="1" w:lastColumn="0" w:oddVBand="0" w:evenVBand="0" w:oddHBand="0" w:evenHBand="0" w:firstRowFirstColumn="0" w:firstRowLastColumn="0" w:lastRowFirstColumn="0" w:lastRowLastColumn="0"/>
            <w:tcW w:w="959" w:type="dxa"/>
          </w:tcPr>
          <w:p w14:paraId="4F059D72" w14:textId="77777777" w:rsidR="009A4E4F" w:rsidRPr="009A4E4F" w:rsidRDefault="009A4E4F" w:rsidP="009A4E4F">
            <w:pPr>
              <w:spacing w:line="240" w:lineRule="auto"/>
              <w:rPr>
                <w:rFonts w:cs="Times New Roman"/>
                <w:sz w:val="16"/>
                <w:szCs w:val="16"/>
              </w:rPr>
            </w:pPr>
            <w:r w:rsidRPr="009A4E4F">
              <w:rPr>
                <w:rFonts w:cs="Times New Roman"/>
                <w:sz w:val="16"/>
                <w:szCs w:val="16"/>
              </w:rPr>
              <w:t>C11</w:t>
            </w:r>
          </w:p>
        </w:tc>
        <w:tc>
          <w:tcPr>
            <w:tcW w:w="2268" w:type="dxa"/>
          </w:tcPr>
          <w:p w14:paraId="2575ECF1"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9A4E4F">
              <w:rPr>
                <w:rFonts w:cs="Times New Roman"/>
                <w:sz w:val="16"/>
                <w:szCs w:val="16"/>
              </w:rPr>
              <w:t>Degradación y recuperación</w:t>
            </w:r>
          </w:p>
        </w:tc>
        <w:tc>
          <w:tcPr>
            <w:tcW w:w="2977" w:type="dxa"/>
          </w:tcPr>
          <w:p w14:paraId="380F9AD0"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Conservar responsabilidades y recuperar deudas</w:t>
            </w:r>
          </w:p>
        </w:tc>
        <w:tc>
          <w:tcPr>
            <w:tcW w:w="2799" w:type="dxa"/>
          </w:tcPr>
          <w:p w14:paraId="49B2FF6B"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9A4E4F">
              <w:rPr>
                <w:rFonts w:cs="Times New Roman"/>
                <w:sz w:val="16"/>
                <w:szCs w:val="16"/>
                <w:lang w:val="es-ES"/>
              </w:rPr>
              <w:t>Resiliencia contractual ensayada; disponibilidad comercial no medida.</w:t>
            </w:r>
          </w:p>
        </w:tc>
      </w:tr>
      <w:tr w:rsidR="009A4E4F" w:rsidRPr="002F4F30" w14:paraId="558031D4"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4471A0D" w14:textId="77777777" w:rsidR="009A4E4F" w:rsidRPr="009A4E4F" w:rsidRDefault="009A4E4F" w:rsidP="009A4E4F">
            <w:pPr>
              <w:spacing w:line="240" w:lineRule="auto"/>
              <w:rPr>
                <w:rFonts w:cs="Times New Roman"/>
                <w:sz w:val="16"/>
                <w:szCs w:val="16"/>
              </w:rPr>
            </w:pPr>
            <w:r w:rsidRPr="009A4E4F">
              <w:rPr>
                <w:rFonts w:cs="Times New Roman"/>
                <w:sz w:val="16"/>
                <w:szCs w:val="16"/>
              </w:rPr>
              <w:t>C12</w:t>
            </w:r>
          </w:p>
        </w:tc>
        <w:tc>
          <w:tcPr>
            <w:tcW w:w="2268" w:type="dxa"/>
          </w:tcPr>
          <w:p w14:paraId="36BF0E4F"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A4E4F">
              <w:rPr>
                <w:rFonts w:cs="Times New Roman"/>
                <w:sz w:val="16"/>
                <w:szCs w:val="16"/>
              </w:rPr>
              <w:t>Cooperación sostenida</w:t>
            </w:r>
          </w:p>
        </w:tc>
        <w:tc>
          <w:tcPr>
            <w:tcW w:w="2977" w:type="dxa"/>
          </w:tcPr>
          <w:p w14:paraId="5A94BF45"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Integrar continuidad, routing, autoridad y recuperación</w:t>
            </w:r>
          </w:p>
        </w:tc>
        <w:tc>
          <w:tcPr>
            <w:tcW w:w="2799" w:type="dxa"/>
          </w:tcPr>
          <w:p w14:paraId="177A9A5A"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9A4E4F">
              <w:rPr>
                <w:rFonts w:cs="Times New Roman"/>
                <w:sz w:val="16"/>
                <w:szCs w:val="16"/>
                <w:lang w:val="es-ES"/>
              </w:rPr>
              <w:t>Viabilidad integrada bajo el escenario capstone; sin ROI extrapolable.</w:t>
            </w:r>
          </w:p>
        </w:tc>
      </w:tr>
    </w:tbl>
    <w:p w14:paraId="320488A1" w14:textId="77777777" w:rsidR="00F4173F" w:rsidRPr="007563C0" w:rsidRDefault="00F4173F">
      <w:pPr>
        <w:pStyle w:val="MDPARProfileH1"/>
        <w:rPr>
          <w:b w:val="0"/>
          <w:sz w:val="24"/>
          <w:szCs w:val="20"/>
          <w:lang w:val="es-ES"/>
        </w:rPr>
      </w:pPr>
    </w:p>
    <w:p w14:paraId="72FA5091" w14:textId="77777777" w:rsidR="007563C0" w:rsidRPr="007563C0" w:rsidRDefault="00DA12E4" w:rsidP="007563C0">
      <w:pPr>
        <w:pStyle w:val="MDPARProfileH1"/>
        <w:spacing w:before="0" w:after="0" w:line="360" w:lineRule="auto"/>
        <w:ind w:firstLine="709"/>
        <w:jc w:val="both"/>
        <w:outlineLvl w:val="1"/>
        <w:rPr>
          <w:sz w:val="24"/>
          <w:szCs w:val="20"/>
          <w:lang w:val="es-ES"/>
        </w:rPr>
      </w:pPr>
      <w:bookmarkStart w:id="79" w:name="_Toc242721915"/>
      <w:r w:rsidRPr="00F4173F">
        <w:rPr>
          <w:sz w:val="24"/>
          <w:szCs w:val="20"/>
          <w:lang w:val="es-ES"/>
        </w:rPr>
        <w:t>10.</w:t>
      </w:r>
      <w:r w:rsidR="009F5B98">
        <w:rPr>
          <w:sz w:val="24"/>
          <w:szCs w:val="20"/>
          <w:lang w:val="es-ES"/>
        </w:rPr>
        <w:t>4</w:t>
      </w:r>
      <w:r w:rsidRPr="00F4173F">
        <w:rPr>
          <w:sz w:val="24"/>
          <w:szCs w:val="20"/>
          <w:lang w:val="es-ES"/>
        </w:rPr>
        <w:t>. C6: el precio real de la cognición longitudinal</w:t>
      </w:r>
      <w:bookmarkEnd w:id="79"/>
    </w:p>
    <w:p w14:paraId="07F1C0D7" w14:textId="77777777" w:rsidR="007563C0" w:rsidRPr="007563C0" w:rsidRDefault="007563C0" w:rsidP="007563C0">
      <w:pPr>
        <w:pStyle w:val="MDPARThesisBody"/>
        <w:rPr>
          <w:lang w:val="es-ES"/>
        </w:rPr>
      </w:pPr>
      <w:r w:rsidRPr="007563C0">
        <w:rPr>
          <w:lang w:val="es-ES"/>
        </w:rPr>
        <w:t>La cognición longitudinal modifica la unidad económica de análisis. El coste de un sistema cognitivo persistente no depende únicamente de cuántas veces solicita razonamiento profundo, sino también del volumen de información que debe procesar, la frecuencia de observación, la conservación del estado y las condiciones bajo las que una conclusión puede incorporarse.</w:t>
      </w:r>
    </w:p>
    <w:p w14:paraId="607FBCD0" w14:textId="77777777" w:rsidR="007563C0" w:rsidRPr="007563C0" w:rsidRDefault="007563C0" w:rsidP="007563C0">
      <w:pPr>
        <w:pStyle w:val="MDPARThesisBody"/>
        <w:rPr>
          <w:lang w:val="es-ES"/>
        </w:rPr>
      </w:pPr>
      <w:r w:rsidRPr="007563C0">
        <w:rPr>
          <w:lang w:val="es-ES"/>
        </w:rPr>
        <w:t>C6 permite separar estas magnitudes y muestra por qué la reducción del número de adquisiciones HIGH no equivale necesariamente a una reducción proporcional del coste total. Desde una perspectiva empresarial, esta separación permite asignar costes a la observación ordinaria, la adquisición excepcional de capacidad y la conservación de la disciplina epistémica durante procesos prolongados.</w:t>
      </w:r>
    </w:p>
    <w:p w14:paraId="1F7B670F" w14:textId="77777777" w:rsidR="007563C0" w:rsidRDefault="007563C0" w:rsidP="007563C0">
      <w:pPr>
        <w:pStyle w:val="MDPARThesisBody"/>
        <w:rPr>
          <w:lang w:val="es-ES"/>
        </w:rPr>
      </w:pPr>
      <w:r w:rsidRPr="007563C0">
        <w:rPr>
          <w:lang w:val="es-ES"/>
        </w:rPr>
        <w:t>El valor económico de la longitudinalidad aparece especialmente cuando una decisión prematura, una pérdida de continuidad o una incorporación retrospectiva de información puede generar costes superiores a los de la inferencia. MDPAR convierte estas responsabilidades en operaciones diferenciadas que pueden presupuestarse, supervisarse y auditarse.</w:t>
      </w:r>
    </w:p>
    <w:p w14:paraId="5C2D68B7" w14:textId="77777777" w:rsidR="009F5B98" w:rsidRPr="007563C0" w:rsidRDefault="009F5B98" w:rsidP="007563C0">
      <w:pPr>
        <w:pStyle w:val="MDPARThesisBody"/>
        <w:rPr>
          <w:lang w:val="es-ES"/>
        </w:rPr>
      </w:pPr>
    </w:p>
    <w:p w14:paraId="55170C25" w14:textId="77777777" w:rsidR="00F4173F" w:rsidRPr="00F4173F" w:rsidRDefault="009F5B98" w:rsidP="009F5B98">
      <w:pPr>
        <w:pStyle w:val="MDPARProfileH1"/>
        <w:spacing w:before="0" w:after="0" w:line="360" w:lineRule="auto"/>
        <w:ind w:firstLine="709"/>
        <w:jc w:val="both"/>
        <w:outlineLvl w:val="1"/>
        <w:rPr>
          <w:sz w:val="24"/>
          <w:szCs w:val="20"/>
          <w:lang w:val="es-ES"/>
        </w:rPr>
      </w:pPr>
      <w:bookmarkStart w:id="80" w:name="_Toc242721916"/>
      <w:r w:rsidRPr="00F4173F">
        <w:rPr>
          <w:sz w:val="24"/>
          <w:szCs w:val="20"/>
          <w:lang w:val="es-ES"/>
        </w:rPr>
        <w:t>10.</w:t>
      </w:r>
      <w:r>
        <w:rPr>
          <w:sz w:val="24"/>
          <w:szCs w:val="20"/>
          <w:lang w:val="es-ES"/>
        </w:rPr>
        <w:t>5</w:t>
      </w:r>
      <w:r w:rsidRPr="00F4173F">
        <w:rPr>
          <w:sz w:val="24"/>
          <w:szCs w:val="20"/>
          <w:lang w:val="es-ES"/>
        </w:rPr>
        <w:t>. C7 y C8: economía local y coste de gobernanza</w:t>
      </w:r>
      <w:bookmarkEnd w:id="80"/>
    </w:p>
    <w:p w14:paraId="7039D535" w14:textId="77777777" w:rsidR="00811861" w:rsidRPr="00811861" w:rsidRDefault="00811861" w:rsidP="00811861">
      <w:pPr>
        <w:pStyle w:val="MDPARThesisBody"/>
        <w:rPr>
          <w:lang w:val="es-ES"/>
        </w:rPr>
      </w:pPr>
      <w:r w:rsidRPr="00811861">
        <w:rPr>
          <w:lang w:val="es-ES"/>
        </w:rPr>
        <w:t>La separación entre CLOSED y OPEN permite distribuir responsabilidades según su naturaleza, en lugar de asignarlas indiscriminadamente a un proveedor neuronal generalista. Una responsabilidad resuelta íntegramente en CLOSED no genera consumo de API neuronal para esa operación, mientras que OPEN conserva su función allí donde se necesita capacidad semántica adicional.</w:t>
      </w:r>
    </w:p>
    <w:p w14:paraId="75B5566D" w14:textId="77777777" w:rsidR="00811861" w:rsidRPr="00811861" w:rsidRDefault="00811861" w:rsidP="00811861">
      <w:pPr>
        <w:pStyle w:val="MDPARThesisBody"/>
        <w:rPr>
          <w:lang w:val="es-ES"/>
        </w:rPr>
      </w:pPr>
      <w:r w:rsidRPr="00811861">
        <w:rPr>
          <w:lang w:val="es-ES"/>
        </w:rPr>
        <w:lastRenderedPageBreak/>
        <w:t>Sin embargo, el desplazamiento de trabajo hacia CLOSED no elimina su coste: lo transforma. Aparecen obligaciones de mantenimiento, versionado, certificación y compatibilidad contractual. La cuestión empresarial consiste en comparar el coste recurrente de adquirir capacidad externa con el de conservar una competencia especializada propia, incorporando frecuencia de uso, estabilidad del dominio y exigencias de calidad.</w:t>
      </w:r>
    </w:p>
    <w:p w14:paraId="48C17D52" w14:textId="77777777" w:rsidR="009A4E4F" w:rsidRDefault="009A4E4F" w:rsidP="00811861">
      <w:pPr>
        <w:pStyle w:val="MDPARThesisBody"/>
        <w:rPr>
          <w:lang w:val="es-ES"/>
        </w:rPr>
      </w:pPr>
    </w:p>
    <w:tbl>
      <w:tblPr>
        <w:tblStyle w:val="Tablanormal2"/>
        <w:tblW w:w="0" w:type="auto"/>
        <w:tblLook w:val="04A0" w:firstRow="1" w:lastRow="0" w:firstColumn="1" w:lastColumn="0" w:noHBand="0" w:noVBand="1"/>
      </w:tblPr>
      <w:tblGrid>
        <w:gridCol w:w="2235"/>
        <w:gridCol w:w="3402"/>
        <w:gridCol w:w="3366"/>
      </w:tblGrid>
      <w:tr w:rsidR="009A4E4F" w14:paraId="3FC561A4" w14:textId="77777777" w:rsidTr="009A4E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41F19804" w14:textId="77777777" w:rsidR="009A4E4F" w:rsidRDefault="009A4E4F" w:rsidP="009A4E4F">
            <w:pPr>
              <w:spacing w:line="240" w:lineRule="auto"/>
            </w:pPr>
            <w:r>
              <w:rPr>
                <w:sz w:val="16"/>
              </w:rPr>
              <w:t>Instrumento / eje</w:t>
            </w:r>
          </w:p>
        </w:tc>
        <w:tc>
          <w:tcPr>
            <w:tcW w:w="3402" w:type="dxa"/>
          </w:tcPr>
          <w:p w14:paraId="6C61BA80" w14:textId="77777777" w:rsidR="009A4E4F" w:rsidRDefault="009A4E4F" w:rsidP="009A4E4F">
            <w:pPr>
              <w:spacing w:line="240" w:lineRule="auto"/>
              <w:cnfStyle w:val="100000000000" w:firstRow="1" w:lastRow="0" w:firstColumn="0" w:lastColumn="0" w:oddVBand="0" w:evenVBand="0" w:oddHBand="0" w:evenHBand="0" w:firstRowFirstColumn="0" w:firstRowLastColumn="0" w:lastRowFirstColumn="0" w:lastRowLastColumn="0"/>
            </w:pPr>
            <w:r>
              <w:rPr>
                <w:sz w:val="16"/>
              </w:rPr>
              <w:t>Resultado documentado</w:t>
            </w:r>
          </w:p>
        </w:tc>
        <w:tc>
          <w:tcPr>
            <w:tcW w:w="3366" w:type="dxa"/>
          </w:tcPr>
          <w:p w14:paraId="7C3CB3A9" w14:textId="77777777" w:rsidR="009A4E4F" w:rsidRDefault="009A4E4F" w:rsidP="009A4E4F">
            <w:pPr>
              <w:spacing w:line="240" w:lineRule="auto"/>
              <w:cnfStyle w:val="100000000000" w:firstRow="1" w:lastRow="0" w:firstColumn="0" w:lastColumn="0" w:oddVBand="0" w:evenVBand="0" w:oddHBand="0" w:evenHBand="0" w:firstRowFirstColumn="0" w:firstRowLastColumn="0" w:lastRowFirstColumn="0" w:lastRowLastColumn="0"/>
            </w:pPr>
            <w:r>
              <w:rPr>
                <w:sz w:val="16"/>
              </w:rPr>
              <w:t>Lectura económica y límite</w:t>
            </w:r>
          </w:p>
        </w:tc>
      </w:tr>
      <w:tr w:rsidR="009A4E4F" w:rsidRPr="002F4F30" w14:paraId="01E23980"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123FA52D" w14:textId="77777777" w:rsidR="009A4E4F" w:rsidRDefault="009A4E4F" w:rsidP="009A4E4F">
            <w:pPr>
              <w:spacing w:line="240" w:lineRule="auto"/>
            </w:pPr>
            <w:r>
              <w:rPr>
                <w:sz w:val="16"/>
              </w:rPr>
              <w:t>C7 · Contrato heterogéneo</w:t>
            </w:r>
          </w:p>
        </w:tc>
        <w:tc>
          <w:tcPr>
            <w:tcW w:w="3402" w:type="dxa"/>
          </w:tcPr>
          <w:p w14:paraId="2EB06599" w14:textId="77777777" w:rsid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pPr>
            <w:r>
              <w:rPr>
                <w:sz w:val="16"/>
              </w:rPr>
              <w:t>90/90 contratos exactos; 9 casos × 10 repeticiones.</w:t>
            </w:r>
          </w:p>
        </w:tc>
        <w:tc>
          <w:tcPr>
            <w:tcW w:w="3366" w:type="dxa"/>
          </w:tcPr>
          <w:p w14:paraId="4036658A"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9A4E4F">
              <w:rPr>
                <w:sz w:val="16"/>
                <w:lang w:val="es-ES"/>
              </w:rPr>
              <w:t>Competencias locales y casos sin propietario bajo un mismo contrato; corpus cerrado.</w:t>
            </w:r>
          </w:p>
        </w:tc>
      </w:tr>
      <w:tr w:rsidR="009A4E4F" w:rsidRPr="002F4F30" w14:paraId="54695CDD" w14:textId="77777777" w:rsidTr="009A4E4F">
        <w:tc>
          <w:tcPr>
            <w:cnfStyle w:val="001000000000" w:firstRow="0" w:lastRow="0" w:firstColumn="1" w:lastColumn="0" w:oddVBand="0" w:evenVBand="0" w:oddHBand="0" w:evenHBand="0" w:firstRowFirstColumn="0" w:firstRowLastColumn="0" w:lastRowFirstColumn="0" w:lastRowLastColumn="0"/>
            <w:tcW w:w="2235" w:type="dxa"/>
          </w:tcPr>
          <w:p w14:paraId="5EC49939" w14:textId="77777777" w:rsidR="009A4E4F" w:rsidRDefault="009A4E4F" w:rsidP="009A4E4F">
            <w:pPr>
              <w:spacing w:line="240" w:lineRule="auto"/>
            </w:pPr>
            <w:r>
              <w:rPr>
                <w:sz w:val="16"/>
              </w:rPr>
              <w:t>C7 · Routing léxico</w:t>
            </w:r>
          </w:p>
        </w:tc>
        <w:tc>
          <w:tcPr>
            <w:tcW w:w="3402" w:type="dxa"/>
          </w:tcPr>
          <w:p w14:paraId="3737029E"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9A4E4F">
              <w:rPr>
                <w:sz w:val="16"/>
                <w:lang w:val="es-ES"/>
              </w:rPr>
              <w:t>80/100 selecciones correctas; discrepancias 10/10 en queue-backlog y 10/10 en returns-workflow.</w:t>
            </w:r>
          </w:p>
        </w:tc>
        <w:tc>
          <w:tcPr>
            <w:tcW w:w="3366" w:type="dxa"/>
          </w:tcPr>
          <w:p w14:paraId="546C28E3"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9A4E4F">
              <w:rPr>
                <w:sz w:val="16"/>
                <w:lang w:val="es-ES"/>
              </w:rPr>
              <w:t>El routing tiene errores reproducibles</w:t>
            </w:r>
            <w:r>
              <w:rPr>
                <w:sz w:val="16"/>
                <w:lang w:val="es-ES"/>
              </w:rPr>
              <w:t>,</w:t>
            </w:r>
            <w:r w:rsidRPr="009A4E4F">
              <w:rPr>
                <w:sz w:val="16"/>
                <w:lang w:val="es-ES"/>
              </w:rPr>
              <w:t xml:space="preserve"> aunque la salida final sea correcta.</w:t>
            </w:r>
          </w:p>
        </w:tc>
      </w:tr>
      <w:tr w:rsidR="009A4E4F" w:rsidRPr="002F4F30" w14:paraId="702035E2"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691C604D" w14:textId="77777777" w:rsidR="009A4E4F" w:rsidRDefault="009A4E4F" w:rsidP="009A4E4F">
            <w:pPr>
              <w:spacing w:line="240" w:lineRule="auto"/>
            </w:pPr>
            <w:r>
              <w:rPr>
                <w:sz w:val="16"/>
              </w:rPr>
              <w:t>C7 · Informes léxicos</w:t>
            </w:r>
          </w:p>
        </w:tc>
        <w:tc>
          <w:tcPr>
            <w:tcW w:w="3402" w:type="dxa"/>
          </w:tcPr>
          <w:p w14:paraId="00A757E6" w14:textId="77777777" w:rsid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pPr>
            <w:r>
              <w:rPr>
                <w:sz w:val="16"/>
              </w:rPr>
              <w:t>100/100 informes correctos.</w:t>
            </w:r>
          </w:p>
        </w:tc>
        <w:tc>
          <w:tcPr>
            <w:tcW w:w="3366" w:type="dxa"/>
          </w:tcPr>
          <w:p w14:paraId="2EE3B194"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9A4E4F">
              <w:rPr>
                <w:sz w:val="16"/>
                <w:lang w:val="es-ES"/>
              </w:rPr>
              <w:t>La corrección del informe no certifica la selección del propietario.</w:t>
            </w:r>
          </w:p>
        </w:tc>
      </w:tr>
      <w:tr w:rsidR="009A4E4F" w:rsidRPr="002F4F30" w14:paraId="69701D05" w14:textId="77777777" w:rsidTr="009A4E4F">
        <w:tc>
          <w:tcPr>
            <w:cnfStyle w:val="001000000000" w:firstRow="0" w:lastRow="0" w:firstColumn="1" w:lastColumn="0" w:oddVBand="0" w:evenVBand="0" w:oddHBand="0" w:evenHBand="0" w:firstRowFirstColumn="0" w:firstRowLastColumn="0" w:lastRowFirstColumn="0" w:lastRowLastColumn="0"/>
            <w:tcW w:w="2235" w:type="dxa"/>
          </w:tcPr>
          <w:p w14:paraId="1EC01082" w14:textId="77777777" w:rsidR="009A4E4F" w:rsidRDefault="009A4E4F" w:rsidP="009A4E4F">
            <w:pPr>
              <w:spacing w:line="240" w:lineRule="auto"/>
            </w:pPr>
            <w:r>
              <w:rPr>
                <w:sz w:val="16"/>
              </w:rPr>
              <w:t>C7 · Adquisición neuronal</w:t>
            </w:r>
          </w:p>
        </w:tc>
        <w:tc>
          <w:tcPr>
            <w:tcW w:w="3402" w:type="dxa"/>
          </w:tcPr>
          <w:p w14:paraId="49460E96"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9A4E4F">
              <w:rPr>
                <w:sz w:val="16"/>
                <w:lang w:val="es-ES"/>
              </w:rPr>
              <w:t>0 llamadas neuronales en ambos instrumentos.</w:t>
            </w:r>
          </w:p>
        </w:tc>
        <w:tc>
          <w:tcPr>
            <w:tcW w:w="3366" w:type="dxa"/>
          </w:tcPr>
          <w:p w14:paraId="1FAA75A6"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9A4E4F">
              <w:rPr>
                <w:sz w:val="16"/>
                <w:lang w:val="es-ES"/>
              </w:rPr>
              <w:t>Coste de API neuronal nulo para estas operaciones; no incluye desarrollo, mantenimiento ni ejecución local.</w:t>
            </w:r>
          </w:p>
        </w:tc>
      </w:tr>
      <w:tr w:rsidR="009A4E4F" w:rsidRPr="002F4F30" w14:paraId="634E4891"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0D16401B" w14:textId="77777777" w:rsidR="009A4E4F" w:rsidRDefault="009A4E4F" w:rsidP="009A4E4F">
            <w:pPr>
              <w:spacing w:line="240" w:lineRule="auto"/>
            </w:pPr>
            <w:r>
              <w:rPr>
                <w:sz w:val="16"/>
              </w:rPr>
              <w:t>C8 · Composición y gobierno</w:t>
            </w:r>
          </w:p>
        </w:tc>
        <w:tc>
          <w:tcPr>
            <w:tcW w:w="3402" w:type="dxa"/>
          </w:tcPr>
          <w:p w14:paraId="29A605E1"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9A4E4F">
              <w:rPr>
                <w:sz w:val="16"/>
                <w:lang w:val="es-ES"/>
              </w:rPr>
              <w:t>10/10 contratos de ownership, 10/10 de estado y 10/10 de frontera de autoridad.</w:t>
            </w:r>
          </w:p>
        </w:tc>
        <w:tc>
          <w:tcPr>
            <w:tcW w:w="3366" w:type="dxa"/>
          </w:tcPr>
          <w:p w14:paraId="613C59CF"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9A4E4F">
              <w:rPr>
                <w:sz w:val="16"/>
                <w:lang w:val="es-ES"/>
              </w:rPr>
              <w:t>Separación verificada en el corpus entre aportación de capacidad y gobierno del proceso.</w:t>
            </w:r>
          </w:p>
        </w:tc>
      </w:tr>
      <w:tr w:rsidR="009A4E4F" w:rsidRPr="002F4F30" w14:paraId="388353F8" w14:textId="77777777" w:rsidTr="009A4E4F">
        <w:tc>
          <w:tcPr>
            <w:cnfStyle w:val="001000000000" w:firstRow="0" w:lastRow="0" w:firstColumn="1" w:lastColumn="0" w:oddVBand="0" w:evenVBand="0" w:oddHBand="0" w:evenHBand="0" w:firstRowFirstColumn="0" w:firstRowLastColumn="0" w:lastRowFirstColumn="0" w:lastRowLastColumn="0"/>
            <w:tcW w:w="2235" w:type="dxa"/>
          </w:tcPr>
          <w:p w14:paraId="4D42D1DE" w14:textId="77777777" w:rsidR="009A4E4F" w:rsidRDefault="009A4E4F" w:rsidP="009A4E4F">
            <w:pPr>
              <w:spacing w:line="240" w:lineRule="auto"/>
            </w:pPr>
            <w:r>
              <w:rPr>
                <w:sz w:val="16"/>
              </w:rPr>
              <w:t>C8 · Distribución</w:t>
            </w:r>
          </w:p>
        </w:tc>
        <w:tc>
          <w:tcPr>
            <w:tcW w:w="3402" w:type="dxa"/>
          </w:tcPr>
          <w:p w14:paraId="177A20C5" w14:textId="77777777" w:rsid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pPr>
            <w:r>
              <w:rPr>
                <w:sz w:val="16"/>
              </w:rPr>
              <w:t>6 CLOSED, 1 sin propietario, 3 OPEN; 8 TEXT y 2 TYPED.</w:t>
            </w:r>
          </w:p>
        </w:tc>
        <w:tc>
          <w:tcPr>
            <w:tcW w:w="3366" w:type="dxa"/>
          </w:tcPr>
          <w:p w14:paraId="4347E75B"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9A4E4F">
              <w:rPr>
                <w:sz w:val="16"/>
                <w:lang w:val="es-ES"/>
              </w:rPr>
              <w:t>Solo 3 de 10 observaciones requieren adquisición OPEN en este corpus.</w:t>
            </w:r>
          </w:p>
        </w:tc>
      </w:tr>
      <w:tr w:rsidR="009A4E4F" w:rsidRPr="002F4F30" w14:paraId="3F09E352" w14:textId="77777777" w:rsidTr="009A4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13916A1" w14:textId="77777777" w:rsidR="009A4E4F" w:rsidRDefault="009A4E4F" w:rsidP="009A4E4F">
            <w:pPr>
              <w:spacing w:line="240" w:lineRule="auto"/>
            </w:pPr>
            <w:r>
              <w:rPr>
                <w:sz w:val="16"/>
              </w:rPr>
              <w:t>C8 · Adquisiciones OPEN</w:t>
            </w:r>
          </w:p>
        </w:tc>
        <w:tc>
          <w:tcPr>
            <w:tcW w:w="3402" w:type="dxa"/>
          </w:tcPr>
          <w:p w14:paraId="2625E78C" w14:textId="77777777" w:rsid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pPr>
            <w:r>
              <w:rPr>
                <w:sz w:val="16"/>
              </w:rPr>
              <w:t>3/3 válidas; 3 solicitudes; 72.073 tokens totales.</w:t>
            </w:r>
          </w:p>
        </w:tc>
        <w:tc>
          <w:tcPr>
            <w:tcW w:w="3366" w:type="dxa"/>
          </w:tcPr>
          <w:p w14:paraId="17309D29" w14:textId="77777777" w:rsidR="009A4E4F" w:rsidRP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9A4E4F">
              <w:rPr>
                <w:sz w:val="16"/>
                <w:lang w:val="es-ES"/>
              </w:rPr>
              <w:t>Consumo neuronal medido de OPEN; no atribuir esos tokens a CLOSED.</w:t>
            </w:r>
          </w:p>
        </w:tc>
      </w:tr>
      <w:tr w:rsidR="009A4E4F" w:rsidRPr="002F4F30" w14:paraId="00CB45BA" w14:textId="77777777" w:rsidTr="009A4E4F">
        <w:tc>
          <w:tcPr>
            <w:cnfStyle w:val="001000000000" w:firstRow="0" w:lastRow="0" w:firstColumn="1" w:lastColumn="0" w:oddVBand="0" w:evenVBand="0" w:oddHBand="0" w:evenHBand="0" w:firstRowFirstColumn="0" w:firstRowLastColumn="0" w:lastRowFirstColumn="0" w:lastRowLastColumn="0"/>
            <w:tcW w:w="2235" w:type="dxa"/>
          </w:tcPr>
          <w:p w14:paraId="796287D1" w14:textId="77777777" w:rsidR="009A4E4F" w:rsidRDefault="009A4E4F" w:rsidP="009A4E4F">
            <w:pPr>
              <w:spacing w:line="240" w:lineRule="auto"/>
            </w:pPr>
            <w:r>
              <w:rPr>
                <w:sz w:val="16"/>
              </w:rPr>
              <w:t>C8 · Coste monetario</w:t>
            </w:r>
          </w:p>
        </w:tc>
        <w:tc>
          <w:tcPr>
            <w:tcW w:w="3402" w:type="dxa"/>
          </w:tcPr>
          <w:p w14:paraId="5401649F"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9A4E4F">
              <w:rPr>
                <w:sz w:val="16"/>
                <w:lang w:val="es-ES"/>
              </w:rPr>
              <w:t>No se presenta un importe facturado verificable en la síntesis del Anexo A.</w:t>
            </w:r>
          </w:p>
        </w:tc>
        <w:tc>
          <w:tcPr>
            <w:tcW w:w="3366" w:type="dxa"/>
          </w:tcPr>
          <w:p w14:paraId="547DFFCD" w14:textId="77777777" w:rsidR="009A4E4F" w:rsidRP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9A4E4F">
              <w:rPr>
                <w:sz w:val="16"/>
                <w:lang w:val="es-ES"/>
              </w:rPr>
              <w:t>Valorar con tarifa, desglose de tokens y condiciones de facturación; no inventar ahorro.</w:t>
            </w:r>
          </w:p>
        </w:tc>
      </w:tr>
    </w:tbl>
    <w:p w14:paraId="113E936A" w14:textId="77777777" w:rsidR="009A4E4F" w:rsidRDefault="009A4E4F" w:rsidP="00811861">
      <w:pPr>
        <w:pStyle w:val="MDPARThesisBody"/>
        <w:rPr>
          <w:lang w:val="es-ES"/>
        </w:rPr>
      </w:pPr>
    </w:p>
    <w:p w14:paraId="28AA0EBF" w14:textId="77777777" w:rsidR="00F4173F" w:rsidRPr="009E2FF4" w:rsidRDefault="00F4173F">
      <w:pPr>
        <w:pStyle w:val="MDPARThesisBody"/>
        <w:rPr>
          <w:lang w:val="es-ES"/>
        </w:rPr>
      </w:pPr>
    </w:p>
    <w:p w14:paraId="1F046E13" w14:textId="77777777" w:rsidR="00FA297C" w:rsidRPr="00F4173F" w:rsidRDefault="00DA12E4" w:rsidP="00F4173F">
      <w:pPr>
        <w:pStyle w:val="MDPARProfileCallout"/>
        <w:spacing w:before="0" w:after="0" w:line="360" w:lineRule="auto"/>
        <w:jc w:val="both"/>
        <w:rPr>
          <w:sz w:val="20"/>
          <w:szCs w:val="18"/>
          <w:lang w:val="es-ES"/>
        </w:rPr>
      </w:pPr>
      <w:r w:rsidRPr="00F4173F">
        <w:rPr>
          <w:sz w:val="20"/>
          <w:szCs w:val="18"/>
          <w:lang w:val="es-ES"/>
        </w:rPr>
        <w:t>Cada responsabilidad que puede resolverse en CLOSED tiene coste de API neuronal igual a cero. La pregunta pasa a ser qué porcentaje del flujo ni siquiera necesita modelo.</w:t>
      </w:r>
    </w:p>
    <w:p w14:paraId="07FF7EF9" w14:textId="77777777" w:rsidR="00F4173F" w:rsidRPr="00F4173F" w:rsidRDefault="00F4173F" w:rsidP="00F4173F">
      <w:pPr>
        <w:pStyle w:val="MDPARProfileH1"/>
        <w:spacing w:before="0" w:after="0"/>
        <w:rPr>
          <w:sz w:val="24"/>
          <w:szCs w:val="20"/>
          <w:lang w:val="es-ES"/>
        </w:rPr>
      </w:pPr>
    </w:p>
    <w:p w14:paraId="6FB6CACB" w14:textId="77777777" w:rsidR="00811861" w:rsidRPr="00072858" w:rsidRDefault="00DA12E4" w:rsidP="00072858">
      <w:pPr>
        <w:pStyle w:val="MDPARProfileH1"/>
        <w:spacing w:before="0" w:after="0" w:line="360" w:lineRule="auto"/>
        <w:ind w:firstLine="709"/>
        <w:outlineLvl w:val="1"/>
        <w:rPr>
          <w:sz w:val="24"/>
          <w:szCs w:val="24"/>
          <w:lang w:val="es-ES"/>
        </w:rPr>
      </w:pPr>
      <w:bookmarkStart w:id="81" w:name="_Toc242721917"/>
      <w:r w:rsidRPr="00F4173F">
        <w:rPr>
          <w:sz w:val="24"/>
          <w:szCs w:val="24"/>
          <w:lang w:val="es-ES"/>
        </w:rPr>
        <w:t>10.</w:t>
      </w:r>
      <w:r w:rsidR="009F5B98">
        <w:rPr>
          <w:sz w:val="24"/>
          <w:szCs w:val="24"/>
          <w:lang w:val="es-ES"/>
        </w:rPr>
        <w:t>6</w:t>
      </w:r>
      <w:r w:rsidRPr="00F4173F">
        <w:rPr>
          <w:sz w:val="24"/>
          <w:szCs w:val="24"/>
          <w:lang w:val="es-ES"/>
        </w:rPr>
        <w:t>. C9: adquirir la clase de compute adecuada</w:t>
      </w:r>
      <w:bookmarkEnd w:id="81"/>
    </w:p>
    <w:p w14:paraId="528EB602" w14:textId="77777777" w:rsidR="00811861" w:rsidRPr="00811861" w:rsidRDefault="00811861" w:rsidP="00811861">
      <w:pPr>
        <w:pStyle w:val="MDPARThesisBody"/>
        <w:rPr>
          <w:lang w:val="es-ES"/>
        </w:rPr>
      </w:pPr>
      <w:r w:rsidRPr="00811861">
        <w:rPr>
          <w:lang w:val="es-ES"/>
        </w:rPr>
        <w:t>La optimización económica de la inferencia suele expresarse mediante el precio por token, la elección del proveedor o la reducción de llamadas a modelos de mayor capacidad. MDPAR introduce una unidad de decisión más precisa: la clase de computación que necesita cada responsabilidad cognitiva.</w:t>
      </w:r>
    </w:p>
    <w:p w14:paraId="47E94E4E" w14:textId="77777777" w:rsidR="00811861" w:rsidRPr="00811861" w:rsidRDefault="00811861" w:rsidP="00811861">
      <w:pPr>
        <w:pStyle w:val="MDPARThesisBody"/>
        <w:rPr>
          <w:lang w:val="es-ES"/>
        </w:rPr>
      </w:pPr>
      <w:r w:rsidRPr="00811861">
        <w:rPr>
          <w:lang w:val="es-ES"/>
        </w:rPr>
        <w:t>La adquisición adaptativa permite distinguir observación ordinaria, razonamiento profundo y trabajo que puede resolverse sin inferencia neuronal adicional. Esta separación no presupone que minimizar una magnitud aislada produzca el menor coste total. Una política puede adquirir menos razonamiento profundo y, simultáneamente, aumentar el número de observaciones o el volumen de tokens procesados.</w:t>
      </w:r>
    </w:p>
    <w:p w14:paraId="5C6DEF89" w14:textId="77777777" w:rsidR="00811861" w:rsidRDefault="00811861" w:rsidP="00811861">
      <w:pPr>
        <w:pStyle w:val="MDPARThesisBody"/>
        <w:rPr>
          <w:lang w:val="es-ES"/>
        </w:rPr>
      </w:pPr>
      <w:r w:rsidRPr="00811861">
        <w:rPr>
          <w:lang w:val="es-ES"/>
        </w:rPr>
        <w:t>La contribución económica de C9 consiste en hacer gobernable esa composición. El coste deja de depender exclusivamente de la tarifa del proveedor y pasa a incluir una decisión arquitectónica sobre qué computación se adquiere, para qué responsabilidad y bajo qué restricciones de calidad.</w:t>
      </w:r>
    </w:p>
    <w:p w14:paraId="008B3583" w14:textId="77777777" w:rsidR="00072858" w:rsidRDefault="00072858" w:rsidP="00811861">
      <w:pPr>
        <w:pStyle w:val="MDPARThesisBody"/>
        <w:rPr>
          <w:lang w:val="es-ES"/>
        </w:rPr>
      </w:pPr>
    </w:p>
    <w:tbl>
      <w:tblPr>
        <w:tblStyle w:val="Tablanormal2"/>
        <w:tblW w:w="0" w:type="auto"/>
        <w:tblLook w:val="04A0" w:firstRow="1" w:lastRow="0" w:firstColumn="1" w:lastColumn="0" w:noHBand="0" w:noVBand="1"/>
      </w:tblPr>
      <w:tblGrid>
        <w:gridCol w:w="1206"/>
        <w:gridCol w:w="1029"/>
        <w:gridCol w:w="1417"/>
        <w:gridCol w:w="1134"/>
        <w:gridCol w:w="1418"/>
        <w:gridCol w:w="1275"/>
        <w:gridCol w:w="1524"/>
      </w:tblGrid>
      <w:tr w:rsidR="00072858" w:rsidRPr="00072858" w14:paraId="5E6401D5"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779094CA" w14:textId="77777777" w:rsidR="00072858" w:rsidRPr="00072858" w:rsidRDefault="00072858" w:rsidP="00072858">
            <w:pPr>
              <w:spacing w:line="240" w:lineRule="auto"/>
              <w:rPr>
                <w:rFonts w:cs="Times New Roman"/>
                <w:sz w:val="16"/>
                <w:szCs w:val="24"/>
              </w:rPr>
            </w:pPr>
            <w:r w:rsidRPr="00072858">
              <w:rPr>
                <w:rFonts w:cs="Times New Roman"/>
                <w:sz w:val="16"/>
                <w:szCs w:val="24"/>
              </w:rPr>
              <w:t>Familia</w:t>
            </w:r>
          </w:p>
        </w:tc>
        <w:tc>
          <w:tcPr>
            <w:tcW w:w="1029" w:type="dxa"/>
          </w:tcPr>
          <w:p w14:paraId="00A8FE0D"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Q adapt. / high</w:t>
            </w:r>
          </w:p>
        </w:tc>
        <w:tc>
          <w:tcPr>
            <w:tcW w:w="1417" w:type="dxa"/>
          </w:tcPr>
          <w:p w14:paraId="6E26F0B1"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HIGH adapt. / high</w:t>
            </w:r>
          </w:p>
        </w:tc>
        <w:tc>
          <w:tcPr>
            <w:tcW w:w="1134" w:type="dxa"/>
          </w:tcPr>
          <w:p w14:paraId="66ECAA70"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Requests</w:t>
            </w:r>
          </w:p>
        </w:tc>
        <w:tc>
          <w:tcPr>
            <w:tcW w:w="1418" w:type="dxa"/>
          </w:tcPr>
          <w:p w14:paraId="205384E6"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Reasoning</w:t>
            </w:r>
          </w:p>
        </w:tc>
        <w:tc>
          <w:tcPr>
            <w:tcW w:w="1275" w:type="dxa"/>
          </w:tcPr>
          <w:p w14:paraId="3F1E28D9"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Wall</w:t>
            </w:r>
          </w:p>
        </w:tc>
        <w:tc>
          <w:tcPr>
            <w:tcW w:w="1524" w:type="dxa"/>
          </w:tcPr>
          <w:p w14:paraId="0311D6A4"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USD adapt. / high</w:t>
            </w:r>
          </w:p>
        </w:tc>
      </w:tr>
      <w:tr w:rsidR="00072858" w:rsidRPr="00072858" w14:paraId="255E7837"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3DA72152" w14:textId="77777777" w:rsidR="00072858" w:rsidRPr="00072858" w:rsidRDefault="00072858" w:rsidP="00072858">
            <w:pPr>
              <w:spacing w:line="240" w:lineRule="auto"/>
              <w:rPr>
                <w:rFonts w:cs="Times New Roman"/>
                <w:sz w:val="16"/>
                <w:szCs w:val="24"/>
              </w:rPr>
            </w:pPr>
            <w:r w:rsidRPr="00072858">
              <w:rPr>
                <w:rFonts w:cs="Times New Roman"/>
                <w:sz w:val="16"/>
                <w:szCs w:val="24"/>
              </w:rPr>
              <w:t>Dirección</w:t>
            </w:r>
          </w:p>
        </w:tc>
        <w:tc>
          <w:tcPr>
            <w:tcW w:w="1029" w:type="dxa"/>
          </w:tcPr>
          <w:p w14:paraId="4FB62892"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24"/>
              </w:rPr>
            </w:pPr>
            <w:r w:rsidRPr="00072858">
              <w:rPr>
                <w:rFonts w:cs="Times New Roman"/>
                <w:sz w:val="16"/>
                <w:szCs w:val="24"/>
              </w:rPr>
              <w:t>19/20 vs 19/20</w:t>
            </w:r>
          </w:p>
        </w:tc>
        <w:tc>
          <w:tcPr>
            <w:tcW w:w="1417" w:type="dxa"/>
          </w:tcPr>
          <w:p w14:paraId="1A3F4474"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24"/>
              </w:rPr>
            </w:pPr>
            <w:r w:rsidRPr="00072858">
              <w:rPr>
                <w:rFonts w:cs="Times New Roman"/>
                <w:sz w:val="16"/>
                <w:szCs w:val="24"/>
              </w:rPr>
              <w:t>8 vs 20 (-60.0 %)</w:t>
            </w:r>
          </w:p>
        </w:tc>
        <w:tc>
          <w:tcPr>
            <w:tcW w:w="1134" w:type="dxa"/>
          </w:tcPr>
          <w:p w14:paraId="0831E0B3"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24"/>
              </w:rPr>
            </w:pPr>
            <w:r w:rsidRPr="00072858">
              <w:rPr>
                <w:rFonts w:cs="Times New Roman"/>
                <w:sz w:val="16"/>
                <w:szCs w:val="24"/>
              </w:rPr>
              <w:t>95 vs 72 (+31.9 %)</w:t>
            </w:r>
          </w:p>
        </w:tc>
        <w:tc>
          <w:tcPr>
            <w:tcW w:w="1418" w:type="dxa"/>
          </w:tcPr>
          <w:p w14:paraId="7C85DC3C"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24"/>
              </w:rPr>
            </w:pPr>
            <w:r w:rsidRPr="00072858">
              <w:rPr>
                <w:rFonts w:cs="Times New Roman"/>
                <w:sz w:val="16"/>
                <w:szCs w:val="24"/>
              </w:rPr>
              <w:t>44,498 vs 114,085 (-61.0 %)</w:t>
            </w:r>
          </w:p>
        </w:tc>
        <w:tc>
          <w:tcPr>
            <w:tcW w:w="1275" w:type="dxa"/>
          </w:tcPr>
          <w:p w14:paraId="365EE641"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24"/>
              </w:rPr>
            </w:pPr>
            <w:r w:rsidRPr="00072858">
              <w:rPr>
                <w:rFonts w:cs="Times New Roman"/>
                <w:sz w:val="16"/>
                <w:szCs w:val="24"/>
              </w:rPr>
              <w:t>911.5 vs 1828.3 (-50.1 %)</w:t>
            </w:r>
          </w:p>
        </w:tc>
        <w:tc>
          <w:tcPr>
            <w:tcW w:w="1524" w:type="dxa"/>
          </w:tcPr>
          <w:p w14:paraId="71B41A36"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24"/>
              </w:rPr>
            </w:pPr>
            <w:r w:rsidRPr="00072858">
              <w:rPr>
                <w:rFonts w:cs="Times New Roman"/>
                <w:sz w:val="16"/>
                <w:szCs w:val="24"/>
              </w:rPr>
              <w:t>$7.26 vs $6.48 (+12.0 %)</w:t>
            </w:r>
          </w:p>
        </w:tc>
      </w:tr>
      <w:tr w:rsidR="00072858" w:rsidRPr="00072858" w14:paraId="2D896EBF" w14:textId="77777777" w:rsidTr="00E306B6">
        <w:tc>
          <w:tcPr>
            <w:cnfStyle w:val="001000000000" w:firstRow="0" w:lastRow="0" w:firstColumn="1" w:lastColumn="0" w:oddVBand="0" w:evenVBand="0" w:oddHBand="0" w:evenHBand="0" w:firstRowFirstColumn="0" w:firstRowLastColumn="0" w:lastRowFirstColumn="0" w:lastRowLastColumn="0"/>
            <w:tcW w:w="1206" w:type="dxa"/>
          </w:tcPr>
          <w:p w14:paraId="34368D5B" w14:textId="77777777" w:rsidR="00072858" w:rsidRPr="00072858" w:rsidRDefault="00072858" w:rsidP="00072858">
            <w:pPr>
              <w:spacing w:line="240" w:lineRule="auto"/>
              <w:rPr>
                <w:rFonts w:cs="Times New Roman"/>
                <w:sz w:val="16"/>
                <w:szCs w:val="24"/>
              </w:rPr>
            </w:pPr>
            <w:r w:rsidRPr="00072858">
              <w:rPr>
                <w:rFonts w:cs="Times New Roman"/>
                <w:sz w:val="16"/>
                <w:szCs w:val="24"/>
              </w:rPr>
              <w:t>Adaptación</w:t>
            </w:r>
          </w:p>
        </w:tc>
        <w:tc>
          <w:tcPr>
            <w:tcW w:w="1029" w:type="dxa"/>
          </w:tcPr>
          <w:p w14:paraId="2BD99874"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9/20 vs 4/20</w:t>
            </w:r>
          </w:p>
        </w:tc>
        <w:tc>
          <w:tcPr>
            <w:tcW w:w="1417" w:type="dxa"/>
          </w:tcPr>
          <w:p w14:paraId="55BA5D0D"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16 vs 20 (-20.0 %)</w:t>
            </w:r>
          </w:p>
        </w:tc>
        <w:tc>
          <w:tcPr>
            <w:tcW w:w="1134" w:type="dxa"/>
          </w:tcPr>
          <w:p w14:paraId="69909D6D"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195 vs 113 (+72.6 %)</w:t>
            </w:r>
          </w:p>
        </w:tc>
        <w:tc>
          <w:tcPr>
            <w:tcW w:w="1418" w:type="dxa"/>
          </w:tcPr>
          <w:p w14:paraId="6BF45967"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221,787 vs 235,139 (-5.7 %)</w:t>
            </w:r>
          </w:p>
        </w:tc>
        <w:tc>
          <w:tcPr>
            <w:tcW w:w="1275" w:type="dxa"/>
          </w:tcPr>
          <w:p w14:paraId="1816B975"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3767.3 vs 3635.8 (+3.6 %)</w:t>
            </w:r>
          </w:p>
        </w:tc>
        <w:tc>
          <w:tcPr>
            <w:tcW w:w="1524" w:type="dxa"/>
          </w:tcPr>
          <w:p w14:paraId="3AD58CDB"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24"/>
              </w:rPr>
            </w:pPr>
            <w:r w:rsidRPr="00072858">
              <w:rPr>
                <w:rFonts w:cs="Times New Roman"/>
                <w:sz w:val="16"/>
                <w:szCs w:val="24"/>
              </w:rPr>
              <w:t>$16.21 vs $10.81 (+50.0 %)</w:t>
            </w:r>
          </w:p>
        </w:tc>
      </w:tr>
    </w:tbl>
    <w:p w14:paraId="0C6A7047" w14:textId="77777777" w:rsidR="00811861" w:rsidRPr="009E2FF4" w:rsidRDefault="00811861" w:rsidP="00E306B6">
      <w:pPr>
        <w:pStyle w:val="MDPARThesisBody"/>
        <w:ind w:firstLine="0"/>
        <w:rPr>
          <w:lang w:val="es-ES"/>
        </w:rPr>
      </w:pPr>
    </w:p>
    <w:p w14:paraId="6A6213EE" w14:textId="77777777" w:rsidR="00FA297C" w:rsidRPr="004D28DD" w:rsidRDefault="00DA12E4" w:rsidP="004D28DD">
      <w:pPr>
        <w:pStyle w:val="MDPARProfileCallout"/>
        <w:spacing w:line="360" w:lineRule="auto"/>
        <w:jc w:val="both"/>
        <w:rPr>
          <w:sz w:val="20"/>
          <w:szCs w:val="18"/>
          <w:lang w:val="es-ES"/>
        </w:rPr>
      </w:pPr>
      <w:r w:rsidRPr="004D28DD">
        <w:rPr>
          <w:sz w:val="20"/>
          <w:szCs w:val="18"/>
          <w:lang w:val="es-ES"/>
        </w:rPr>
        <w:t>MDPAR no vende «menos tokens». Vende control sobre qué clase de compute se compra.</w:t>
      </w:r>
    </w:p>
    <w:p w14:paraId="4FA37DE2" w14:textId="77777777" w:rsidR="004D28DD" w:rsidRPr="004D28DD" w:rsidRDefault="004D28DD" w:rsidP="004D28DD">
      <w:pPr>
        <w:pStyle w:val="MDPARProfileH1"/>
        <w:spacing w:before="0" w:after="0" w:line="360" w:lineRule="auto"/>
        <w:jc w:val="both"/>
        <w:rPr>
          <w:sz w:val="24"/>
          <w:szCs w:val="20"/>
          <w:lang w:val="es-ES"/>
        </w:rPr>
      </w:pPr>
    </w:p>
    <w:p w14:paraId="4E211A92" w14:textId="77777777" w:rsidR="00811861" w:rsidRPr="00811861" w:rsidRDefault="00DA12E4" w:rsidP="00811861">
      <w:pPr>
        <w:pStyle w:val="MDPARProfileH1"/>
        <w:spacing w:before="0" w:after="0" w:line="360" w:lineRule="auto"/>
        <w:ind w:firstLine="709"/>
        <w:jc w:val="both"/>
        <w:outlineLvl w:val="1"/>
        <w:rPr>
          <w:sz w:val="24"/>
          <w:szCs w:val="20"/>
          <w:lang w:val="es-ES"/>
        </w:rPr>
      </w:pPr>
      <w:bookmarkStart w:id="82" w:name="_Toc242721918"/>
      <w:r w:rsidRPr="004D28DD">
        <w:rPr>
          <w:sz w:val="24"/>
          <w:szCs w:val="20"/>
          <w:lang w:val="es-ES"/>
        </w:rPr>
        <w:t>10.</w:t>
      </w:r>
      <w:r w:rsidR="009F5B98">
        <w:rPr>
          <w:sz w:val="24"/>
          <w:szCs w:val="20"/>
          <w:lang w:val="es-ES"/>
        </w:rPr>
        <w:t>7</w:t>
      </w:r>
      <w:r w:rsidRPr="004D28DD">
        <w:rPr>
          <w:sz w:val="24"/>
          <w:szCs w:val="20"/>
          <w:lang w:val="es-ES"/>
        </w:rPr>
        <w:t>. Concurrencia: tiempo económico, no compute mágico</w:t>
      </w:r>
      <w:bookmarkEnd w:id="82"/>
    </w:p>
    <w:p w14:paraId="67053A37" w14:textId="77777777" w:rsidR="00811861" w:rsidRPr="00811861" w:rsidRDefault="00811861" w:rsidP="00811861">
      <w:pPr>
        <w:pStyle w:val="MDPARThesisBody"/>
        <w:rPr>
          <w:lang w:val="es-ES"/>
        </w:rPr>
      </w:pPr>
      <w:r w:rsidRPr="00811861">
        <w:rPr>
          <w:lang w:val="es-ES"/>
        </w:rPr>
        <w:t>La concurrencia introduce una distinción entre tiempo de computación consumido y tiempo durante el cual una operación permanece bloqueada. Dos ejecuciones pueden adquirir una cantidad semejante de capacidad neuronal y, sin embargo, presentar costes operacionales diferentes si una de ellas permite continuar el trabajo independiente mientras espera el resultado.</w:t>
      </w:r>
    </w:p>
    <w:p w14:paraId="4E972E64" w14:textId="77777777" w:rsidR="00811861" w:rsidRPr="00811861" w:rsidRDefault="00811861" w:rsidP="00811861">
      <w:pPr>
        <w:pStyle w:val="MDPARThesisBody"/>
        <w:rPr>
          <w:lang w:val="es-ES"/>
        </w:rPr>
      </w:pPr>
      <w:r w:rsidRPr="00811861">
        <w:rPr>
          <w:lang w:val="es-ES"/>
        </w:rPr>
        <w:t>Para MDPAR, esta propiedad adquiere relevancia porque la arquitectura conserva el estado y la autoridad del proceso fuera de la operación neuronal concurrente. El trabajo puede solaparse sin convertir la llegada de una respuesta en permiso automático para modificar decisiones ya comprometidas.</w:t>
      </w:r>
    </w:p>
    <w:p w14:paraId="18DB8713" w14:textId="77777777" w:rsidR="00811861" w:rsidRDefault="00811861" w:rsidP="00811861">
      <w:pPr>
        <w:pStyle w:val="MDPARThesisBody"/>
        <w:rPr>
          <w:lang w:val="es-ES"/>
        </w:rPr>
      </w:pPr>
      <w:r w:rsidRPr="00811861">
        <w:rPr>
          <w:lang w:val="es-ES"/>
        </w:rPr>
        <w:t>El valor económico del solapamiento depende del coste del tiempo bloqueado en cada aplicación. En sistemas interactivos, operaciones industriales o servicios sujetos a acuerdos de nivel de servicio, reducir el camino crítico puede tener un valor independiente del ahorro de tokens.</w:t>
      </w:r>
    </w:p>
    <w:p w14:paraId="38D9A816" w14:textId="77777777" w:rsidR="00072858" w:rsidRDefault="00072858" w:rsidP="00811861">
      <w:pPr>
        <w:pStyle w:val="MDPARThesisBody"/>
        <w:rPr>
          <w:lang w:val="es-ES"/>
        </w:rPr>
      </w:pPr>
    </w:p>
    <w:tbl>
      <w:tblPr>
        <w:tblStyle w:val="Tablanormal2"/>
        <w:tblW w:w="0" w:type="auto"/>
        <w:tblLook w:val="04A0" w:firstRow="1" w:lastRow="0" w:firstColumn="1" w:lastColumn="0" w:noHBand="0" w:noVBand="1"/>
      </w:tblPr>
      <w:tblGrid>
        <w:gridCol w:w="1206"/>
        <w:gridCol w:w="1454"/>
        <w:gridCol w:w="1417"/>
        <w:gridCol w:w="1693"/>
        <w:gridCol w:w="951"/>
        <w:gridCol w:w="772"/>
        <w:gridCol w:w="1510"/>
      </w:tblGrid>
      <w:tr w:rsidR="00E306B6" w:rsidRPr="00072858" w14:paraId="53C62B98"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11123913" w14:textId="77777777" w:rsidR="00072858" w:rsidRPr="00072858" w:rsidRDefault="00072858" w:rsidP="00072858">
            <w:pPr>
              <w:spacing w:line="240" w:lineRule="auto"/>
              <w:rPr>
                <w:sz w:val="16"/>
                <w:szCs w:val="24"/>
              </w:rPr>
            </w:pPr>
            <w:r w:rsidRPr="00072858">
              <w:rPr>
                <w:sz w:val="16"/>
                <w:szCs w:val="24"/>
              </w:rPr>
              <w:t>Familia</w:t>
            </w:r>
          </w:p>
        </w:tc>
        <w:tc>
          <w:tcPr>
            <w:tcW w:w="1454" w:type="dxa"/>
          </w:tcPr>
          <w:p w14:paraId="032442A8"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sz w:val="16"/>
                <w:szCs w:val="24"/>
              </w:rPr>
            </w:pPr>
            <w:r w:rsidRPr="00072858">
              <w:rPr>
                <w:sz w:val="16"/>
                <w:szCs w:val="24"/>
              </w:rPr>
              <w:t>Q sec. → conc.</w:t>
            </w:r>
          </w:p>
        </w:tc>
        <w:tc>
          <w:tcPr>
            <w:tcW w:w="1417" w:type="dxa"/>
          </w:tcPr>
          <w:p w14:paraId="211DD5B7"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sz w:val="16"/>
                <w:szCs w:val="24"/>
              </w:rPr>
            </w:pPr>
            <w:r w:rsidRPr="00072858">
              <w:rPr>
                <w:sz w:val="16"/>
                <w:szCs w:val="24"/>
              </w:rPr>
              <w:t>Campaña (s)</w:t>
            </w:r>
          </w:p>
        </w:tc>
        <w:tc>
          <w:tcPr>
            <w:tcW w:w="1693" w:type="dxa"/>
          </w:tcPr>
          <w:p w14:paraId="109C872E"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sz w:val="16"/>
                <w:szCs w:val="24"/>
              </w:rPr>
            </w:pPr>
            <w:r w:rsidRPr="00072858">
              <w:rPr>
                <w:sz w:val="16"/>
                <w:szCs w:val="24"/>
              </w:rPr>
              <w:t>Variación wall</w:t>
            </w:r>
          </w:p>
        </w:tc>
        <w:tc>
          <w:tcPr>
            <w:tcW w:w="951" w:type="dxa"/>
          </w:tcPr>
          <w:p w14:paraId="5FFAB4F1"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sz w:val="16"/>
                <w:szCs w:val="24"/>
              </w:rPr>
            </w:pPr>
            <w:r w:rsidRPr="00072858">
              <w:rPr>
                <w:sz w:val="16"/>
                <w:szCs w:val="24"/>
              </w:rPr>
              <w:t>Tiempo ocultado</w:t>
            </w:r>
          </w:p>
        </w:tc>
        <w:tc>
          <w:tcPr>
            <w:tcW w:w="772" w:type="dxa"/>
          </w:tcPr>
          <w:p w14:paraId="2FFC7B76"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sz w:val="16"/>
                <w:szCs w:val="24"/>
              </w:rPr>
            </w:pPr>
            <w:r w:rsidRPr="00072858">
              <w:rPr>
                <w:sz w:val="16"/>
                <w:szCs w:val="24"/>
              </w:rPr>
              <w:t>Δ tokens</w:t>
            </w:r>
          </w:p>
        </w:tc>
        <w:tc>
          <w:tcPr>
            <w:tcW w:w="1510" w:type="dxa"/>
          </w:tcPr>
          <w:p w14:paraId="041925A7"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sz w:val="16"/>
                <w:szCs w:val="24"/>
              </w:rPr>
            </w:pPr>
            <w:r w:rsidRPr="00072858">
              <w:rPr>
                <w:sz w:val="16"/>
                <w:szCs w:val="24"/>
              </w:rPr>
              <w:t>Δ USD</w:t>
            </w:r>
          </w:p>
        </w:tc>
      </w:tr>
      <w:tr w:rsidR="00E306B6" w:rsidRPr="002F4F30" w14:paraId="2783C464"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74833B56" w14:textId="77777777" w:rsidR="00072858" w:rsidRPr="00072858" w:rsidRDefault="00072858" w:rsidP="00072858">
            <w:pPr>
              <w:spacing w:line="240" w:lineRule="auto"/>
              <w:rPr>
                <w:sz w:val="16"/>
                <w:szCs w:val="24"/>
              </w:rPr>
            </w:pPr>
            <w:r w:rsidRPr="00072858">
              <w:rPr>
                <w:sz w:val="16"/>
                <w:szCs w:val="24"/>
              </w:rPr>
              <w:t>Dirección</w:t>
            </w:r>
          </w:p>
        </w:tc>
        <w:tc>
          <w:tcPr>
            <w:tcW w:w="1454" w:type="dxa"/>
          </w:tcPr>
          <w:p w14:paraId="69883944"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sz w:val="16"/>
                <w:szCs w:val="24"/>
              </w:rPr>
            </w:pPr>
            <w:r w:rsidRPr="00072858">
              <w:rPr>
                <w:sz w:val="16"/>
                <w:szCs w:val="24"/>
              </w:rPr>
              <w:t>100 % → 95 %</w:t>
            </w:r>
          </w:p>
        </w:tc>
        <w:tc>
          <w:tcPr>
            <w:tcW w:w="1417" w:type="dxa"/>
          </w:tcPr>
          <w:p w14:paraId="2A09DC9E"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sz w:val="16"/>
                <w:szCs w:val="24"/>
              </w:rPr>
            </w:pPr>
            <w:r w:rsidRPr="00072858">
              <w:rPr>
                <w:sz w:val="16"/>
                <w:szCs w:val="24"/>
              </w:rPr>
              <w:t>780.5 → 762.0</w:t>
            </w:r>
          </w:p>
        </w:tc>
        <w:tc>
          <w:tcPr>
            <w:tcW w:w="1693" w:type="dxa"/>
          </w:tcPr>
          <w:p w14:paraId="576156FD"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sz w:val="16"/>
                <w:szCs w:val="24"/>
              </w:rPr>
            </w:pPr>
            <w:r w:rsidRPr="00072858">
              <w:rPr>
                <w:sz w:val="16"/>
                <w:szCs w:val="24"/>
              </w:rPr>
              <w:t>-18.5 s · -2.37 %</w:t>
            </w:r>
          </w:p>
        </w:tc>
        <w:tc>
          <w:tcPr>
            <w:tcW w:w="951" w:type="dxa"/>
          </w:tcPr>
          <w:p w14:paraId="4C530D96"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sz w:val="16"/>
                <w:szCs w:val="24"/>
              </w:rPr>
            </w:pPr>
            <w:r w:rsidRPr="00072858">
              <w:rPr>
                <w:sz w:val="16"/>
                <w:szCs w:val="24"/>
              </w:rPr>
              <w:t>189.5 s</w:t>
            </w:r>
          </w:p>
        </w:tc>
        <w:tc>
          <w:tcPr>
            <w:tcW w:w="772" w:type="dxa"/>
          </w:tcPr>
          <w:p w14:paraId="293D1FFD"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sz w:val="16"/>
                <w:szCs w:val="24"/>
              </w:rPr>
            </w:pPr>
            <w:r w:rsidRPr="00072858">
              <w:rPr>
                <w:sz w:val="16"/>
                <w:szCs w:val="24"/>
              </w:rPr>
              <w:t>+6.44 %</w:t>
            </w:r>
          </w:p>
        </w:tc>
        <w:tc>
          <w:tcPr>
            <w:tcW w:w="1510" w:type="dxa"/>
          </w:tcPr>
          <w:p w14:paraId="2901075A"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sz w:val="16"/>
                <w:szCs w:val="24"/>
                <w:lang w:val="es-ES"/>
              </w:rPr>
            </w:pPr>
            <w:r w:rsidRPr="00072858">
              <w:rPr>
                <w:sz w:val="16"/>
                <w:szCs w:val="24"/>
                <w:lang w:val="es-ES"/>
              </w:rPr>
              <w:t>No estimable sin desglose I/O</w:t>
            </w:r>
          </w:p>
        </w:tc>
      </w:tr>
      <w:tr w:rsidR="00072858" w:rsidRPr="002F4F30" w14:paraId="0F57A4A4" w14:textId="77777777" w:rsidTr="00E306B6">
        <w:tc>
          <w:tcPr>
            <w:cnfStyle w:val="001000000000" w:firstRow="0" w:lastRow="0" w:firstColumn="1" w:lastColumn="0" w:oddVBand="0" w:evenVBand="0" w:oddHBand="0" w:evenHBand="0" w:firstRowFirstColumn="0" w:firstRowLastColumn="0" w:lastRowFirstColumn="0" w:lastRowLastColumn="0"/>
            <w:tcW w:w="1206" w:type="dxa"/>
          </w:tcPr>
          <w:p w14:paraId="0511E8C1" w14:textId="77777777" w:rsidR="00072858" w:rsidRPr="00072858" w:rsidRDefault="00072858" w:rsidP="00072858">
            <w:pPr>
              <w:spacing w:line="240" w:lineRule="auto"/>
              <w:rPr>
                <w:sz w:val="16"/>
                <w:szCs w:val="24"/>
              </w:rPr>
            </w:pPr>
            <w:r w:rsidRPr="00072858">
              <w:rPr>
                <w:sz w:val="16"/>
                <w:szCs w:val="24"/>
              </w:rPr>
              <w:t>Adaptación</w:t>
            </w:r>
          </w:p>
        </w:tc>
        <w:tc>
          <w:tcPr>
            <w:tcW w:w="1454" w:type="dxa"/>
          </w:tcPr>
          <w:p w14:paraId="1B1ADEFA"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sz w:val="16"/>
                <w:szCs w:val="24"/>
              </w:rPr>
            </w:pPr>
            <w:r w:rsidRPr="00072858">
              <w:rPr>
                <w:sz w:val="16"/>
                <w:szCs w:val="24"/>
              </w:rPr>
              <w:t>40 % → 30 %</w:t>
            </w:r>
          </w:p>
        </w:tc>
        <w:tc>
          <w:tcPr>
            <w:tcW w:w="1417" w:type="dxa"/>
          </w:tcPr>
          <w:p w14:paraId="70E8CC66"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sz w:val="16"/>
                <w:szCs w:val="24"/>
              </w:rPr>
            </w:pPr>
            <w:r w:rsidRPr="00072858">
              <w:rPr>
                <w:sz w:val="16"/>
                <w:szCs w:val="24"/>
              </w:rPr>
              <w:t>3,409.8 → 3,597.8</w:t>
            </w:r>
          </w:p>
        </w:tc>
        <w:tc>
          <w:tcPr>
            <w:tcW w:w="1693" w:type="dxa"/>
          </w:tcPr>
          <w:p w14:paraId="2DF64C02"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sz w:val="16"/>
                <w:szCs w:val="24"/>
              </w:rPr>
            </w:pPr>
            <w:r w:rsidRPr="00072858">
              <w:rPr>
                <w:sz w:val="16"/>
                <w:szCs w:val="24"/>
              </w:rPr>
              <w:t>+188.0 s · +5.51 %</w:t>
            </w:r>
          </w:p>
        </w:tc>
        <w:tc>
          <w:tcPr>
            <w:tcW w:w="951" w:type="dxa"/>
          </w:tcPr>
          <w:p w14:paraId="5CCEB261"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sz w:val="16"/>
                <w:szCs w:val="24"/>
              </w:rPr>
            </w:pPr>
            <w:r w:rsidRPr="00072858">
              <w:rPr>
                <w:sz w:val="16"/>
                <w:szCs w:val="24"/>
              </w:rPr>
              <w:t>293.4 s</w:t>
            </w:r>
          </w:p>
        </w:tc>
        <w:tc>
          <w:tcPr>
            <w:tcW w:w="772" w:type="dxa"/>
          </w:tcPr>
          <w:p w14:paraId="009E2249"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sz w:val="16"/>
                <w:szCs w:val="24"/>
              </w:rPr>
            </w:pPr>
            <w:r w:rsidRPr="00072858">
              <w:rPr>
                <w:sz w:val="16"/>
                <w:szCs w:val="24"/>
              </w:rPr>
              <w:t>+5.81 %</w:t>
            </w:r>
          </w:p>
        </w:tc>
        <w:tc>
          <w:tcPr>
            <w:tcW w:w="1510" w:type="dxa"/>
          </w:tcPr>
          <w:p w14:paraId="4D960556"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sz w:val="16"/>
                <w:szCs w:val="24"/>
                <w:lang w:val="es-ES"/>
              </w:rPr>
            </w:pPr>
            <w:r w:rsidRPr="00072858">
              <w:rPr>
                <w:sz w:val="16"/>
                <w:szCs w:val="24"/>
                <w:lang w:val="es-ES"/>
              </w:rPr>
              <w:t>No estimable sin desglose I/O</w:t>
            </w:r>
          </w:p>
        </w:tc>
      </w:tr>
    </w:tbl>
    <w:p w14:paraId="3053D1D7" w14:textId="77777777" w:rsidR="004D28DD" w:rsidRPr="004D28DD" w:rsidRDefault="004D28DD" w:rsidP="004D28DD">
      <w:pPr>
        <w:pStyle w:val="MDPARProfileH1"/>
        <w:spacing w:before="0" w:after="0" w:line="360" w:lineRule="auto"/>
        <w:jc w:val="both"/>
        <w:rPr>
          <w:sz w:val="24"/>
          <w:szCs w:val="20"/>
          <w:lang w:val="es-ES"/>
        </w:rPr>
      </w:pPr>
    </w:p>
    <w:p w14:paraId="1AA5E9AB" w14:textId="77777777" w:rsidR="00811861" w:rsidRPr="00811861" w:rsidRDefault="00DA12E4" w:rsidP="00811861">
      <w:pPr>
        <w:pStyle w:val="MDPARProfileH1"/>
        <w:spacing w:before="0" w:after="0" w:line="360" w:lineRule="auto"/>
        <w:ind w:firstLine="709"/>
        <w:jc w:val="both"/>
        <w:outlineLvl w:val="1"/>
        <w:rPr>
          <w:sz w:val="24"/>
          <w:szCs w:val="20"/>
          <w:lang w:val="es-ES"/>
        </w:rPr>
      </w:pPr>
      <w:bookmarkStart w:id="83" w:name="_Toc242721919"/>
      <w:r w:rsidRPr="004D28DD">
        <w:rPr>
          <w:sz w:val="24"/>
          <w:szCs w:val="20"/>
          <w:lang w:val="es-ES"/>
        </w:rPr>
        <w:t>10.</w:t>
      </w:r>
      <w:r w:rsidR="009F5B98">
        <w:rPr>
          <w:sz w:val="24"/>
          <w:szCs w:val="20"/>
          <w:lang w:val="es-ES"/>
        </w:rPr>
        <w:t>8</w:t>
      </w:r>
      <w:r w:rsidRPr="004D28DD">
        <w:rPr>
          <w:sz w:val="24"/>
          <w:szCs w:val="20"/>
          <w:lang w:val="es-ES"/>
        </w:rPr>
        <w:t>. C10: el valor económico de no actuar tarde</w:t>
      </w:r>
      <w:bookmarkEnd w:id="83"/>
    </w:p>
    <w:p w14:paraId="6A020050" w14:textId="77777777" w:rsidR="00811861" w:rsidRPr="00811861" w:rsidRDefault="00811861" w:rsidP="00811861">
      <w:pPr>
        <w:pStyle w:val="MDPARThesisBody"/>
        <w:rPr>
          <w:lang w:val="es-ES"/>
        </w:rPr>
      </w:pPr>
      <w:r w:rsidRPr="00811861">
        <w:rPr>
          <w:lang w:val="es-ES"/>
        </w:rPr>
        <w:t>Una respuesta semánticamente correcta puede convertirse en un pasivo operacional si llega después de que la decisión correspondiente haya sido comprometida. C10 permite tratar la vigencia temporal como una condición de autoridad y, con ello, diferenciar el valor informativo de una observación de su capacidad para producir efectos sobre el estado presente.</w:t>
      </w:r>
    </w:p>
    <w:p w14:paraId="69D2E9EE" w14:textId="77777777" w:rsidR="00811861" w:rsidRPr="00811861" w:rsidRDefault="00811861" w:rsidP="00811861">
      <w:pPr>
        <w:pStyle w:val="MDPARThesisBody"/>
        <w:rPr>
          <w:lang w:val="es-ES"/>
        </w:rPr>
      </w:pPr>
      <w:r w:rsidRPr="00811861">
        <w:rPr>
          <w:lang w:val="es-ES"/>
        </w:rPr>
        <w:t xml:space="preserve">Esta separación incorpora a la economía del sistema una categoría distinta del coste de inferencia: el coste de una actuación fuera de plazo. En procesos con compromisos </w:t>
      </w:r>
      <w:r w:rsidRPr="00811861">
        <w:rPr>
          <w:lang w:val="es-ES"/>
        </w:rPr>
        <w:lastRenderedPageBreak/>
        <w:t>temporales, el valor de una arquitectura no depende únicamente de responder más rápido, sino también de impedir que las respuestas tardías alteren decisiones que ya no admiten modificación.</w:t>
      </w:r>
    </w:p>
    <w:p w14:paraId="5B654CBD" w14:textId="77777777" w:rsidR="00811861" w:rsidRDefault="00811861" w:rsidP="00811861">
      <w:pPr>
        <w:pStyle w:val="MDPARThesisBody"/>
        <w:rPr>
          <w:lang w:val="es-ES"/>
        </w:rPr>
      </w:pPr>
      <w:r w:rsidRPr="00811861">
        <w:rPr>
          <w:lang w:val="es-ES"/>
        </w:rPr>
        <w:t>La evaluación monetaria debe vincularse al riesgo operacional concreto: frecuencia de actuaciones tardías, exposición económica y capacidad efectiva de los controles para impedirlas. La propiedad arquitectónica y su valoración empresarial permanecen así diferenciadas.</w:t>
      </w:r>
    </w:p>
    <w:p w14:paraId="583DE379" w14:textId="77777777" w:rsidR="004D28DD" w:rsidRPr="009E2FF4" w:rsidRDefault="004D28DD">
      <w:pPr>
        <w:pStyle w:val="MDPARThesisBody"/>
        <w:rPr>
          <w:lang w:val="es-ES"/>
        </w:rPr>
      </w:pPr>
    </w:p>
    <w:p w14:paraId="594C799D" w14:textId="77777777" w:rsidR="00811861" w:rsidRPr="00072858" w:rsidRDefault="00DA12E4" w:rsidP="00072858">
      <w:pPr>
        <w:pStyle w:val="MDPARProfileH1"/>
        <w:spacing w:before="0" w:after="0" w:line="360" w:lineRule="auto"/>
        <w:ind w:firstLine="709"/>
        <w:jc w:val="both"/>
        <w:outlineLvl w:val="1"/>
        <w:rPr>
          <w:sz w:val="24"/>
          <w:szCs w:val="20"/>
          <w:lang w:val="es-ES"/>
        </w:rPr>
      </w:pPr>
      <w:bookmarkStart w:id="84" w:name="_Toc242721920"/>
      <w:r w:rsidRPr="004D28DD">
        <w:rPr>
          <w:sz w:val="24"/>
          <w:szCs w:val="20"/>
          <w:lang w:val="es-ES"/>
        </w:rPr>
        <w:t>10.</w:t>
      </w:r>
      <w:r w:rsidR="009F5B98">
        <w:rPr>
          <w:sz w:val="24"/>
          <w:szCs w:val="20"/>
          <w:lang w:val="es-ES"/>
        </w:rPr>
        <w:t>9</w:t>
      </w:r>
      <w:r w:rsidRPr="004D28DD">
        <w:rPr>
          <w:sz w:val="24"/>
          <w:szCs w:val="20"/>
          <w:lang w:val="es-ES"/>
        </w:rPr>
        <w:t>. C11–C12: resiliencia como producto</w:t>
      </w:r>
      <w:bookmarkEnd w:id="84"/>
    </w:p>
    <w:p w14:paraId="65E26203" w14:textId="77777777" w:rsidR="00811861" w:rsidRPr="00811861" w:rsidRDefault="00811861" w:rsidP="00811861">
      <w:pPr>
        <w:pStyle w:val="MDPARThesisBody"/>
        <w:rPr>
          <w:lang w:val="es-ES"/>
        </w:rPr>
      </w:pPr>
      <w:r w:rsidRPr="00811861">
        <w:rPr>
          <w:lang w:val="es-ES"/>
        </w:rPr>
        <w:t>La resiliencia de un sistema cognitivo no debe identificarse exclusivamente con la disponibilidad de un proveedor alternativo. En una arquitectura que conserva responsabilidades longitudinales, la continuidad exige mantener el estado vigente, identificar el trabajo interrumpido y determinar qué operaciones pueden continuar sin atribuir a otro componente una autoridad que no posee.</w:t>
      </w:r>
    </w:p>
    <w:p w14:paraId="38D6EF19" w14:textId="77777777" w:rsidR="00811861" w:rsidRDefault="00811861" w:rsidP="00811861">
      <w:pPr>
        <w:pStyle w:val="MDPARThesisBody"/>
        <w:rPr>
          <w:lang w:val="es-ES"/>
        </w:rPr>
      </w:pPr>
      <w:r w:rsidRPr="00811861">
        <w:rPr>
          <w:lang w:val="es-ES"/>
        </w:rPr>
        <w:t>C11 y C12 realizan conjuntamente esta propiedad mediante continuidad degradada y recuperación de deuda cognitiva. Desde una perspectiva comercial, permiten definir políticas de servicio que especifiquen qué funciones continúan, cuáles quedan pendientes y bajo qué condiciones se reanudan.</w:t>
      </w:r>
    </w:p>
    <w:p w14:paraId="289F5C0A" w14:textId="77777777" w:rsidR="00FA297C" w:rsidRDefault="00DA12E4">
      <w:pPr>
        <w:pStyle w:val="MDPARThesisBody"/>
        <w:rPr>
          <w:lang w:val="es-ES"/>
        </w:rPr>
      </w:pPr>
      <w:r w:rsidRPr="0054053C">
        <w:rPr>
          <w:lang w:val="es-ES"/>
        </w:rPr>
        <w:t>La materialidad económica del problema puede situarse con datos externos: Uptime Institute informa en 2026 de que el 57% de los encuestados cuyo último outage fue importante estimó un coste superior a 100.000 dólares y uno de cada cinco superó 1 millón de dólares (Uptime Institute, 2026). Esos porcentajes describen la distribución de costes de outages de la encuesta, no el porcentaje que MDPAR evitaría. Los supuestos del 5%, 10% y 25% de pérdida evitada de la tabla son, por tanto, puntos ilustrativos de sensibilidad —bajo, intermedio y alto— elegidos para mostrar la aritmética sobre outages de 100.000 y 1 millón de dólares; no proceden de Uptime Institute ni de C0–C1</w:t>
      </w:r>
      <w:r w:rsidR="00811861">
        <w:rPr>
          <w:lang w:val="es-ES"/>
        </w:rPr>
        <w:t>3</w:t>
      </w:r>
      <w:r w:rsidRPr="0054053C">
        <w:rPr>
          <w:lang w:val="es-ES"/>
        </w:rPr>
        <w:t xml:space="preserve"> y deben sustituirse por una tasa de mitigación observada en el despliegue del cliente.</w:t>
      </w:r>
    </w:p>
    <w:p w14:paraId="049AA9D4" w14:textId="77777777" w:rsidR="009F5B98" w:rsidRDefault="009F5B98">
      <w:pPr>
        <w:pStyle w:val="MDPARThesisBody"/>
        <w:rPr>
          <w:lang w:val="es-ES"/>
        </w:rPr>
      </w:pPr>
    </w:p>
    <w:tbl>
      <w:tblPr>
        <w:tblStyle w:val="Tablanormal2"/>
        <w:tblW w:w="0" w:type="auto"/>
        <w:tblLook w:val="04A0" w:firstRow="1" w:lastRow="0" w:firstColumn="1" w:lastColumn="0" w:noHBand="0" w:noVBand="1"/>
      </w:tblPr>
      <w:tblGrid>
        <w:gridCol w:w="2002"/>
        <w:gridCol w:w="1225"/>
        <w:gridCol w:w="1365"/>
        <w:gridCol w:w="4411"/>
      </w:tblGrid>
      <w:tr w:rsidR="00FA297C" w:rsidRPr="00E306B6" w14:paraId="5F84116B"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2" w:type="dxa"/>
          </w:tcPr>
          <w:p w14:paraId="3C71D45A" w14:textId="77777777" w:rsidR="006E0390" w:rsidRPr="00E306B6" w:rsidRDefault="005C5E48" w:rsidP="0054053C">
            <w:pPr>
              <w:spacing w:line="240" w:lineRule="auto"/>
              <w:rPr>
                <w:sz w:val="16"/>
                <w:szCs w:val="16"/>
              </w:rPr>
            </w:pPr>
            <w:r w:rsidRPr="00E306B6">
              <w:rPr>
                <w:sz w:val="16"/>
                <w:szCs w:val="16"/>
              </w:rPr>
              <w:t>Escenario ilustrativo de mitigación</w:t>
            </w:r>
          </w:p>
        </w:tc>
        <w:tc>
          <w:tcPr>
            <w:tcW w:w="1225" w:type="dxa"/>
          </w:tcPr>
          <w:p w14:paraId="75EC4C38"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Outage de $100k</w:t>
            </w:r>
          </w:p>
        </w:tc>
        <w:tc>
          <w:tcPr>
            <w:tcW w:w="1365" w:type="dxa"/>
          </w:tcPr>
          <w:p w14:paraId="05350426"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Outage de $1M</w:t>
            </w:r>
          </w:p>
        </w:tc>
        <w:tc>
          <w:tcPr>
            <w:tcW w:w="4411" w:type="dxa"/>
          </w:tcPr>
          <w:p w14:paraId="5DECC666"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Interpretación</w:t>
            </w:r>
          </w:p>
        </w:tc>
      </w:tr>
      <w:tr w:rsidR="00FA297C" w:rsidRPr="002F4F30" w14:paraId="627C7939"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2" w:type="dxa"/>
          </w:tcPr>
          <w:p w14:paraId="689D11F5" w14:textId="77777777" w:rsidR="00FA297C" w:rsidRPr="00E306B6" w:rsidRDefault="00DA12E4" w:rsidP="0054053C">
            <w:pPr>
              <w:spacing w:line="240" w:lineRule="auto"/>
              <w:rPr>
                <w:sz w:val="16"/>
                <w:szCs w:val="16"/>
              </w:rPr>
            </w:pPr>
            <w:r w:rsidRPr="00E306B6">
              <w:rPr>
                <w:sz w:val="16"/>
                <w:szCs w:val="16"/>
              </w:rPr>
              <w:t>5% de pérdida evitada</w:t>
            </w:r>
          </w:p>
        </w:tc>
        <w:tc>
          <w:tcPr>
            <w:tcW w:w="1225" w:type="dxa"/>
          </w:tcPr>
          <w:p w14:paraId="6CC6C6E8"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$5.000</w:t>
            </w:r>
          </w:p>
        </w:tc>
        <w:tc>
          <w:tcPr>
            <w:tcW w:w="1365" w:type="dxa"/>
          </w:tcPr>
          <w:p w14:paraId="20C9A97F"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$50.000</w:t>
            </w:r>
          </w:p>
        </w:tc>
        <w:tc>
          <w:tcPr>
            <w:tcW w:w="4411" w:type="dxa"/>
          </w:tcPr>
          <w:p w14:paraId="7378204F"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E306B6">
              <w:rPr>
                <w:sz w:val="16"/>
                <w:szCs w:val="16"/>
                <w:lang w:val="es-ES"/>
              </w:rPr>
              <w:t>servicio degradado conserva una fracción pequeña del valor</w:t>
            </w:r>
          </w:p>
        </w:tc>
      </w:tr>
      <w:tr w:rsidR="00FA297C" w:rsidRPr="002F4F30" w14:paraId="3B8D75B3" w14:textId="77777777" w:rsidTr="00E306B6">
        <w:tc>
          <w:tcPr>
            <w:cnfStyle w:val="001000000000" w:firstRow="0" w:lastRow="0" w:firstColumn="1" w:lastColumn="0" w:oddVBand="0" w:evenVBand="0" w:oddHBand="0" w:evenHBand="0" w:firstRowFirstColumn="0" w:firstRowLastColumn="0" w:lastRowFirstColumn="0" w:lastRowLastColumn="0"/>
            <w:tcW w:w="2002" w:type="dxa"/>
          </w:tcPr>
          <w:p w14:paraId="5C4369BB" w14:textId="77777777" w:rsidR="00FA297C" w:rsidRPr="00E306B6" w:rsidRDefault="00DA12E4" w:rsidP="0054053C">
            <w:pPr>
              <w:spacing w:line="240" w:lineRule="auto"/>
              <w:rPr>
                <w:sz w:val="16"/>
                <w:szCs w:val="16"/>
              </w:rPr>
            </w:pPr>
            <w:r w:rsidRPr="00E306B6">
              <w:rPr>
                <w:sz w:val="16"/>
                <w:szCs w:val="16"/>
              </w:rPr>
              <w:t>10%</w:t>
            </w:r>
          </w:p>
        </w:tc>
        <w:tc>
          <w:tcPr>
            <w:tcW w:w="1225" w:type="dxa"/>
          </w:tcPr>
          <w:p w14:paraId="213C0599"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$10.000</w:t>
            </w:r>
          </w:p>
        </w:tc>
        <w:tc>
          <w:tcPr>
            <w:tcW w:w="1365" w:type="dxa"/>
          </w:tcPr>
          <w:p w14:paraId="16AF902F"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$100.000</w:t>
            </w:r>
          </w:p>
        </w:tc>
        <w:tc>
          <w:tcPr>
            <w:tcW w:w="4411" w:type="dxa"/>
          </w:tcPr>
          <w:p w14:paraId="683B0721"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E306B6">
              <w:rPr>
                <w:sz w:val="16"/>
                <w:szCs w:val="16"/>
                <w:lang w:val="es-ES"/>
              </w:rPr>
              <w:t>orden de magnitud por incidente</w:t>
            </w:r>
          </w:p>
        </w:tc>
      </w:tr>
      <w:tr w:rsidR="00FA297C" w:rsidRPr="002F4F30" w14:paraId="27A4B4BA"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2" w:type="dxa"/>
          </w:tcPr>
          <w:p w14:paraId="3CE91F68" w14:textId="77777777" w:rsidR="00FA297C" w:rsidRPr="00E306B6" w:rsidRDefault="00DA12E4" w:rsidP="0054053C">
            <w:pPr>
              <w:spacing w:line="240" w:lineRule="auto"/>
              <w:rPr>
                <w:sz w:val="16"/>
                <w:szCs w:val="16"/>
              </w:rPr>
            </w:pPr>
            <w:r w:rsidRPr="00E306B6">
              <w:rPr>
                <w:sz w:val="16"/>
                <w:szCs w:val="16"/>
              </w:rPr>
              <w:t>25%</w:t>
            </w:r>
          </w:p>
        </w:tc>
        <w:tc>
          <w:tcPr>
            <w:tcW w:w="1225" w:type="dxa"/>
          </w:tcPr>
          <w:p w14:paraId="5666A847"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$25.000</w:t>
            </w:r>
          </w:p>
        </w:tc>
        <w:tc>
          <w:tcPr>
            <w:tcW w:w="1365" w:type="dxa"/>
          </w:tcPr>
          <w:p w14:paraId="3B52A148"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$250.000</w:t>
            </w:r>
          </w:p>
        </w:tc>
        <w:tc>
          <w:tcPr>
            <w:tcW w:w="4411" w:type="dxa"/>
          </w:tcPr>
          <w:p w14:paraId="6C0219CD"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E306B6">
              <w:rPr>
                <w:sz w:val="16"/>
                <w:szCs w:val="16"/>
                <w:lang w:val="es-ES"/>
              </w:rPr>
              <w:t>requiere evidencia operacional específica del cliente</w:t>
            </w:r>
          </w:p>
        </w:tc>
      </w:tr>
    </w:tbl>
    <w:p w14:paraId="74B602BB" w14:textId="77777777" w:rsidR="004D28DD" w:rsidRDefault="004D28DD">
      <w:pPr>
        <w:pStyle w:val="MDPARProfileH1"/>
        <w:rPr>
          <w:lang w:val="es-ES"/>
        </w:rPr>
      </w:pPr>
    </w:p>
    <w:p w14:paraId="0593C4DC" w14:textId="77777777" w:rsidR="00CF06A1" w:rsidRPr="00CF06A1" w:rsidRDefault="00DA12E4" w:rsidP="00CF06A1">
      <w:pPr>
        <w:pStyle w:val="MDPARProfileH1"/>
        <w:spacing w:before="0" w:after="0" w:line="360" w:lineRule="auto"/>
        <w:ind w:firstLine="709"/>
        <w:jc w:val="both"/>
        <w:outlineLvl w:val="1"/>
        <w:rPr>
          <w:sz w:val="24"/>
          <w:szCs w:val="20"/>
          <w:lang w:val="es-ES"/>
        </w:rPr>
      </w:pPr>
      <w:bookmarkStart w:id="85" w:name="_Toc242721921"/>
      <w:r w:rsidRPr="004D28DD">
        <w:rPr>
          <w:sz w:val="24"/>
          <w:szCs w:val="20"/>
          <w:lang w:val="es-ES"/>
        </w:rPr>
        <w:t>10.</w:t>
      </w:r>
      <w:r w:rsidR="009F5B98">
        <w:rPr>
          <w:sz w:val="24"/>
          <w:szCs w:val="20"/>
          <w:lang w:val="es-ES"/>
        </w:rPr>
        <w:t>10</w:t>
      </w:r>
      <w:r w:rsidRPr="004D28DD">
        <w:rPr>
          <w:sz w:val="24"/>
          <w:szCs w:val="20"/>
          <w:lang w:val="es-ES"/>
        </w:rPr>
        <w:t>. Edge y BOM: el precio de no exigir siempre el máximo hardware</w:t>
      </w:r>
      <w:bookmarkEnd w:id="85"/>
    </w:p>
    <w:p w14:paraId="10F3E864" w14:textId="77777777" w:rsidR="00CF06A1" w:rsidRPr="00CF06A1" w:rsidRDefault="00CF06A1" w:rsidP="00CF06A1">
      <w:pPr>
        <w:pStyle w:val="MDPARThesisBody"/>
        <w:rPr>
          <w:lang w:val="es-ES"/>
        </w:rPr>
      </w:pPr>
      <w:r w:rsidRPr="00CF06A1">
        <w:rPr>
          <w:lang w:val="es-ES"/>
        </w:rPr>
        <w:t>La distribución de responsabilidades entre cálculo determinista, capacidades CLOSED y adquisición OPEN permite analizar los requisitos de infraestructura por función, en lugar de dimensionar necesariamente todos los componentes según la operación más exigente. Esta separación afecta tanto a la selección de hardware como a su utilización, consumo energético, refrigeración y coste de mantenimiento.</w:t>
      </w:r>
    </w:p>
    <w:p w14:paraId="78270E34" w14:textId="77777777" w:rsidR="00CF06A1" w:rsidRDefault="00CF06A1" w:rsidP="00CF06A1">
      <w:pPr>
        <w:pStyle w:val="MDPARThesisBody"/>
        <w:rPr>
          <w:lang w:val="es-ES"/>
        </w:rPr>
      </w:pPr>
      <w:r w:rsidRPr="00CF06A1">
        <w:rPr>
          <w:lang w:val="es-ES"/>
        </w:rPr>
        <w:t>El criterio económico es la adecuación funcional. Una responsabilidad que puede ejecutarse en un recurso de menor capacidad no necesita ocupar permanentemente la infraestructura reservada para operaciones más exigentes. Sin embargo, la comparación entre dispositivos solo constituye una alternativa real de despliegue cuando se preservan los requisitos de capacidad y calidad del proceso correspondiente.</w:t>
      </w:r>
    </w:p>
    <w:p w14:paraId="0D58E4D8" w14:textId="77777777" w:rsidR="00FA297C" w:rsidRPr="009E2FF4" w:rsidRDefault="00DA12E4">
      <w:pPr>
        <w:pStyle w:val="MDPARThesisBody"/>
        <w:rPr>
          <w:lang w:val="es-ES"/>
        </w:rPr>
      </w:pPr>
      <w:r w:rsidRPr="0054053C">
        <w:rPr>
          <w:lang w:val="es-ES"/>
        </w:rPr>
        <w:t>Las referencias de hardware se toman de especificaciones y precios publicados por NVIDIA: Jetson Orin Nano Super se ofrece a 249 dólares y 67 TOPS, mientras Jetson AGX Thor Developer Kit se anunció a 3.499 dólares, con hasta 2070 FP4 TFLOPS, 128 GB y una envolvente de hasta 130 W (NVIDIA, 2024, 2025). Estos datos permiten construir órdenes de magnitud de BOM, potencia y refrigeración, pero no demuestran sustitución funcional entre tiers.</w:t>
      </w:r>
    </w:p>
    <w:p w14:paraId="264FE100" w14:textId="77777777" w:rsidR="00FA297C" w:rsidRDefault="00DA12E4">
      <w:pPr>
        <w:pStyle w:val="MDPARThesisBody"/>
        <w:rPr>
          <w:lang w:val="es-ES"/>
        </w:rPr>
      </w:pPr>
      <w:r w:rsidRPr="009E2FF4">
        <w:rPr>
          <w:lang w:val="es-ES"/>
        </w:rPr>
        <w:t>Por tanto, la comparación entre un kit edge compacto y un sistema de physical AI de alta capacidad debe leerse como exposición de sensibilidad: si una futura validación demostrase que determinadas responsabilidades pueden desplazarse al tier inferior sin perder Q, aparecería una diferencia de BOM multiplicable por volumen. C11–C12 justifican medir esa hipótesis; no autorizan a asumirla.</w:t>
      </w:r>
    </w:p>
    <w:p w14:paraId="61778F1F" w14:textId="77777777" w:rsidR="00E306B6" w:rsidRPr="009E2FF4" w:rsidRDefault="00E306B6">
      <w:pPr>
        <w:pStyle w:val="MDPARThesisBody"/>
        <w:rPr>
          <w:lang w:val="es-ES"/>
        </w:rPr>
      </w:pPr>
    </w:p>
    <w:tbl>
      <w:tblPr>
        <w:tblStyle w:val="Tablanormal2"/>
        <w:tblW w:w="0" w:type="auto"/>
        <w:tblLook w:val="04A0" w:firstRow="1" w:lastRow="0" w:firstColumn="1" w:lastColumn="0" w:noHBand="0" w:noVBand="1"/>
      </w:tblPr>
      <w:tblGrid>
        <w:gridCol w:w="2197"/>
        <w:gridCol w:w="1739"/>
        <w:gridCol w:w="1701"/>
        <w:gridCol w:w="3151"/>
      </w:tblGrid>
      <w:tr w:rsidR="00FA297C" w:rsidRPr="002F4F30" w14:paraId="67D592AF"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2BA7519" w14:textId="77777777" w:rsidR="00FA297C" w:rsidRPr="00E306B6" w:rsidRDefault="00DA12E4" w:rsidP="0054053C">
            <w:pPr>
              <w:spacing w:line="240" w:lineRule="auto"/>
              <w:rPr>
                <w:sz w:val="16"/>
                <w:szCs w:val="16"/>
              </w:rPr>
            </w:pPr>
            <w:r w:rsidRPr="00E306B6">
              <w:rPr>
                <w:sz w:val="16"/>
                <w:szCs w:val="16"/>
              </w:rPr>
              <w:t>Referencia edge</w:t>
            </w:r>
          </w:p>
        </w:tc>
        <w:tc>
          <w:tcPr>
            <w:tcW w:w="1739" w:type="dxa"/>
          </w:tcPr>
          <w:p w14:paraId="062B1BF3"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Precio publicado</w:t>
            </w:r>
          </w:p>
        </w:tc>
        <w:tc>
          <w:tcPr>
            <w:tcW w:w="1701" w:type="dxa"/>
          </w:tcPr>
          <w:p w14:paraId="3EDBE0EA"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Potencia / capacidad</w:t>
            </w:r>
          </w:p>
        </w:tc>
        <w:tc>
          <w:tcPr>
            <w:tcW w:w="3151" w:type="dxa"/>
          </w:tcPr>
          <w:p w14:paraId="14504E39"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E306B6">
              <w:rPr>
                <w:sz w:val="16"/>
                <w:szCs w:val="16"/>
                <w:lang w:val="es-ES"/>
              </w:rPr>
              <w:t>Uso correcto en este informe</w:t>
            </w:r>
          </w:p>
        </w:tc>
      </w:tr>
      <w:tr w:rsidR="00FA297C" w:rsidRPr="00E306B6" w14:paraId="55DD6E63"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7692356" w14:textId="77777777" w:rsidR="006E0390" w:rsidRPr="00E306B6" w:rsidRDefault="005C5E48" w:rsidP="0054053C">
            <w:pPr>
              <w:spacing w:line="240" w:lineRule="auto"/>
              <w:rPr>
                <w:sz w:val="16"/>
                <w:szCs w:val="16"/>
              </w:rPr>
            </w:pPr>
            <w:r w:rsidRPr="00E306B6">
              <w:rPr>
                <w:sz w:val="16"/>
                <w:szCs w:val="16"/>
              </w:rPr>
              <w:t>Jetson Orin Nano Super (NVIDIA, 2024)</w:t>
            </w:r>
          </w:p>
        </w:tc>
        <w:tc>
          <w:tcPr>
            <w:tcW w:w="1739" w:type="dxa"/>
          </w:tcPr>
          <w:p w14:paraId="677D52F6"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$249</w:t>
            </w:r>
          </w:p>
        </w:tc>
        <w:tc>
          <w:tcPr>
            <w:tcW w:w="1701" w:type="dxa"/>
          </w:tcPr>
          <w:p w14:paraId="4DE49476" w14:textId="77777777" w:rsidR="006E0390" w:rsidRPr="00E306B6" w:rsidRDefault="005C5E48"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67 TOPS · 7/15/25 W</w:t>
            </w:r>
          </w:p>
        </w:tc>
        <w:tc>
          <w:tcPr>
            <w:tcW w:w="3151" w:type="dxa"/>
          </w:tcPr>
          <w:p w14:paraId="55205EB0"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referencia de edge compacto</w:t>
            </w:r>
          </w:p>
        </w:tc>
      </w:tr>
      <w:tr w:rsidR="00FA297C" w:rsidRPr="002F4F30" w14:paraId="33CABAFE" w14:textId="77777777" w:rsidTr="00E306B6">
        <w:tc>
          <w:tcPr>
            <w:cnfStyle w:val="001000000000" w:firstRow="0" w:lastRow="0" w:firstColumn="1" w:lastColumn="0" w:oddVBand="0" w:evenVBand="0" w:oddHBand="0" w:evenHBand="0" w:firstRowFirstColumn="0" w:firstRowLastColumn="0" w:lastRowFirstColumn="0" w:lastRowLastColumn="0"/>
            <w:tcW w:w="2197" w:type="dxa"/>
          </w:tcPr>
          <w:p w14:paraId="2AE0ADBF" w14:textId="77777777" w:rsidR="006E0390" w:rsidRPr="00E306B6" w:rsidRDefault="005C5E48" w:rsidP="0054053C">
            <w:pPr>
              <w:spacing w:line="240" w:lineRule="auto"/>
              <w:rPr>
                <w:sz w:val="16"/>
                <w:szCs w:val="16"/>
              </w:rPr>
            </w:pPr>
            <w:r w:rsidRPr="00E306B6">
              <w:rPr>
                <w:sz w:val="16"/>
                <w:szCs w:val="16"/>
              </w:rPr>
              <w:t>Jetson AGX Thor Dev Kit (NVIDIA, 2025)</w:t>
            </w:r>
          </w:p>
        </w:tc>
        <w:tc>
          <w:tcPr>
            <w:tcW w:w="1739" w:type="dxa"/>
          </w:tcPr>
          <w:p w14:paraId="087653CE"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$3.499</w:t>
            </w:r>
          </w:p>
        </w:tc>
        <w:tc>
          <w:tcPr>
            <w:tcW w:w="1701" w:type="dxa"/>
          </w:tcPr>
          <w:p w14:paraId="3E79AA07"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2070 FP4 TFLOPS · 128 GB · hasta 130 W</w:t>
            </w:r>
          </w:p>
        </w:tc>
        <w:tc>
          <w:tcPr>
            <w:tcW w:w="3151" w:type="dxa"/>
          </w:tcPr>
          <w:p w14:paraId="5C7C9E1E"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E306B6">
              <w:rPr>
                <w:sz w:val="16"/>
                <w:szCs w:val="16"/>
                <w:lang w:val="es-ES"/>
              </w:rPr>
              <w:t>referencia de physical AI de alta capacidad</w:t>
            </w:r>
          </w:p>
        </w:tc>
      </w:tr>
      <w:tr w:rsidR="00FA297C" w:rsidRPr="002F4F30" w14:paraId="319E44A8"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37470CD" w14:textId="77777777" w:rsidR="00FA297C" w:rsidRPr="00E306B6" w:rsidRDefault="00DA12E4" w:rsidP="0054053C">
            <w:pPr>
              <w:spacing w:line="240" w:lineRule="auto"/>
              <w:rPr>
                <w:sz w:val="16"/>
                <w:szCs w:val="16"/>
              </w:rPr>
            </w:pPr>
            <w:r w:rsidRPr="00E306B6">
              <w:rPr>
                <w:sz w:val="16"/>
                <w:szCs w:val="16"/>
              </w:rPr>
              <w:t>Diferencia de kit</w:t>
            </w:r>
          </w:p>
        </w:tc>
        <w:tc>
          <w:tcPr>
            <w:tcW w:w="1739" w:type="dxa"/>
          </w:tcPr>
          <w:p w14:paraId="251829BD"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$3.250</w:t>
            </w:r>
          </w:p>
        </w:tc>
        <w:tc>
          <w:tcPr>
            <w:tcW w:w="1701" w:type="dxa"/>
          </w:tcPr>
          <w:p w14:paraId="2B05F328"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w:t>
            </w:r>
          </w:p>
        </w:tc>
        <w:tc>
          <w:tcPr>
            <w:tcW w:w="3151" w:type="dxa"/>
          </w:tcPr>
          <w:p w14:paraId="1E4E018D"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E306B6">
              <w:rPr>
                <w:sz w:val="16"/>
                <w:szCs w:val="16"/>
                <w:lang w:val="es-ES"/>
              </w:rPr>
              <w:t>exposición de BOM; NO sustitución demostrada</w:t>
            </w:r>
          </w:p>
        </w:tc>
      </w:tr>
      <w:tr w:rsidR="00FA297C" w:rsidRPr="002F4F30" w14:paraId="41098B0D" w14:textId="77777777" w:rsidTr="00E306B6">
        <w:tc>
          <w:tcPr>
            <w:cnfStyle w:val="001000000000" w:firstRow="0" w:lastRow="0" w:firstColumn="1" w:lastColumn="0" w:oddVBand="0" w:evenVBand="0" w:oddHBand="0" w:evenHBand="0" w:firstRowFirstColumn="0" w:firstRowLastColumn="0" w:lastRowFirstColumn="0" w:lastRowLastColumn="0"/>
            <w:tcW w:w="2197" w:type="dxa"/>
          </w:tcPr>
          <w:p w14:paraId="1FBCB0FB" w14:textId="77777777" w:rsidR="00FA297C" w:rsidRPr="00E306B6" w:rsidRDefault="00DA12E4" w:rsidP="0054053C">
            <w:pPr>
              <w:spacing w:line="240" w:lineRule="auto"/>
              <w:rPr>
                <w:sz w:val="16"/>
                <w:szCs w:val="16"/>
              </w:rPr>
            </w:pPr>
            <w:r w:rsidRPr="00E306B6">
              <w:rPr>
                <w:sz w:val="16"/>
                <w:szCs w:val="16"/>
              </w:rPr>
              <w:t>100.000 unidades</w:t>
            </w:r>
          </w:p>
        </w:tc>
        <w:tc>
          <w:tcPr>
            <w:tcW w:w="1739" w:type="dxa"/>
          </w:tcPr>
          <w:p w14:paraId="24DE5FC2"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$325 M de diferencia</w:t>
            </w:r>
          </w:p>
        </w:tc>
        <w:tc>
          <w:tcPr>
            <w:tcW w:w="1701" w:type="dxa"/>
          </w:tcPr>
          <w:p w14:paraId="020C4F66"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w:t>
            </w:r>
          </w:p>
        </w:tc>
        <w:tc>
          <w:tcPr>
            <w:tcW w:w="3151" w:type="dxa"/>
          </w:tcPr>
          <w:p w14:paraId="2D4EBF31"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E306B6">
              <w:rPr>
                <w:sz w:val="16"/>
                <w:szCs w:val="16"/>
                <w:lang w:val="es-ES"/>
              </w:rPr>
              <w:t>orden de magnitud si una futura equivalencia funcional permitiera downsizing</w:t>
            </w:r>
          </w:p>
        </w:tc>
      </w:tr>
    </w:tbl>
    <w:p w14:paraId="262850CF" w14:textId="77777777" w:rsidR="00FA297C" w:rsidRPr="004D28DD" w:rsidRDefault="00DA12E4" w:rsidP="004D28DD">
      <w:pPr>
        <w:pStyle w:val="MDPARProfileCallout"/>
        <w:spacing w:line="360" w:lineRule="auto"/>
        <w:jc w:val="both"/>
        <w:rPr>
          <w:sz w:val="20"/>
          <w:szCs w:val="18"/>
          <w:lang w:val="es-ES"/>
        </w:rPr>
      </w:pPr>
      <w:r w:rsidRPr="004D28DD">
        <w:rPr>
          <w:sz w:val="20"/>
          <w:szCs w:val="18"/>
          <w:lang w:val="es-ES"/>
        </w:rPr>
        <w:t>Una diferencia de hardware es una superficie de medición, no una sustitución demostrada. El downsizing solo existe cuando Q permanece satisfecha.</w:t>
      </w:r>
    </w:p>
    <w:p w14:paraId="73B0DBEE" w14:textId="77777777" w:rsidR="004D28DD" w:rsidRPr="004D28DD" w:rsidRDefault="004D28DD" w:rsidP="004D28DD">
      <w:pPr>
        <w:pStyle w:val="MDPARProfileH1"/>
        <w:spacing w:before="0" w:after="0" w:line="360" w:lineRule="auto"/>
        <w:jc w:val="both"/>
        <w:rPr>
          <w:sz w:val="24"/>
          <w:szCs w:val="20"/>
          <w:lang w:val="es-ES"/>
        </w:rPr>
      </w:pPr>
    </w:p>
    <w:p w14:paraId="62F22548" w14:textId="77777777" w:rsidR="00FA297C" w:rsidRPr="004D28DD" w:rsidRDefault="00DA12E4" w:rsidP="004D28DD">
      <w:pPr>
        <w:pStyle w:val="MDPARProfileH1"/>
        <w:spacing w:before="0" w:after="0" w:line="360" w:lineRule="auto"/>
        <w:ind w:firstLine="709"/>
        <w:jc w:val="both"/>
        <w:outlineLvl w:val="1"/>
        <w:rPr>
          <w:sz w:val="24"/>
          <w:szCs w:val="20"/>
          <w:lang w:val="es-ES"/>
        </w:rPr>
      </w:pPr>
      <w:bookmarkStart w:id="86" w:name="_Toc242721922"/>
      <w:r w:rsidRPr="004D28DD">
        <w:rPr>
          <w:sz w:val="24"/>
          <w:szCs w:val="20"/>
          <w:lang w:val="es-ES"/>
        </w:rPr>
        <w:t>10.1</w:t>
      </w:r>
      <w:r w:rsidR="009F5B98">
        <w:rPr>
          <w:sz w:val="24"/>
          <w:szCs w:val="20"/>
          <w:lang w:val="es-ES"/>
        </w:rPr>
        <w:t>1</w:t>
      </w:r>
      <w:r w:rsidRPr="004D28DD">
        <w:rPr>
          <w:sz w:val="24"/>
          <w:szCs w:val="20"/>
          <w:lang w:val="es-ES"/>
        </w:rPr>
        <w:t>. El tamaño del mercado de problemas</w:t>
      </w:r>
      <w:bookmarkEnd w:id="86"/>
    </w:p>
    <w:p w14:paraId="7E8D23AD" w14:textId="77777777" w:rsidR="0077634B" w:rsidRPr="009F5B98" w:rsidRDefault="00502BDB" w:rsidP="009F5B98">
      <w:pPr>
        <w:pStyle w:val="MDPARProfileH1"/>
        <w:spacing w:before="0" w:after="0" w:line="360" w:lineRule="auto"/>
        <w:ind w:firstLine="709"/>
        <w:jc w:val="both"/>
        <w:rPr>
          <w:b w:val="0"/>
          <w:bCs/>
          <w:sz w:val="24"/>
          <w:szCs w:val="20"/>
          <w:lang w:val="es-ES"/>
        </w:rPr>
      </w:pPr>
      <w:r w:rsidRPr="009F5B98">
        <w:rPr>
          <w:b w:val="0"/>
          <w:bCs/>
          <w:sz w:val="24"/>
          <w:szCs w:val="20"/>
          <w:lang w:val="es-ES"/>
        </w:rPr>
        <w:t>Dos familias de problemas amplían la superficie de aplicación sin añadir una cifra de mercado por extrapolación: la interoperabilidad de procesos multilingües y la verificación de integridad ante transformaciones potencialmente adversarias. La primera comprende el coste de reobservar, reconciliar y auditar una misma organización inferencial entre lenguas; la segunda, el coste de identificar cambios estructurales relevantes, preservar procedencia y controlar la autoridad de representaciones transformadas. Ambas pueden compartir cálculo y Atlas, pero sus poblaciones de referencia, contrafactuales y resultados comerciales deben mantenerse separados.</w:t>
      </w:r>
    </w:p>
    <w:p w14:paraId="079EB2F7" w14:textId="77777777" w:rsidR="00FA297C" w:rsidRDefault="00DA12E4">
      <w:pPr>
        <w:pStyle w:val="MDPARThesisBody"/>
        <w:rPr>
          <w:lang w:val="es-ES"/>
        </w:rPr>
      </w:pPr>
      <w:r w:rsidRPr="0054053C">
        <w:rPr>
          <w:lang w:val="es-ES"/>
        </w:rPr>
        <w:t>Los denominadores macroeconómicos no pertenecen a MDPAR. Stargate anunció una intención de inversión de 500.000 millones de dólares en cuatro años (OpenAI, 2025); Reuters informó en febrero de 2026 de una previsión de aproximadamente 600.000 millones de dólares de gasto de compute de OpenAI hasta 2030 (Reuters, 2026a); y, citando estimaciones del BIS, Reuters situó en más de 1 billón de dólares la inversión de las cinco mayores tecnológicas globales en IA durante 2025–2026 y en torno a 4 billones la inversión global potencial hacia 2030 (Reuters, 2026b). En energía, la IEA proyecta alrededor de 945 TWh anuales de consumo eléctrico mundial de centros de datos en 2030, mientras Lawrence Berkeley National Laboratory estima que los centros de datos podrían representar el 11,8% del consumo eléctrico estadounidense en 2030, con un intervalo de escenarios del 9,5% al 15,3% (IEA, 2025; Smith et al., 2026). Estas magnitudes sirven únicamente para situar la escala del problema, no para convertir una fracción de ellas en un efecto observado de MDPAR.</w:t>
      </w:r>
    </w:p>
    <w:p w14:paraId="6E445ECE" w14:textId="77777777" w:rsidR="009F5B98" w:rsidRPr="009E2FF4" w:rsidRDefault="009F5B98">
      <w:pPr>
        <w:pStyle w:val="MDPARThesisBody"/>
        <w:rPr>
          <w:lang w:val="es-ES"/>
        </w:rPr>
      </w:pPr>
    </w:p>
    <w:tbl>
      <w:tblPr>
        <w:tblStyle w:val="Tablanormal2"/>
        <w:tblW w:w="0" w:type="auto"/>
        <w:tblLook w:val="04A0" w:firstRow="1" w:lastRow="0" w:firstColumn="1" w:lastColumn="0" w:noHBand="0" w:noVBand="1"/>
      </w:tblPr>
      <w:tblGrid>
        <w:gridCol w:w="2660"/>
        <w:gridCol w:w="3118"/>
        <w:gridCol w:w="3009"/>
      </w:tblGrid>
      <w:tr w:rsidR="00FA297C" w:rsidRPr="00E306B6" w14:paraId="6AD5E5F0"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FF60410" w14:textId="77777777" w:rsidR="00FA297C" w:rsidRPr="00E306B6" w:rsidRDefault="00DA12E4" w:rsidP="0054053C">
            <w:pPr>
              <w:spacing w:line="240" w:lineRule="auto"/>
              <w:rPr>
                <w:sz w:val="16"/>
                <w:szCs w:val="16"/>
              </w:rPr>
            </w:pPr>
            <w:r w:rsidRPr="00E306B6">
              <w:rPr>
                <w:sz w:val="16"/>
                <w:szCs w:val="16"/>
              </w:rPr>
              <w:t>Denominador público</w:t>
            </w:r>
          </w:p>
        </w:tc>
        <w:tc>
          <w:tcPr>
            <w:tcW w:w="3118" w:type="dxa"/>
          </w:tcPr>
          <w:p w14:paraId="2C06C423"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Magnitud</w:t>
            </w:r>
          </w:p>
        </w:tc>
        <w:tc>
          <w:tcPr>
            <w:tcW w:w="3009" w:type="dxa"/>
          </w:tcPr>
          <w:p w14:paraId="1A9F42E4"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Por qué importa</w:t>
            </w:r>
          </w:p>
        </w:tc>
      </w:tr>
      <w:tr w:rsidR="00FA297C" w:rsidRPr="002F4F30" w14:paraId="1A0A658A"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AE32279" w14:textId="77777777" w:rsidR="006E0390" w:rsidRPr="00E306B6" w:rsidRDefault="005C5E48" w:rsidP="0054053C">
            <w:pPr>
              <w:spacing w:line="240" w:lineRule="auto"/>
              <w:rPr>
                <w:sz w:val="16"/>
                <w:szCs w:val="16"/>
              </w:rPr>
            </w:pPr>
            <w:r w:rsidRPr="00E306B6">
              <w:rPr>
                <w:sz w:val="16"/>
                <w:szCs w:val="16"/>
              </w:rPr>
              <w:t>Stargate (OpenAI, 2025)</w:t>
            </w:r>
          </w:p>
        </w:tc>
        <w:tc>
          <w:tcPr>
            <w:tcW w:w="3118" w:type="dxa"/>
          </w:tcPr>
          <w:p w14:paraId="66AE4037"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E306B6">
              <w:rPr>
                <w:sz w:val="16"/>
                <w:szCs w:val="16"/>
                <w:lang w:val="es-ES"/>
              </w:rPr>
              <w:t>$500B de inversión prevista en cuatro años</w:t>
            </w:r>
          </w:p>
        </w:tc>
        <w:tc>
          <w:tcPr>
            <w:tcW w:w="3009" w:type="dxa"/>
          </w:tcPr>
          <w:p w14:paraId="45E26A07"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E306B6">
              <w:rPr>
                <w:sz w:val="16"/>
                <w:szCs w:val="16"/>
                <w:lang w:val="es-ES"/>
              </w:rPr>
              <w:t>infraestructura AI como programa de capital de escala soberana/industrial</w:t>
            </w:r>
          </w:p>
        </w:tc>
      </w:tr>
      <w:tr w:rsidR="00FA297C" w:rsidRPr="002F4F30" w14:paraId="0432FCB0" w14:textId="77777777" w:rsidTr="00E306B6">
        <w:tc>
          <w:tcPr>
            <w:cnfStyle w:val="001000000000" w:firstRow="0" w:lastRow="0" w:firstColumn="1" w:lastColumn="0" w:oddVBand="0" w:evenVBand="0" w:oddHBand="0" w:evenHBand="0" w:firstRowFirstColumn="0" w:firstRowLastColumn="0" w:lastRowFirstColumn="0" w:lastRowLastColumn="0"/>
            <w:tcW w:w="2660" w:type="dxa"/>
          </w:tcPr>
          <w:p w14:paraId="1BE60E31" w14:textId="77777777" w:rsidR="006E0390" w:rsidRPr="00E306B6" w:rsidRDefault="005C5E48" w:rsidP="0054053C">
            <w:pPr>
              <w:spacing w:line="240" w:lineRule="auto"/>
              <w:rPr>
                <w:sz w:val="16"/>
                <w:szCs w:val="16"/>
              </w:rPr>
            </w:pPr>
            <w:r w:rsidRPr="00E306B6">
              <w:rPr>
                <w:sz w:val="16"/>
                <w:szCs w:val="16"/>
              </w:rPr>
              <w:t>OpenAI compute hasta 2030 (Reuters, 2026a)</w:t>
            </w:r>
          </w:p>
        </w:tc>
        <w:tc>
          <w:tcPr>
            <w:tcW w:w="3118" w:type="dxa"/>
          </w:tcPr>
          <w:p w14:paraId="63BB23F9"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~$600B esperados</w:t>
            </w:r>
          </w:p>
        </w:tc>
        <w:tc>
          <w:tcPr>
            <w:tcW w:w="3009" w:type="dxa"/>
          </w:tcPr>
          <w:p w14:paraId="1D5FEDD0"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E306B6">
              <w:rPr>
                <w:sz w:val="16"/>
                <w:szCs w:val="16"/>
                <w:lang w:val="es-ES"/>
              </w:rPr>
              <w:t>muestra la magnitud del coste de compute en un solo actor</w:t>
            </w:r>
          </w:p>
        </w:tc>
      </w:tr>
      <w:tr w:rsidR="00FA297C" w:rsidRPr="002F4F30" w14:paraId="20F0FDBE"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3314A14A" w14:textId="77777777" w:rsidR="006E0390" w:rsidRPr="00E306B6" w:rsidRDefault="005C5E48" w:rsidP="0054053C">
            <w:pPr>
              <w:spacing w:line="240" w:lineRule="auto"/>
              <w:rPr>
                <w:sz w:val="16"/>
                <w:szCs w:val="16"/>
                <w:lang w:val="es-ES"/>
              </w:rPr>
            </w:pPr>
            <w:r w:rsidRPr="00E306B6">
              <w:rPr>
                <w:sz w:val="16"/>
                <w:szCs w:val="16"/>
                <w:lang w:val="es-ES"/>
              </w:rPr>
              <w:t>Top 5 tecnológicas globales (Reuters, 2026b)</w:t>
            </w:r>
          </w:p>
        </w:tc>
        <w:tc>
          <w:tcPr>
            <w:tcW w:w="3118" w:type="dxa"/>
          </w:tcPr>
          <w:p w14:paraId="397C53F2"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E306B6">
              <w:rPr>
                <w:sz w:val="16"/>
                <w:szCs w:val="16"/>
                <w:lang w:val="es-ES"/>
              </w:rPr>
              <w:t>más de $1T en inversión AI 2025–2026 según BIS/Reuters</w:t>
            </w:r>
          </w:p>
        </w:tc>
        <w:tc>
          <w:tcPr>
            <w:tcW w:w="3009" w:type="dxa"/>
          </w:tcPr>
          <w:p w14:paraId="71AD505D"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E306B6">
              <w:rPr>
                <w:sz w:val="16"/>
                <w:szCs w:val="16"/>
                <w:lang w:val="es-ES"/>
              </w:rPr>
              <w:t>el capex AI ya es un problema de asignación de capital</w:t>
            </w:r>
          </w:p>
        </w:tc>
      </w:tr>
      <w:tr w:rsidR="00FA297C" w:rsidRPr="002F4F30" w14:paraId="6EA72A61" w14:textId="77777777" w:rsidTr="00E306B6">
        <w:tc>
          <w:tcPr>
            <w:cnfStyle w:val="001000000000" w:firstRow="0" w:lastRow="0" w:firstColumn="1" w:lastColumn="0" w:oddVBand="0" w:evenVBand="0" w:oddHBand="0" w:evenHBand="0" w:firstRowFirstColumn="0" w:firstRowLastColumn="0" w:lastRowFirstColumn="0" w:lastRowLastColumn="0"/>
            <w:tcW w:w="2660" w:type="dxa"/>
          </w:tcPr>
          <w:p w14:paraId="58432289" w14:textId="77777777" w:rsidR="006E0390" w:rsidRPr="00E306B6" w:rsidRDefault="005C5E48" w:rsidP="0054053C">
            <w:pPr>
              <w:spacing w:line="240" w:lineRule="auto"/>
              <w:rPr>
                <w:sz w:val="16"/>
                <w:szCs w:val="16"/>
                <w:lang w:val="es-ES"/>
              </w:rPr>
            </w:pPr>
            <w:r w:rsidRPr="00E306B6">
              <w:rPr>
                <w:sz w:val="16"/>
                <w:szCs w:val="16"/>
                <w:lang w:val="es-ES"/>
              </w:rPr>
              <w:t>Inversión global en IA (Reuters, 2026b)</w:t>
            </w:r>
          </w:p>
        </w:tc>
        <w:tc>
          <w:tcPr>
            <w:tcW w:w="3118" w:type="dxa"/>
          </w:tcPr>
          <w:p w14:paraId="2290CAAC"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E306B6">
              <w:rPr>
                <w:sz w:val="16"/>
                <w:szCs w:val="16"/>
                <w:lang w:val="es-ES"/>
              </w:rPr>
              <w:t>potencial de ~$4T hacia 2030 según BIS/Reuters</w:t>
            </w:r>
          </w:p>
        </w:tc>
        <w:tc>
          <w:tcPr>
            <w:tcW w:w="3009" w:type="dxa"/>
          </w:tcPr>
          <w:p w14:paraId="27BBE75A"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E306B6">
              <w:rPr>
                <w:sz w:val="16"/>
                <w:szCs w:val="16"/>
                <w:lang w:val="es-ES"/>
              </w:rPr>
              <w:t>escala macro del ciclo inversor</w:t>
            </w:r>
          </w:p>
        </w:tc>
      </w:tr>
      <w:tr w:rsidR="00FA297C" w:rsidRPr="002F4F30" w14:paraId="7E01636A"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1E11BE68" w14:textId="77777777" w:rsidR="006E0390" w:rsidRPr="00E306B6" w:rsidRDefault="005C5E48" w:rsidP="0054053C">
            <w:pPr>
              <w:spacing w:line="240" w:lineRule="auto"/>
              <w:rPr>
                <w:sz w:val="16"/>
                <w:szCs w:val="16"/>
                <w:lang w:val="es-ES"/>
              </w:rPr>
            </w:pPr>
            <w:r w:rsidRPr="00E306B6">
              <w:rPr>
                <w:sz w:val="16"/>
                <w:szCs w:val="16"/>
                <w:lang w:val="es-ES"/>
              </w:rPr>
              <w:t>Electricidad de data centers (IEA, 2025)</w:t>
            </w:r>
          </w:p>
        </w:tc>
        <w:tc>
          <w:tcPr>
            <w:tcW w:w="3118" w:type="dxa"/>
          </w:tcPr>
          <w:p w14:paraId="29C2564D"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E306B6">
              <w:rPr>
                <w:sz w:val="16"/>
                <w:szCs w:val="16"/>
                <w:lang w:val="es-ES"/>
              </w:rPr>
              <w:t>~945 TWh/año en 2030, más del doble que hoy</w:t>
            </w:r>
          </w:p>
        </w:tc>
        <w:tc>
          <w:tcPr>
            <w:tcW w:w="3009" w:type="dxa"/>
          </w:tcPr>
          <w:p w14:paraId="1F759C7E"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E306B6">
              <w:rPr>
                <w:sz w:val="16"/>
                <w:szCs w:val="16"/>
                <w:lang w:val="es-ES"/>
              </w:rPr>
              <w:t>AI es el principal impulsor del crecimiento</w:t>
            </w:r>
          </w:p>
        </w:tc>
      </w:tr>
      <w:tr w:rsidR="00FA297C" w:rsidRPr="002F4F30" w14:paraId="73A7C7FD" w14:textId="77777777" w:rsidTr="00E306B6">
        <w:tc>
          <w:tcPr>
            <w:cnfStyle w:val="001000000000" w:firstRow="0" w:lastRow="0" w:firstColumn="1" w:lastColumn="0" w:oddVBand="0" w:evenVBand="0" w:oddHBand="0" w:evenHBand="0" w:firstRowFirstColumn="0" w:firstRowLastColumn="0" w:lastRowFirstColumn="0" w:lastRowLastColumn="0"/>
            <w:tcW w:w="2660" w:type="dxa"/>
          </w:tcPr>
          <w:p w14:paraId="164FCAF4" w14:textId="77777777" w:rsidR="006E0390" w:rsidRPr="00E306B6" w:rsidRDefault="005C5E48" w:rsidP="0054053C">
            <w:pPr>
              <w:spacing w:line="240" w:lineRule="auto"/>
              <w:rPr>
                <w:sz w:val="16"/>
                <w:szCs w:val="16"/>
                <w:lang w:val="es-ES"/>
              </w:rPr>
            </w:pPr>
            <w:r w:rsidRPr="00E306B6">
              <w:rPr>
                <w:sz w:val="16"/>
                <w:szCs w:val="16"/>
                <w:lang w:val="es-ES"/>
              </w:rPr>
              <w:t>EE. UU. data centers (Smith et al., 2026)</w:t>
            </w:r>
          </w:p>
        </w:tc>
        <w:tc>
          <w:tcPr>
            <w:tcW w:w="3118" w:type="dxa"/>
          </w:tcPr>
          <w:p w14:paraId="0E29A66B"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E306B6">
              <w:rPr>
                <w:sz w:val="16"/>
                <w:szCs w:val="16"/>
                <w:lang w:val="es-ES"/>
              </w:rPr>
              <w:t>11,8% del uso eléctrico en 2030, rango 9,5–15,3%</w:t>
            </w:r>
          </w:p>
        </w:tc>
        <w:tc>
          <w:tcPr>
            <w:tcW w:w="3009" w:type="dxa"/>
          </w:tcPr>
          <w:p w14:paraId="6EE21E0D"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E306B6">
              <w:rPr>
                <w:sz w:val="16"/>
                <w:szCs w:val="16"/>
                <w:lang w:val="es-ES"/>
              </w:rPr>
              <w:t>el cuello de botella ya es también red/energía</w:t>
            </w:r>
          </w:p>
        </w:tc>
      </w:tr>
    </w:tbl>
    <w:p w14:paraId="06B02B13" w14:textId="77777777" w:rsidR="004D28DD" w:rsidRPr="00A35FAC" w:rsidRDefault="004D28DD" w:rsidP="00A35FAC">
      <w:pPr>
        <w:pStyle w:val="MDPARProfileH1"/>
        <w:spacing w:before="0" w:after="0" w:line="360" w:lineRule="auto"/>
        <w:rPr>
          <w:sz w:val="24"/>
          <w:szCs w:val="20"/>
          <w:lang w:val="es-ES"/>
        </w:rPr>
      </w:pPr>
    </w:p>
    <w:p w14:paraId="2F713C9D" w14:textId="77777777" w:rsidR="00FA297C" w:rsidRPr="00A35FAC" w:rsidRDefault="00DA12E4" w:rsidP="004D28DD">
      <w:pPr>
        <w:pStyle w:val="MDPARProfileH1"/>
        <w:spacing w:before="0" w:after="0" w:line="360" w:lineRule="auto"/>
        <w:ind w:firstLine="709"/>
        <w:jc w:val="both"/>
        <w:outlineLvl w:val="1"/>
        <w:rPr>
          <w:sz w:val="22"/>
          <w:szCs w:val="18"/>
          <w:lang w:val="es-ES"/>
        </w:rPr>
      </w:pPr>
      <w:bookmarkStart w:id="87" w:name="_Toc242721923"/>
      <w:r w:rsidRPr="00A35FAC">
        <w:rPr>
          <w:sz w:val="24"/>
          <w:szCs w:val="20"/>
          <w:lang w:val="es-ES"/>
        </w:rPr>
        <w:t>10.1</w:t>
      </w:r>
      <w:r w:rsidR="009F5B98">
        <w:rPr>
          <w:sz w:val="24"/>
          <w:szCs w:val="20"/>
          <w:lang w:val="es-ES"/>
        </w:rPr>
        <w:t>2</w:t>
      </w:r>
      <w:r w:rsidRPr="00A35FAC">
        <w:rPr>
          <w:sz w:val="24"/>
          <w:szCs w:val="20"/>
          <w:lang w:val="es-ES"/>
        </w:rPr>
        <w:t>. Envolvente de sensibilidad: convertir ambición en aritmética auditable</w:t>
      </w:r>
      <w:bookmarkEnd w:id="87"/>
    </w:p>
    <w:p w14:paraId="262F1C2B" w14:textId="77777777" w:rsidR="00FA297C" w:rsidRDefault="00DA12E4">
      <w:pPr>
        <w:pStyle w:val="MDPARThesisBody"/>
        <w:rPr>
          <w:lang w:val="es-ES"/>
        </w:rPr>
      </w:pPr>
      <w:r w:rsidRPr="0054053C">
        <w:rPr>
          <w:lang w:val="es-ES"/>
        </w:rPr>
        <w:t xml:space="preserve">La envolvente utiliza tres factores independientes: fracción del denominador que corresponde al tipo de carga relevante (f_R), fracción de esa carga elegible para </w:t>
      </w:r>
      <w:r w:rsidRPr="0054053C">
        <w:rPr>
          <w:lang w:val="es-ES"/>
        </w:rPr>
        <w:lastRenderedPageBreak/>
        <w:t>mecanismos MDPAR (f_E) y efecto neto dentro del subconjunto elegible (f_M). La exposición total se define como f_R × f_E × f_M. Los valores 35/15/5%, 50/35/15% y 65/60/30% no proceden de una fuente externa ni de C0–C12: son tres puntos de sensibilidad elegidos deliberadamente para representar un caso conservador, uno central y uno expansivo. De ellos se derivan aritméticamente 0,2625%, 2,625% y 11,7%, respectivamente. Ninguno de esos porcentajes es una probabilidad, una cuota de mercado ni un resultado experimental; una organización debe sustituir los tres factores por datos propios antes de utilizar la envolvente para decisión económica.</w:t>
      </w:r>
    </w:p>
    <w:p w14:paraId="78585BE2" w14:textId="77777777" w:rsidR="00E306B6" w:rsidRPr="009E2FF4" w:rsidRDefault="00E306B6">
      <w:pPr>
        <w:pStyle w:val="MDPARThesisBody"/>
        <w:rPr>
          <w:lang w:val="es-ES"/>
        </w:rPr>
      </w:pPr>
    </w:p>
    <w:tbl>
      <w:tblPr>
        <w:tblStyle w:val="Tablanormal2"/>
        <w:tblW w:w="0" w:type="auto"/>
        <w:tblLook w:val="04A0" w:firstRow="1" w:lastRow="0" w:firstColumn="1" w:lastColumn="0" w:noHBand="0" w:noVBand="1"/>
      </w:tblPr>
      <w:tblGrid>
        <w:gridCol w:w="2235"/>
        <w:gridCol w:w="1417"/>
        <w:gridCol w:w="1701"/>
        <w:gridCol w:w="1985"/>
        <w:gridCol w:w="1447"/>
      </w:tblGrid>
      <w:tr w:rsidR="00FA297C" w:rsidRPr="00E306B6" w14:paraId="088E58E0"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70C9EB21" w14:textId="77777777" w:rsidR="006E0390" w:rsidRPr="00E306B6" w:rsidRDefault="005C5E48" w:rsidP="0054053C">
            <w:pPr>
              <w:spacing w:line="240" w:lineRule="auto"/>
              <w:rPr>
                <w:sz w:val="16"/>
                <w:szCs w:val="16"/>
                <w:lang w:val="es-ES"/>
              </w:rPr>
            </w:pPr>
            <w:r w:rsidRPr="00E306B6">
              <w:rPr>
                <w:sz w:val="16"/>
                <w:szCs w:val="16"/>
                <w:lang w:val="es-ES"/>
              </w:rPr>
              <w:t>Escenario de</w:t>
            </w:r>
            <w:r w:rsidR="0054053C" w:rsidRPr="00E306B6">
              <w:rPr>
                <w:sz w:val="16"/>
                <w:szCs w:val="16"/>
                <w:lang w:val="es-ES"/>
              </w:rPr>
              <w:t xml:space="preserve"> </w:t>
            </w:r>
            <w:r w:rsidRPr="00E306B6">
              <w:rPr>
                <w:sz w:val="16"/>
                <w:szCs w:val="16"/>
                <w:lang w:val="es-ES"/>
              </w:rPr>
              <w:t>sensibilidad (supuestos, no estimaciones)</w:t>
            </w:r>
          </w:p>
        </w:tc>
        <w:tc>
          <w:tcPr>
            <w:tcW w:w="1417" w:type="dxa"/>
          </w:tcPr>
          <w:p w14:paraId="0D4E3EE9"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Carga relevante</w:t>
            </w:r>
          </w:p>
        </w:tc>
        <w:tc>
          <w:tcPr>
            <w:tcW w:w="1701" w:type="dxa"/>
          </w:tcPr>
          <w:p w14:paraId="0DD0361B"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Elegible MDPAR</w:t>
            </w:r>
          </w:p>
        </w:tc>
        <w:tc>
          <w:tcPr>
            <w:tcW w:w="1985" w:type="dxa"/>
          </w:tcPr>
          <w:p w14:paraId="07B86BE6"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Efecto en lo elegible</w:t>
            </w:r>
          </w:p>
        </w:tc>
        <w:tc>
          <w:tcPr>
            <w:tcW w:w="1447" w:type="dxa"/>
          </w:tcPr>
          <w:p w14:paraId="491011F9"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Envelope total</w:t>
            </w:r>
          </w:p>
        </w:tc>
      </w:tr>
      <w:tr w:rsidR="00FA297C" w:rsidRPr="00E306B6" w14:paraId="2BD711EA"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57F42D90" w14:textId="77777777" w:rsidR="00FA297C" w:rsidRPr="00E306B6" w:rsidRDefault="00DA12E4" w:rsidP="0054053C">
            <w:pPr>
              <w:spacing w:line="240" w:lineRule="auto"/>
              <w:rPr>
                <w:sz w:val="16"/>
                <w:szCs w:val="16"/>
              </w:rPr>
            </w:pPr>
            <w:r w:rsidRPr="00E306B6">
              <w:rPr>
                <w:sz w:val="16"/>
                <w:szCs w:val="16"/>
              </w:rPr>
              <w:t>Conservador</w:t>
            </w:r>
          </w:p>
        </w:tc>
        <w:tc>
          <w:tcPr>
            <w:tcW w:w="1417" w:type="dxa"/>
          </w:tcPr>
          <w:p w14:paraId="4D84E340"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35%</w:t>
            </w:r>
          </w:p>
        </w:tc>
        <w:tc>
          <w:tcPr>
            <w:tcW w:w="1701" w:type="dxa"/>
          </w:tcPr>
          <w:p w14:paraId="7E0EE457"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15%</w:t>
            </w:r>
          </w:p>
        </w:tc>
        <w:tc>
          <w:tcPr>
            <w:tcW w:w="1985" w:type="dxa"/>
          </w:tcPr>
          <w:p w14:paraId="1C5AD27F"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5%</w:t>
            </w:r>
          </w:p>
        </w:tc>
        <w:tc>
          <w:tcPr>
            <w:tcW w:w="1447" w:type="dxa"/>
          </w:tcPr>
          <w:p w14:paraId="634A1366"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0,2625%</w:t>
            </w:r>
          </w:p>
        </w:tc>
      </w:tr>
      <w:tr w:rsidR="00FA297C" w:rsidRPr="00E306B6" w14:paraId="2BCBA9E6" w14:textId="77777777" w:rsidTr="00E306B6">
        <w:tc>
          <w:tcPr>
            <w:cnfStyle w:val="001000000000" w:firstRow="0" w:lastRow="0" w:firstColumn="1" w:lastColumn="0" w:oddVBand="0" w:evenVBand="0" w:oddHBand="0" w:evenHBand="0" w:firstRowFirstColumn="0" w:firstRowLastColumn="0" w:lastRowFirstColumn="0" w:lastRowLastColumn="0"/>
            <w:tcW w:w="2235" w:type="dxa"/>
          </w:tcPr>
          <w:p w14:paraId="74D6FA06" w14:textId="77777777" w:rsidR="00FA297C" w:rsidRPr="00E306B6" w:rsidRDefault="00DA12E4" w:rsidP="0054053C">
            <w:pPr>
              <w:spacing w:line="240" w:lineRule="auto"/>
              <w:rPr>
                <w:sz w:val="16"/>
                <w:szCs w:val="16"/>
              </w:rPr>
            </w:pPr>
            <w:r w:rsidRPr="00E306B6">
              <w:rPr>
                <w:sz w:val="16"/>
                <w:szCs w:val="16"/>
              </w:rPr>
              <w:t>Central</w:t>
            </w:r>
          </w:p>
        </w:tc>
        <w:tc>
          <w:tcPr>
            <w:tcW w:w="1417" w:type="dxa"/>
          </w:tcPr>
          <w:p w14:paraId="7642A4F9"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50%</w:t>
            </w:r>
          </w:p>
        </w:tc>
        <w:tc>
          <w:tcPr>
            <w:tcW w:w="1701" w:type="dxa"/>
          </w:tcPr>
          <w:p w14:paraId="75BFDAC4"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35%</w:t>
            </w:r>
          </w:p>
        </w:tc>
        <w:tc>
          <w:tcPr>
            <w:tcW w:w="1985" w:type="dxa"/>
          </w:tcPr>
          <w:p w14:paraId="5C388A36"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15%</w:t>
            </w:r>
          </w:p>
        </w:tc>
        <w:tc>
          <w:tcPr>
            <w:tcW w:w="1447" w:type="dxa"/>
          </w:tcPr>
          <w:p w14:paraId="001B20F3"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2,625%</w:t>
            </w:r>
          </w:p>
        </w:tc>
      </w:tr>
      <w:tr w:rsidR="00FA297C" w:rsidRPr="00E306B6" w14:paraId="6E50FE02"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3F41A90F" w14:textId="77777777" w:rsidR="00FA297C" w:rsidRPr="00E306B6" w:rsidRDefault="00DA12E4" w:rsidP="0054053C">
            <w:pPr>
              <w:spacing w:line="240" w:lineRule="auto"/>
              <w:rPr>
                <w:sz w:val="16"/>
                <w:szCs w:val="16"/>
              </w:rPr>
            </w:pPr>
            <w:r w:rsidRPr="00E306B6">
              <w:rPr>
                <w:sz w:val="16"/>
                <w:szCs w:val="16"/>
              </w:rPr>
              <w:t>Expansivo</w:t>
            </w:r>
          </w:p>
        </w:tc>
        <w:tc>
          <w:tcPr>
            <w:tcW w:w="1417" w:type="dxa"/>
          </w:tcPr>
          <w:p w14:paraId="54FF77C5"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65%</w:t>
            </w:r>
          </w:p>
        </w:tc>
        <w:tc>
          <w:tcPr>
            <w:tcW w:w="1701" w:type="dxa"/>
          </w:tcPr>
          <w:p w14:paraId="67A299CE"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60%</w:t>
            </w:r>
          </w:p>
        </w:tc>
        <w:tc>
          <w:tcPr>
            <w:tcW w:w="1985" w:type="dxa"/>
          </w:tcPr>
          <w:p w14:paraId="63F35A7C"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30%</w:t>
            </w:r>
          </w:p>
        </w:tc>
        <w:tc>
          <w:tcPr>
            <w:tcW w:w="1447" w:type="dxa"/>
          </w:tcPr>
          <w:p w14:paraId="09E34169"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11,7%</w:t>
            </w:r>
          </w:p>
        </w:tc>
      </w:tr>
    </w:tbl>
    <w:p w14:paraId="342D7AA7" w14:textId="77777777" w:rsidR="00FA297C" w:rsidRPr="00DC491A" w:rsidRDefault="00DA12E4" w:rsidP="00DC491A">
      <w:pPr>
        <w:pStyle w:val="MDPARProfileCallout"/>
        <w:spacing w:line="360" w:lineRule="auto"/>
        <w:jc w:val="both"/>
        <w:rPr>
          <w:sz w:val="20"/>
          <w:szCs w:val="18"/>
          <w:lang w:val="es-ES"/>
        </w:rPr>
      </w:pPr>
      <w:r w:rsidRPr="00DC491A">
        <w:rPr>
          <w:sz w:val="20"/>
          <w:szCs w:val="18"/>
          <w:lang w:val="es-ES"/>
        </w:rPr>
        <w:t>Un punto porcentual no es una predicción; es una regla de tres. La hipótesis, el denominador y la aritmética deben permanecer separados.</w:t>
      </w:r>
    </w:p>
    <w:p w14:paraId="4FC7301C" w14:textId="77777777" w:rsidR="00A35FAC" w:rsidRPr="00DC491A" w:rsidRDefault="00A35FAC" w:rsidP="00DC491A">
      <w:pPr>
        <w:pStyle w:val="MDPARProfileH1"/>
        <w:spacing w:before="0" w:after="0" w:line="360" w:lineRule="auto"/>
        <w:jc w:val="both"/>
        <w:rPr>
          <w:sz w:val="24"/>
          <w:szCs w:val="20"/>
          <w:lang w:val="es-ES"/>
        </w:rPr>
      </w:pPr>
    </w:p>
    <w:p w14:paraId="278D7B0A" w14:textId="77777777" w:rsidR="00FA297C" w:rsidRPr="00DC491A" w:rsidRDefault="00DA12E4" w:rsidP="00DC491A">
      <w:pPr>
        <w:pStyle w:val="MDPARProfileH1"/>
        <w:spacing w:before="0" w:after="0" w:line="360" w:lineRule="auto"/>
        <w:ind w:firstLine="709"/>
        <w:jc w:val="both"/>
        <w:outlineLvl w:val="1"/>
        <w:rPr>
          <w:sz w:val="24"/>
          <w:szCs w:val="20"/>
          <w:lang w:val="es-ES"/>
        </w:rPr>
      </w:pPr>
      <w:bookmarkStart w:id="88" w:name="_Toc242721924"/>
      <w:r w:rsidRPr="00DC491A">
        <w:rPr>
          <w:sz w:val="24"/>
          <w:szCs w:val="20"/>
          <w:lang w:val="es-ES"/>
        </w:rPr>
        <w:t>10.1</w:t>
      </w:r>
      <w:r w:rsidR="009F5B98">
        <w:rPr>
          <w:sz w:val="24"/>
          <w:szCs w:val="20"/>
          <w:lang w:val="es-ES"/>
        </w:rPr>
        <w:t>3</w:t>
      </w:r>
      <w:r w:rsidRPr="00DC491A">
        <w:rPr>
          <w:sz w:val="24"/>
          <w:szCs w:val="20"/>
          <w:lang w:val="es-ES"/>
        </w:rPr>
        <w:t>. Del denominador macro al contrato del cliente</w:t>
      </w:r>
      <w:bookmarkEnd w:id="88"/>
    </w:p>
    <w:p w14:paraId="79B5F271" w14:textId="77777777" w:rsidR="00FA297C" w:rsidRDefault="00DA12E4">
      <w:pPr>
        <w:pStyle w:val="MDPARThesisBody"/>
        <w:rPr>
          <w:lang w:val="es-ES"/>
        </w:rPr>
      </w:pPr>
      <w:r w:rsidRPr="0054053C">
        <w:rPr>
          <w:lang w:val="es-ES"/>
        </w:rPr>
        <w:t>La escala industrial sirve para detectar materialidad; el contrato comercial debe partir del gasto o pérdida del cliente que sí puede auditarse. La «base anual» no debe ser el presupuesto completo de TI, sino únicamente la fracción vinculada a responsabilidades que MDPAR pueda gobernar y para las que exista un contrafactual medible. Las bases de 10 millones, 100 millones y 1.000 millones de dólares empleadas en la tabla son denominadores ilustrativos, no tamaños de cliente observados; los importes de cada columna se obtienen multiplicando esas bases por las tres envolventes de 0,2625%, 2,625% y 11,7% definidas en 10.1</w:t>
      </w:r>
      <w:r w:rsidR="00BC3B37">
        <w:rPr>
          <w:lang w:val="es-ES"/>
        </w:rPr>
        <w:t>2</w:t>
      </w:r>
      <w:r w:rsidRPr="0054053C">
        <w:rPr>
          <w:lang w:val="es-ES"/>
        </w:rPr>
        <w:t>.</w:t>
      </w:r>
    </w:p>
    <w:p w14:paraId="5422C1A6" w14:textId="77777777" w:rsidR="00E306B6" w:rsidRPr="009E2FF4" w:rsidRDefault="00E306B6">
      <w:pPr>
        <w:pStyle w:val="MDPARThesisBody"/>
        <w:rPr>
          <w:lang w:val="es-ES"/>
        </w:rPr>
      </w:pPr>
    </w:p>
    <w:tbl>
      <w:tblPr>
        <w:tblStyle w:val="Tablanormal2"/>
        <w:tblW w:w="0" w:type="auto"/>
        <w:tblLook w:val="04A0" w:firstRow="1" w:lastRow="0" w:firstColumn="1" w:lastColumn="0" w:noHBand="0" w:noVBand="1"/>
      </w:tblPr>
      <w:tblGrid>
        <w:gridCol w:w="2943"/>
        <w:gridCol w:w="2268"/>
        <w:gridCol w:w="1701"/>
        <w:gridCol w:w="1876"/>
      </w:tblGrid>
      <w:tr w:rsidR="00FA297C" w:rsidRPr="00E306B6" w14:paraId="6E847EA6"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546BED06" w14:textId="77777777" w:rsidR="006E0390" w:rsidRPr="00E306B6" w:rsidRDefault="005C5E48" w:rsidP="0054053C">
            <w:pPr>
              <w:spacing w:line="240" w:lineRule="auto"/>
              <w:rPr>
                <w:sz w:val="16"/>
                <w:szCs w:val="16"/>
                <w:lang w:val="es-ES"/>
              </w:rPr>
            </w:pPr>
            <w:r w:rsidRPr="00E306B6">
              <w:rPr>
                <w:sz w:val="16"/>
                <w:szCs w:val="16"/>
                <w:lang w:val="es-ES"/>
              </w:rPr>
              <w:t>Base anual ilustrativa del cliente</w:t>
            </w:r>
          </w:p>
        </w:tc>
        <w:tc>
          <w:tcPr>
            <w:tcW w:w="2268" w:type="dxa"/>
          </w:tcPr>
          <w:p w14:paraId="4B70D25A"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Conservador 0,2625%</w:t>
            </w:r>
          </w:p>
        </w:tc>
        <w:tc>
          <w:tcPr>
            <w:tcW w:w="1701" w:type="dxa"/>
          </w:tcPr>
          <w:p w14:paraId="42429200"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Central 2,625%</w:t>
            </w:r>
          </w:p>
        </w:tc>
        <w:tc>
          <w:tcPr>
            <w:tcW w:w="1876" w:type="dxa"/>
          </w:tcPr>
          <w:p w14:paraId="0EE7D289"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Expansivo 11,7%</w:t>
            </w:r>
          </w:p>
        </w:tc>
      </w:tr>
      <w:tr w:rsidR="00FA297C" w:rsidRPr="00E306B6" w14:paraId="216F9EDC"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BFB9EF0" w14:textId="77777777" w:rsidR="00FA297C" w:rsidRPr="00E306B6" w:rsidRDefault="00DA12E4" w:rsidP="0054053C">
            <w:pPr>
              <w:spacing w:line="240" w:lineRule="auto"/>
              <w:rPr>
                <w:sz w:val="16"/>
                <w:szCs w:val="16"/>
              </w:rPr>
            </w:pPr>
            <w:r w:rsidRPr="00E306B6">
              <w:rPr>
                <w:sz w:val="16"/>
                <w:szCs w:val="16"/>
              </w:rPr>
              <w:t>$10M</w:t>
            </w:r>
          </w:p>
        </w:tc>
        <w:tc>
          <w:tcPr>
            <w:tcW w:w="2268" w:type="dxa"/>
          </w:tcPr>
          <w:p w14:paraId="2F0D481D"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$26.250</w:t>
            </w:r>
          </w:p>
        </w:tc>
        <w:tc>
          <w:tcPr>
            <w:tcW w:w="1701" w:type="dxa"/>
          </w:tcPr>
          <w:p w14:paraId="2B943BCE"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$262.500</w:t>
            </w:r>
          </w:p>
        </w:tc>
        <w:tc>
          <w:tcPr>
            <w:tcW w:w="1876" w:type="dxa"/>
          </w:tcPr>
          <w:p w14:paraId="70C71B4F"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$1,17M</w:t>
            </w:r>
          </w:p>
        </w:tc>
      </w:tr>
      <w:tr w:rsidR="00FA297C" w:rsidRPr="00E306B6" w14:paraId="2AA47607" w14:textId="77777777" w:rsidTr="00E306B6">
        <w:tc>
          <w:tcPr>
            <w:cnfStyle w:val="001000000000" w:firstRow="0" w:lastRow="0" w:firstColumn="1" w:lastColumn="0" w:oddVBand="0" w:evenVBand="0" w:oddHBand="0" w:evenHBand="0" w:firstRowFirstColumn="0" w:firstRowLastColumn="0" w:lastRowFirstColumn="0" w:lastRowLastColumn="0"/>
            <w:tcW w:w="2943" w:type="dxa"/>
          </w:tcPr>
          <w:p w14:paraId="522E2CD2" w14:textId="77777777" w:rsidR="00FA297C" w:rsidRPr="00E306B6" w:rsidRDefault="00DA12E4" w:rsidP="0054053C">
            <w:pPr>
              <w:spacing w:line="240" w:lineRule="auto"/>
              <w:rPr>
                <w:sz w:val="16"/>
                <w:szCs w:val="16"/>
              </w:rPr>
            </w:pPr>
            <w:r w:rsidRPr="00E306B6">
              <w:rPr>
                <w:sz w:val="16"/>
                <w:szCs w:val="16"/>
              </w:rPr>
              <w:t>$100M</w:t>
            </w:r>
          </w:p>
        </w:tc>
        <w:tc>
          <w:tcPr>
            <w:tcW w:w="2268" w:type="dxa"/>
          </w:tcPr>
          <w:p w14:paraId="507A5865"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$262.500</w:t>
            </w:r>
          </w:p>
        </w:tc>
        <w:tc>
          <w:tcPr>
            <w:tcW w:w="1701" w:type="dxa"/>
          </w:tcPr>
          <w:p w14:paraId="009DE7F2"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$2,625M</w:t>
            </w:r>
          </w:p>
        </w:tc>
        <w:tc>
          <w:tcPr>
            <w:tcW w:w="1876" w:type="dxa"/>
          </w:tcPr>
          <w:p w14:paraId="44D7ECCE"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$11,7M</w:t>
            </w:r>
          </w:p>
        </w:tc>
      </w:tr>
      <w:tr w:rsidR="00FA297C" w:rsidRPr="00E306B6" w14:paraId="68A4E93B"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250ABA9" w14:textId="77777777" w:rsidR="00FA297C" w:rsidRPr="00E306B6" w:rsidRDefault="00DA12E4" w:rsidP="0054053C">
            <w:pPr>
              <w:spacing w:line="240" w:lineRule="auto"/>
              <w:rPr>
                <w:sz w:val="16"/>
                <w:szCs w:val="16"/>
              </w:rPr>
            </w:pPr>
            <w:r w:rsidRPr="00E306B6">
              <w:rPr>
                <w:sz w:val="16"/>
                <w:szCs w:val="16"/>
              </w:rPr>
              <w:t>$1B</w:t>
            </w:r>
          </w:p>
        </w:tc>
        <w:tc>
          <w:tcPr>
            <w:tcW w:w="2268" w:type="dxa"/>
          </w:tcPr>
          <w:p w14:paraId="6BD61FF3"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$2,625M</w:t>
            </w:r>
          </w:p>
        </w:tc>
        <w:tc>
          <w:tcPr>
            <w:tcW w:w="1701" w:type="dxa"/>
          </w:tcPr>
          <w:p w14:paraId="109497E8"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$26,25M</w:t>
            </w:r>
          </w:p>
        </w:tc>
        <w:tc>
          <w:tcPr>
            <w:tcW w:w="1876" w:type="dxa"/>
          </w:tcPr>
          <w:p w14:paraId="2F94559B"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$117M</w:t>
            </w:r>
          </w:p>
        </w:tc>
      </w:tr>
    </w:tbl>
    <w:p w14:paraId="1994790B" w14:textId="77777777" w:rsidR="00A35FAC" w:rsidRPr="00DC491A" w:rsidRDefault="00A35FAC" w:rsidP="00DC491A">
      <w:pPr>
        <w:pStyle w:val="MDPARProfileH1"/>
        <w:spacing w:before="0" w:after="0" w:line="360" w:lineRule="auto"/>
        <w:jc w:val="both"/>
        <w:rPr>
          <w:sz w:val="24"/>
          <w:szCs w:val="20"/>
        </w:rPr>
      </w:pPr>
    </w:p>
    <w:p w14:paraId="6FF45117" w14:textId="77777777" w:rsidR="00FA297C" w:rsidRPr="00DC491A" w:rsidRDefault="00DA12E4" w:rsidP="00DC491A">
      <w:pPr>
        <w:pStyle w:val="MDPARProfileH1"/>
        <w:spacing w:before="0" w:after="0" w:line="360" w:lineRule="auto"/>
        <w:ind w:firstLine="709"/>
        <w:jc w:val="both"/>
        <w:outlineLvl w:val="1"/>
        <w:rPr>
          <w:sz w:val="24"/>
          <w:szCs w:val="20"/>
          <w:lang w:val="es-ES"/>
        </w:rPr>
      </w:pPr>
      <w:bookmarkStart w:id="89" w:name="_Toc242721925"/>
      <w:r w:rsidRPr="00DC491A">
        <w:rPr>
          <w:sz w:val="24"/>
          <w:szCs w:val="20"/>
          <w:lang w:val="es-ES"/>
        </w:rPr>
        <w:t>10.1</w:t>
      </w:r>
      <w:r w:rsidR="00BC3B37">
        <w:rPr>
          <w:sz w:val="24"/>
          <w:szCs w:val="20"/>
          <w:lang w:val="es-ES"/>
        </w:rPr>
        <w:t>4</w:t>
      </w:r>
      <w:r w:rsidRPr="00DC491A">
        <w:rPr>
          <w:sz w:val="24"/>
          <w:szCs w:val="20"/>
          <w:lang w:val="es-ES"/>
        </w:rPr>
        <w:t>. Pricing basado en valor verificado</w:t>
      </w:r>
      <w:bookmarkEnd w:id="89"/>
    </w:p>
    <w:p w14:paraId="0AD7E51B" w14:textId="77777777" w:rsidR="00FA297C" w:rsidRPr="009E2FF4" w:rsidRDefault="00DA12E4">
      <w:pPr>
        <w:pStyle w:val="MDPARThesisBody"/>
        <w:rPr>
          <w:lang w:val="es-ES"/>
        </w:rPr>
      </w:pPr>
      <w:r w:rsidRPr="0054053C">
        <w:rPr>
          <w:lang w:val="es-ES"/>
        </w:rPr>
        <w:t xml:space="preserve">No existe evidencia para fijar una valoración corporativa ni un precio universal del software. Puede definirse, sin embargo, una regla algebraica de negociación: P = </w:t>
      </w:r>
      <w:r>
        <w:t>α</w:t>
      </w:r>
      <w:r w:rsidRPr="0054053C">
        <w:rPr>
          <w:lang w:val="es-ES"/>
        </w:rPr>
        <w:t xml:space="preserve">B, donde B es el beneficio anual verificado por el propio cliente y </w:t>
      </w:r>
      <w:r>
        <w:t>α</w:t>
      </w:r>
      <w:r w:rsidRPr="0054053C">
        <w:rPr>
          <w:lang w:val="es-ES"/>
        </w:rPr>
        <w:t xml:space="preserve"> la fracción de ese beneficio capturada por la licencia o servicio. La tabla utiliza </w:t>
      </w:r>
      <w:r>
        <w:t>α</w:t>
      </w:r>
      <w:r w:rsidRPr="0054053C">
        <w:rPr>
          <w:lang w:val="es-ES"/>
        </w:rPr>
        <w:t xml:space="preserve">=10% y </w:t>
      </w:r>
      <w:r>
        <w:t>α</w:t>
      </w:r>
      <w:r w:rsidRPr="0054053C">
        <w:rPr>
          <w:lang w:val="es-ES"/>
        </w:rPr>
        <w:t xml:space="preserve">=20% únicamente como extremos ilustrativos para mostrar cómo funciona la regla; no se presentan como </w:t>
      </w:r>
      <w:r w:rsidRPr="0054053C">
        <w:rPr>
          <w:lang w:val="es-ES"/>
        </w:rPr>
        <w:lastRenderedPageBreak/>
        <w:t xml:space="preserve">benchmark de mercado ni como recomendación de pricing. Hasta disponer de contratos comparables, disposición a pagar y evidencia de renovación, </w:t>
      </w:r>
      <w:r>
        <w:t>α</w:t>
      </w:r>
      <w:r w:rsidRPr="0054053C">
        <w:rPr>
          <w:lang w:val="es-ES"/>
        </w:rPr>
        <w:t xml:space="preserve"> debe tratarse como variable comercial a negociar, no como parámetro científicamente estimado.</w:t>
      </w:r>
    </w:p>
    <w:p w14:paraId="177CF921" w14:textId="77777777" w:rsidR="00FA297C" w:rsidRDefault="00DA12E4">
      <w:pPr>
        <w:pStyle w:val="MDPARThesisBody"/>
        <w:rPr>
          <w:lang w:val="es-ES"/>
        </w:rPr>
      </w:pPr>
      <w:r w:rsidRPr="009E2FF4">
        <w:rPr>
          <w:lang w:val="es-ES"/>
        </w:rPr>
        <w:t>Esta regla evita valorar MDPAR por LOC, horas de programación o reventa de tokens. El objeto vendido sería assurance, control cognitivo, despliegue, reducción de riesgo o reasignación de recursos; el precio debe vincularse al efecto que pueda demostrarse en el workload del comprador.</w:t>
      </w:r>
    </w:p>
    <w:p w14:paraId="306E22EF" w14:textId="77777777" w:rsidR="0077634B" w:rsidRPr="00A92DF0" w:rsidRDefault="00502BDB">
      <w:pPr>
        <w:pStyle w:val="MDPARThesisBody"/>
        <w:rPr>
          <w:lang w:val="es-ES"/>
        </w:rPr>
      </w:pPr>
      <w:r w:rsidRPr="00A92DF0">
        <w:rPr>
          <w:lang w:val="es-ES"/>
        </w:rPr>
        <w:t>Para servicios de invariancia lingüística, B debería derivarse del coste y calidad comparados de reconstrucción, reconciliación y revisión multilingüe en el workload del cliente. Para servicios de aseguramiento estructural frente a transformaciones adversarias, B requeriría un modelo de amenaza definido y medidas contrastadas de detección, falsas alarmas, esfuerzo de revisión e impacto operativo. La misma discrepancia no debe contabilizarse simultáneamente como ahorro de traducción, ahorro de auditoría y pérdida evitada sin una regla causal de atribución.</w:t>
      </w:r>
    </w:p>
    <w:p w14:paraId="0C3EEA4B" w14:textId="77777777" w:rsidR="00E306B6" w:rsidRPr="009E2FF4" w:rsidRDefault="00E306B6">
      <w:pPr>
        <w:pStyle w:val="MDPARThesisBody"/>
        <w:rPr>
          <w:lang w:val="es-ES"/>
        </w:rPr>
      </w:pPr>
    </w:p>
    <w:tbl>
      <w:tblPr>
        <w:tblStyle w:val="Tablanormal2"/>
        <w:tblW w:w="0" w:type="auto"/>
        <w:tblLook w:val="04A0" w:firstRow="1" w:lastRow="0" w:firstColumn="1" w:lastColumn="0" w:noHBand="0" w:noVBand="1"/>
      </w:tblPr>
      <w:tblGrid>
        <w:gridCol w:w="3227"/>
        <w:gridCol w:w="2551"/>
        <w:gridCol w:w="1418"/>
        <w:gridCol w:w="1592"/>
      </w:tblGrid>
      <w:tr w:rsidR="00FA297C" w:rsidRPr="00E306B6" w14:paraId="44101F52"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64AEECF3" w14:textId="77777777" w:rsidR="00FA297C" w:rsidRPr="00E306B6" w:rsidRDefault="00DA12E4" w:rsidP="0054053C">
            <w:pPr>
              <w:spacing w:line="240" w:lineRule="auto"/>
              <w:rPr>
                <w:sz w:val="16"/>
                <w:szCs w:val="16"/>
              </w:rPr>
            </w:pPr>
            <w:r w:rsidRPr="00E306B6">
              <w:rPr>
                <w:sz w:val="16"/>
                <w:szCs w:val="16"/>
              </w:rPr>
              <w:t>Caso</w:t>
            </w:r>
          </w:p>
        </w:tc>
        <w:tc>
          <w:tcPr>
            <w:tcW w:w="2551" w:type="dxa"/>
          </w:tcPr>
          <w:p w14:paraId="25C51ED7" w14:textId="77777777" w:rsidR="00FA297C" w:rsidRPr="00E306B6" w:rsidRDefault="00DA12E4"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Beneficio anual verificado</w:t>
            </w:r>
          </w:p>
        </w:tc>
        <w:tc>
          <w:tcPr>
            <w:tcW w:w="1418" w:type="dxa"/>
          </w:tcPr>
          <w:p w14:paraId="163CDB8D" w14:textId="77777777" w:rsidR="006E0390" w:rsidRPr="00E306B6" w:rsidRDefault="005C5E48"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P=0,10B</w:t>
            </w:r>
          </w:p>
        </w:tc>
        <w:tc>
          <w:tcPr>
            <w:tcW w:w="1592" w:type="dxa"/>
          </w:tcPr>
          <w:p w14:paraId="37BF619A" w14:textId="77777777" w:rsidR="006E0390" w:rsidRPr="00E306B6" w:rsidRDefault="005C5E48" w:rsidP="0054053C">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E306B6">
              <w:rPr>
                <w:sz w:val="16"/>
                <w:szCs w:val="16"/>
              </w:rPr>
              <w:t>P=0,20B</w:t>
            </w:r>
          </w:p>
        </w:tc>
      </w:tr>
      <w:tr w:rsidR="00FA297C" w:rsidRPr="00E306B6" w14:paraId="183F3068"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398E667B" w14:textId="77777777" w:rsidR="00FA297C" w:rsidRPr="00E306B6" w:rsidRDefault="00DA12E4" w:rsidP="0054053C">
            <w:pPr>
              <w:spacing w:line="240" w:lineRule="auto"/>
              <w:rPr>
                <w:sz w:val="16"/>
                <w:szCs w:val="16"/>
              </w:rPr>
            </w:pPr>
            <w:r w:rsidRPr="00E306B6">
              <w:rPr>
                <w:sz w:val="16"/>
                <w:szCs w:val="16"/>
              </w:rPr>
              <w:t>Cliente $100M · escenario central</w:t>
            </w:r>
          </w:p>
        </w:tc>
        <w:tc>
          <w:tcPr>
            <w:tcW w:w="2551" w:type="dxa"/>
          </w:tcPr>
          <w:p w14:paraId="26FE406C"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$2,625M</w:t>
            </w:r>
          </w:p>
        </w:tc>
        <w:tc>
          <w:tcPr>
            <w:tcW w:w="1418" w:type="dxa"/>
          </w:tcPr>
          <w:p w14:paraId="02FA2A82"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$262.500</w:t>
            </w:r>
          </w:p>
        </w:tc>
        <w:tc>
          <w:tcPr>
            <w:tcW w:w="1592" w:type="dxa"/>
          </w:tcPr>
          <w:p w14:paraId="523D6457"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$525.000</w:t>
            </w:r>
          </w:p>
        </w:tc>
      </w:tr>
      <w:tr w:rsidR="00FA297C" w:rsidRPr="00E306B6" w14:paraId="3B6BB69F" w14:textId="77777777" w:rsidTr="00E306B6">
        <w:tc>
          <w:tcPr>
            <w:cnfStyle w:val="001000000000" w:firstRow="0" w:lastRow="0" w:firstColumn="1" w:lastColumn="0" w:oddVBand="0" w:evenVBand="0" w:oddHBand="0" w:evenHBand="0" w:firstRowFirstColumn="0" w:firstRowLastColumn="0" w:lastRowFirstColumn="0" w:lastRowLastColumn="0"/>
            <w:tcW w:w="3227" w:type="dxa"/>
          </w:tcPr>
          <w:p w14:paraId="4B30C53F" w14:textId="77777777" w:rsidR="00FA297C" w:rsidRPr="00E306B6" w:rsidRDefault="00DA12E4" w:rsidP="0054053C">
            <w:pPr>
              <w:spacing w:line="240" w:lineRule="auto"/>
              <w:rPr>
                <w:sz w:val="16"/>
                <w:szCs w:val="16"/>
              </w:rPr>
            </w:pPr>
            <w:r w:rsidRPr="00E306B6">
              <w:rPr>
                <w:sz w:val="16"/>
                <w:szCs w:val="16"/>
              </w:rPr>
              <w:t>Cliente $1B · escenario central</w:t>
            </w:r>
          </w:p>
        </w:tc>
        <w:tc>
          <w:tcPr>
            <w:tcW w:w="2551" w:type="dxa"/>
          </w:tcPr>
          <w:p w14:paraId="290BD5F5"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$26,25M</w:t>
            </w:r>
          </w:p>
        </w:tc>
        <w:tc>
          <w:tcPr>
            <w:tcW w:w="1418" w:type="dxa"/>
          </w:tcPr>
          <w:p w14:paraId="461BEA33"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$2,625M</w:t>
            </w:r>
          </w:p>
        </w:tc>
        <w:tc>
          <w:tcPr>
            <w:tcW w:w="1592" w:type="dxa"/>
          </w:tcPr>
          <w:p w14:paraId="37F48A55" w14:textId="77777777" w:rsidR="00FA297C" w:rsidRPr="00E306B6" w:rsidRDefault="00DA12E4" w:rsidP="0054053C">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E306B6">
              <w:rPr>
                <w:sz w:val="16"/>
                <w:szCs w:val="16"/>
              </w:rPr>
              <w:t>$5,25M</w:t>
            </w:r>
          </w:p>
        </w:tc>
      </w:tr>
      <w:tr w:rsidR="00FA297C" w:rsidRPr="00E306B6" w14:paraId="559DC5F8"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2E49C023" w14:textId="77777777" w:rsidR="00FA297C" w:rsidRPr="00E306B6" w:rsidRDefault="00DA12E4" w:rsidP="0054053C">
            <w:pPr>
              <w:spacing w:line="240" w:lineRule="auto"/>
              <w:rPr>
                <w:sz w:val="16"/>
                <w:szCs w:val="16"/>
                <w:lang w:val="es-ES"/>
              </w:rPr>
            </w:pPr>
            <w:r w:rsidRPr="00E306B6">
              <w:rPr>
                <w:sz w:val="16"/>
                <w:szCs w:val="16"/>
                <w:lang w:val="es-ES"/>
              </w:rPr>
              <w:t>10 clientes de $1B con efecto central</w:t>
            </w:r>
          </w:p>
        </w:tc>
        <w:tc>
          <w:tcPr>
            <w:tcW w:w="2551" w:type="dxa"/>
          </w:tcPr>
          <w:p w14:paraId="5E5CD867"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$262,5M agregado</w:t>
            </w:r>
          </w:p>
        </w:tc>
        <w:tc>
          <w:tcPr>
            <w:tcW w:w="1418" w:type="dxa"/>
          </w:tcPr>
          <w:p w14:paraId="2AE6D185"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$26,25M ARR</w:t>
            </w:r>
          </w:p>
        </w:tc>
        <w:tc>
          <w:tcPr>
            <w:tcW w:w="1592" w:type="dxa"/>
          </w:tcPr>
          <w:p w14:paraId="74009695" w14:textId="77777777" w:rsidR="00FA297C" w:rsidRPr="00E306B6" w:rsidRDefault="00DA12E4" w:rsidP="0054053C">
            <w:pPr>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E306B6">
              <w:rPr>
                <w:sz w:val="16"/>
                <w:szCs w:val="16"/>
              </w:rPr>
              <w:t>$52,5M ARR</w:t>
            </w:r>
          </w:p>
        </w:tc>
      </w:tr>
    </w:tbl>
    <w:p w14:paraId="20C08E0B" w14:textId="77777777" w:rsidR="00A35FAC" w:rsidRPr="00DC491A" w:rsidRDefault="00A35FAC" w:rsidP="00DC491A">
      <w:pPr>
        <w:pStyle w:val="MDPARProfileH1"/>
        <w:spacing w:before="0" w:after="0" w:line="360" w:lineRule="auto"/>
        <w:jc w:val="both"/>
        <w:rPr>
          <w:sz w:val="24"/>
          <w:szCs w:val="20"/>
          <w:lang w:val="es-ES"/>
        </w:rPr>
      </w:pPr>
    </w:p>
    <w:p w14:paraId="1615F266" w14:textId="77777777" w:rsidR="00FA297C" w:rsidRPr="00DC491A" w:rsidRDefault="00DA12E4" w:rsidP="00DC491A">
      <w:pPr>
        <w:pStyle w:val="MDPARProfileH1"/>
        <w:spacing w:before="0" w:after="0" w:line="360" w:lineRule="auto"/>
        <w:ind w:firstLine="709"/>
        <w:jc w:val="both"/>
        <w:outlineLvl w:val="1"/>
        <w:rPr>
          <w:sz w:val="24"/>
          <w:szCs w:val="20"/>
          <w:lang w:val="es-ES"/>
        </w:rPr>
      </w:pPr>
      <w:bookmarkStart w:id="90" w:name="_Toc242721926"/>
      <w:r w:rsidRPr="00DC491A">
        <w:rPr>
          <w:sz w:val="24"/>
          <w:szCs w:val="20"/>
          <w:lang w:val="es-ES"/>
        </w:rPr>
        <w:t>10.1</w:t>
      </w:r>
      <w:r w:rsidR="00BC3B37">
        <w:rPr>
          <w:sz w:val="24"/>
          <w:szCs w:val="20"/>
          <w:lang w:val="es-ES"/>
        </w:rPr>
        <w:t>5</w:t>
      </w:r>
      <w:r w:rsidRPr="00DC491A">
        <w:rPr>
          <w:sz w:val="24"/>
          <w:szCs w:val="20"/>
          <w:lang w:val="es-ES"/>
        </w:rPr>
        <w:t>. Cognitive ownership: alquilar semántica sin alquilar el sistema cognitivo</w:t>
      </w:r>
      <w:bookmarkEnd w:id="90"/>
    </w:p>
    <w:p w14:paraId="6300E195" w14:textId="77777777" w:rsidR="00FA297C" w:rsidRPr="009E2FF4" w:rsidRDefault="00DA12E4">
      <w:pPr>
        <w:pStyle w:val="MDPARThesisBody"/>
        <w:rPr>
          <w:lang w:val="es-ES"/>
        </w:rPr>
      </w:pPr>
      <w:r w:rsidRPr="009E2FF4">
        <w:rPr>
          <w:lang w:val="es-ES"/>
        </w:rPr>
        <w:t>Semantic capability y cognitive ownership no son equivalentes. Un proveedor frontier, un modelo local, un reasoner simbólico o un planner pueden suministrar capacidad sin poseer necesariamente estado estructural longitudinal, routing, procedencia, estado epistémico o autoridad de acción.</w:t>
      </w:r>
    </w:p>
    <w:p w14:paraId="33DB099D" w14:textId="77777777" w:rsidR="00DC491A" w:rsidRDefault="00CF06A1">
      <w:pPr>
        <w:pStyle w:val="MDPARThesisBody"/>
        <w:rPr>
          <w:lang w:val="es-ES"/>
        </w:rPr>
      </w:pPr>
      <w:r w:rsidRPr="00CF06A1">
        <w:rPr>
          <w:lang w:val="es-ES"/>
        </w:rPr>
        <w:t>Esta separación modifica</w:t>
      </w:r>
      <w:r>
        <w:rPr>
          <w:lang w:val="es-ES"/>
        </w:rPr>
        <w:t xml:space="preserve">, por tanto, </w:t>
      </w:r>
      <w:r w:rsidRPr="00CF06A1">
        <w:rPr>
          <w:lang w:val="es-ES"/>
        </w:rPr>
        <w:t>la estructura contractual de adquisición tecnológica. Una empresa puede contratar interpretación semántica, razonamiento especializado o capacidad computacional sin transferir necesariamente al proveedor la representación longitudinal de sus procesos, la procedencia de sus decisiones o sus políticas de autorización. El valor corporativo no se limita, por tanto, a facilitar cambios de proveedor: consiste en conservar bajo control propio un activo cognitivo acumulativo, cuya continuidad puede mantenerse mientras evolucionan los recursos que participan en él.</w:t>
      </w:r>
    </w:p>
    <w:p w14:paraId="750CA8DE" w14:textId="77777777" w:rsidR="00CF06A1" w:rsidRPr="00CF06A1" w:rsidRDefault="00CF06A1">
      <w:pPr>
        <w:pStyle w:val="MDPARThesisBody"/>
        <w:rPr>
          <w:lang w:val="es-ES"/>
        </w:rPr>
      </w:pPr>
    </w:p>
    <w:p w14:paraId="01B74EE1" w14:textId="77777777" w:rsidR="00FA297C" w:rsidRPr="00DC491A" w:rsidRDefault="00DA12E4" w:rsidP="00DC491A">
      <w:pPr>
        <w:pStyle w:val="MDPARProfileCallout"/>
        <w:spacing w:before="0" w:after="0" w:line="360" w:lineRule="auto"/>
        <w:jc w:val="both"/>
        <w:rPr>
          <w:sz w:val="20"/>
          <w:szCs w:val="18"/>
          <w:lang w:val="es-ES"/>
        </w:rPr>
      </w:pPr>
      <w:r w:rsidRPr="00DC491A">
        <w:rPr>
          <w:sz w:val="20"/>
          <w:szCs w:val="18"/>
          <w:lang w:val="es-ES"/>
        </w:rPr>
        <w:t>La semántica puede comprarse. El estado, la continuidad, la procedencia y la autoridad no tienen por qué comprarse con ella.</w:t>
      </w:r>
    </w:p>
    <w:p w14:paraId="7059B586" w14:textId="77777777" w:rsidR="00A35FAC" w:rsidRPr="00DC491A" w:rsidRDefault="00A35FAC" w:rsidP="00DC491A">
      <w:pPr>
        <w:pStyle w:val="MDPARProfileH1"/>
        <w:spacing w:before="0" w:after="0" w:line="360" w:lineRule="auto"/>
        <w:jc w:val="both"/>
        <w:rPr>
          <w:sz w:val="24"/>
          <w:szCs w:val="20"/>
          <w:lang w:val="es-ES"/>
        </w:rPr>
      </w:pPr>
    </w:p>
    <w:p w14:paraId="3C95C0D4" w14:textId="77777777" w:rsidR="00FA297C" w:rsidRPr="00DC491A" w:rsidRDefault="00DA12E4" w:rsidP="00DC491A">
      <w:pPr>
        <w:pStyle w:val="MDPARProfileH1"/>
        <w:spacing w:before="0" w:after="0" w:line="360" w:lineRule="auto"/>
        <w:ind w:firstLine="709"/>
        <w:jc w:val="both"/>
        <w:outlineLvl w:val="1"/>
        <w:rPr>
          <w:sz w:val="24"/>
          <w:szCs w:val="20"/>
          <w:lang w:val="es-ES"/>
        </w:rPr>
      </w:pPr>
      <w:bookmarkStart w:id="91" w:name="_Toc242721927"/>
      <w:r w:rsidRPr="00DC491A">
        <w:rPr>
          <w:sz w:val="24"/>
          <w:szCs w:val="20"/>
          <w:lang w:val="es-ES"/>
        </w:rPr>
        <w:t>10.1</w:t>
      </w:r>
      <w:r w:rsidR="00BC3B37">
        <w:rPr>
          <w:sz w:val="24"/>
          <w:szCs w:val="20"/>
          <w:lang w:val="es-ES"/>
        </w:rPr>
        <w:t>6</w:t>
      </w:r>
      <w:r w:rsidRPr="00DC491A">
        <w:rPr>
          <w:sz w:val="24"/>
          <w:szCs w:val="20"/>
          <w:lang w:val="es-ES"/>
        </w:rPr>
        <w:t>. Mantenimiento: la economía todavía pendiente de medir</w:t>
      </w:r>
      <w:bookmarkEnd w:id="91"/>
    </w:p>
    <w:p w14:paraId="58136C31" w14:textId="77777777" w:rsidR="0077634B" w:rsidRPr="00BC3B37" w:rsidRDefault="00502BDB" w:rsidP="00BC3B37">
      <w:pPr>
        <w:pStyle w:val="MDPARProfileH1"/>
        <w:spacing w:before="0" w:after="0" w:line="360" w:lineRule="auto"/>
        <w:ind w:firstLine="709"/>
        <w:jc w:val="both"/>
        <w:rPr>
          <w:b w:val="0"/>
          <w:bCs/>
          <w:sz w:val="24"/>
          <w:szCs w:val="20"/>
          <w:lang w:val="es-ES"/>
        </w:rPr>
      </w:pPr>
      <w:r w:rsidRPr="00BC3B37">
        <w:rPr>
          <w:b w:val="0"/>
          <w:bCs/>
          <w:sz w:val="24"/>
          <w:szCs w:val="20"/>
          <w:lang w:val="es-ES"/>
        </w:rPr>
        <w:t>La extensión multilingüe introduce costes de actualización de observadores, corpus de contraste, contratos y testigos del Atlas. La aplicación en ciberseguridad añade mantenimiento del modelo de amenaza, controles negativos, revisión de falsos positivos y actualización de políticas de autoridad. Su eventual ventaja de mantenimiento debe calcularse neta de esas obligaciones, no presumirse por la reutilización del formalismo.</w:t>
      </w:r>
    </w:p>
    <w:p w14:paraId="7C2A7235" w14:textId="77777777" w:rsidR="00FA297C" w:rsidRPr="009E2FF4" w:rsidRDefault="00DA12E4">
      <w:pPr>
        <w:pStyle w:val="MDPARThesisBody"/>
        <w:rPr>
          <w:lang w:val="es-ES"/>
        </w:rPr>
      </w:pPr>
      <w:r w:rsidRPr="009E2FF4">
        <w:rPr>
          <w:lang w:val="es-ES"/>
        </w:rPr>
        <w:t>Una arquitectura LLM-centric tiende a repartir routing, retries, memoria, verificación, deadlines y recovery entre productos y proveedores. MDPAR propone centralizar una parte de esa matriz en contratos estructurales y de autoridad. El beneficio potencial sería reducir la superficie que debe reescribirse y revalidarse cuando cambia el proveedor.</w:t>
      </w:r>
    </w:p>
    <w:p w14:paraId="036C565D" w14:textId="77777777" w:rsidR="00BC3B37" w:rsidRDefault="00DA12E4" w:rsidP="00BC3B37">
      <w:pPr>
        <w:pStyle w:val="MDPARThesisBody"/>
        <w:rPr>
          <w:lang w:val="es-ES"/>
        </w:rPr>
      </w:pPr>
      <w:r w:rsidRPr="009E2FF4">
        <w:rPr>
          <w:lang w:val="es-ES"/>
        </w:rPr>
        <w:t>Esta dimensión M todavía no dispone de una medición equivalente a C9. El experimento comercial correcto sería una migración real de proveedor sobre varias aplicaciones, registrando horas de ingeniería, LOC modificadas, tests re</w:t>
      </w:r>
      <w:r w:rsidR="00DC491A">
        <w:rPr>
          <w:lang w:val="es-ES"/>
        </w:rPr>
        <w:t>-</w:t>
      </w:r>
      <w:r w:rsidRPr="009E2FF4">
        <w:rPr>
          <w:lang w:val="es-ES"/>
        </w:rPr>
        <w:t>ejecutados, regresiones, tiempo hasta recuperar Q y reglas duplicadas antes y después. Hasta entonces, el mantenimiento es una hipótesis económica instrumentable, no un ahorro demostrado.</w:t>
      </w:r>
    </w:p>
    <w:p w14:paraId="6E39F20B" w14:textId="77777777" w:rsidR="0077634B" w:rsidRDefault="00502BDB" w:rsidP="00BC3B37">
      <w:pPr>
        <w:pStyle w:val="MDPARThesisBody"/>
        <w:rPr>
          <w:szCs w:val="20"/>
          <w:lang w:val="es-ES"/>
        </w:rPr>
      </w:pPr>
      <w:r w:rsidRPr="00BC3B37">
        <w:rPr>
          <w:szCs w:val="20"/>
          <w:lang w:val="es-ES"/>
        </w:rPr>
        <w:t>En invariancia lingüística, la diligencia técnica debe distinguir los contratos formales disponibles de su cobertura efectiva en pares de lenguas y fenómenos lingüísticos; una coincidencia textual exacta no es el criterio general de éxito de C4. En ciberseguridad, debe exigir escenarios adversariales, propiedades protegidas, criterios de admisibilidad, testigos verificables y medidas de detección y error. La tesis económica puede presentar ambos como capacidades formalmente habilitadas y líneas de explotación; la prestación contractual concreta dependerá de las pruebas que respalden cada alcance.</w:t>
      </w:r>
    </w:p>
    <w:p w14:paraId="40077C0B" w14:textId="77777777" w:rsidR="00BC3B37" w:rsidRDefault="00BC3B37" w:rsidP="00BC3B37">
      <w:pPr>
        <w:pStyle w:val="MDPARThesisBody"/>
        <w:rPr>
          <w:szCs w:val="20"/>
          <w:lang w:val="es-ES"/>
        </w:rPr>
      </w:pPr>
    </w:p>
    <w:p w14:paraId="7A2E8922" w14:textId="77777777" w:rsidR="00BC3B37" w:rsidRPr="00BC3B37" w:rsidRDefault="00BC3B37" w:rsidP="00BC3B37">
      <w:pPr>
        <w:pStyle w:val="MDPARProfileH1"/>
        <w:spacing w:before="0" w:after="0" w:line="360" w:lineRule="auto"/>
        <w:ind w:firstLine="709"/>
        <w:jc w:val="both"/>
        <w:outlineLvl w:val="1"/>
        <w:rPr>
          <w:sz w:val="24"/>
          <w:szCs w:val="20"/>
          <w:lang w:val="es-ES"/>
        </w:rPr>
      </w:pPr>
      <w:bookmarkStart w:id="92" w:name="_Toc242721928"/>
      <w:r w:rsidRPr="00DC491A">
        <w:rPr>
          <w:sz w:val="24"/>
          <w:szCs w:val="20"/>
          <w:lang w:val="es-ES"/>
        </w:rPr>
        <w:t>10.1</w:t>
      </w:r>
      <w:r>
        <w:rPr>
          <w:sz w:val="24"/>
          <w:szCs w:val="20"/>
          <w:lang w:val="es-ES"/>
        </w:rPr>
        <w:t>7</w:t>
      </w:r>
      <w:r w:rsidRPr="00DC491A">
        <w:rPr>
          <w:sz w:val="24"/>
          <w:szCs w:val="20"/>
          <w:lang w:val="es-ES"/>
        </w:rPr>
        <w:t xml:space="preserve">. </w:t>
      </w:r>
      <w:r>
        <w:rPr>
          <w:sz w:val="24"/>
          <w:szCs w:val="20"/>
          <w:lang w:val="es-ES"/>
        </w:rPr>
        <w:t>Qué puede sostenerse ante una due diligence</w:t>
      </w:r>
      <w:bookmarkEnd w:id="92"/>
    </w:p>
    <w:p w14:paraId="664FE711" w14:textId="77777777" w:rsidR="00CF06A1" w:rsidRPr="00CF06A1" w:rsidRDefault="00CF06A1" w:rsidP="00CF06A1">
      <w:pPr>
        <w:pStyle w:val="MDPARThesisBody"/>
        <w:rPr>
          <w:lang w:val="es-ES"/>
        </w:rPr>
      </w:pPr>
      <w:r w:rsidRPr="00CF06A1">
        <w:rPr>
          <w:lang w:val="es-ES"/>
        </w:rPr>
        <w:t>Una due diligence de MDPAR debe examinar por separado la titularidad y consistencia de su formalismo, la realización ejecutable de sus responsabilidades, la evidencia experimental congelada y las condiciones económicas de su explotación. Esta separación permite evaluar la arquitectura como activo tecnológico sin reducir su valor a una comparación puntual de tokens ni atribuir a los resultados experimentales importes monetarios que no miden directamente.</w:t>
      </w:r>
    </w:p>
    <w:p w14:paraId="226071FC" w14:textId="77777777" w:rsidR="00CF06A1" w:rsidRPr="00CF06A1" w:rsidRDefault="00CF06A1" w:rsidP="00CF06A1">
      <w:pPr>
        <w:pStyle w:val="MDPARThesisBody"/>
        <w:rPr>
          <w:lang w:val="es-ES"/>
        </w:rPr>
      </w:pPr>
      <w:r w:rsidRPr="00770DB8">
        <w:rPr>
          <w:lang w:val="es-ES"/>
        </w:rPr>
        <w:t xml:space="preserve">El SCC constituye el objeto formal; MDPAR 2.3.0, su realización computacional; y las campañas FROZEN C0–C12, la evidencia experimental interna disponible. La </w:t>
      </w:r>
      <w:r w:rsidRPr="00770DB8">
        <w:rPr>
          <w:lang w:val="es-ES"/>
        </w:rPr>
        <w:lastRenderedPageBreak/>
        <w:t>valoración económica debe separar resultados medidos, derivaciones reproducibles y escenarios sujetos a hipótesis.</w:t>
      </w:r>
    </w:p>
    <w:p w14:paraId="69019F38" w14:textId="77777777" w:rsidR="00A35FAC" w:rsidRDefault="00CF06A1" w:rsidP="00072858">
      <w:pPr>
        <w:pStyle w:val="MDPARThesisBody"/>
        <w:rPr>
          <w:lang w:val="es-ES"/>
        </w:rPr>
      </w:pPr>
      <w:r w:rsidRPr="00CF06A1">
        <w:rPr>
          <w:lang w:val="es-ES"/>
        </w:rPr>
        <w:t>La cuestión comercial es determinar cuánto valor puede capturarse mediante la explotación de esas propiedades en una organización concreta, sin confundir la validación técnica del activo con el precio al que se comercializa.</w:t>
      </w:r>
    </w:p>
    <w:p w14:paraId="7E461CE7" w14:textId="77777777" w:rsidR="009A4E4F" w:rsidRDefault="009A4E4F" w:rsidP="00072858">
      <w:pPr>
        <w:pStyle w:val="MDPARThesisBody"/>
        <w:rPr>
          <w:lang w:val="es-ES"/>
        </w:rPr>
      </w:pPr>
    </w:p>
    <w:tbl>
      <w:tblPr>
        <w:tblStyle w:val="Tablanormal2"/>
        <w:tblW w:w="0" w:type="auto"/>
        <w:tblLook w:val="04A0" w:firstRow="1" w:lastRow="0" w:firstColumn="1" w:lastColumn="0" w:noHBand="0" w:noVBand="1"/>
      </w:tblPr>
      <w:tblGrid>
        <w:gridCol w:w="2217"/>
        <w:gridCol w:w="2260"/>
        <w:gridCol w:w="2272"/>
        <w:gridCol w:w="2255"/>
      </w:tblGrid>
      <w:tr w:rsidR="009A4E4F" w14:paraId="0DC844FA" w14:textId="77777777" w:rsidTr="00BC3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7" w:type="dxa"/>
          </w:tcPr>
          <w:p w14:paraId="62CFC9E5" w14:textId="77777777" w:rsidR="009A4E4F" w:rsidRDefault="009A4E4F" w:rsidP="009A4E4F">
            <w:pPr>
              <w:spacing w:line="240" w:lineRule="auto"/>
            </w:pPr>
            <w:r>
              <w:rPr>
                <w:sz w:val="16"/>
              </w:rPr>
              <w:t>Dimensión</w:t>
            </w:r>
          </w:p>
        </w:tc>
        <w:tc>
          <w:tcPr>
            <w:tcW w:w="2260" w:type="dxa"/>
          </w:tcPr>
          <w:p w14:paraId="58813952" w14:textId="77777777" w:rsidR="009A4E4F" w:rsidRDefault="009A4E4F" w:rsidP="009A4E4F">
            <w:pPr>
              <w:spacing w:line="240" w:lineRule="auto"/>
              <w:cnfStyle w:val="100000000000" w:firstRow="1" w:lastRow="0" w:firstColumn="0" w:lastColumn="0" w:oddVBand="0" w:evenVBand="0" w:oddHBand="0" w:evenHBand="0" w:firstRowFirstColumn="0" w:firstRowLastColumn="0" w:lastRowFirstColumn="0" w:lastRowLastColumn="0"/>
            </w:pPr>
            <w:r>
              <w:rPr>
                <w:sz w:val="16"/>
              </w:rPr>
              <w:t>Objeto verificable</w:t>
            </w:r>
          </w:p>
        </w:tc>
        <w:tc>
          <w:tcPr>
            <w:tcW w:w="2272" w:type="dxa"/>
          </w:tcPr>
          <w:p w14:paraId="7080E48A" w14:textId="77777777" w:rsidR="009A4E4F" w:rsidRDefault="009A4E4F" w:rsidP="009A4E4F">
            <w:pPr>
              <w:spacing w:line="240" w:lineRule="auto"/>
              <w:cnfStyle w:val="100000000000" w:firstRow="1" w:lastRow="0" w:firstColumn="0" w:lastColumn="0" w:oddVBand="0" w:evenVBand="0" w:oddHBand="0" w:evenHBand="0" w:firstRowFirstColumn="0" w:firstRowLastColumn="0" w:lastRowFirstColumn="0" w:lastRowLastColumn="0"/>
            </w:pPr>
            <w:r>
              <w:rPr>
                <w:sz w:val="16"/>
              </w:rPr>
              <w:t>Afirmación autorizada</w:t>
            </w:r>
          </w:p>
        </w:tc>
        <w:tc>
          <w:tcPr>
            <w:tcW w:w="2255" w:type="dxa"/>
          </w:tcPr>
          <w:p w14:paraId="1BCC759A" w14:textId="77777777" w:rsidR="009A4E4F" w:rsidRDefault="009A4E4F" w:rsidP="009A4E4F">
            <w:pPr>
              <w:spacing w:line="240" w:lineRule="auto"/>
              <w:cnfStyle w:val="100000000000" w:firstRow="1" w:lastRow="0" w:firstColumn="0" w:lastColumn="0" w:oddVBand="0" w:evenVBand="0" w:oddHBand="0" w:evenHBand="0" w:firstRowFirstColumn="0" w:firstRowLastColumn="0" w:lastRowFirstColumn="0" w:lastRowLastColumn="0"/>
            </w:pPr>
            <w:r>
              <w:rPr>
                <w:sz w:val="16"/>
              </w:rPr>
              <w:t>Condición o límite</w:t>
            </w:r>
          </w:p>
        </w:tc>
      </w:tr>
      <w:tr w:rsidR="009A4E4F" w:rsidRPr="002F4F30" w14:paraId="57FE4B4B" w14:textId="77777777" w:rsidTr="00BC3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7" w:type="dxa"/>
          </w:tcPr>
          <w:p w14:paraId="570AEEDB" w14:textId="77777777" w:rsidR="009A4E4F" w:rsidRDefault="009A4E4F" w:rsidP="009A4E4F">
            <w:pPr>
              <w:spacing w:line="240" w:lineRule="auto"/>
            </w:pPr>
            <w:r>
              <w:rPr>
                <w:sz w:val="16"/>
              </w:rPr>
              <w:t>Titularidad y alcance formal</w:t>
            </w:r>
          </w:p>
        </w:tc>
        <w:tc>
          <w:tcPr>
            <w:tcW w:w="2260" w:type="dxa"/>
          </w:tcPr>
          <w:p w14:paraId="597A1EB3" w14:textId="77777777" w:rsidR="009A4E4F" w:rsidRPr="002B7FB5"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2B7FB5">
              <w:rPr>
                <w:sz w:val="16"/>
                <w:lang w:val="es-ES"/>
              </w:rPr>
              <w:t>Texto del SCC, definiciones, pruebas, versión y atribución de autoría.</w:t>
            </w:r>
          </w:p>
        </w:tc>
        <w:tc>
          <w:tcPr>
            <w:tcW w:w="2272" w:type="dxa"/>
          </w:tcPr>
          <w:p w14:paraId="3CF89C62" w14:textId="77777777" w:rsidR="009A4E4F" w:rsidRPr="002B7FB5"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2B7FB5">
              <w:rPr>
                <w:sz w:val="16"/>
                <w:lang w:val="es-ES"/>
              </w:rPr>
              <w:t>Existe una propuesta formal explícita con propiedades y condiciones declaradas.</w:t>
            </w:r>
          </w:p>
        </w:tc>
        <w:tc>
          <w:tcPr>
            <w:tcW w:w="2255" w:type="dxa"/>
          </w:tcPr>
          <w:p w14:paraId="28942FE6" w14:textId="77777777" w:rsidR="009A4E4F" w:rsidRPr="002B7FB5"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2B7FB5">
              <w:rPr>
                <w:sz w:val="16"/>
                <w:lang w:val="es-ES"/>
              </w:rPr>
              <w:t>La autoría declarada y el texto no sustituyen una revisión de originalidad ni asesoramiento jurídico de propiedad intelectual.</w:t>
            </w:r>
          </w:p>
        </w:tc>
      </w:tr>
      <w:tr w:rsidR="009A4E4F" w:rsidRPr="002F4F30" w14:paraId="496D84DA" w14:textId="77777777" w:rsidTr="00BC3B37">
        <w:tc>
          <w:tcPr>
            <w:cnfStyle w:val="001000000000" w:firstRow="0" w:lastRow="0" w:firstColumn="1" w:lastColumn="0" w:oddVBand="0" w:evenVBand="0" w:oddHBand="0" w:evenHBand="0" w:firstRowFirstColumn="0" w:firstRowLastColumn="0" w:lastRowFirstColumn="0" w:lastRowLastColumn="0"/>
            <w:tcW w:w="2217" w:type="dxa"/>
          </w:tcPr>
          <w:p w14:paraId="519B53B0" w14:textId="77777777" w:rsidR="009A4E4F" w:rsidRDefault="009A4E4F" w:rsidP="009A4E4F">
            <w:pPr>
              <w:spacing w:line="240" w:lineRule="auto"/>
            </w:pPr>
            <w:r>
              <w:rPr>
                <w:sz w:val="16"/>
              </w:rPr>
              <w:t>Realización ejecutable</w:t>
            </w:r>
          </w:p>
        </w:tc>
        <w:tc>
          <w:tcPr>
            <w:tcW w:w="2260" w:type="dxa"/>
          </w:tcPr>
          <w:p w14:paraId="4EE65FCD" w14:textId="77777777" w:rsidR="009A4E4F" w:rsidRPr="002B7FB5"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2B7FB5">
              <w:rPr>
                <w:sz w:val="16"/>
                <w:lang w:val="es-ES"/>
              </w:rPr>
              <w:t>Código MDPAR 2.3.0, contratos, tests, versiones y correspondencia formal-código.</w:t>
            </w:r>
          </w:p>
        </w:tc>
        <w:tc>
          <w:tcPr>
            <w:tcW w:w="2272" w:type="dxa"/>
          </w:tcPr>
          <w:p w14:paraId="76F625A5" w14:textId="77777777" w:rsidR="009A4E4F" w:rsidRPr="002B7FB5"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2B7FB5">
              <w:rPr>
                <w:sz w:val="16"/>
                <w:lang w:val="es-ES"/>
              </w:rPr>
              <w:t>Las responsabilidades descritas cuentan con una implementación inspeccionable.</w:t>
            </w:r>
          </w:p>
        </w:tc>
        <w:tc>
          <w:tcPr>
            <w:tcW w:w="2255" w:type="dxa"/>
          </w:tcPr>
          <w:p w14:paraId="5C0F138A" w14:textId="77777777" w:rsidR="009A4E4F" w:rsidRPr="002B7FB5"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2B7FB5">
              <w:rPr>
                <w:sz w:val="16"/>
                <w:lang w:val="es-ES"/>
              </w:rPr>
              <w:t>La existencia del código no demuestra por sí sola corrección completa ni validez externa.</w:t>
            </w:r>
          </w:p>
        </w:tc>
      </w:tr>
      <w:tr w:rsidR="009A4E4F" w:rsidRPr="002F4F30" w14:paraId="700CDE34" w14:textId="77777777" w:rsidTr="00BC3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7" w:type="dxa"/>
          </w:tcPr>
          <w:p w14:paraId="098E725F" w14:textId="77777777" w:rsidR="009A4E4F" w:rsidRDefault="009A4E4F" w:rsidP="009A4E4F">
            <w:pPr>
              <w:spacing w:line="240" w:lineRule="auto"/>
            </w:pPr>
            <w:r>
              <w:rPr>
                <w:sz w:val="16"/>
              </w:rPr>
              <w:t>Validez experimental</w:t>
            </w:r>
          </w:p>
        </w:tc>
        <w:tc>
          <w:tcPr>
            <w:tcW w:w="2260" w:type="dxa"/>
          </w:tcPr>
          <w:p w14:paraId="38C64B74" w14:textId="77777777" w:rsidR="009A4E4F" w:rsidRPr="002B7FB5"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2B7FB5">
              <w:rPr>
                <w:sz w:val="16"/>
                <w:lang w:val="es-ES"/>
              </w:rPr>
              <w:t>Anexo A C0–C12, protocolos congelados, records, manifiestos y hashes del evidence store.</w:t>
            </w:r>
          </w:p>
        </w:tc>
        <w:tc>
          <w:tcPr>
            <w:tcW w:w="2272" w:type="dxa"/>
          </w:tcPr>
          <w:p w14:paraId="2A4969AC" w14:textId="77777777" w:rsidR="009A4E4F" w:rsidRPr="002B7FB5"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2B7FB5">
              <w:rPr>
                <w:sz w:val="16"/>
                <w:lang w:val="es-ES"/>
              </w:rPr>
              <w:t>Conformidad y fallos observados dentro de los corpus y contratos ejecutados.</w:t>
            </w:r>
          </w:p>
        </w:tc>
        <w:tc>
          <w:tcPr>
            <w:tcW w:w="2255" w:type="dxa"/>
          </w:tcPr>
          <w:p w14:paraId="5D67BEBA" w14:textId="77777777" w:rsidR="009A4E4F" w:rsidRPr="002B7FB5"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2B7FB5">
              <w:rPr>
                <w:sz w:val="16"/>
                <w:lang w:val="es-ES"/>
              </w:rPr>
              <w:t>Reproducción independiente, generalización y resultados adversos deben examinarse por separado.</w:t>
            </w:r>
          </w:p>
        </w:tc>
      </w:tr>
      <w:tr w:rsidR="009A4E4F" w:rsidRPr="002F4F30" w14:paraId="77920009" w14:textId="77777777" w:rsidTr="00BC3B37">
        <w:tc>
          <w:tcPr>
            <w:cnfStyle w:val="001000000000" w:firstRow="0" w:lastRow="0" w:firstColumn="1" w:lastColumn="0" w:oddVBand="0" w:evenVBand="0" w:oddHBand="0" w:evenHBand="0" w:firstRowFirstColumn="0" w:firstRowLastColumn="0" w:lastRowFirstColumn="0" w:lastRowLastColumn="0"/>
            <w:tcW w:w="2217" w:type="dxa"/>
          </w:tcPr>
          <w:p w14:paraId="38B55BAA" w14:textId="77777777" w:rsidR="009A4E4F" w:rsidRDefault="009A4E4F" w:rsidP="009A4E4F">
            <w:pPr>
              <w:spacing w:line="240" w:lineRule="auto"/>
            </w:pPr>
            <w:r>
              <w:rPr>
                <w:sz w:val="16"/>
              </w:rPr>
              <w:t>Gobernanza y autoridad</w:t>
            </w:r>
          </w:p>
        </w:tc>
        <w:tc>
          <w:tcPr>
            <w:tcW w:w="2260" w:type="dxa"/>
          </w:tcPr>
          <w:p w14:paraId="208A5C74" w14:textId="77777777" w:rsidR="009A4E4F"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pPr>
            <w:r>
              <w:rPr>
                <w:sz w:val="16"/>
              </w:rPr>
              <w:t>Contratos de routing, ownership, vigencia temporal, CLOSED/OPEN y recuperación.</w:t>
            </w:r>
          </w:p>
        </w:tc>
        <w:tc>
          <w:tcPr>
            <w:tcW w:w="2272" w:type="dxa"/>
          </w:tcPr>
          <w:p w14:paraId="7709A3DB" w14:textId="77777777" w:rsidR="009A4E4F" w:rsidRPr="002B7FB5"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2B7FB5">
              <w:rPr>
                <w:sz w:val="16"/>
                <w:lang w:val="es-ES"/>
              </w:rPr>
              <w:t>La arquitectura separa aportación de capacidad, estado y autoridad bajo contratos ensayados.</w:t>
            </w:r>
          </w:p>
        </w:tc>
        <w:tc>
          <w:tcPr>
            <w:tcW w:w="2255" w:type="dxa"/>
          </w:tcPr>
          <w:p w14:paraId="47E000F8" w14:textId="77777777" w:rsidR="009A4E4F" w:rsidRPr="002B7FB5"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2B7FB5">
              <w:rPr>
                <w:sz w:val="16"/>
                <w:lang w:val="es-ES"/>
              </w:rPr>
              <w:t>No equivale a certificación regulatoria ni garantiza seguridad de cualquier despliegue.</w:t>
            </w:r>
          </w:p>
        </w:tc>
      </w:tr>
      <w:tr w:rsidR="009A4E4F" w:rsidRPr="002F4F30" w14:paraId="77B22689" w14:textId="77777777" w:rsidTr="00BC3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7" w:type="dxa"/>
          </w:tcPr>
          <w:p w14:paraId="37184039" w14:textId="77777777" w:rsidR="009A4E4F" w:rsidRDefault="009A4E4F" w:rsidP="009A4E4F">
            <w:pPr>
              <w:spacing w:line="240" w:lineRule="auto"/>
            </w:pPr>
            <w:r>
              <w:rPr>
                <w:sz w:val="16"/>
              </w:rPr>
              <w:t>Economía de ejecución</w:t>
            </w:r>
          </w:p>
        </w:tc>
        <w:tc>
          <w:tcPr>
            <w:tcW w:w="2260" w:type="dxa"/>
          </w:tcPr>
          <w:p w14:paraId="3864945D" w14:textId="77777777" w:rsidR="009A4E4F"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pPr>
            <w:r>
              <w:rPr>
                <w:sz w:val="16"/>
              </w:rPr>
              <w:t>Ledger C/T/I/M/Q; tokens, solicitudes, wall time, tarifas aplicadas y perfiles de hardware.</w:t>
            </w:r>
          </w:p>
        </w:tc>
        <w:tc>
          <w:tcPr>
            <w:tcW w:w="2272" w:type="dxa"/>
          </w:tcPr>
          <w:p w14:paraId="059C7C78" w14:textId="77777777" w:rsidR="009A4E4F" w:rsidRPr="002B7FB5"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2B7FB5">
              <w:rPr>
                <w:sz w:val="16"/>
                <w:lang w:val="es-ES"/>
              </w:rPr>
              <w:t>Pueden reconstruirse costes y trade-offs de las ejecuciones con metrología suficiente.</w:t>
            </w:r>
          </w:p>
        </w:tc>
        <w:tc>
          <w:tcPr>
            <w:tcW w:w="2255" w:type="dxa"/>
          </w:tcPr>
          <w:p w14:paraId="5F5FC269" w14:textId="77777777" w:rsidR="009A4E4F" w:rsidRPr="002B7FB5" w:rsidRDefault="009A4E4F" w:rsidP="009A4E4F">
            <w:pPr>
              <w:spacing w:line="240" w:lineRule="auto"/>
              <w:cnfStyle w:val="000000100000" w:firstRow="0" w:lastRow="0" w:firstColumn="0" w:lastColumn="0" w:oddVBand="0" w:evenVBand="0" w:oddHBand="1" w:evenHBand="0" w:firstRowFirstColumn="0" w:firstRowLastColumn="0" w:lastRowFirstColumn="0" w:lastRowLastColumn="0"/>
              <w:rPr>
                <w:lang w:val="es-ES"/>
              </w:rPr>
            </w:pPr>
            <w:r w:rsidRPr="002B7FB5">
              <w:rPr>
                <w:sz w:val="16"/>
                <w:lang w:val="es-ES"/>
              </w:rPr>
              <w:t>Distinguir coste medido, coste derivado, escenario, calidad y costes excluidos.</w:t>
            </w:r>
          </w:p>
        </w:tc>
      </w:tr>
      <w:tr w:rsidR="009A4E4F" w:rsidRPr="002F4F30" w14:paraId="6DC2CC57" w14:textId="77777777" w:rsidTr="00BC3B37">
        <w:tc>
          <w:tcPr>
            <w:cnfStyle w:val="001000000000" w:firstRow="0" w:lastRow="0" w:firstColumn="1" w:lastColumn="0" w:oddVBand="0" w:evenVBand="0" w:oddHBand="0" w:evenHBand="0" w:firstRowFirstColumn="0" w:firstRowLastColumn="0" w:lastRowFirstColumn="0" w:lastRowLastColumn="0"/>
            <w:tcW w:w="2217" w:type="dxa"/>
          </w:tcPr>
          <w:p w14:paraId="087D414C" w14:textId="77777777" w:rsidR="009A4E4F" w:rsidRDefault="009A4E4F" w:rsidP="009A4E4F">
            <w:pPr>
              <w:spacing w:line="240" w:lineRule="auto"/>
            </w:pPr>
            <w:r>
              <w:rPr>
                <w:sz w:val="16"/>
              </w:rPr>
              <w:t>Integración y explotación</w:t>
            </w:r>
          </w:p>
        </w:tc>
        <w:tc>
          <w:tcPr>
            <w:tcW w:w="2260" w:type="dxa"/>
          </w:tcPr>
          <w:p w14:paraId="483EA6E6" w14:textId="77777777" w:rsidR="009A4E4F" w:rsidRPr="002B7FB5"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2B7FB5">
              <w:rPr>
                <w:sz w:val="16"/>
                <w:lang w:val="es-ES"/>
              </w:rPr>
              <w:t>Caso de uso, costes de integración, mantenimiento, licencias, SLA y validación del cliente.</w:t>
            </w:r>
          </w:p>
        </w:tc>
        <w:tc>
          <w:tcPr>
            <w:tcW w:w="2272" w:type="dxa"/>
          </w:tcPr>
          <w:p w14:paraId="2695986D" w14:textId="77777777" w:rsidR="009A4E4F" w:rsidRPr="002B7FB5"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2B7FB5">
              <w:rPr>
                <w:sz w:val="16"/>
                <w:lang w:val="es-ES"/>
              </w:rPr>
              <w:t>Puede estimarse el valor comercial bajo supuestos explícitos y auditables.</w:t>
            </w:r>
          </w:p>
        </w:tc>
        <w:tc>
          <w:tcPr>
            <w:tcW w:w="2255" w:type="dxa"/>
          </w:tcPr>
          <w:p w14:paraId="54056364" w14:textId="77777777" w:rsidR="009A4E4F" w:rsidRPr="002B7FB5" w:rsidRDefault="009A4E4F" w:rsidP="009A4E4F">
            <w:pPr>
              <w:spacing w:line="240" w:lineRule="auto"/>
              <w:cnfStyle w:val="000000000000" w:firstRow="0" w:lastRow="0" w:firstColumn="0" w:lastColumn="0" w:oddVBand="0" w:evenVBand="0" w:oddHBand="0" w:evenHBand="0" w:firstRowFirstColumn="0" w:firstRowLastColumn="0" w:lastRowFirstColumn="0" w:lastRowLastColumn="0"/>
              <w:rPr>
                <w:lang w:val="es-ES"/>
              </w:rPr>
            </w:pPr>
            <w:r w:rsidRPr="002B7FB5">
              <w:rPr>
                <w:sz w:val="16"/>
                <w:lang w:val="es-ES"/>
              </w:rPr>
              <w:t>No inferir ROI, reducción universal de dependencia ni pricing validado a partir de benchmarks internos.</w:t>
            </w:r>
          </w:p>
        </w:tc>
      </w:tr>
    </w:tbl>
    <w:p w14:paraId="65261DB7" w14:textId="77777777" w:rsidR="009A4E4F" w:rsidRPr="00072858" w:rsidRDefault="009A4E4F" w:rsidP="00072858">
      <w:pPr>
        <w:pStyle w:val="MDPARThesisBody"/>
        <w:rPr>
          <w:lang w:val="es-ES"/>
        </w:rPr>
      </w:pPr>
    </w:p>
    <w:p w14:paraId="024ED5EB" w14:textId="77777777" w:rsidR="00BC3B37" w:rsidRPr="00BC3B37" w:rsidRDefault="00BC3B37" w:rsidP="00BC3B37">
      <w:pPr>
        <w:pStyle w:val="MDPARProfileH1"/>
        <w:spacing w:before="0" w:after="0" w:line="360" w:lineRule="auto"/>
        <w:ind w:firstLine="709"/>
        <w:jc w:val="both"/>
        <w:outlineLvl w:val="1"/>
        <w:rPr>
          <w:sz w:val="24"/>
          <w:szCs w:val="20"/>
          <w:lang w:val="es-ES"/>
        </w:rPr>
      </w:pPr>
      <w:bookmarkStart w:id="93" w:name="_Toc242721929"/>
      <w:r w:rsidRPr="00DC491A">
        <w:rPr>
          <w:sz w:val="24"/>
          <w:szCs w:val="20"/>
          <w:lang w:val="es-ES"/>
        </w:rPr>
        <w:t>10.1</w:t>
      </w:r>
      <w:r>
        <w:rPr>
          <w:sz w:val="24"/>
          <w:szCs w:val="20"/>
          <w:lang w:val="es-ES"/>
        </w:rPr>
        <w:t>8</w:t>
      </w:r>
      <w:r w:rsidRPr="00DC491A">
        <w:rPr>
          <w:sz w:val="24"/>
          <w:szCs w:val="20"/>
          <w:lang w:val="es-ES"/>
        </w:rPr>
        <w:t xml:space="preserve">. </w:t>
      </w:r>
      <w:r>
        <w:rPr>
          <w:sz w:val="24"/>
          <w:szCs w:val="20"/>
          <w:lang w:val="es-ES"/>
        </w:rPr>
        <w:t>Perfil corporativo-comercial resultante</w:t>
      </w:r>
      <w:bookmarkEnd w:id="93"/>
    </w:p>
    <w:p w14:paraId="25714315" w14:textId="77777777" w:rsidR="00CF06A1" w:rsidRPr="00CF06A1" w:rsidRDefault="00CF06A1" w:rsidP="00CF06A1">
      <w:pPr>
        <w:pStyle w:val="MDPARThesisBody"/>
        <w:rPr>
          <w:lang w:val="es-ES"/>
        </w:rPr>
      </w:pPr>
      <w:r w:rsidRPr="00CF06A1">
        <w:rPr>
          <w:lang w:val="es-ES"/>
        </w:rPr>
        <w:t>MDPAR transforma la adquisición de inteligencia artificial en un problema de asignación y gobierno de responsabilidades cognitivas. Su activo económico principal es una infraestructura capaz de conservar estructura, continuidad, procedencia y autoridad mientras adquiere capacidad semántica de recursos heterogéneos. La empresa deja de depender de un único paquete tecnológico que concentre interpretación, estado y control, y puede administrar estas responsabilidades de forma diferenciada.</w:t>
      </w:r>
    </w:p>
    <w:p w14:paraId="052744A4" w14:textId="77777777" w:rsidR="00CF06A1" w:rsidRPr="00CF06A1" w:rsidRDefault="00CF06A1" w:rsidP="00CF06A1">
      <w:pPr>
        <w:pStyle w:val="MDPARThesisBody"/>
        <w:rPr>
          <w:lang w:val="es-ES"/>
        </w:rPr>
      </w:pPr>
      <w:r w:rsidRPr="00CF06A1">
        <w:rPr>
          <w:lang w:val="es-ES"/>
        </w:rPr>
        <w:t>Esta arquitectura genera superficies de valor complementarias: reasignación de computación, reducción del tiempo bloqueante, aprovechamiento de capacidades locales, continuidad operacional, conservación de autoridad y control del activo cognitivo propio. El ledger C, T, I, M y Q permite expresar dichas superficies sin confundirlas ni atribuir a una mejora parcial un beneficio económico total.</w:t>
      </w:r>
    </w:p>
    <w:p w14:paraId="4E81010C" w14:textId="77777777" w:rsidR="00CF06A1" w:rsidRPr="00CF06A1" w:rsidRDefault="00CF06A1" w:rsidP="00CF06A1">
      <w:pPr>
        <w:pStyle w:val="MDPARThesisBody"/>
        <w:rPr>
          <w:lang w:val="es-ES"/>
        </w:rPr>
      </w:pPr>
      <w:r w:rsidRPr="00CF06A1">
        <w:rPr>
          <w:lang w:val="es-ES"/>
        </w:rPr>
        <w:t xml:space="preserve">La explotación comercial puede adoptar diferentes formas —licenciamiento de infraestructura, integración, servicios de aseguramiento, despliegues especializados o contratos basados en valor verificado—, todas ellas vinculadas a una misma propiedad: la </w:t>
      </w:r>
      <w:r w:rsidRPr="00CF06A1">
        <w:rPr>
          <w:lang w:val="es-ES"/>
        </w:rPr>
        <w:lastRenderedPageBreak/>
        <w:t>capacidad de una organización para adquirir inteligencia sin tener que adquirir de nuevo la totalidad de su sistema cognitivo.</w:t>
      </w:r>
    </w:p>
    <w:p w14:paraId="46120F69" w14:textId="77777777" w:rsidR="00A35FAC" w:rsidRPr="009E2FF4" w:rsidRDefault="00A35FAC">
      <w:pPr>
        <w:pStyle w:val="MDPARThesisBody"/>
        <w:rPr>
          <w:lang w:val="es-ES"/>
        </w:rPr>
      </w:pPr>
    </w:p>
    <w:p w14:paraId="3DE6181F" w14:textId="77777777" w:rsidR="00FA297C" w:rsidRDefault="00DA12E4" w:rsidP="00A35FAC">
      <w:pPr>
        <w:pStyle w:val="MDPARProfileCallout"/>
        <w:spacing w:before="0" w:after="0" w:line="360" w:lineRule="auto"/>
        <w:jc w:val="both"/>
        <w:rPr>
          <w:sz w:val="20"/>
          <w:szCs w:val="18"/>
          <w:lang w:val="es-ES"/>
        </w:rPr>
      </w:pPr>
      <w:r w:rsidRPr="00A35FAC">
        <w:rPr>
          <w:sz w:val="20"/>
          <w:szCs w:val="18"/>
          <w:lang w:val="es-ES"/>
        </w:rPr>
        <w:t>MDPAR no necesita capturar una gran parte del mercado de IA para ser económicamente material. Necesita demostrar que una pequeña parte de la cognición cara, bloqueante o autoritativa puede reasignarse mejor.</w:t>
      </w:r>
    </w:p>
    <w:p w14:paraId="3F382318" w14:textId="77777777" w:rsidR="0054053C" w:rsidRPr="00A35FAC" w:rsidRDefault="0054053C" w:rsidP="00A35FAC">
      <w:pPr>
        <w:pStyle w:val="MDPARProfileCallout"/>
        <w:spacing w:before="0" w:after="0" w:line="360" w:lineRule="auto"/>
        <w:jc w:val="both"/>
        <w:rPr>
          <w:sz w:val="20"/>
          <w:szCs w:val="18"/>
          <w:lang w:val="es-ES"/>
        </w:rPr>
      </w:pPr>
    </w:p>
    <w:p w14:paraId="67A734A5" w14:textId="77777777" w:rsidR="000A2D71" w:rsidRDefault="00DA12E4" w:rsidP="00A35FAC">
      <w:pPr>
        <w:pStyle w:val="MDPARProfileCallout"/>
        <w:spacing w:before="0" w:after="0" w:line="360" w:lineRule="auto"/>
        <w:jc w:val="both"/>
        <w:rPr>
          <w:sz w:val="20"/>
          <w:szCs w:val="18"/>
          <w:lang w:val="es-ES"/>
        </w:rPr>
      </w:pPr>
      <w:r w:rsidRPr="00A35FAC">
        <w:rPr>
          <w:sz w:val="20"/>
          <w:szCs w:val="18"/>
          <w:lang w:val="es-ES"/>
        </w:rPr>
        <w:t>Nota de lectura. Las magnitudes macroeconómicas, energéticas, de hardware y de outage se utilizan como denominadores externos o escenarios de sensibilidad. No constituyen efectos causales observados de MDPAR. Las fuentes públicas y la evidencia experimental que sustentan estas magnitudes se mantienen diferenciadas en las referencias y en los Anexos.</w:t>
      </w:r>
    </w:p>
    <w:p w14:paraId="149B917C" w14:textId="77777777" w:rsidR="00FA297C" w:rsidRPr="000A2D71" w:rsidRDefault="00BC3B37" w:rsidP="000A2D71">
      <w:pPr>
        <w:spacing w:after="200" w:line="276" w:lineRule="auto"/>
        <w:rPr>
          <w:b/>
          <w:sz w:val="20"/>
          <w:szCs w:val="18"/>
          <w:lang w:val="es-ES"/>
        </w:rPr>
      </w:pPr>
      <w:r>
        <w:rPr>
          <w:b/>
          <w:sz w:val="20"/>
          <w:szCs w:val="18"/>
          <w:lang w:val="es-ES"/>
        </w:rPr>
        <w:br w:type="page"/>
      </w:r>
    </w:p>
    <w:p w14:paraId="2F28F8F8" w14:textId="77777777" w:rsidR="005504BC" w:rsidRPr="000A2D71" w:rsidRDefault="00F75757" w:rsidP="000A2D71">
      <w:pPr>
        <w:pStyle w:val="MDPARProfileH1"/>
        <w:spacing w:before="0" w:after="0" w:line="360" w:lineRule="auto"/>
        <w:jc w:val="both"/>
        <w:outlineLvl w:val="0"/>
        <w:rPr>
          <w:sz w:val="24"/>
          <w:szCs w:val="20"/>
          <w:lang w:val="es-ES"/>
        </w:rPr>
      </w:pPr>
      <w:bookmarkStart w:id="94" w:name="_Toc242721930"/>
      <w:r w:rsidRPr="000A2D71">
        <w:rPr>
          <w:sz w:val="24"/>
          <w:szCs w:val="20"/>
          <w:lang w:val="es-ES"/>
        </w:rPr>
        <w:lastRenderedPageBreak/>
        <w:t>Capítulo 11: perfil social de MDPAR</w:t>
      </w:r>
      <w:bookmarkEnd w:id="94"/>
    </w:p>
    <w:p w14:paraId="51E42167" w14:textId="77777777" w:rsidR="000A2D71" w:rsidRDefault="000A2D71">
      <w:pPr>
        <w:pStyle w:val="MDPARThesisBody"/>
        <w:rPr>
          <w:lang w:val="es-ES"/>
        </w:rPr>
      </w:pPr>
    </w:p>
    <w:p w14:paraId="37E2480E" w14:textId="77777777" w:rsidR="005504BC" w:rsidRDefault="00F75757">
      <w:pPr>
        <w:pStyle w:val="MDPARThesisBody"/>
        <w:rPr>
          <w:lang w:val="es-ES"/>
        </w:rPr>
      </w:pPr>
      <w:r w:rsidRPr="000A2D71">
        <w:rPr>
          <w:lang w:val="es-ES"/>
        </w:rPr>
        <w:t>El valor social de una arquitectura cognitiva no se mide únicamente por la capacidad de producir respuestas. En ámbitos donde una conclusión puede afectar derechos, recursos, decisiones profesionales o conocimiento público, importa también si puede reconstruirse qué entró en el sistema, qué fue observado, qué fue inferido, qué quedó sin examinar y quién conserva autoridad para decidir. La superficie operacional de MDPAR permite formular esa exigencia como un problema de arquitectura y no como una promesa de buena conducta del modelo.</w:t>
      </w:r>
    </w:p>
    <w:p w14:paraId="7EF3208B" w14:textId="77777777" w:rsidR="000A2D71" w:rsidRPr="000A2D71" w:rsidRDefault="000A2D71">
      <w:pPr>
        <w:pStyle w:val="MDPARThesisBody"/>
        <w:rPr>
          <w:lang w:val="es-ES"/>
        </w:rPr>
      </w:pPr>
    </w:p>
    <w:tbl>
      <w:tblPr>
        <w:tblW w:w="0" w:type="auto"/>
        <w:jc w:val="center"/>
        <w:tblLook w:val="04A0" w:firstRow="1" w:lastRow="0" w:firstColumn="1" w:lastColumn="0" w:noHBand="0" w:noVBand="1"/>
      </w:tblPr>
      <w:tblGrid>
        <w:gridCol w:w="8787"/>
      </w:tblGrid>
      <w:tr w:rsidR="005504BC" w:rsidRPr="002F4F30" w14:paraId="0409AFD6" w14:textId="77777777">
        <w:trPr>
          <w:cantSplit/>
          <w:jc w:val="center"/>
        </w:trPr>
        <w:tc>
          <w:tcPr>
            <w:tcW w:w="8787" w:type="dxa"/>
            <w:vAlign w:val="center"/>
          </w:tcPr>
          <w:p w14:paraId="50345E12" w14:textId="77777777" w:rsidR="005504BC" w:rsidRPr="000A2D71" w:rsidRDefault="00F75757" w:rsidP="000A2D71">
            <w:pPr>
              <w:pStyle w:val="MDPARProfileCallout"/>
              <w:spacing w:before="0" w:after="0" w:line="360" w:lineRule="auto"/>
              <w:jc w:val="both"/>
              <w:rPr>
                <w:lang w:val="es-ES"/>
              </w:rPr>
            </w:pPr>
            <w:r w:rsidRPr="000A2D71">
              <w:rPr>
                <w:sz w:val="20"/>
                <w:szCs w:val="18"/>
                <w:lang w:val="es-ES"/>
              </w:rPr>
              <w:t>MDPAR no pretende sustituir el juicio profesional. Su propuesta social consiste en reducir el coste de convertir lenguaje y evidencia heterogénea en una estructura pública, trazable y contestable sobre la que un profesional o una institución puedan ejercer su propia autoridad.</w:t>
            </w:r>
          </w:p>
        </w:tc>
      </w:tr>
    </w:tbl>
    <w:p w14:paraId="02AB4950" w14:textId="77777777" w:rsidR="000A2D71" w:rsidRDefault="000A2D71">
      <w:pPr>
        <w:pStyle w:val="MDPARProfileH2"/>
        <w:rPr>
          <w:lang w:val="es-ES"/>
        </w:rPr>
      </w:pPr>
    </w:p>
    <w:p w14:paraId="002827C1" w14:textId="77777777" w:rsidR="00DD108A" w:rsidRDefault="00F75757" w:rsidP="00DD108A">
      <w:pPr>
        <w:pStyle w:val="MDPARProfileH2"/>
        <w:spacing w:before="0" w:after="0" w:line="360" w:lineRule="auto"/>
        <w:ind w:firstLine="709"/>
        <w:outlineLvl w:val="1"/>
        <w:rPr>
          <w:lang w:val="es-ES"/>
        </w:rPr>
      </w:pPr>
      <w:bookmarkStart w:id="95" w:name="_Toc242721931"/>
      <w:r w:rsidRPr="000A2D71">
        <w:rPr>
          <w:lang w:val="es-ES"/>
        </w:rPr>
        <w:t>11.1. De una salida convincente a una inferencia discutible</w:t>
      </w:r>
      <w:bookmarkEnd w:id="95"/>
    </w:p>
    <w:p w14:paraId="1F89D89B" w14:textId="77777777" w:rsidR="00DD108A" w:rsidRPr="00DD108A" w:rsidRDefault="00DD108A" w:rsidP="00DD108A">
      <w:pPr>
        <w:pStyle w:val="MDPARThesisBody"/>
        <w:rPr>
          <w:lang w:val="es-ES"/>
        </w:rPr>
      </w:pPr>
      <w:r w:rsidRPr="00DD108A">
        <w:rPr>
          <w:lang w:val="es-ES"/>
        </w:rPr>
        <w:t>El lenguaje natural permite comprimir observaciones, atribuciones, explicaciones y conclusiones en una misma narración. Esta propiedad facilita la comunicación, pero también puede ocultar diferencias epistemológicas fundamentales: una explicación coherente no implica que todas sus transiciones estén igualmente sustentadas, del mismo modo que una atribución causal no constituye por sí misma corroboración de los hechos a los que se refiere.</w:t>
      </w:r>
    </w:p>
    <w:p w14:paraId="06477358" w14:textId="77777777" w:rsidR="00DD108A" w:rsidRPr="00DD108A" w:rsidRDefault="00DD108A" w:rsidP="00DD108A">
      <w:pPr>
        <w:pStyle w:val="MDPARThesisBody"/>
        <w:rPr>
          <w:lang w:val="es-ES"/>
        </w:rPr>
      </w:pPr>
      <w:r w:rsidRPr="00DD108A">
        <w:rPr>
          <w:lang w:val="es-ES"/>
        </w:rPr>
        <w:t>MDPAR modifica la unidad de análisis. En lugar de tratar el informe narrativo como fuente exclusiva de la interpretación, reconstruye un objeto estructural en el que las observaciones, las relaciones inferenciales, la incertidumbre, la procedencia y los límites de autoridad permanecen diferenciados. La expresión lingüística puede derivarse posteriormente de ese objeto sin sustituirlo.</w:t>
      </w:r>
    </w:p>
    <w:p w14:paraId="7E20B3A8" w14:textId="77777777" w:rsidR="00DD108A" w:rsidRPr="00DD108A" w:rsidRDefault="00DD108A" w:rsidP="00DD108A">
      <w:pPr>
        <w:pStyle w:val="MDPARThesisBody"/>
        <w:rPr>
          <w:lang w:val="es-ES"/>
        </w:rPr>
      </w:pPr>
      <w:r w:rsidRPr="00DD108A">
        <w:rPr>
          <w:lang w:val="es-ES"/>
        </w:rPr>
        <w:t>Su repercusión social consiste en hacer examinable la organización de una interpretación. Una afirmación puede localizarse, relacionarse con las observaciones que la preceden, contrastarse con nueva evidencia o permanecer abierta cuando la información disponible resulta insuficiente. La arquitectura no determina automáticamente la verdad de las proposiciones representadas: conserva las condiciones bajo las cuales pueden ser discutidas.</w:t>
      </w:r>
    </w:p>
    <w:p w14:paraId="4799392E" w14:textId="77777777" w:rsidR="000A2D71" w:rsidRPr="000A2D71" w:rsidRDefault="000A2D71" w:rsidP="00DD108A">
      <w:pPr>
        <w:pStyle w:val="MDPARThesisBody"/>
        <w:ind w:firstLine="0"/>
        <w:rPr>
          <w:lang w:val="es-ES"/>
        </w:rPr>
      </w:pPr>
    </w:p>
    <w:p w14:paraId="5C336B02" w14:textId="77777777" w:rsidR="00DD108A" w:rsidRDefault="00F75757" w:rsidP="007E61E6">
      <w:pPr>
        <w:pStyle w:val="MDPARProfileH2"/>
        <w:spacing w:before="0" w:after="0" w:line="360" w:lineRule="auto"/>
        <w:ind w:firstLine="709"/>
        <w:outlineLvl w:val="1"/>
        <w:rPr>
          <w:lang w:val="es-ES"/>
        </w:rPr>
      </w:pPr>
      <w:bookmarkStart w:id="96" w:name="_Toc242721932"/>
      <w:r w:rsidRPr="000A2D71">
        <w:rPr>
          <w:lang w:val="es-ES"/>
        </w:rPr>
        <w:lastRenderedPageBreak/>
        <w:t xml:space="preserve">11.2. El </w:t>
      </w:r>
      <w:r w:rsidR="00DD108A">
        <w:rPr>
          <w:lang w:val="es-ES"/>
        </w:rPr>
        <w:t>expediente auditable: evidencia, inferencia y calidad técnica</w:t>
      </w:r>
      <w:bookmarkEnd w:id="96"/>
    </w:p>
    <w:p w14:paraId="3B9D08A3" w14:textId="77777777" w:rsidR="007E61E6" w:rsidRPr="007E61E6" w:rsidRDefault="007E61E6" w:rsidP="007E61E6">
      <w:pPr>
        <w:pStyle w:val="MDPARThesisBody"/>
        <w:rPr>
          <w:lang w:val="es-ES"/>
        </w:rPr>
      </w:pPr>
      <w:r w:rsidRPr="007E61E6">
        <w:rPr>
          <w:lang w:val="es-ES"/>
        </w:rPr>
        <w:t>La superficie operacional de MDPAR permite transformar evidencia documental en una representación estructural reconstruible. La separación entre observación semántica, reconstrucción canónica, cálculo y autoridad impide que la disponibilidad de una capacidad neuronal le confiera automáticamente competencia para certificar los hechos descritos en una fuente.</w:t>
      </w:r>
    </w:p>
    <w:p w14:paraId="1261380C" w14:textId="77777777" w:rsidR="007E61E6" w:rsidRPr="007E61E6" w:rsidRDefault="007E61E6" w:rsidP="007E61E6">
      <w:pPr>
        <w:pStyle w:val="MDPARThesisBody"/>
        <w:rPr>
          <w:lang w:val="es-ES"/>
        </w:rPr>
      </w:pPr>
      <w:r w:rsidRPr="007E61E6">
        <w:rPr>
          <w:lang w:val="es-ES"/>
        </w:rPr>
        <w:t>El expediente resultante conserva las distinciones necesarias para reconstruir la ejecución, identificar sus dependencias y examinar sus límites. Su carácter público debe entenderse en sentido epistemológico: la estructura puede someterse a examen bajo las condiciones de acceso correspondientes, sin que ello implique divulgar indiscriminadamente la evidencia original.</w:t>
      </w:r>
    </w:p>
    <w:p w14:paraId="36AFEE3D" w14:textId="77777777" w:rsidR="007E61E6" w:rsidRPr="007E61E6" w:rsidRDefault="007E61E6" w:rsidP="007E61E6">
      <w:pPr>
        <w:pStyle w:val="MDPARThesisBody"/>
        <w:rPr>
          <w:lang w:val="es-ES"/>
        </w:rPr>
      </w:pPr>
      <w:r w:rsidRPr="007E61E6">
        <w:rPr>
          <w:lang w:val="es-ES"/>
        </w:rPr>
        <w:t>La calidad operacional del expediente puede evaluarse mediante las ocho propiedades técnicas definidas por MDPAR. Estas propiedades no constituyen una puntuación global ni una certificación jurídica; establecen criterios diferenciados para examinar la identidad de la evidencia, la reconstruibilidad de las operaciones, la procedencia y los límites del resultado. Su aplicación a una ejecución concreta exige verificar los artefactos y contratos correspondientes.</w:t>
      </w:r>
    </w:p>
    <w:p w14:paraId="165377C0" w14:textId="77777777" w:rsidR="007E61E6" w:rsidRDefault="007E61E6" w:rsidP="007E61E6">
      <w:pPr>
        <w:pStyle w:val="MDPARThesisBody"/>
        <w:rPr>
          <w:lang w:val="es-ES"/>
        </w:rPr>
      </w:pPr>
      <w:r w:rsidRPr="007E61E6">
        <w:rPr>
          <w:lang w:val="es-ES"/>
        </w:rPr>
        <w:t>La especificación técnica, los campos del contrato, las plantillas de assessment y las condiciones de publicación se desarrollan en el Anexo C. El interés del presente capítulo reside en su consecuencia social: disponer de un objeto examinable que permita discutir una interpretación sin depender exclusivamente de la narración producida por el sistema.</w:t>
      </w:r>
    </w:p>
    <w:p w14:paraId="1B25AF35" w14:textId="77777777" w:rsidR="007E61E6" w:rsidRDefault="007E61E6" w:rsidP="007E61E6">
      <w:pPr>
        <w:pStyle w:val="MDPARThesisBody"/>
        <w:rPr>
          <w:lang w:val="es-ES"/>
        </w:rPr>
      </w:pPr>
    </w:p>
    <w:tbl>
      <w:tblPr>
        <w:tblStyle w:val="Tablanormal2"/>
        <w:tblW w:w="0" w:type="auto"/>
        <w:tblLook w:val="04A0" w:firstRow="1" w:lastRow="0" w:firstColumn="1" w:lastColumn="0" w:noHBand="0" w:noVBand="1"/>
      </w:tblPr>
      <w:tblGrid>
        <w:gridCol w:w="1951"/>
        <w:gridCol w:w="3827"/>
        <w:gridCol w:w="3009"/>
      </w:tblGrid>
      <w:tr w:rsidR="007E61E6" w:rsidRPr="00803B61" w14:paraId="4DC76A53" w14:textId="77777777" w:rsidTr="00956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FBF4F69" w14:textId="77777777" w:rsidR="007E61E6" w:rsidRPr="00803B61" w:rsidRDefault="007E61E6" w:rsidP="00956BBD">
            <w:pPr>
              <w:spacing w:line="240" w:lineRule="auto"/>
              <w:jc w:val="both"/>
              <w:rPr>
                <w:sz w:val="16"/>
                <w:szCs w:val="20"/>
              </w:rPr>
            </w:pPr>
            <w:r w:rsidRPr="00803B61">
              <w:rPr>
                <w:sz w:val="16"/>
                <w:szCs w:val="20"/>
              </w:rPr>
              <w:t>Propiedad</w:t>
            </w:r>
          </w:p>
        </w:tc>
        <w:tc>
          <w:tcPr>
            <w:tcW w:w="3827" w:type="dxa"/>
          </w:tcPr>
          <w:p w14:paraId="395629BD" w14:textId="77777777" w:rsidR="007E61E6" w:rsidRPr="00803B61" w:rsidRDefault="007E61E6" w:rsidP="00956BBD">
            <w:pPr>
              <w:spacing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803B61">
              <w:rPr>
                <w:sz w:val="16"/>
                <w:szCs w:val="20"/>
              </w:rPr>
              <w:t>Realización en MDPAR</w:t>
            </w:r>
          </w:p>
        </w:tc>
        <w:tc>
          <w:tcPr>
            <w:tcW w:w="3009" w:type="dxa"/>
          </w:tcPr>
          <w:p w14:paraId="398C1326" w14:textId="77777777" w:rsidR="007E61E6" w:rsidRPr="00803B61" w:rsidRDefault="007E61E6" w:rsidP="00956BBD">
            <w:pPr>
              <w:spacing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803B61">
              <w:rPr>
                <w:sz w:val="16"/>
                <w:szCs w:val="20"/>
              </w:rPr>
              <w:t>Límite explícito</w:t>
            </w:r>
          </w:p>
        </w:tc>
      </w:tr>
      <w:tr w:rsidR="007E61E6" w:rsidRPr="002F4F30" w14:paraId="1EB1A831" w14:textId="77777777" w:rsidTr="00956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646E3F7" w14:textId="77777777" w:rsidR="007E61E6" w:rsidRPr="00803B61" w:rsidRDefault="007E61E6" w:rsidP="00956BBD">
            <w:pPr>
              <w:spacing w:line="240" w:lineRule="auto"/>
              <w:jc w:val="both"/>
              <w:rPr>
                <w:sz w:val="16"/>
                <w:szCs w:val="20"/>
              </w:rPr>
            </w:pPr>
            <w:r w:rsidRPr="00803B61">
              <w:rPr>
                <w:sz w:val="16"/>
                <w:szCs w:val="20"/>
              </w:rPr>
              <w:t>Integridad de evidencia</w:t>
            </w:r>
          </w:p>
        </w:tc>
        <w:tc>
          <w:tcPr>
            <w:tcW w:w="3827" w:type="dxa"/>
          </w:tcPr>
          <w:p w14:paraId="18A47790" w14:textId="77777777" w:rsidR="007E61E6" w:rsidRPr="00803B61" w:rsidRDefault="007E61E6" w:rsidP="00956BBD">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SHA-256 del original y del texto extraído; identificación de cada pieza.</w:t>
            </w:r>
          </w:p>
        </w:tc>
        <w:tc>
          <w:tcPr>
            <w:tcW w:w="3009" w:type="dxa"/>
          </w:tcPr>
          <w:p w14:paraId="788B9A76" w14:textId="77777777" w:rsidR="007E61E6" w:rsidRPr="00803B61" w:rsidRDefault="007E61E6" w:rsidP="00956BBD">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El hash acredita identidad/integridad del artefacto, no veracidad de su contenido.</w:t>
            </w:r>
          </w:p>
        </w:tc>
      </w:tr>
      <w:tr w:rsidR="007E61E6" w:rsidRPr="002F4F30" w14:paraId="7EAF98DA" w14:textId="77777777" w:rsidTr="00956BBD">
        <w:tc>
          <w:tcPr>
            <w:cnfStyle w:val="001000000000" w:firstRow="0" w:lastRow="0" w:firstColumn="1" w:lastColumn="0" w:oddVBand="0" w:evenVBand="0" w:oddHBand="0" w:evenHBand="0" w:firstRowFirstColumn="0" w:firstRowLastColumn="0" w:lastRowFirstColumn="0" w:lastRowLastColumn="0"/>
            <w:tcW w:w="1951" w:type="dxa"/>
          </w:tcPr>
          <w:p w14:paraId="208E1514" w14:textId="77777777" w:rsidR="007E61E6" w:rsidRPr="00803B61" w:rsidRDefault="007E61E6" w:rsidP="00956BBD">
            <w:pPr>
              <w:spacing w:line="240" w:lineRule="auto"/>
              <w:jc w:val="both"/>
              <w:rPr>
                <w:sz w:val="16"/>
                <w:szCs w:val="20"/>
              </w:rPr>
            </w:pPr>
            <w:r w:rsidRPr="00803B61">
              <w:rPr>
                <w:sz w:val="16"/>
                <w:szCs w:val="20"/>
              </w:rPr>
              <w:t>Procedencia</w:t>
            </w:r>
          </w:p>
        </w:tc>
        <w:tc>
          <w:tcPr>
            <w:tcW w:w="3827" w:type="dxa"/>
          </w:tcPr>
          <w:p w14:paraId="05CB595D" w14:textId="77777777" w:rsidR="007E61E6" w:rsidRPr="00803B61" w:rsidRDefault="007E61E6" w:rsidP="00956BBD">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Versión observada del runtime, hash del JAR, versión/hash del adapter e interaction_id; identidad de los artefactos conservados.</w:t>
            </w:r>
          </w:p>
        </w:tc>
        <w:tc>
          <w:tcPr>
            <w:tcW w:w="3009" w:type="dxa"/>
          </w:tcPr>
          <w:p w14:paraId="653007FE" w14:textId="77777777" w:rsidR="007E61E6" w:rsidRPr="00803B61" w:rsidRDefault="007E61E6" w:rsidP="00956BBD">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La procedencia permite identificar una ejecución y sus artefactos; no acredita la veracidad de la fuente.</w:t>
            </w:r>
          </w:p>
        </w:tc>
      </w:tr>
      <w:tr w:rsidR="007E61E6" w:rsidRPr="002F4F30" w14:paraId="57C94B46" w14:textId="77777777" w:rsidTr="00956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187CD85" w14:textId="77777777" w:rsidR="007E61E6" w:rsidRPr="00803B61" w:rsidRDefault="007E61E6" w:rsidP="00956BBD">
            <w:pPr>
              <w:spacing w:line="240" w:lineRule="auto"/>
              <w:jc w:val="both"/>
              <w:rPr>
                <w:sz w:val="16"/>
                <w:szCs w:val="20"/>
              </w:rPr>
            </w:pPr>
            <w:r w:rsidRPr="00803B61">
              <w:rPr>
                <w:sz w:val="16"/>
                <w:szCs w:val="20"/>
              </w:rPr>
              <w:t>Separación de autoridad</w:t>
            </w:r>
          </w:p>
        </w:tc>
        <w:tc>
          <w:tcPr>
            <w:tcW w:w="3827" w:type="dxa"/>
          </w:tcPr>
          <w:p w14:paraId="41E43791" w14:textId="77777777" w:rsidR="007E61E6" w:rsidRPr="00803B61" w:rsidRDefault="007E61E6" w:rsidP="00956BBD">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OPEN observa; MDPAR conserva autoridad estructural y routing.</w:t>
            </w:r>
          </w:p>
        </w:tc>
        <w:tc>
          <w:tcPr>
            <w:tcW w:w="3009" w:type="dxa"/>
          </w:tcPr>
          <w:p w14:paraId="6B347DC1" w14:textId="77777777" w:rsidR="007E61E6" w:rsidRPr="00803B61" w:rsidRDefault="007E61E6" w:rsidP="00956BBD">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Capacidad semántica no equivale a certificación.</w:t>
            </w:r>
          </w:p>
        </w:tc>
      </w:tr>
      <w:tr w:rsidR="007E61E6" w:rsidRPr="002F4F30" w14:paraId="42C22196" w14:textId="77777777" w:rsidTr="00956BBD">
        <w:tc>
          <w:tcPr>
            <w:cnfStyle w:val="001000000000" w:firstRow="0" w:lastRow="0" w:firstColumn="1" w:lastColumn="0" w:oddVBand="0" w:evenVBand="0" w:oddHBand="0" w:evenHBand="0" w:firstRowFirstColumn="0" w:firstRowLastColumn="0" w:lastRowFirstColumn="0" w:lastRowLastColumn="0"/>
            <w:tcW w:w="1951" w:type="dxa"/>
          </w:tcPr>
          <w:p w14:paraId="6059A780" w14:textId="77777777" w:rsidR="007E61E6" w:rsidRPr="00803B61" w:rsidRDefault="007E61E6" w:rsidP="00956BBD">
            <w:pPr>
              <w:spacing w:line="240" w:lineRule="auto"/>
              <w:jc w:val="both"/>
              <w:rPr>
                <w:sz w:val="16"/>
                <w:szCs w:val="20"/>
              </w:rPr>
            </w:pPr>
            <w:r w:rsidRPr="00803B61">
              <w:rPr>
                <w:sz w:val="16"/>
                <w:szCs w:val="20"/>
              </w:rPr>
              <w:t>Trazabilidad</w:t>
            </w:r>
          </w:p>
        </w:tc>
        <w:tc>
          <w:tcPr>
            <w:tcW w:w="3827" w:type="dxa"/>
          </w:tcPr>
          <w:p w14:paraId="6A7BC8FE" w14:textId="77777777" w:rsidR="007E61E6" w:rsidRPr="00803B61" w:rsidRDefault="007E61E6" w:rsidP="00956BBD">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Vínculos entre fuente examinada, observaciones, ocurrencias, relaciones propuestas, trayectorias, routing y resultado canónico.</w:t>
            </w:r>
          </w:p>
        </w:tc>
        <w:tc>
          <w:tcPr>
            <w:tcW w:w="3009" w:type="dxa"/>
          </w:tcPr>
          <w:p w14:paraId="29DA9CE7" w14:textId="77777777" w:rsidR="007E61E6" w:rsidRPr="00803B61" w:rsidRDefault="007E61E6" w:rsidP="00956BBD">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Una relación identificada no equivale por sí misma a corroboración factual ni a causalidad demostrada.</w:t>
            </w:r>
          </w:p>
        </w:tc>
      </w:tr>
      <w:tr w:rsidR="007E61E6" w:rsidRPr="002F4F30" w14:paraId="063E2862" w14:textId="77777777" w:rsidTr="00956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2C8F3EE6" w14:textId="77777777" w:rsidR="007E61E6" w:rsidRPr="00803B61" w:rsidRDefault="007E61E6" w:rsidP="00956BBD">
            <w:pPr>
              <w:spacing w:line="240" w:lineRule="auto"/>
              <w:jc w:val="both"/>
              <w:rPr>
                <w:sz w:val="16"/>
                <w:szCs w:val="20"/>
              </w:rPr>
            </w:pPr>
            <w:r w:rsidRPr="00803B61">
              <w:rPr>
                <w:sz w:val="16"/>
                <w:szCs w:val="20"/>
              </w:rPr>
              <w:t>Incertidumbre explícita</w:t>
            </w:r>
          </w:p>
        </w:tc>
        <w:tc>
          <w:tcPr>
            <w:tcW w:w="3827" w:type="dxa"/>
          </w:tcPr>
          <w:p w14:paraId="0E6CDB5E" w14:textId="77777777" w:rsidR="007E61E6" w:rsidRPr="00803B61" w:rsidRDefault="007E61E6" w:rsidP="00956BBD">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UNKNOWN, estados no estimables, fallos de identificación y superficies no examinadas permanecen distinguibles.</w:t>
            </w:r>
          </w:p>
        </w:tc>
        <w:tc>
          <w:tcPr>
            <w:tcW w:w="3009" w:type="dxa"/>
          </w:tcPr>
          <w:p w14:paraId="01286883" w14:textId="77777777" w:rsidR="007E61E6" w:rsidRPr="00803B61" w:rsidRDefault="007E61E6" w:rsidP="00956BBD">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Un estado no estimable no debe interpretarse como resultado negativo ni rellenarse mediante prosa.</w:t>
            </w:r>
          </w:p>
        </w:tc>
      </w:tr>
      <w:tr w:rsidR="007E61E6" w:rsidRPr="002F4F30" w14:paraId="7A8F2EE7" w14:textId="77777777" w:rsidTr="00956BBD">
        <w:tc>
          <w:tcPr>
            <w:cnfStyle w:val="001000000000" w:firstRow="0" w:lastRow="0" w:firstColumn="1" w:lastColumn="0" w:oddVBand="0" w:evenVBand="0" w:oddHBand="0" w:evenHBand="0" w:firstRowFirstColumn="0" w:firstRowLastColumn="0" w:lastRowFirstColumn="0" w:lastRowLastColumn="0"/>
            <w:tcW w:w="1951" w:type="dxa"/>
          </w:tcPr>
          <w:p w14:paraId="199FF353" w14:textId="77777777" w:rsidR="007E61E6" w:rsidRPr="00803B61" w:rsidRDefault="007E61E6" w:rsidP="00956BBD">
            <w:pPr>
              <w:spacing w:line="240" w:lineRule="auto"/>
              <w:jc w:val="both"/>
              <w:rPr>
                <w:sz w:val="16"/>
                <w:szCs w:val="20"/>
              </w:rPr>
            </w:pPr>
            <w:r w:rsidRPr="00803B61">
              <w:rPr>
                <w:sz w:val="16"/>
                <w:szCs w:val="20"/>
              </w:rPr>
              <w:t>Reproducibilidad estratificada</w:t>
            </w:r>
          </w:p>
        </w:tc>
        <w:tc>
          <w:tcPr>
            <w:tcW w:w="3827" w:type="dxa"/>
          </w:tcPr>
          <w:p w14:paraId="28466D36" w14:textId="77777777" w:rsidR="007E61E6" w:rsidRPr="00803B61" w:rsidRDefault="007E61E6" w:rsidP="00956BBD">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Artefactos archivables y componentes deterministas diferenciados de las observaciones de OPEN y sus condiciones de ejecución.</w:t>
            </w:r>
          </w:p>
        </w:tc>
        <w:tc>
          <w:tcPr>
            <w:tcW w:w="3009" w:type="dxa"/>
          </w:tcPr>
          <w:p w14:paraId="30D871B6" w14:textId="77777777" w:rsidR="007E61E6" w:rsidRPr="00803B61" w:rsidRDefault="007E61E6" w:rsidP="00956BBD">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Reconstruir una ejecución archivada no garantiza que repetir OPEN produzca observaciones idénticas.</w:t>
            </w:r>
          </w:p>
        </w:tc>
      </w:tr>
      <w:tr w:rsidR="007E61E6" w:rsidRPr="002F4F30" w14:paraId="07C47551" w14:textId="77777777" w:rsidTr="00956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2074150" w14:textId="77777777" w:rsidR="007E61E6" w:rsidRPr="00803B61" w:rsidRDefault="007E61E6" w:rsidP="00956BBD">
            <w:pPr>
              <w:spacing w:line="240" w:lineRule="auto"/>
              <w:jc w:val="both"/>
              <w:rPr>
                <w:sz w:val="16"/>
                <w:szCs w:val="20"/>
              </w:rPr>
            </w:pPr>
            <w:r w:rsidRPr="00803B61">
              <w:rPr>
                <w:sz w:val="16"/>
                <w:szCs w:val="20"/>
              </w:rPr>
              <w:t>Contradicción técnica</w:t>
            </w:r>
          </w:p>
        </w:tc>
        <w:tc>
          <w:tcPr>
            <w:tcW w:w="3827" w:type="dxa"/>
          </w:tcPr>
          <w:p w14:paraId="4B617B65" w14:textId="77777777" w:rsidR="007E61E6" w:rsidRPr="00803B61" w:rsidRDefault="007E61E6" w:rsidP="00956BBD">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Método, premisas, inferencias y conclusiones pueden impugnarse.</w:t>
            </w:r>
          </w:p>
        </w:tc>
        <w:tc>
          <w:tcPr>
            <w:tcW w:w="3009" w:type="dxa"/>
          </w:tcPr>
          <w:p w14:paraId="75C7A9A7" w14:textId="77777777" w:rsidR="007E61E6" w:rsidRPr="00803B61" w:rsidRDefault="007E61E6" w:rsidP="00956BBD">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La arquitectura no decide quién tiene razón.</w:t>
            </w:r>
          </w:p>
        </w:tc>
      </w:tr>
      <w:tr w:rsidR="007E61E6" w:rsidRPr="002F4F30" w14:paraId="18ED6975" w14:textId="77777777" w:rsidTr="00956BBD">
        <w:tc>
          <w:tcPr>
            <w:cnfStyle w:val="001000000000" w:firstRow="0" w:lastRow="0" w:firstColumn="1" w:lastColumn="0" w:oddVBand="0" w:evenVBand="0" w:oddHBand="0" w:evenHBand="0" w:firstRowFirstColumn="0" w:firstRowLastColumn="0" w:lastRowFirstColumn="0" w:lastRowLastColumn="0"/>
            <w:tcW w:w="1951" w:type="dxa"/>
          </w:tcPr>
          <w:p w14:paraId="16D54B77" w14:textId="77777777" w:rsidR="007E61E6" w:rsidRPr="00803B61" w:rsidRDefault="007E61E6" w:rsidP="00956BBD">
            <w:pPr>
              <w:spacing w:line="240" w:lineRule="auto"/>
              <w:jc w:val="both"/>
              <w:rPr>
                <w:sz w:val="16"/>
                <w:szCs w:val="20"/>
              </w:rPr>
            </w:pPr>
            <w:r w:rsidRPr="00803B61">
              <w:rPr>
                <w:sz w:val="16"/>
                <w:szCs w:val="20"/>
              </w:rPr>
              <w:t>Publicación derivada</w:t>
            </w:r>
          </w:p>
        </w:tc>
        <w:tc>
          <w:tcPr>
            <w:tcW w:w="3827" w:type="dxa"/>
          </w:tcPr>
          <w:p w14:paraId="0FBCE010" w14:textId="77777777" w:rsidR="007E61E6" w:rsidRPr="00803B61" w:rsidRDefault="007E61E6" w:rsidP="00956BBD">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Los informes humanos derivan del resultado canónico.</w:t>
            </w:r>
          </w:p>
        </w:tc>
        <w:tc>
          <w:tcPr>
            <w:tcW w:w="3009" w:type="dxa"/>
          </w:tcPr>
          <w:p w14:paraId="5BEC7265" w14:textId="77777777" w:rsidR="007E61E6" w:rsidRPr="00803B61" w:rsidRDefault="007E61E6" w:rsidP="00956BBD">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La capa narrativa no puede reescribir el hallazgo canónico.</w:t>
            </w:r>
          </w:p>
        </w:tc>
      </w:tr>
    </w:tbl>
    <w:p w14:paraId="66F35C08" w14:textId="77777777" w:rsidR="000A2D71" w:rsidRPr="000A2D71" w:rsidRDefault="000A2D71" w:rsidP="007E61E6">
      <w:pPr>
        <w:pStyle w:val="MDPARThesisBody"/>
        <w:ind w:firstLine="0"/>
        <w:rPr>
          <w:lang w:val="es-ES"/>
        </w:rPr>
      </w:pPr>
    </w:p>
    <w:tbl>
      <w:tblPr>
        <w:tblW w:w="0" w:type="auto"/>
        <w:jc w:val="center"/>
        <w:tblLook w:val="04A0" w:firstRow="1" w:lastRow="0" w:firstColumn="1" w:lastColumn="0" w:noHBand="0" w:noVBand="1"/>
      </w:tblPr>
      <w:tblGrid>
        <w:gridCol w:w="8787"/>
      </w:tblGrid>
      <w:tr w:rsidR="005504BC" w:rsidRPr="002F4F30" w14:paraId="2DA2B42A" w14:textId="77777777">
        <w:trPr>
          <w:cantSplit/>
          <w:jc w:val="center"/>
        </w:trPr>
        <w:tc>
          <w:tcPr>
            <w:tcW w:w="8787" w:type="dxa"/>
            <w:vAlign w:val="center"/>
          </w:tcPr>
          <w:p w14:paraId="211E9765" w14:textId="77777777" w:rsidR="005504BC" w:rsidRPr="000A2D71" w:rsidRDefault="00F75757" w:rsidP="000A2D71">
            <w:pPr>
              <w:pStyle w:val="MDPARProfileCallout"/>
              <w:spacing w:before="0" w:after="0" w:line="360" w:lineRule="auto"/>
              <w:jc w:val="both"/>
              <w:rPr>
                <w:lang w:val="es-ES"/>
              </w:rPr>
            </w:pPr>
            <w:r w:rsidRPr="000A2D71">
              <w:rPr>
                <w:sz w:val="20"/>
                <w:szCs w:val="18"/>
                <w:lang w:val="es-ES"/>
              </w:rPr>
              <w:lastRenderedPageBreak/>
              <w:t>La arquitectura no exige que dos personas narren de la misma manera. Exige que, una vez recibida la evidencia, los compromisos relevantes puedan quedar expuestos a un procedimiento estructural común y a una revisión posterior que no dependa de recordar cómo sonaba la narración original.</w:t>
            </w:r>
          </w:p>
        </w:tc>
      </w:tr>
    </w:tbl>
    <w:p w14:paraId="55E68B1E" w14:textId="77777777" w:rsidR="000A2D71" w:rsidRDefault="000A2D71">
      <w:pPr>
        <w:pStyle w:val="MDPARProfileH2"/>
        <w:rPr>
          <w:lang w:val="es-ES"/>
        </w:rPr>
      </w:pPr>
    </w:p>
    <w:p w14:paraId="0873F244" w14:textId="77777777" w:rsidR="008F6F3A" w:rsidRDefault="00F75757" w:rsidP="007E61E6">
      <w:pPr>
        <w:pStyle w:val="MDPARProfileH2"/>
        <w:spacing w:before="0" w:after="0" w:line="360" w:lineRule="auto"/>
        <w:ind w:firstLine="709"/>
        <w:jc w:val="both"/>
        <w:outlineLvl w:val="1"/>
        <w:rPr>
          <w:lang w:val="es-ES"/>
        </w:rPr>
      </w:pPr>
      <w:bookmarkStart w:id="97" w:name="_Toc242721933"/>
      <w:r w:rsidRPr="000A2D71">
        <w:rPr>
          <w:lang w:val="es-ES"/>
        </w:rPr>
        <w:t>11.3. Calidad pericial</w:t>
      </w:r>
      <w:r w:rsidR="007E61E6">
        <w:rPr>
          <w:lang w:val="es-ES"/>
        </w:rPr>
        <w:t xml:space="preserve"> y límites de la autoridad computacional</w:t>
      </w:r>
      <w:bookmarkEnd w:id="97"/>
    </w:p>
    <w:p w14:paraId="6321D18C" w14:textId="77777777" w:rsidR="007E61E6" w:rsidRPr="007E61E6" w:rsidRDefault="007E61E6" w:rsidP="007E61E6">
      <w:pPr>
        <w:pStyle w:val="MDPARThesisBody"/>
        <w:rPr>
          <w:lang w:val="es-ES"/>
        </w:rPr>
      </w:pPr>
      <w:r w:rsidRPr="007E61E6">
        <w:rPr>
          <w:lang w:val="es-ES"/>
        </w:rPr>
        <w:t>En el ordenamiento español, los artículos 347 y 348 de la Ley de Enjuiciamiento Civil permiten interrogar los métodos, premisas y conclusiones de un dictamen y reservan al tribunal su valoración conforme a las reglas de la sana crítica (España, 2000). MDPAR no sustituye esas garantías: proporciona una infraestructura en la que las observaciones y relaciones que sustentan un resultado pueden localizarse y someterse a examen.</w:t>
      </w:r>
    </w:p>
    <w:p w14:paraId="2370E691" w14:textId="77777777" w:rsidR="00455412" w:rsidRDefault="007E61E6">
      <w:pPr>
        <w:pStyle w:val="MDPARThesisBody"/>
        <w:rPr>
          <w:lang w:val="es-ES"/>
        </w:rPr>
      </w:pPr>
      <w:r w:rsidRPr="007E61E6">
        <w:rPr>
          <w:lang w:val="es-ES"/>
        </w:rPr>
        <w:t>La reconstruibilidad de una ejecución no acredita por sí misma la autenticidad externa de la fuente, la exhaustividad de la identificación semántica ni la verdad de las conclusiones. Precisamente por ello, la calidad técnica de un expediente depende también de que esas fronteras permanezcan explícitas.</w:t>
      </w:r>
    </w:p>
    <w:p w14:paraId="3D4A0212" w14:textId="77777777" w:rsidR="007E61E6" w:rsidRDefault="007E61E6">
      <w:pPr>
        <w:pStyle w:val="MDPARThesisBody"/>
        <w:rPr>
          <w:lang w:val="es-ES"/>
        </w:rPr>
      </w:pPr>
    </w:p>
    <w:p w14:paraId="5B3E4B9F" w14:textId="77777777" w:rsidR="007E61E6" w:rsidRDefault="007E61E6" w:rsidP="007E61E6">
      <w:pPr>
        <w:pStyle w:val="MDPARProfileH2"/>
        <w:spacing w:before="0" w:after="0" w:line="360" w:lineRule="auto"/>
        <w:ind w:firstLine="709"/>
        <w:outlineLvl w:val="1"/>
        <w:rPr>
          <w:lang w:val="es-ES"/>
        </w:rPr>
      </w:pPr>
      <w:bookmarkStart w:id="98" w:name="_Toc242721934"/>
      <w:r w:rsidRPr="000A2D71">
        <w:rPr>
          <w:lang w:val="es-ES"/>
        </w:rPr>
        <w:t>11.</w:t>
      </w:r>
      <w:r>
        <w:rPr>
          <w:lang w:val="es-ES"/>
        </w:rPr>
        <w:t>4</w:t>
      </w:r>
      <w:r w:rsidRPr="000A2D71">
        <w:rPr>
          <w:lang w:val="es-ES"/>
        </w:rPr>
        <w:t xml:space="preserve">. </w:t>
      </w:r>
      <w:r>
        <w:rPr>
          <w:lang w:val="es-ES"/>
        </w:rPr>
        <w:t>El profesional y la estructuración del problema</w:t>
      </w:r>
      <w:bookmarkEnd w:id="98"/>
    </w:p>
    <w:p w14:paraId="7FE7FFDB" w14:textId="77777777" w:rsidR="007E61E6" w:rsidRPr="007E61E6" w:rsidRDefault="007E61E6" w:rsidP="007E61E6">
      <w:pPr>
        <w:pStyle w:val="MDPARThesisBody"/>
        <w:rPr>
          <w:lang w:val="es-ES"/>
        </w:rPr>
      </w:pPr>
      <w:r w:rsidRPr="007E61E6">
        <w:rPr>
          <w:lang w:val="es-ES"/>
        </w:rPr>
        <w:t>La estructuración computacional de un problema no transfiere al sistema la autoridad del profesional que debe resolverlo. MDPAR permite convertir información expresada en lenguaje humano y evidencia heterogénea en un objeto estructural que distingue observaciones, afirmaciones, atribuciones, relaciones, incertidumbre y procedencia. El profesional conserva la responsabilidad de corroborar los hechos, interpretar su significado dentro de su disciplina y emitir las conclusiones que correspondan a su competencia.</w:t>
      </w:r>
    </w:p>
    <w:p w14:paraId="024F6062" w14:textId="77777777" w:rsidR="007E61E6" w:rsidRPr="007E61E6" w:rsidRDefault="007E61E6" w:rsidP="007E61E6">
      <w:pPr>
        <w:pStyle w:val="MDPARThesisBody"/>
        <w:rPr>
          <w:lang w:val="es-ES"/>
        </w:rPr>
      </w:pPr>
      <w:r w:rsidRPr="007E61E6">
        <w:rPr>
          <w:lang w:val="es-ES"/>
        </w:rPr>
        <w:t>Esta distribución del trabajo resulta aplicable a ámbitos jurídicos, clínicos, científicos, financieros y técnicos sin convertir sus respectivas ontologías en componentes fundamentales del SCC. Lo que puede compartirse es el procedimiento de estructuración; los criterios de verdad, las reglas profesionales y las condiciones de decisión permanecen vinculados a cada ámbito. La separación es coherente con los principios de supervisión humana y transparencia recogidos en el Reglamento europeo de inteligencia artificial y en el marco de gestión de riesgos de NIST (Unión Europea, 2024; Tabassi, 2023).</w:t>
      </w:r>
    </w:p>
    <w:p w14:paraId="3A3151C4" w14:textId="77777777" w:rsidR="007E61E6" w:rsidRPr="007E61E6" w:rsidRDefault="007E61E6" w:rsidP="007E61E6">
      <w:pPr>
        <w:pStyle w:val="MDPARThesisBody"/>
        <w:rPr>
          <w:lang w:val="es-ES"/>
        </w:rPr>
      </w:pPr>
      <w:r w:rsidRPr="007E61E6">
        <w:rPr>
          <w:lang w:val="es-ES"/>
        </w:rPr>
        <w:t xml:space="preserve">La consecuencia social no es la sustitución del juicio experto, sino la posibilidad de dedicar una parte mayor de su trabajo al examen de un problema cuyas dependencias </w:t>
      </w:r>
      <w:r w:rsidRPr="007E61E6">
        <w:rPr>
          <w:lang w:val="es-ES"/>
        </w:rPr>
        <w:lastRenderedPageBreak/>
        <w:t>inferenciales ya se encuentran representadas y pueden ser interrogadas. El Anexo C documenta la realización operacional de este procedimiento.</w:t>
      </w:r>
    </w:p>
    <w:p w14:paraId="111A8E98" w14:textId="77777777" w:rsidR="007E61E6" w:rsidRPr="000A2D71" w:rsidRDefault="007E61E6" w:rsidP="007E61E6">
      <w:pPr>
        <w:pStyle w:val="MDPARThesisBody"/>
        <w:rPr>
          <w:lang w:val="es-ES"/>
        </w:rPr>
      </w:pPr>
    </w:p>
    <w:p w14:paraId="42DD2526" w14:textId="77777777" w:rsidR="009A4E4F" w:rsidRDefault="00F75757" w:rsidP="009A4E4F">
      <w:pPr>
        <w:pStyle w:val="MDPARProfileH2"/>
        <w:spacing w:before="0" w:after="0" w:line="360" w:lineRule="auto"/>
        <w:ind w:firstLine="709"/>
        <w:outlineLvl w:val="1"/>
        <w:rPr>
          <w:lang w:val="es-ES"/>
        </w:rPr>
      </w:pPr>
      <w:bookmarkStart w:id="99" w:name="_Toc242721935"/>
      <w:r w:rsidRPr="000A2D71">
        <w:rPr>
          <w:lang w:val="es-ES"/>
        </w:rPr>
        <w:t>11.</w:t>
      </w:r>
      <w:r w:rsidR="007E61E6">
        <w:rPr>
          <w:lang w:val="es-ES"/>
        </w:rPr>
        <w:t>5</w:t>
      </w:r>
      <w:r w:rsidRPr="000A2D71">
        <w:rPr>
          <w:lang w:val="es-ES"/>
        </w:rPr>
        <w:t xml:space="preserve">. </w:t>
      </w:r>
      <w:r w:rsidR="007E61E6">
        <w:rPr>
          <w:lang w:val="es-ES"/>
        </w:rPr>
        <w:t>Contestabilidad, incertidumbre y variación neuronal</w:t>
      </w:r>
      <w:bookmarkEnd w:id="99"/>
    </w:p>
    <w:p w14:paraId="38E70B08" w14:textId="77777777" w:rsidR="009A4E4F" w:rsidRPr="009A4E4F" w:rsidRDefault="009A4E4F" w:rsidP="009A4E4F">
      <w:pPr>
        <w:pStyle w:val="MDPARThesisBody"/>
        <w:rPr>
          <w:lang w:val="es-ES"/>
        </w:rPr>
      </w:pPr>
      <w:r w:rsidRPr="009A4E4F">
        <w:rPr>
          <w:lang w:val="es-ES"/>
        </w:rPr>
        <w:t>Un expediente resulta contestable cuando permite reconstruir las condiciones bajo las cuales se ha formulado una afirmación y localizar las observaciones, relaciones y operaciones de las que depende. Esta exigencia comprende tanto las conclusiones producidas como las cuestiones que permanecen abiertas. La ausencia de una observación no equivale a la observación de una ausencia, y la insuficiencia de información no autoriza a sustituir UNKNOWN por una respuesta negativa.</w:t>
      </w:r>
    </w:p>
    <w:p w14:paraId="129EFEC9" w14:textId="77777777" w:rsidR="009A4E4F" w:rsidRPr="009A4E4F" w:rsidRDefault="009A4E4F" w:rsidP="009A4E4F">
      <w:pPr>
        <w:pStyle w:val="MDPARThesisBody"/>
        <w:rPr>
          <w:lang w:val="es-ES"/>
        </w:rPr>
      </w:pPr>
      <w:r w:rsidRPr="009A4E4F">
        <w:rPr>
          <w:lang w:val="es-ES"/>
        </w:rPr>
        <w:t>MDPAR conserva estas distinciones dentro de su representación estructural. Una observación semántica puede variar entre ejecuciones sin que esa variación deba ocultarse mediante una narración artificialmente uniforme. La arquitectura diferencia las propiedades calculadas determinísticamente de aquellas que dependen de la identificación neuronal y conserva la procedencia y los límites de cada contribución. La trazabilidad de una observación estocástica no garantiza su reproducción exacta ni demuestra que su contenido sea verdadero.</w:t>
      </w:r>
    </w:p>
    <w:p w14:paraId="78A1266E" w14:textId="77777777" w:rsidR="009A4E4F" w:rsidRPr="009A4E4F" w:rsidRDefault="009A4E4F" w:rsidP="009A4E4F">
      <w:pPr>
        <w:pStyle w:val="MDPARThesisBody"/>
        <w:rPr>
          <w:lang w:val="es-ES"/>
        </w:rPr>
      </w:pPr>
      <w:r w:rsidRPr="009A4E4F">
        <w:rPr>
          <w:lang w:val="es-ES"/>
        </w:rPr>
        <w:t>La contestabilidad adquiere así un sentido más amplio que la explicabilidad narrativa. No consiste únicamente en ofrecer razones a favor de una respuesta, sino en proporcionar las condiciones necesarias para cuestionarla, corregirla o restringir su alcance. La estabilidad del expediente no exige declarar infalible al observador: exige conservar una estructura examinable en la que sus contribuciones puedan ser contrastadas.</w:t>
      </w:r>
    </w:p>
    <w:p w14:paraId="594C39C1" w14:textId="77777777" w:rsidR="00455412" w:rsidRPr="000A2D71" w:rsidRDefault="00455412">
      <w:pPr>
        <w:pStyle w:val="MDPARThesisBody"/>
        <w:rPr>
          <w:lang w:val="es-ES"/>
        </w:rPr>
      </w:pPr>
    </w:p>
    <w:p w14:paraId="5C507B40" w14:textId="77777777" w:rsidR="007E61E6" w:rsidRDefault="00F75757" w:rsidP="003478A1">
      <w:pPr>
        <w:pStyle w:val="MDPARProfileH2"/>
        <w:spacing w:before="0" w:after="0" w:line="360" w:lineRule="auto"/>
        <w:ind w:firstLine="709"/>
        <w:jc w:val="both"/>
        <w:outlineLvl w:val="1"/>
        <w:rPr>
          <w:lang w:val="es-ES"/>
        </w:rPr>
      </w:pPr>
      <w:bookmarkStart w:id="100" w:name="_Toc242721936"/>
      <w:r w:rsidRPr="000A2D71">
        <w:rPr>
          <w:lang w:val="es-ES"/>
        </w:rPr>
        <w:t xml:space="preserve">11.6. </w:t>
      </w:r>
      <w:r w:rsidR="003478A1">
        <w:rPr>
          <w:lang w:val="es-ES"/>
        </w:rPr>
        <w:t>Equidad sobre la expresión subjetiva de la misma idea</w:t>
      </w:r>
      <w:bookmarkEnd w:id="100"/>
    </w:p>
    <w:p w14:paraId="169533CC" w14:textId="77777777" w:rsidR="003B149A" w:rsidRPr="003B149A" w:rsidRDefault="003B149A" w:rsidP="003B149A">
      <w:pPr>
        <w:pStyle w:val="MDPARThesisBody"/>
        <w:rPr>
          <w:lang w:val="es-ES"/>
        </w:rPr>
      </w:pPr>
      <w:r w:rsidRPr="003B149A">
        <w:rPr>
          <w:lang w:val="es-ES"/>
        </w:rPr>
        <w:t>Dos personas pueden describir un mismo episodio con distinta seguridad, vocabulario, formación, capacidad narrativa o poder persuasivo. Una arquitectura estructural no elimina esas diferencias ni garantiza imparcialidad. Puede, sin embargo, hacer examinable una fuente concreta de asimetría: la confusión entre continuidad narrativa y continuidad inferencial. Una narración puede enlazar la descripción de un acontecimiento, la atribución de responsabilidad y la explicación de un mecanismo sin aportar necesariamente el mismo soporte para cada transición. Al representar por separado las observaciones, las atribuciones, las relaciones propuestas y la corroboración disponible, MDPAR permite examinar esas diferencias sin sustituir la interpretación del contenido por una clasificación automática de su credibilidad.</w:t>
      </w:r>
    </w:p>
    <w:p w14:paraId="74F0E203" w14:textId="77777777" w:rsidR="003478A1" w:rsidRDefault="00CE716C" w:rsidP="003478A1">
      <w:pPr>
        <w:pStyle w:val="MDPARThesisBody"/>
        <w:rPr>
          <w:lang w:val="es-ES"/>
        </w:rPr>
      </w:pPr>
      <w:r w:rsidRPr="00CE716C">
        <w:rPr>
          <w:lang w:val="es-ES"/>
        </w:rPr>
        <w:lastRenderedPageBreak/>
        <w:t>La invariancia del procedimiento de representación y la equidad de sus resultados sobre poblaciones heterogéneas constituyen, por tanto, preguntas experimentales diferentes.</w:t>
      </w:r>
    </w:p>
    <w:p w14:paraId="581B832D" w14:textId="77777777" w:rsidR="0077634B" w:rsidRDefault="00502BDB">
      <w:pPr>
        <w:pStyle w:val="MDPARThesisBody"/>
        <w:rPr>
          <w:lang w:val="es-ES"/>
        </w:rPr>
      </w:pPr>
      <w:r w:rsidRPr="00A92DF0">
        <w:rPr>
          <w:lang w:val="es-ES"/>
        </w:rPr>
        <w:t>La diferencia lingüística vuelve esta distinción especialmente visible. Dos personas pueden relatar una misma organización de acontecimientos en español, ruso o euskera y utilizar construcciones morfosintácticas y pragmáticas que no admiten una correspondencia textual directa. La contribución social que MDPAR permite investigar es si las propiedades inferenciales pertinentes pueden transportarse mediante sendas explícitas y discutibles, sin imponer a quienes declaran un idioma o una forma narrativa privilegiados. El Atlas permitiría identificar qué se preserva, qué deriva, qué se recupera y qué queda no evaluable; la equidad efectiva del procedimiento y de sus efectos sobre personas exige un contraste independiente. El capítulo 14 desarrollará el programa interlingüístico y su conexión con la seguridad.</w:t>
      </w:r>
    </w:p>
    <w:p w14:paraId="32843961" w14:textId="77777777" w:rsidR="00BC3B37" w:rsidRPr="00A92DF0" w:rsidRDefault="00BC3B37">
      <w:pPr>
        <w:pStyle w:val="MDPARThesisBody"/>
        <w:rPr>
          <w:lang w:val="es-ES"/>
        </w:rPr>
      </w:pPr>
    </w:p>
    <w:p w14:paraId="159A0486" w14:textId="77777777" w:rsidR="003478A1" w:rsidRDefault="003478A1" w:rsidP="003478A1">
      <w:pPr>
        <w:pStyle w:val="MDPARProfileH2"/>
        <w:spacing w:before="0" w:after="0" w:line="360" w:lineRule="auto"/>
        <w:ind w:firstLine="709"/>
        <w:jc w:val="both"/>
        <w:outlineLvl w:val="1"/>
        <w:rPr>
          <w:lang w:val="es-ES"/>
        </w:rPr>
      </w:pPr>
      <w:bookmarkStart w:id="101" w:name="_Toc242721937"/>
      <w:r w:rsidRPr="000A2D71">
        <w:rPr>
          <w:lang w:val="es-ES"/>
        </w:rPr>
        <w:t>11.</w:t>
      </w:r>
      <w:r>
        <w:rPr>
          <w:lang w:val="es-ES"/>
        </w:rPr>
        <w:t>7</w:t>
      </w:r>
      <w:r w:rsidRPr="000A2D71">
        <w:rPr>
          <w:lang w:val="es-ES"/>
        </w:rPr>
        <w:t xml:space="preserve">. </w:t>
      </w:r>
      <w:r>
        <w:rPr>
          <w:lang w:val="es-ES"/>
        </w:rPr>
        <w:t>Privacidad del relato, reclamo de la soberanía cognitiva e impacto social</w:t>
      </w:r>
      <w:bookmarkEnd w:id="101"/>
    </w:p>
    <w:p w14:paraId="50AC4AB1" w14:textId="77777777" w:rsidR="003478A1" w:rsidRPr="003478A1" w:rsidRDefault="003478A1" w:rsidP="003478A1">
      <w:pPr>
        <w:pStyle w:val="MDPARThesisBody"/>
        <w:rPr>
          <w:lang w:val="es-ES"/>
        </w:rPr>
      </w:pPr>
      <w:r w:rsidRPr="003478A1">
        <w:rPr>
          <w:lang w:val="es-ES"/>
        </w:rPr>
        <w:t>La posibilidad de conservar un expediente estructural introduce una exigencia de exposición controlada. La evidencia original, las observaciones semánticas, la representación canónica y el informe profesional no necesitan compartir las mismas condiciones de acceso. Publicar una estructura examinable no implica divulgar íntegramente los documentos que la originaron ni convierte automáticamente su representación en información anónima. La privacidad debe mantenerse como una responsabilidad explícita de cada despliegue.</w:t>
      </w:r>
    </w:p>
    <w:p w14:paraId="7CBA431C" w14:textId="77777777" w:rsidR="003478A1" w:rsidRPr="003478A1" w:rsidRDefault="003478A1" w:rsidP="003478A1">
      <w:pPr>
        <w:pStyle w:val="MDPARThesisBody"/>
        <w:rPr>
          <w:lang w:val="es-ES"/>
        </w:rPr>
      </w:pPr>
      <w:r w:rsidRPr="003478A1">
        <w:rPr>
          <w:lang w:val="es-ES"/>
        </w:rPr>
        <w:t>Esta separación se extiende a la propiedad del proceso cognitivo. Una organización puede adquirir capacidad semántica externa sin transferir necesariamente al proveedor su historia inferencial, su estado longitudinal, sus políticas de routing o su autoridad operacional. La soberanía cognitiva designa precisamente la posibilidad de conservar esas responsabilidades en una infraestructura propia mientras participan recursos heterogéneos. La continuidad y recuperación ante la degradación refuerzan esta separación: perder temporalmente una capacidad no tiene por qué equivaler a perder el proceso que la utilizaba.</w:t>
      </w:r>
    </w:p>
    <w:p w14:paraId="10AD8F12" w14:textId="77777777" w:rsidR="003478A1" w:rsidRPr="003478A1" w:rsidRDefault="003478A1" w:rsidP="003478A1">
      <w:pPr>
        <w:pStyle w:val="MDPARThesisBody"/>
        <w:rPr>
          <w:lang w:val="es-ES"/>
        </w:rPr>
      </w:pPr>
      <w:r w:rsidRPr="00770DB8">
        <w:rPr>
          <w:lang w:val="es-ES"/>
        </w:rPr>
        <w:t xml:space="preserve">La interoperabilidad constituye una consecuencia adicional. Modelos de frontera, modelos locales y capacidades especializadas pueden participar en una misma historia estructural sin que la sustitución del proveedor implique necesariamente transferirle la </w:t>
      </w:r>
      <w:r w:rsidRPr="00770DB8">
        <w:rPr>
          <w:lang w:val="es-ES"/>
        </w:rPr>
        <w:lastRenderedPageBreak/>
        <w:t>autoridad sobre el proceso. Esa posibilidad exige contratos explícitos, procedencia conservada y evaluación de los límites de cada integración.</w:t>
      </w:r>
    </w:p>
    <w:p w14:paraId="6D566FCA" w14:textId="77777777" w:rsidR="0077634B" w:rsidRPr="00A92DF0" w:rsidRDefault="00502BDB">
      <w:pPr>
        <w:pStyle w:val="MDPARThesisBody"/>
        <w:rPr>
          <w:lang w:val="es-ES"/>
        </w:rPr>
      </w:pPr>
      <w:r w:rsidRPr="00A92DF0">
        <w:rPr>
          <w:lang w:val="es-ES"/>
        </w:rPr>
        <w:t>La relación entre invarianza lingüística y ciberseguridad merece una distinción social específica. Una reexpresión legítima puede modificar léxico, orden y superficie sin que deban perderse determinadas propiedades inferenciales; una intervención adversaria puede aprovechar esas mismas variaciones para ocultar alteraciones, suplantar procedencia o intentar trasladar autoridad a una representación que no la posee. La infraestructura común permite formular contratos sobre qué propiedades deben conservarse, qué transformaciones son admisibles y qué discrepancias requieren examen, sin identificar toda divergencia lingüística con un ataque ni toda semejanza estructural con seguridad. La verificación del Atlas contribuye a que estas decisiones sean reconstruibles y contestables.</w:t>
      </w:r>
    </w:p>
    <w:p w14:paraId="280B98D0" w14:textId="77777777" w:rsidR="003478A1" w:rsidRPr="003478A1" w:rsidRDefault="003478A1" w:rsidP="003478A1">
      <w:pPr>
        <w:pStyle w:val="MDPARThesisBody"/>
        <w:rPr>
          <w:lang w:val="es-ES"/>
        </w:rPr>
      </w:pPr>
      <w:r w:rsidRPr="003478A1">
        <w:rPr>
          <w:lang w:val="es-ES"/>
        </w:rPr>
        <w:t>Estas propiedades también modifican la economía social del escrutinio. El coste relevante no se limita a adquirir inferencia neuronal, sino que incluye preparar la evidencia, estructurarla, revisarla y someterla a contradicción. La infraestructura puede hacer examinable una parte de ese trabajo sin automatizar la decisión profesional. Su beneficio neto deberá determinarse en cada contexto mediante la relación entre coste computacional, esfuerzo humano, cobertura y calidad del examen.</w:t>
      </w:r>
    </w:p>
    <w:p w14:paraId="5FF223ED" w14:textId="77777777" w:rsidR="003478A1" w:rsidRPr="003478A1" w:rsidRDefault="003478A1" w:rsidP="003478A1">
      <w:pPr>
        <w:pStyle w:val="MDPARThesisBody"/>
        <w:rPr>
          <w:lang w:val="es-ES"/>
        </w:rPr>
      </w:pPr>
      <w:r w:rsidRPr="003478A1">
        <w:rPr>
          <w:lang w:val="es-ES"/>
        </w:rPr>
        <w:t>El perfil social de MDPAR se concentra, por tanto, en una redistribución de responsabilidades: la arquitectura conserva la organización inferencial, la continuidad y los límites de autoridad, mientras que las capacidades semánticas contribuyen dentro de sus contratos y las personas e instituciones mantienen las competencias que les corresponden.</w:t>
      </w:r>
    </w:p>
    <w:p w14:paraId="6759160F" w14:textId="77777777" w:rsidR="0077634B" w:rsidRPr="00A92DF0" w:rsidRDefault="00502BDB">
      <w:pPr>
        <w:pStyle w:val="MDPARThesisBody"/>
        <w:rPr>
          <w:lang w:val="es-ES"/>
        </w:rPr>
      </w:pPr>
      <w:r w:rsidRPr="00A92DF0">
        <w:rPr>
          <w:lang w:val="es-ES"/>
        </w:rPr>
        <w:t>En contextos multilingües, esta redistribución aspira a que la posibilidad de examinar una inferencia no dependa de la forma lingüística más persuasiva o dominante. En contextos de seguridad, aspira a impedir que el cambio de representación o de proveedor oculte la procedencia y los límites de autoridad. La capacidad formal para plantear ambos problemas pertenece al SCC y su realización arquitectónica; los protocolos de generalización interlingüística y resistencia adversarial corresponden al capítulo 14.</w:t>
      </w:r>
    </w:p>
    <w:p w14:paraId="5FB02AEB" w14:textId="77777777" w:rsidR="00860B5B" w:rsidRPr="000A2D71" w:rsidRDefault="00860B5B">
      <w:pPr>
        <w:pStyle w:val="MDPARThesisBody"/>
        <w:rPr>
          <w:lang w:val="es-ES"/>
        </w:rPr>
      </w:pPr>
    </w:p>
    <w:p w14:paraId="046B61AD" w14:textId="77777777" w:rsidR="000D1032" w:rsidRDefault="000D1032" w:rsidP="000D1032">
      <w:pPr>
        <w:pStyle w:val="MDPARThesisBody"/>
        <w:ind w:firstLine="0"/>
        <w:rPr>
          <w:lang w:val="es-ES"/>
        </w:rPr>
      </w:pPr>
    </w:p>
    <w:p w14:paraId="268ED755" w14:textId="77777777" w:rsidR="00A92DF0" w:rsidRDefault="00A92DF0">
      <w:pPr>
        <w:spacing w:after="200" w:line="276" w:lineRule="auto"/>
        <w:rPr>
          <w:lang w:val="es-ES"/>
        </w:rPr>
      </w:pPr>
      <w:r>
        <w:rPr>
          <w:lang w:val="es-ES"/>
        </w:rPr>
        <w:br w:type="page"/>
      </w:r>
    </w:p>
    <w:p w14:paraId="50E7952B" w14:textId="77777777" w:rsidR="00704206" w:rsidRPr="003E4238" w:rsidRDefault="00C63637" w:rsidP="003E4238">
      <w:pPr>
        <w:pStyle w:val="MDPARProfileH1"/>
        <w:spacing w:before="0" w:after="0" w:line="360" w:lineRule="auto"/>
        <w:jc w:val="center"/>
        <w:outlineLvl w:val="0"/>
        <w:rPr>
          <w:sz w:val="24"/>
          <w:szCs w:val="20"/>
          <w:lang w:val="es-ES"/>
        </w:rPr>
      </w:pPr>
      <w:bookmarkStart w:id="102" w:name="_Toc242721938"/>
      <w:r w:rsidRPr="003E4238">
        <w:rPr>
          <w:sz w:val="24"/>
          <w:szCs w:val="20"/>
          <w:lang w:val="es-ES"/>
        </w:rPr>
        <w:lastRenderedPageBreak/>
        <w:t>PARTE V — Conclusiones</w:t>
      </w:r>
      <w:bookmarkEnd w:id="102"/>
    </w:p>
    <w:p w14:paraId="5F5282CA" w14:textId="77777777" w:rsidR="00BC3B37" w:rsidRDefault="00BC3B37">
      <w:pPr>
        <w:pStyle w:val="MDPARThesisBody"/>
        <w:rPr>
          <w:lang w:val="es-ES"/>
        </w:rPr>
      </w:pPr>
    </w:p>
    <w:p w14:paraId="7B7055FF" w14:textId="77777777" w:rsidR="00704206" w:rsidRDefault="00C63637">
      <w:pPr>
        <w:pStyle w:val="MDPARThesisBody"/>
        <w:rPr>
          <w:lang w:val="es-ES"/>
        </w:rPr>
      </w:pPr>
      <w:r w:rsidRPr="00A92DF0">
        <w:rPr>
          <w:lang w:val="es-ES"/>
        </w:rPr>
        <w:t>La Parte V integra las conclusiones de la formalización del Sistema de Coordenadas Cognitivas, de su expresión ejecutable mediante MDPAR y de la evidencia científica, económica y social examinada. Su finalidad no es repetir los objetivos e hipótesis iniciales, sino precisar qué objeto científico se ha construido, qué propiedades se siguen de sus definiciones, qué responsabilidades realiza su arquitectura y qué resultados autorizan los ensayos efectuados. La existencia y las propiedades de un formalismo, su implementación y la extensión empírica de su dominio exigen justificaciones diferentes.</w:t>
      </w:r>
    </w:p>
    <w:p w14:paraId="1FA016F1" w14:textId="77777777" w:rsidR="003E4238" w:rsidRDefault="003E4238">
      <w:pPr>
        <w:pStyle w:val="MDPARProfileH1"/>
        <w:rPr>
          <w:lang w:val="es-ES"/>
        </w:rPr>
      </w:pPr>
    </w:p>
    <w:p w14:paraId="5B9CE667" w14:textId="77777777" w:rsidR="00704206" w:rsidRPr="003E4238" w:rsidRDefault="00C63637" w:rsidP="003E4238">
      <w:pPr>
        <w:pStyle w:val="MDPARProfileH1"/>
        <w:spacing w:before="0" w:after="0" w:line="360" w:lineRule="auto"/>
        <w:jc w:val="both"/>
        <w:outlineLvl w:val="0"/>
        <w:rPr>
          <w:sz w:val="24"/>
          <w:szCs w:val="20"/>
          <w:lang w:val="es-ES"/>
        </w:rPr>
      </w:pPr>
      <w:bookmarkStart w:id="103" w:name="_Toc242721939"/>
      <w:r w:rsidRPr="003E4238">
        <w:rPr>
          <w:sz w:val="24"/>
          <w:szCs w:val="20"/>
          <w:lang w:val="es-ES"/>
        </w:rPr>
        <w:t>Capítulo 12: naturaleza, estatuto y alcance de MDPAR</w:t>
      </w:r>
      <w:bookmarkEnd w:id="103"/>
    </w:p>
    <w:p w14:paraId="2D3FE8DE" w14:textId="77777777" w:rsidR="003E4238" w:rsidRDefault="003E4238">
      <w:pPr>
        <w:pStyle w:val="MDPARThesisBody"/>
        <w:rPr>
          <w:lang w:val="es-ES"/>
        </w:rPr>
      </w:pPr>
    </w:p>
    <w:p w14:paraId="07D55243" w14:textId="77777777" w:rsidR="00704206" w:rsidRDefault="00C63637">
      <w:pPr>
        <w:pStyle w:val="MDPARThesisBody"/>
        <w:rPr>
          <w:lang w:val="es-ES"/>
        </w:rPr>
      </w:pPr>
      <w:r w:rsidRPr="00A92DF0">
        <w:rPr>
          <w:lang w:val="es-ES"/>
        </w:rPr>
        <w:t xml:space="preserve">El resultado central de la Parte II es el Sistema de Coordenadas Cognitivas (SCC): un formalismo matemático para representar y operar sobre determinadas propiedades de la organización inferencial sin identificar esa organización con el contenido semántico de cada realización. Su construcción comprende ocurrencias, estados, relaciones y trayectorias, así como operaciones de dirección, correspondencia, transformación, equivalencia, invariancia y cálculo de propiedades. Las sendas de invarianza y el Atlas permiten formular problemas de conservación, transporte y verificación bajo condiciones explícitas de admisibilidad. </w:t>
      </w:r>
      <w:r>
        <w:t>Ω</w:t>
      </w:r>
      <w:r w:rsidRPr="00A92DF0">
        <w:rPr>
          <w:lang w:val="es-ES"/>
        </w:rPr>
        <w:t xml:space="preserve"> preserva la exterioridad respecto de lo todavía no representable; UNKNOWN identifica una ocurrencia cuya localización canónica no ha podido establecerse. La formalización no presupone una geometría física del pensamiento ni una ontología semántica global: define un dominio discreto de objetos y relaciones sobre el que pueden enunciarse y comprobarse proposiciones matemáticas.</w:t>
      </w:r>
    </w:p>
    <w:p w14:paraId="1DC17E01" w14:textId="77777777" w:rsidR="0077634B" w:rsidRDefault="00502BDB">
      <w:pPr>
        <w:pStyle w:val="MDPARThesisBody"/>
        <w:rPr>
          <w:lang w:val="es-ES"/>
        </w:rPr>
      </w:pPr>
      <w:r w:rsidRPr="00A92DF0">
        <w:rPr>
          <w:lang w:val="es-ES"/>
        </w:rPr>
        <w:t>La Parte II establece también una frontera constitutiva. El SCC puede conservar alternativas estructuradas y representar el estado de un problema de decisión sin generar por ello el criterio externo que deba elegir entre ellas. De igual modo, definir una transformación admisible y sus propiedades invariantes no equivale a afirmar que toda reformulación, traducción o realización heterogénea las preserve. La aportación formal reside en precisar qué se compara, bajo qué correspondencia, con qué condiciones de evaluabilidad y mediante qué pruebas de conservación o pérdida.</w:t>
      </w:r>
    </w:p>
    <w:p w14:paraId="230B9F8B" w14:textId="77777777" w:rsidR="0077634B" w:rsidRDefault="00502BDB">
      <w:pPr>
        <w:pStyle w:val="MDPARThesisBody"/>
        <w:rPr>
          <w:lang w:val="es-ES"/>
        </w:rPr>
      </w:pPr>
      <w:r w:rsidRPr="00A92DF0">
        <w:rPr>
          <w:lang w:val="es-ES"/>
        </w:rPr>
        <w:t xml:space="preserve">El resultado de la Parte III es MDPAR, la expresión arquitectónica y ejecutable del SCC. No es el propio formalismo, un modelo neuronal alternativo ni un simple sistema de </w:t>
      </w:r>
      <w:r w:rsidRPr="00A92DF0">
        <w:rPr>
          <w:lang w:val="es-ES"/>
        </w:rPr>
        <w:lastRenderedPageBreak/>
        <w:t>routing o de agentes. Es una arquitectura cognitiva estructural de carácter experimental que distribuye entre componentes diferenciados la observación semántica, la reconstrucción canónica, el cálculo, la continuidad longitudinal, la procedencia, la selección de capacidades y los límites de autoridad. Las capacidades OPEN y CLOSED pueden contribuir al proceso sin convertirse automáticamente en propietarias del estado cognitivo global. Esta separación funcional es una propiedad de la arquitectura implementada y no una atribución de conciencia, comprensión humana o autonomía ontológica al software.</w:t>
      </w:r>
    </w:p>
    <w:p w14:paraId="0FF44D4C" w14:textId="77777777" w:rsidR="0077634B" w:rsidRDefault="00502BDB">
      <w:pPr>
        <w:pStyle w:val="MDPARThesisBody"/>
        <w:rPr>
          <w:lang w:val="es-ES"/>
        </w:rPr>
      </w:pPr>
      <w:r w:rsidRPr="00A92DF0">
        <w:rPr>
          <w:lang w:val="es-ES"/>
        </w:rPr>
        <w:t>En el plano experimental, las campañas completadas C0–C12 y la superficie operacional documentada aportan evidencia estratificada sobre la ejecución de esas responsabilidades bajo los contratos y condiciones efectivamente ensayados. La reproducibilidad, la identificación, el cálculo, la transformación, la cooperación, la continuidad, la concurrencia, la autoridad temporal y la recuperación no constituyen una única puntuación agregada: son clases diferentes de prueba. En particular, C4 distingue realización, reidentificación, transporte longitudinal y atribución experimental. La ausencia de identidad exacta entre dos realizaciones no invalida por sí misma la transformación ni el transporte de propiedades; ambos deben juzgarse mediante sus respectivos contratos, correspondencias y criterios de evaluabilidad. Los resultados no evaluables y los incumplimientos de contrato conservan su significado experimental propio y no se convierten retrospectivamente en éxitos.</w:t>
      </w:r>
    </w:p>
    <w:p w14:paraId="2A46201F" w14:textId="77777777" w:rsidR="0077634B" w:rsidRDefault="00502BDB">
      <w:pPr>
        <w:pStyle w:val="MDPARThesisBody"/>
        <w:rPr>
          <w:lang w:val="es-ES"/>
        </w:rPr>
      </w:pPr>
      <w:r w:rsidRPr="00A92DF0">
        <w:rPr>
          <w:lang w:val="es-ES"/>
        </w:rPr>
        <w:t>La Parte IV sitúa esta construcción frente a antecedentes científicos y examina sus consecuencias corporativo-comerciales y sociales sin confundir una propiedad formal con una prestación universal ya certificada. El perfil científico corresponde a la posibilidad de hacer explícita y contrastable la organización inferencial; el perfil económico, a la posibilidad de medir el coste y el valor de responsabilidades estructurales separadas; y el perfil social, a la reconstruibilidad de la evidencia, la contestabilidad de las inferencias y la conservación de la autoridad humana e institucional. Son consecuencias de un mismo objeto examinadas desde preguntas diferentes, no demostraciones adicionales de su generalidad externa.</w:t>
      </w:r>
    </w:p>
    <w:p w14:paraId="5F4B11FD" w14:textId="77777777" w:rsidR="00A564BD" w:rsidRPr="00C07D4D" w:rsidRDefault="007C171F">
      <w:pPr>
        <w:pStyle w:val="MDPARThesisBody"/>
        <w:rPr>
          <w:lang w:val="es-ES"/>
        </w:rPr>
      </w:pPr>
      <w:r w:rsidRPr="00C07D4D">
        <w:rPr>
          <w:lang w:val="es-ES"/>
        </w:rPr>
        <w:t xml:space="preserve">En cuanto a su naturaleza científica, el SCC y MDPAR admiten dos objetos de estudio diferenciables y una contribución conjunta de mayor alcance. El SCC constituye una propuesta teórica propia: no por introducir variables o una nomenclatura inédita, sino por delimitar un dominio formal de trayectorias y realizaciones, establecer operaciones y correspondencias entre ellas y formular problemas característicos de transporte, invariancia, reconstrucción y decisión representacional. Su estudio matemático puede </w:t>
      </w:r>
      <w:r w:rsidRPr="00C07D4D">
        <w:rPr>
          <w:lang w:val="es-ES"/>
        </w:rPr>
        <w:lastRenderedPageBreak/>
        <w:t>proseguir con independencia de una implementación concreta. MDPAR constituye, a su vez, una propuesta arquitectónica propia: no por el número de módulos ni por la novedad aislada del routing, la memoria o la procedencia, sino por hacer operativa una distribución específica de responsabilidades entre observación semántica, cálculo estructural, continuidad y autoridad, susceptible de análisis y contraste como sistema. Su estudio informático es distinguible del formalismo, aunque su fundamento y sus contratos dependan de él.</w:t>
      </w:r>
    </w:p>
    <w:p w14:paraId="5DFDF0BF" w14:textId="77777777" w:rsidR="0077634B" w:rsidRDefault="00502BDB">
      <w:pPr>
        <w:pStyle w:val="MDPARThesisBody"/>
        <w:rPr>
          <w:lang w:val="es-ES"/>
        </w:rPr>
      </w:pPr>
      <w:r w:rsidRPr="00C07D4D">
        <w:rPr>
          <w:lang w:val="es-ES"/>
        </w:rPr>
        <w:t xml:space="preserve">Por ello, debe distinguirse la fundación de una propuesta teórica de la consolidación de un campo disciplinar. La Parte II permite presentar el SCC como formalismo original y la Parte III permite presentar MDPAR como arquitectura cognitiva estructural original; ambas reclamaciones se sostienen por sus definiciones, sus responsabilidades y su relación con antecedentes identificados, no por una afirmación de novedad absoluta. Consideradas conjuntamente, proponen un campo de investigación sobre infraestructura cognitiva estructural, con problemas matemáticos, arquitectónicos y experimentales conectados. Que llegue a constituir un campo reconocido y autónomo exigirá, además de esta tesis, contraste independiente, desarrollos no previstos por su autor y adopción crítica por otros investigadores. La Hipótesis de Universalidad Estructural (MDPAR-H) expresa la pretensión de generalidad que orienta ese programa, pero no debe confundirse con su existencia formal o arquitectónica ni darse por demostrada </w:t>
      </w:r>
      <w:r w:rsidR="00CE55D6">
        <w:rPr>
          <w:lang w:val="es-ES"/>
        </w:rPr>
        <w:t xml:space="preserve">en términos absolutos </w:t>
      </w:r>
      <w:r w:rsidRPr="00C07D4D">
        <w:rPr>
          <w:lang w:val="es-ES"/>
        </w:rPr>
        <w:t>por el solo hecho de que la implementación sea ejecutable.</w:t>
      </w:r>
    </w:p>
    <w:p w14:paraId="7209C76B" w14:textId="77777777" w:rsidR="00C07D4D" w:rsidRDefault="00C07D4D" w:rsidP="00A92DF0">
      <w:pPr>
        <w:pStyle w:val="MDPARThesisBody"/>
        <w:rPr>
          <w:lang w:val="es-ES"/>
        </w:rPr>
      </w:pPr>
    </w:p>
    <w:tbl>
      <w:tblPr>
        <w:tblStyle w:val="Tablanormal2"/>
        <w:tblW w:w="0" w:type="auto"/>
        <w:tblLook w:val="04A0" w:firstRow="1" w:lastRow="0" w:firstColumn="1" w:lastColumn="0" w:noHBand="0" w:noVBand="1"/>
      </w:tblPr>
      <w:tblGrid>
        <w:gridCol w:w="964"/>
        <w:gridCol w:w="739"/>
        <w:gridCol w:w="1498"/>
        <w:gridCol w:w="1416"/>
        <w:gridCol w:w="709"/>
        <w:gridCol w:w="3678"/>
      </w:tblGrid>
      <w:tr w:rsidR="00704206" w:rsidRPr="00A92DF0" w14:paraId="2F0A2098" w14:textId="77777777" w:rsidTr="00A92D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gridSpan w:val="2"/>
          </w:tcPr>
          <w:p w14:paraId="7C34539F" w14:textId="77777777" w:rsidR="003E4238" w:rsidRPr="00A92DF0" w:rsidRDefault="00C63637" w:rsidP="00A92DF0">
            <w:pPr>
              <w:spacing w:line="240" w:lineRule="auto"/>
              <w:rPr>
                <w:rFonts w:cs="Times New Roman"/>
                <w:b w:val="0"/>
                <w:sz w:val="16"/>
                <w:szCs w:val="16"/>
              </w:rPr>
            </w:pPr>
            <w:r w:rsidRPr="00A92DF0">
              <w:rPr>
                <w:rFonts w:cs="Times New Roman"/>
                <w:sz w:val="16"/>
                <w:szCs w:val="16"/>
              </w:rPr>
              <w:t>Estatuto</w:t>
            </w:r>
          </w:p>
        </w:tc>
        <w:tc>
          <w:tcPr>
            <w:tcW w:w="2948" w:type="dxa"/>
            <w:gridSpan w:val="2"/>
          </w:tcPr>
          <w:p w14:paraId="7E78EF6C" w14:textId="77777777" w:rsidR="00704206" w:rsidRPr="00A92DF0" w:rsidRDefault="00C63637" w:rsidP="00A92DF0">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sz w:val="16"/>
                <w:szCs w:val="16"/>
              </w:rPr>
              <w:t>Pregunta que responde</w:t>
            </w:r>
          </w:p>
        </w:tc>
        <w:tc>
          <w:tcPr>
            <w:tcW w:w="4535" w:type="dxa"/>
            <w:gridSpan w:val="2"/>
          </w:tcPr>
          <w:p w14:paraId="0085FB66" w14:textId="77777777" w:rsidR="00704206" w:rsidRPr="00A92DF0" w:rsidRDefault="00C63637" w:rsidP="00A92DF0">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sz w:val="16"/>
                <w:szCs w:val="16"/>
              </w:rPr>
              <w:t>Qué autoriza</w:t>
            </w:r>
          </w:p>
        </w:tc>
      </w:tr>
      <w:tr w:rsidR="00704206" w:rsidRPr="002F4F30" w14:paraId="6BA33B12"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gridSpan w:val="2"/>
          </w:tcPr>
          <w:p w14:paraId="329124F6"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Demostración formal</w:t>
            </w:r>
          </w:p>
        </w:tc>
        <w:tc>
          <w:tcPr>
            <w:tcW w:w="2948" w:type="dxa"/>
            <w:gridSpan w:val="2"/>
          </w:tcPr>
          <w:p w14:paraId="0543CA20"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¿La propiedad se sigue de los objetos, relaciones y operaciones definidos?</w:t>
            </w:r>
          </w:p>
        </w:tc>
        <w:tc>
          <w:tcPr>
            <w:tcW w:w="4535" w:type="dxa"/>
            <w:gridSpan w:val="2"/>
          </w:tcPr>
          <w:p w14:paraId="14ADD3CE"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Autoriza afirmar la propiedad dentro del dominio formal declarado.</w:t>
            </w:r>
          </w:p>
        </w:tc>
      </w:tr>
      <w:tr w:rsidR="00704206" w:rsidRPr="002F4F30" w14:paraId="518F22FF" w14:textId="77777777" w:rsidTr="00A92DF0">
        <w:tc>
          <w:tcPr>
            <w:cnfStyle w:val="001000000000" w:firstRow="0" w:lastRow="0" w:firstColumn="1" w:lastColumn="0" w:oddVBand="0" w:evenVBand="0" w:oddHBand="0" w:evenHBand="0" w:firstRowFirstColumn="0" w:firstRowLastColumn="0" w:lastRowFirstColumn="0" w:lastRowLastColumn="0"/>
            <w:tcW w:w="1757" w:type="dxa"/>
            <w:gridSpan w:val="2"/>
          </w:tcPr>
          <w:p w14:paraId="701E10B1"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Realización computacional</w:t>
            </w:r>
          </w:p>
        </w:tc>
        <w:tc>
          <w:tcPr>
            <w:tcW w:w="2948" w:type="dxa"/>
            <w:gridSpan w:val="2"/>
          </w:tcPr>
          <w:p w14:paraId="4C735527"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¿Existe un instrumento que implemente el contrato sin redefinirlo para acomodar resultados?</w:t>
            </w:r>
          </w:p>
        </w:tc>
        <w:tc>
          <w:tcPr>
            <w:tcW w:w="4535" w:type="dxa"/>
            <w:gridSpan w:val="2"/>
          </w:tcPr>
          <w:p w14:paraId="7F96A6EF"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Autoriza afirmar que el formalismo posee una expresión ejecutable.</w:t>
            </w:r>
          </w:p>
        </w:tc>
      </w:tr>
      <w:tr w:rsidR="00704206" w:rsidRPr="002F4F30" w14:paraId="375ACAB6"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gridSpan w:val="2"/>
          </w:tcPr>
          <w:p w14:paraId="7B3E7A5B"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Validez interna / evidencia experimental</w:t>
            </w:r>
          </w:p>
        </w:tc>
        <w:tc>
          <w:tcPr>
            <w:tcW w:w="2948" w:type="dxa"/>
            <w:gridSpan w:val="2"/>
          </w:tcPr>
          <w:p w14:paraId="26E90094"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¿La propiedad se conserva bajo los protocolos y condiciones ensayados?</w:t>
            </w:r>
          </w:p>
        </w:tc>
        <w:tc>
          <w:tcPr>
            <w:tcW w:w="4535" w:type="dxa"/>
            <w:gridSpan w:val="2"/>
          </w:tcPr>
          <w:p w14:paraId="53C7E9A2"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Autoriza afirmar funcionamiento y comportamiento dentro del soporte experimental observado.</w:t>
            </w:r>
          </w:p>
        </w:tc>
      </w:tr>
      <w:tr w:rsidR="00704206" w:rsidRPr="002F4F30" w14:paraId="39B248ED" w14:textId="77777777" w:rsidTr="00A92DF0">
        <w:tc>
          <w:tcPr>
            <w:cnfStyle w:val="001000000000" w:firstRow="0" w:lastRow="0" w:firstColumn="1" w:lastColumn="0" w:oddVBand="0" w:evenVBand="0" w:oddHBand="0" w:evenHBand="0" w:firstRowFirstColumn="0" w:firstRowLastColumn="0" w:lastRowFirstColumn="0" w:lastRowLastColumn="0"/>
            <w:tcW w:w="1757" w:type="dxa"/>
            <w:gridSpan w:val="2"/>
          </w:tcPr>
          <w:p w14:paraId="311F804F"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Realización operacional</w:t>
            </w:r>
          </w:p>
        </w:tc>
        <w:tc>
          <w:tcPr>
            <w:tcW w:w="2948" w:type="dxa"/>
            <w:gridSpan w:val="2"/>
          </w:tcPr>
          <w:p w14:paraId="208A2886"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¿El sistema puede exponerse a evidencia externa conservando estructura, provenance, incertidumbre y autoridad?</w:t>
            </w:r>
          </w:p>
        </w:tc>
        <w:tc>
          <w:tcPr>
            <w:tcW w:w="4535" w:type="dxa"/>
            <w:gridSpan w:val="2"/>
          </w:tcPr>
          <w:p w14:paraId="6F415DA4"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Autoriza afirmar transferencia operacional en la superficie efectivamente probada.</w:t>
            </w:r>
          </w:p>
        </w:tc>
      </w:tr>
      <w:tr w:rsidR="00704206" w:rsidRPr="002F4F30" w14:paraId="65603599"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gridSpan w:val="2"/>
          </w:tcPr>
          <w:p w14:paraId="07A478C1"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Validez externa</w:t>
            </w:r>
          </w:p>
        </w:tc>
        <w:tc>
          <w:tcPr>
            <w:tcW w:w="2948" w:type="dxa"/>
            <w:gridSpan w:val="2"/>
          </w:tcPr>
          <w:p w14:paraId="4BB9309F"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¿Hasta dónde sobrevive la propiedad al cambiar dominio, idioma, modalidad, proveedor, hardware, población o institución?</w:t>
            </w:r>
          </w:p>
        </w:tc>
        <w:tc>
          <w:tcPr>
            <w:tcW w:w="4535" w:type="dxa"/>
            <w:gridSpan w:val="2"/>
          </w:tcPr>
          <w:p w14:paraId="1A8B198F"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Delimita el alcance máximo; no crea retrospectivamente la propiedad que somete a extensión.</w:t>
            </w:r>
          </w:p>
        </w:tc>
      </w:tr>
      <w:tr w:rsidR="00704206" w:rsidRPr="00A92DF0" w14:paraId="6E1A63D0" w14:textId="77777777" w:rsidTr="00A92DF0">
        <w:tc>
          <w:tcPr>
            <w:cnfStyle w:val="001000000000" w:firstRow="0" w:lastRow="0" w:firstColumn="1" w:lastColumn="0" w:oddVBand="0" w:evenVBand="0" w:oddHBand="0" w:evenHBand="0" w:firstRowFirstColumn="0" w:firstRowLastColumn="0" w:lastRowFirstColumn="0" w:lastRowLastColumn="0"/>
            <w:tcW w:w="964" w:type="dxa"/>
          </w:tcPr>
          <w:p w14:paraId="36F526B1" w14:textId="77777777" w:rsidR="00704206" w:rsidRPr="00A92DF0" w:rsidRDefault="00C63637" w:rsidP="00A92DF0">
            <w:pPr>
              <w:spacing w:line="240" w:lineRule="auto"/>
              <w:rPr>
                <w:rFonts w:cs="Times New Roman"/>
                <w:sz w:val="16"/>
                <w:szCs w:val="16"/>
              </w:rPr>
            </w:pPr>
            <w:r w:rsidRPr="00A92DF0">
              <w:rPr>
                <w:rFonts w:cs="Times New Roman"/>
                <w:sz w:val="16"/>
                <w:szCs w:val="16"/>
              </w:rPr>
              <w:t>Par</w:t>
            </w:r>
          </w:p>
        </w:tc>
        <w:tc>
          <w:tcPr>
            <w:tcW w:w="2381" w:type="dxa"/>
            <w:gridSpan w:val="2"/>
          </w:tcPr>
          <w:p w14:paraId="75DA34A8" w14:textId="77777777" w:rsidR="00704206" w:rsidRPr="00A92DF0" w:rsidRDefault="00C63637" w:rsidP="00A92DF0">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b/>
                <w:sz w:val="16"/>
                <w:szCs w:val="16"/>
              </w:rPr>
              <w:t>Objeto</w:t>
            </w:r>
          </w:p>
        </w:tc>
        <w:tc>
          <w:tcPr>
            <w:tcW w:w="2268" w:type="dxa"/>
            <w:gridSpan w:val="2"/>
          </w:tcPr>
          <w:p w14:paraId="4F23017F" w14:textId="77777777" w:rsidR="00704206" w:rsidRPr="00A92DF0" w:rsidRDefault="00C63637" w:rsidP="00A92DF0">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b/>
                <w:sz w:val="16"/>
                <w:szCs w:val="16"/>
              </w:rPr>
              <w:t>Tipo de justificación alcanzado</w:t>
            </w:r>
          </w:p>
        </w:tc>
        <w:tc>
          <w:tcPr>
            <w:tcW w:w="3628" w:type="dxa"/>
          </w:tcPr>
          <w:p w14:paraId="0CFD57B5" w14:textId="77777777" w:rsidR="00704206" w:rsidRPr="00A92DF0" w:rsidRDefault="00C63637" w:rsidP="00A92DF0">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b/>
                <w:sz w:val="16"/>
                <w:szCs w:val="16"/>
              </w:rPr>
              <w:t>Dictamen</w:t>
            </w:r>
          </w:p>
        </w:tc>
      </w:tr>
      <w:tr w:rsidR="00704206" w:rsidRPr="002F4F30" w14:paraId="4FA751E8"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dxa"/>
          </w:tcPr>
          <w:p w14:paraId="05741116"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OG / HG</w:t>
            </w:r>
          </w:p>
        </w:tc>
        <w:tc>
          <w:tcPr>
            <w:tcW w:w="2381" w:type="dxa"/>
            <w:gridSpan w:val="2"/>
          </w:tcPr>
          <w:p w14:paraId="50C02978"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Representar, conservar y comparar organización inferencial entre realizaciones heterogéneas; existencia de estructura suficientemente general sin ontología global.</w:t>
            </w:r>
          </w:p>
        </w:tc>
        <w:tc>
          <w:tcPr>
            <w:tcW w:w="2268" w:type="dxa"/>
            <w:gridSpan w:val="2"/>
          </w:tcPr>
          <w:p w14:paraId="7703CE70"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Cierre formal + realización ejecutable + soporte interno; dominio externo abierto.</w:t>
            </w:r>
          </w:p>
        </w:tc>
        <w:tc>
          <w:tcPr>
            <w:tcW w:w="3628" w:type="dxa"/>
          </w:tcPr>
          <w:p w14:paraId="68138377"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Satisfecho en dimensión formal, constructiva e interna. La extensión máxima de «suficientemente general» permanece como problema de alcance.</w:t>
            </w:r>
          </w:p>
        </w:tc>
      </w:tr>
      <w:tr w:rsidR="00704206" w:rsidRPr="002F4F30" w14:paraId="540656E3" w14:textId="77777777" w:rsidTr="00A92DF0">
        <w:tc>
          <w:tcPr>
            <w:cnfStyle w:val="001000000000" w:firstRow="0" w:lastRow="0" w:firstColumn="1" w:lastColumn="0" w:oddVBand="0" w:evenVBand="0" w:oddHBand="0" w:evenHBand="0" w:firstRowFirstColumn="0" w:firstRowLastColumn="0" w:lastRowFirstColumn="0" w:lastRowLastColumn="0"/>
            <w:tcW w:w="964" w:type="dxa"/>
          </w:tcPr>
          <w:p w14:paraId="60FE1DC7"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O1 / H1</w:t>
            </w:r>
          </w:p>
        </w:tc>
        <w:tc>
          <w:tcPr>
            <w:tcW w:w="2381" w:type="dxa"/>
            <w:gridSpan w:val="2"/>
          </w:tcPr>
          <w:p w14:paraId="0FC935BC"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 xml:space="preserve">Separar capacidad semántica, estructura, continuidad y </w:t>
            </w:r>
            <w:r w:rsidRPr="00A92DF0">
              <w:rPr>
                <w:rFonts w:cs="Times New Roman"/>
                <w:sz w:val="16"/>
                <w:szCs w:val="16"/>
                <w:lang w:val="es-ES"/>
              </w:rPr>
              <w:lastRenderedPageBreak/>
              <w:t>autoridad.</w:t>
            </w:r>
          </w:p>
        </w:tc>
        <w:tc>
          <w:tcPr>
            <w:tcW w:w="2268" w:type="dxa"/>
            <w:gridSpan w:val="2"/>
          </w:tcPr>
          <w:p w14:paraId="351F29FD"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sz w:val="16"/>
                <w:szCs w:val="16"/>
              </w:rPr>
              <w:lastRenderedPageBreak/>
              <w:t>Formal + arquitectónico + experimental.</w:t>
            </w:r>
          </w:p>
        </w:tc>
        <w:tc>
          <w:tcPr>
            <w:tcW w:w="3628" w:type="dxa"/>
          </w:tcPr>
          <w:p w14:paraId="079AADB3"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 xml:space="preserve">Sostenida. La tesis demuestra que son dimensiones funcionalmente separables y gestionables por </w:t>
            </w:r>
            <w:r w:rsidRPr="00A92DF0">
              <w:rPr>
                <w:rFonts w:cs="Times New Roman"/>
                <w:sz w:val="16"/>
                <w:szCs w:val="16"/>
                <w:lang w:val="es-ES"/>
              </w:rPr>
              <w:lastRenderedPageBreak/>
              <w:t>componentes distintos.</w:t>
            </w:r>
          </w:p>
        </w:tc>
      </w:tr>
      <w:tr w:rsidR="00704206" w:rsidRPr="002F4F30" w14:paraId="7A230D30"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dxa"/>
          </w:tcPr>
          <w:p w14:paraId="12401869"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lastRenderedPageBreak/>
              <w:t>O2 / H2</w:t>
            </w:r>
          </w:p>
        </w:tc>
        <w:tc>
          <w:tcPr>
            <w:tcW w:w="2381" w:type="dxa"/>
            <w:gridSpan w:val="2"/>
          </w:tcPr>
          <w:p w14:paraId="3FF534BC"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Construir un formalismo explícito independiente del contenido semántico particular.</w:t>
            </w:r>
          </w:p>
        </w:tc>
        <w:tc>
          <w:tcPr>
            <w:tcW w:w="2268" w:type="dxa"/>
            <w:gridSpan w:val="2"/>
          </w:tcPr>
          <w:p w14:paraId="3CF4D9CD"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A92DF0">
              <w:rPr>
                <w:rFonts w:cs="Times New Roman"/>
                <w:sz w:val="16"/>
                <w:szCs w:val="16"/>
              </w:rPr>
              <w:t>Demostración constructiva.</w:t>
            </w:r>
          </w:p>
        </w:tc>
        <w:tc>
          <w:tcPr>
            <w:tcW w:w="3628" w:type="dxa"/>
          </w:tcPr>
          <w:p w14:paraId="18546E95"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Demostrada por la existencia del SCC y sus objetos fundacionales.</w:t>
            </w:r>
          </w:p>
        </w:tc>
      </w:tr>
      <w:tr w:rsidR="00704206" w:rsidRPr="002F4F30" w14:paraId="36078E72" w14:textId="77777777" w:rsidTr="00A92DF0">
        <w:tc>
          <w:tcPr>
            <w:cnfStyle w:val="001000000000" w:firstRow="0" w:lastRow="0" w:firstColumn="1" w:lastColumn="0" w:oddVBand="0" w:evenVBand="0" w:oddHBand="0" w:evenHBand="0" w:firstRowFirstColumn="0" w:firstRowLastColumn="0" w:lastRowFirstColumn="0" w:lastRowLastColumn="0"/>
            <w:tcW w:w="964" w:type="dxa"/>
          </w:tcPr>
          <w:p w14:paraId="2DBDDA15"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O3 / H3</w:t>
            </w:r>
          </w:p>
        </w:tc>
        <w:tc>
          <w:tcPr>
            <w:tcW w:w="2381" w:type="dxa"/>
            <w:gridSpan w:val="2"/>
          </w:tcPr>
          <w:p w14:paraId="676423FB"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Hacer calculables dirección, profundidad, recurrencia, cierre, transformación, correspondencia, equivalencia e invariancia.</w:t>
            </w:r>
          </w:p>
        </w:tc>
        <w:tc>
          <w:tcPr>
            <w:tcW w:w="2268" w:type="dxa"/>
            <w:gridSpan w:val="2"/>
          </w:tcPr>
          <w:p w14:paraId="07C5318C"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sz w:val="16"/>
                <w:szCs w:val="16"/>
              </w:rPr>
              <w:t>Formal + computacional.</w:t>
            </w:r>
          </w:p>
        </w:tc>
        <w:tc>
          <w:tcPr>
            <w:tcW w:w="3628" w:type="dxa"/>
          </w:tcPr>
          <w:p w14:paraId="330A87C6"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Demostrada dentro del SCC y realizada en CORE/ENGINE. La extensión empírica de cada invariante no debe confundirse con su definición calculable.</w:t>
            </w:r>
          </w:p>
        </w:tc>
      </w:tr>
      <w:tr w:rsidR="00704206" w:rsidRPr="002F4F30" w14:paraId="17318D49"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dxa"/>
          </w:tcPr>
          <w:p w14:paraId="5AF08B3F"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O4 / H4</w:t>
            </w:r>
          </w:p>
        </w:tc>
        <w:tc>
          <w:tcPr>
            <w:tcW w:w="2381" w:type="dxa"/>
            <w:gridSpan w:val="2"/>
          </w:tcPr>
          <w:p w14:paraId="591AD5F0"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Permitir cooperación heterogénea sin transferencia automática de estado longitudinal o autoridad global.</w:t>
            </w:r>
          </w:p>
        </w:tc>
        <w:tc>
          <w:tcPr>
            <w:tcW w:w="2268" w:type="dxa"/>
            <w:gridSpan w:val="2"/>
          </w:tcPr>
          <w:p w14:paraId="758E4129"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A92DF0">
              <w:rPr>
                <w:rFonts w:cs="Times New Roman"/>
                <w:sz w:val="16"/>
                <w:szCs w:val="16"/>
              </w:rPr>
              <w:t>Arquitectónico + experimental.</w:t>
            </w:r>
          </w:p>
        </w:tc>
        <w:tc>
          <w:tcPr>
            <w:tcW w:w="3628" w:type="dxa"/>
          </w:tcPr>
          <w:p w14:paraId="6D66AE17"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Sostenida. OPEN, CLOSED, routing, runtime y contratos de autoridad muestran cooperación sin apropiación necesaria del proceso.</w:t>
            </w:r>
          </w:p>
        </w:tc>
      </w:tr>
      <w:tr w:rsidR="00704206" w:rsidRPr="002F4F30" w14:paraId="438C9AC3" w14:textId="77777777" w:rsidTr="00A92DF0">
        <w:tc>
          <w:tcPr>
            <w:cnfStyle w:val="001000000000" w:firstRow="0" w:lastRow="0" w:firstColumn="1" w:lastColumn="0" w:oddVBand="0" w:evenVBand="0" w:oddHBand="0" w:evenHBand="0" w:firstRowFirstColumn="0" w:firstRowLastColumn="0" w:lastRowFirstColumn="0" w:lastRowLastColumn="0"/>
            <w:tcW w:w="964" w:type="dxa"/>
          </w:tcPr>
          <w:p w14:paraId="6305F6C5"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O5 / H5</w:t>
            </w:r>
          </w:p>
        </w:tc>
        <w:tc>
          <w:tcPr>
            <w:tcW w:w="2381" w:type="dxa"/>
            <w:gridSpan w:val="2"/>
          </w:tcPr>
          <w:p w14:paraId="76D8C7D1"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Preservar continuidad ante sustitución, pérdida o recuperación de capacidad.</w:t>
            </w:r>
          </w:p>
        </w:tc>
        <w:tc>
          <w:tcPr>
            <w:tcW w:w="2268" w:type="dxa"/>
            <w:gridSpan w:val="2"/>
          </w:tcPr>
          <w:p w14:paraId="75769E79"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sz w:val="16"/>
                <w:szCs w:val="16"/>
              </w:rPr>
              <w:t>Formal + longitudinal + experimental.</w:t>
            </w:r>
          </w:p>
        </w:tc>
        <w:tc>
          <w:tcPr>
            <w:tcW w:w="3628" w:type="dxa"/>
          </w:tcPr>
          <w:p w14:paraId="62AA8A68"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Sostenida bajo las condiciones ensayadas. La continuidad reside en información estructural persistente, no en identidad del proveedor.</w:t>
            </w:r>
          </w:p>
        </w:tc>
      </w:tr>
      <w:tr w:rsidR="00704206" w:rsidRPr="00A92DF0" w14:paraId="7B432B87"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dxa"/>
          </w:tcPr>
          <w:p w14:paraId="041A02A9"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O6 / H6</w:t>
            </w:r>
          </w:p>
        </w:tc>
        <w:tc>
          <w:tcPr>
            <w:tcW w:w="2381" w:type="dxa"/>
            <w:gridSpan w:val="2"/>
          </w:tcPr>
          <w:p w14:paraId="74E4BC5F"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Evaluar propiedades a través de una campaña progresivamente heterogénea.</w:t>
            </w:r>
          </w:p>
        </w:tc>
        <w:tc>
          <w:tcPr>
            <w:tcW w:w="2268" w:type="dxa"/>
            <w:gridSpan w:val="2"/>
          </w:tcPr>
          <w:p w14:paraId="061B8472"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A92DF0">
              <w:rPr>
                <w:rFonts w:cs="Times New Roman"/>
                <w:sz w:val="16"/>
                <w:szCs w:val="16"/>
              </w:rPr>
              <w:t>Experimental C0–C12.</w:t>
            </w:r>
          </w:p>
        </w:tc>
        <w:tc>
          <w:tcPr>
            <w:tcW w:w="3628" w:type="dxa"/>
          </w:tcPr>
          <w:p w14:paraId="68B4CDAC"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A92DF0">
              <w:rPr>
                <w:rFonts w:cs="Times New Roman"/>
                <w:sz w:val="16"/>
                <w:szCs w:val="16"/>
                <w:lang w:val="es-ES"/>
              </w:rPr>
              <w:t xml:space="preserve">Sostenida dentro del soporte de campaña, incluidos fallos y resultados no estimables. </w:t>
            </w:r>
            <w:r w:rsidRPr="00A92DF0">
              <w:rPr>
                <w:rFonts w:cs="Times New Roman"/>
                <w:sz w:val="16"/>
                <w:szCs w:val="16"/>
              </w:rPr>
              <w:t>No equivale a cobertura combinatoria universal.</w:t>
            </w:r>
          </w:p>
        </w:tc>
      </w:tr>
      <w:tr w:rsidR="00704206" w:rsidRPr="002F4F30" w14:paraId="46DB2D50" w14:textId="77777777" w:rsidTr="00A92DF0">
        <w:tc>
          <w:tcPr>
            <w:cnfStyle w:val="001000000000" w:firstRow="0" w:lastRow="0" w:firstColumn="1" w:lastColumn="0" w:oddVBand="0" w:evenVBand="0" w:oddHBand="0" w:evenHBand="0" w:firstRowFirstColumn="0" w:firstRowLastColumn="0" w:lastRowFirstColumn="0" w:lastRowLastColumn="0"/>
            <w:tcW w:w="964" w:type="dxa"/>
          </w:tcPr>
          <w:p w14:paraId="5AE9D766"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O7 / H7</w:t>
            </w:r>
          </w:p>
        </w:tc>
        <w:tc>
          <w:tcPr>
            <w:tcW w:w="2381" w:type="dxa"/>
            <w:gridSpan w:val="2"/>
          </w:tcPr>
          <w:p w14:paraId="57F9398C"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Conservar resultados negativos, no evaluables y fallos de contrato como evidencia.</w:t>
            </w:r>
          </w:p>
        </w:tc>
        <w:tc>
          <w:tcPr>
            <w:tcW w:w="2268" w:type="dxa"/>
            <w:gridSpan w:val="2"/>
          </w:tcPr>
          <w:p w14:paraId="0F21935E"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sz w:val="16"/>
                <w:szCs w:val="16"/>
              </w:rPr>
              <w:t>Operacional + evidence store.</w:t>
            </w:r>
          </w:p>
        </w:tc>
        <w:tc>
          <w:tcPr>
            <w:tcW w:w="3628" w:type="dxa"/>
          </w:tcPr>
          <w:p w14:paraId="161F3905"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Demostrada como propiedad del procedimiento experimental. El fracaso deja de ser residuo y pasa a ser estado informativo.</w:t>
            </w:r>
          </w:p>
        </w:tc>
      </w:tr>
      <w:tr w:rsidR="00704206" w:rsidRPr="002F4F30" w14:paraId="4894D92B"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dxa"/>
          </w:tcPr>
          <w:p w14:paraId="61662E40"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O8 / H8</w:t>
            </w:r>
          </w:p>
        </w:tc>
        <w:tc>
          <w:tcPr>
            <w:tcW w:w="2381" w:type="dxa"/>
            <w:gridSpan w:val="2"/>
          </w:tcPr>
          <w:p w14:paraId="28094570"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Transferir desde benchmark hacia evidencia documental mediante una superficie auditable.</w:t>
            </w:r>
          </w:p>
        </w:tc>
        <w:tc>
          <w:tcPr>
            <w:tcW w:w="2268" w:type="dxa"/>
            <w:gridSpan w:val="2"/>
          </w:tcPr>
          <w:p w14:paraId="06B99AA7"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A92DF0">
              <w:rPr>
                <w:rFonts w:cs="Times New Roman"/>
                <w:sz w:val="16"/>
                <w:szCs w:val="16"/>
              </w:rPr>
              <w:t>Realización operacional.</w:t>
            </w:r>
          </w:p>
        </w:tc>
        <w:tc>
          <w:tcPr>
            <w:tcW w:w="3628" w:type="dxa"/>
          </w:tcPr>
          <w:p w14:paraId="196EBEA7"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Sostenida en la superficie probada. Se refina la redacción inicial para no convertir todavía la heterogeneidad multidominio en resultado observado.</w:t>
            </w:r>
          </w:p>
        </w:tc>
      </w:tr>
      <w:tr w:rsidR="00704206" w:rsidRPr="002F4F30" w14:paraId="3FBE4E03" w14:textId="77777777" w:rsidTr="00A92DF0">
        <w:tc>
          <w:tcPr>
            <w:cnfStyle w:val="001000000000" w:firstRow="0" w:lastRow="0" w:firstColumn="1" w:lastColumn="0" w:oddVBand="0" w:evenVBand="0" w:oddHBand="0" w:evenHBand="0" w:firstRowFirstColumn="0" w:firstRowLastColumn="0" w:lastRowFirstColumn="0" w:lastRowLastColumn="0"/>
            <w:tcW w:w="964" w:type="dxa"/>
          </w:tcPr>
          <w:p w14:paraId="115C31EC"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O9 / H9</w:t>
            </w:r>
          </w:p>
        </w:tc>
        <w:tc>
          <w:tcPr>
            <w:tcW w:w="2381" w:type="dxa"/>
            <w:gridSpan w:val="2"/>
          </w:tcPr>
          <w:p w14:paraId="18F3E269"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Comparar MDPAR con antecedentes parciales y determinar si la conjunción arquitectónica es distinguible.</w:t>
            </w:r>
          </w:p>
        </w:tc>
        <w:tc>
          <w:tcPr>
            <w:tcW w:w="2268" w:type="dxa"/>
            <w:gridSpan w:val="2"/>
          </w:tcPr>
          <w:p w14:paraId="5F41880C"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A92DF0">
              <w:rPr>
                <w:rFonts w:cs="Times New Roman"/>
                <w:sz w:val="16"/>
                <w:szCs w:val="16"/>
              </w:rPr>
              <w:t>Análisis comparado + arquitectura.</w:t>
            </w:r>
          </w:p>
        </w:tc>
        <w:tc>
          <w:tcPr>
            <w:tcW w:w="3628" w:type="dxa"/>
          </w:tcPr>
          <w:p w14:paraId="700D0D26"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Sostenida. La novedad defendida es conjuntiva y arquitectónica, no la invención aislada de routing, memoria, provenance o representación.</w:t>
            </w:r>
          </w:p>
        </w:tc>
      </w:tr>
      <w:tr w:rsidR="00704206" w:rsidRPr="002F4F30" w14:paraId="0571D15D"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dxa"/>
          </w:tcPr>
          <w:p w14:paraId="02C38F74"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O10 / H10</w:t>
            </w:r>
          </w:p>
        </w:tc>
        <w:tc>
          <w:tcPr>
            <w:tcW w:w="2381" w:type="dxa"/>
            <w:gridSpan w:val="2"/>
          </w:tcPr>
          <w:p w14:paraId="2362F7C2"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Definir falsación, restricción y reformulación.</w:t>
            </w:r>
          </w:p>
        </w:tc>
        <w:tc>
          <w:tcPr>
            <w:tcW w:w="2268" w:type="dxa"/>
            <w:gridSpan w:val="2"/>
          </w:tcPr>
          <w:p w14:paraId="26C7A42C"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A92DF0">
              <w:rPr>
                <w:rFonts w:cs="Times New Roman"/>
                <w:sz w:val="16"/>
                <w:szCs w:val="16"/>
              </w:rPr>
              <w:t>Formal + metodológico + experimental.</w:t>
            </w:r>
          </w:p>
        </w:tc>
        <w:tc>
          <w:tcPr>
            <w:tcW w:w="3628" w:type="dxa"/>
          </w:tcPr>
          <w:p w14:paraId="53F1FC88"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Demostrada. Existen condiciones previas de invalidez y reglas que impiden rescatar retrospectivamente cualquier resultado.</w:t>
            </w:r>
          </w:p>
        </w:tc>
      </w:tr>
      <w:tr w:rsidR="00704206" w:rsidRPr="002F4F30" w14:paraId="0FC2F6B4" w14:textId="77777777" w:rsidTr="00A92DF0">
        <w:tc>
          <w:tcPr>
            <w:cnfStyle w:val="001000000000" w:firstRow="0" w:lastRow="0" w:firstColumn="1" w:lastColumn="0" w:oddVBand="0" w:evenVBand="0" w:oddHBand="0" w:evenHBand="0" w:firstRowFirstColumn="0" w:firstRowLastColumn="0" w:lastRowFirstColumn="0" w:lastRowLastColumn="0"/>
            <w:tcW w:w="964" w:type="dxa"/>
          </w:tcPr>
          <w:p w14:paraId="7A799C19" w14:textId="77777777" w:rsidR="00704206" w:rsidRPr="00A92DF0" w:rsidRDefault="00C63637" w:rsidP="00A92DF0">
            <w:pPr>
              <w:spacing w:after="60" w:line="240" w:lineRule="auto"/>
              <w:rPr>
                <w:rFonts w:cs="Times New Roman"/>
                <w:sz w:val="16"/>
                <w:szCs w:val="16"/>
              </w:rPr>
            </w:pPr>
            <w:r w:rsidRPr="00A92DF0">
              <w:rPr>
                <w:rFonts w:cs="Times New Roman"/>
                <w:sz w:val="16"/>
                <w:szCs w:val="16"/>
              </w:rPr>
              <w:t>O11 / H11</w:t>
            </w:r>
          </w:p>
        </w:tc>
        <w:tc>
          <w:tcPr>
            <w:tcW w:w="2381" w:type="dxa"/>
            <w:gridSpan w:val="2"/>
          </w:tcPr>
          <w:p w14:paraId="26665795"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Analizar consecuencias de separar organización inferencial y proveedor semántico.</w:t>
            </w:r>
          </w:p>
        </w:tc>
        <w:tc>
          <w:tcPr>
            <w:tcW w:w="2268" w:type="dxa"/>
            <w:gridSpan w:val="2"/>
          </w:tcPr>
          <w:p w14:paraId="3F3AA334"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Formal + experimental + derivado + escenarios delimitados.</w:t>
            </w:r>
          </w:p>
        </w:tc>
        <w:tc>
          <w:tcPr>
            <w:tcW w:w="3628" w:type="dxa"/>
          </w:tcPr>
          <w:p w14:paraId="4793E4F2"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Sostenida. La Parte IV documenta consecuencias científicas, corporativas, económicas y sociales distinguiendo aquello medido, derivado, condicionado y pendiente de escala externa.</w:t>
            </w:r>
          </w:p>
        </w:tc>
      </w:tr>
      <w:tr w:rsidR="00704206" w:rsidRPr="002F4F30" w14:paraId="199A69C1"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gridSpan w:val="4"/>
          </w:tcPr>
          <w:p w14:paraId="457F0240" w14:textId="77777777" w:rsidR="00704206" w:rsidRPr="00A92DF0" w:rsidRDefault="00C63637" w:rsidP="00A92DF0">
            <w:pPr>
              <w:spacing w:line="240" w:lineRule="auto"/>
              <w:rPr>
                <w:rFonts w:cs="Times New Roman"/>
                <w:sz w:val="16"/>
                <w:szCs w:val="16"/>
              </w:rPr>
            </w:pPr>
            <w:r w:rsidRPr="00A92DF0">
              <w:rPr>
                <w:rFonts w:cs="Times New Roman"/>
                <w:sz w:val="16"/>
                <w:szCs w:val="16"/>
              </w:rPr>
              <w:t>Puede sostenerse al cierre</w:t>
            </w:r>
          </w:p>
        </w:tc>
        <w:tc>
          <w:tcPr>
            <w:tcW w:w="4819" w:type="dxa"/>
            <w:gridSpan w:val="2"/>
          </w:tcPr>
          <w:p w14:paraId="34862732" w14:textId="77777777" w:rsidR="00704206" w:rsidRPr="00A92DF0" w:rsidRDefault="00C63637" w:rsidP="00A92DF0">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b/>
                <w:sz w:val="16"/>
                <w:szCs w:val="16"/>
                <w:lang w:val="es-ES"/>
              </w:rPr>
              <w:t>No se sigue de la tesis</w:t>
            </w:r>
          </w:p>
        </w:tc>
      </w:tr>
      <w:tr w:rsidR="00704206" w:rsidRPr="002F4F30" w14:paraId="3AE7FE4A" w14:textId="77777777" w:rsidTr="00A92DF0">
        <w:tc>
          <w:tcPr>
            <w:cnfStyle w:val="001000000000" w:firstRow="0" w:lastRow="0" w:firstColumn="1" w:lastColumn="0" w:oddVBand="0" w:evenVBand="0" w:oddHBand="0" w:evenHBand="0" w:firstRowFirstColumn="0" w:firstRowLastColumn="0" w:lastRowFirstColumn="0" w:lastRowLastColumn="0"/>
            <w:tcW w:w="4819" w:type="dxa"/>
            <w:gridSpan w:val="4"/>
          </w:tcPr>
          <w:p w14:paraId="53D7DA9E" w14:textId="77777777" w:rsidR="00704206" w:rsidRPr="00A92DF0" w:rsidRDefault="00C63637" w:rsidP="00A92DF0">
            <w:pPr>
              <w:spacing w:after="60" w:line="240" w:lineRule="auto"/>
              <w:rPr>
                <w:rFonts w:cs="Times New Roman"/>
                <w:b w:val="0"/>
                <w:bCs w:val="0"/>
                <w:sz w:val="16"/>
                <w:szCs w:val="16"/>
                <w:lang w:val="es-ES"/>
              </w:rPr>
            </w:pPr>
            <w:r w:rsidRPr="00A92DF0">
              <w:rPr>
                <w:rFonts w:cs="Times New Roman"/>
                <w:b w:val="0"/>
                <w:bCs w:val="0"/>
                <w:sz w:val="16"/>
                <w:szCs w:val="16"/>
                <w:lang w:val="es-ES"/>
              </w:rPr>
              <w:t>Existe un formalismo autónomo capaz de representar y calcular propiedades estructurales de trayectorias inferenciales.</w:t>
            </w:r>
          </w:p>
        </w:tc>
        <w:tc>
          <w:tcPr>
            <w:tcW w:w="4819" w:type="dxa"/>
            <w:gridSpan w:val="2"/>
          </w:tcPr>
          <w:p w14:paraId="1AEAC082"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Que toda cognición posible deba adoptar necesariamente la forma del SCC.</w:t>
            </w:r>
          </w:p>
        </w:tc>
      </w:tr>
      <w:tr w:rsidR="00704206" w:rsidRPr="002F4F30" w14:paraId="0B8EAF5F"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gridSpan w:val="4"/>
          </w:tcPr>
          <w:p w14:paraId="71132629" w14:textId="77777777" w:rsidR="00704206" w:rsidRPr="00A92DF0" w:rsidRDefault="00C63637" w:rsidP="00A92DF0">
            <w:pPr>
              <w:spacing w:after="60" w:line="240" w:lineRule="auto"/>
              <w:rPr>
                <w:rFonts w:cs="Times New Roman"/>
                <w:b w:val="0"/>
                <w:bCs w:val="0"/>
                <w:sz w:val="16"/>
                <w:szCs w:val="16"/>
                <w:lang w:val="es-ES"/>
              </w:rPr>
            </w:pPr>
            <w:r w:rsidRPr="00A92DF0">
              <w:rPr>
                <w:rFonts w:cs="Times New Roman"/>
                <w:b w:val="0"/>
                <w:bCs w:val="0"/>
                <w:sz w:val="16"/>
                <w:szCs w:val="16"/>
                <w:lang w:val="es-ES"/>
              </w:rPr>
              <w:t>MDPAR realiza ese formalismo y separa funcionalmente estructura, semántica, continuidad y autoridad.</w:t>
            </w:r>
          </w:p>
        </w:tc>
        <w:tc>
          <w:tcPr>
            <w:tcW w:w="4819" w:type="dxa"/>
            <w:gridSpan w:val="2"/>
          </w:tcPr>
          <w:p w14:paraId="06ABE577"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Que la semántica sea prescindible o que los proveedores semánticos carezcan de valor.</w:t>
            </w:r>
          </w:p>
        </w:tc>
      </w:tr>
      <w:tr w:rsidR="00704206" w:rsidRPr="002F4F30" w14:paraId="5618083A" w14:textId="77777777" w:rsidTr="00A92DF0">
        <w:tc>
          <w:tcPr>
            <w:cnfStyle w:val="001000000000" w:firstRow="0" w:lastRow="0" w:firstColumn="1" w:lastColumn="0" w:oddVBand="0" w:evenVBand="0" w:oddHBand="0" w:evenHBand="0" w:firstRowFirstColumn="0" w:firstRowLastColumn="0" w:lastRowFirstColumn="0" w:lastRowLastColumn="0"/>
            <w:tcW w:w="4819" w:type="dxa"/>
            <w:gridSpan w:val="4"/>
          </w:tcPr>
          <w:p w14:paraId="7BEA7845" w14:textId="77777777" w:rsidR="00704206" w:rsidRPr="00A92DF0" w:rsidRDefault="00C63637" w:rsidP="00A92DF0">
            <w:pPr>
              <w:spacing w:after="60" w:line="240" w:lineRule="auto"/>
              <w:rPr>
                <w:rFonts w:cs="Times New Roman"/>
                <w:b w:val="0"/>
                <w:bCs w:val="0"/>
                <w:sz w:val="16"/>
                <w:szCs w:val="16"/>
                <w:lang w:val="es-ES"/>
              </w:rPr>
            </w:pPr>
            <w:r w:rsidRPr="00A92DF0">
              <w:rPr>
                <w:rFonts w:cs="Times New Roman"/>
                <w:b w:val="0"/>
                <w:bCs w:val="0"/>
                <w:sz w:val="16"/>
                <w:szCs w:val="16"/>
                <w:lang w:val="es-ES"/>
              </w:rPr>
              <w:t>Determinadas propiedades pueden compararse y transportarse entre realizaciones sin exigir identidad semántica global.</w:t>
            </w:r>
          </w:p>
        </w:tc>
        <w:tc>
          <w:tcPr>
            <w:tcW w:w="4819" w:type="dxa"/>
            <w:gridSpan w:val="2"/>
          </w:tcPr>
          <w:p w14:paraId="6D14E813"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Que equivalencia estructural implique equivalencia semántica o verdad factual.</w:t>
            </w:r>
          </w:p>
        </w:tc>
      </w:tr>
      <w:tr w:rsidR="00704206" w:rsidRPr="002F4F30" w14:paraId="13125FDA"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gridSpan w:val="4"/>
          </w:tcPr>
          <w:p w14:paraId="7300857D" w14:textId="77777777" w:rsidR="00704206" w:rsidRPr="00A92DF0" w:rsidRDefault="00C63637" w:rsidP="00A92DF0">
            <w:pPr>
              <w:spacing w:after="60" w:line="240" w:lineRule="auto"/>
              <w:rPr>
                <w:rFonts w:cs="Times New Roman"/>
                <w:b w:val="0"/>
                <w:bCs w:val="0"/>
                <w:sz w:val="16"/>
                <w:szCs w:val="16"/>
                <w:lang w:val="es-ES"/>
              </w:rPr>
            </w:pPr>
            <w:r w:rsidRPr="00A92DF0">
              <w:rPr>
                <w:rFonts w:cs="Times New Roman"/>
                <w:b w:val="0"/>
                <w:bCs w:val="0"/>
                <w:sz w:val="16"/>
                <w:szCs w:val="16"/>
                <w:lang w:val="es-ES"/>
              </w:rPr>
              <w:t>La continuidad del proceso puede mantenerse sin identidad del proveedor cuando persiste el estado estructural requerido.</w:t>
            </w:r>
          </w:p>
        </w:tc>
        <w:tc>
          <w:tcPr>
            <w:tcW w:w="4819" w:type="dxa"/>
            <w:gridSpan w:val="2"/>
          </w:tcPr>
          <w:p w14:paraId="760E063E"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Que cualquier sustitución de cualquier capacidad sea siempre transparente.</w:t>
            </w:r>
          </w:p>
        </w:tc>
      </w:tr>
      <w:tr w:rsidR="00704206" w:rsidRPr="002F4F30" w14:paraId="04774DCF" w14:textId="77777777" w:rsidTr="00A92DF0">
        <w:tc>
          <w:tcPr>
            <w:cnfStyle w:val="001000000000" w:firstRow="0" w:lastRow="0" w:firstColumn="1" w:lastColumn="0" w:oddVBand="0" w:evenVBand="0" w:oddHBand="0" w:evenHBand="0" w:firstRowFirstColumn="0" w:firstRowLastColumn="0" w:lastRowFirstColumn="0" w:lastRowLastColumn="0"/>
            <w:tcW w:w="4819" w:type="dxa"/>
            <w:gridSpan w:val="4"/>
          </w:tcPr>
          <w:p w14:paraId="42F3F441" w14:textId="77777777" w:rsidR="00704206" w:rsidRPr="00A92DF0" w:rsidRDefault="00C63637" w:rsidP="00A92DF0">
            <w:pPr>
              <w:spacing w:after="60" w:line="240" w:lineRule="auto"/>
              <w:rPr>
                <w:rFonts w:cs="Times New Roman"/>
                <w:b w:val="0"/>
                <w:bCs w:val="0"/>
                <w:sz w:val="16"/>
                <w:szCs w:val="16"/>
                <w:lang w:val="es-ES"/>
              </w:rPr>
            </w:pPr>
            <w:r w:rsidRPr="00A92DF0">
              <w:rPr>
                <w:rFonts w:cs="Times New Roman"/>
                <w:b w:val="0"/>
                <w:bCs w:val="0"/>
                <w:sz w:val="16"/>
                <w:szCs w:val="16"/>
                <w:lang w:val="es-ES"/>
              </w:rPr>
              <w:t>Los resultados negativos, UNKNOWN, UNEVALUABLE y los fallos de contrato pueden conservar valor informativo.</w:t>
            </w:r>
          </w:p>
        </w:tc>
        <w:tc>
          <w:tcPr>
            <w:tcW w:w="4819" w:type="dxa"/>
            <w:gridSpan w:val="2"/>
          </w:tcPr>
          <w:p w14:paraId="23EE3516"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Que la ausencia de respuesta sea automáticamente evidencia a favor de una hipótesis.</w:t>
            </w:r>
          </w:p>
        </w:tc>
      </w:tr>
      <w:tr w:rsidR="00704206" w:rsidRPr="002F4F30" w14:paraId="24D7021D"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gridSpan w:val="4"/>
          </w:tcPr>
          <w:p w14:paraId="6FF0B63E" w14:textId="77777777" w:rsidR="00704206" w:rsidRPr="00A92DF0" w:rsidRDefault="00C63637" w:rsidP="00A92DF0">
            <w:pPr>
              <w:spacing w:after="60" w:line="240" w:lineRule="auto"/>
              <w:rPr>
                <w:rFonts w:cs="Times New Roman"/>
                <w:b w:val="0"/>
                <w:bCs w:val="0"/>
                <w:sz w:val="16"/>
                <w:szCs w:val="16"/>
                <w:lang w:val="es-ES"/>
              </w:rPr>
            </w:pPr>
            <w:r w:rsidRPr="00A92DF0">
              <w:rPr>
                <w:rFonts w:cs="Times New Roman"/>
                <w:b w:val="0"/>
                <w:bCs w:val="0"/>
                <w:sz w:val="16"/>
                <w:szCs w:val="16"/>
                <w:lang w:val="es-ES"/>
              </w:rPr>
              <w:t>Una superficie operacional puede producir un expediente estructurado, trazable y contestable manteniendo autoridad externa.</w:t>
            </w:r>
          </w:p>
        </w:tc>
        <w:tc>
          <w:tcPr>
            <w:tcW w:w="4819" w:type="dxa"/>
            <w:gridSpan w:val="2"/>
          </w:tcPr>
          <w:p w14:paraId="008C63A3"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Que MDPAR adquiera por ello autoridad jurídica, clínica, científica o institucional.</w:t>
            </w:r>
          </w:p>
        </w:tc>
      </w:tr>
      <w:tr w:rsidR="00704206" w:rsidRPr="002F4F30" w14:paraId="37A4FBD9" w14:textId="77777777" w:rsidTr="00A92DF0">
        <w:tc>
          <w:tcPr>
            <w:cnfStyle w:val="001000000000" w:firstRow="0" w:lastRow="0" w:firstColumn="1" w:lastColumn="0" w:oddVBand="0" w:evenVBand="0" w:oddHBand="0" w:evenHBand="0" w:firstRowFirstColumn="0" w:firstRowLastColumn="0" w:lastRowFirstColumn="0" w:lastRowLastColumn="0"/>
            <w:tcW w:w="4819" w:type="dxa"/>
            <w:gridSpan w:val="4"/>
          </w:tcPr>
          <w:p w14:paraId="6778D838" w14:textId="77777777" w:rsidR="00704206" w:rsidRPr="00A92DF0" w:rsidRDefault="00C63637" w:rsidP="00A92DF0">
            <w:pPr>
              <w:spacing w:after="60" w:line="240" w:lineRule="auto"/>
              <w:rPr>
                <w:rFonts w:cs="Times New Roman"/>
                <w:b w:val="0"/>
                <w:bCs w:val="0"/>
                <w:sz w:val="16"/>
                <w:szCs w:val="16"/>
                <w:lang w:val="es-ES"/>
              </w:rPr>
            </w:pPr>
            <w:r w:rsidRPr="00A92DF0">
              <w:rPr>
                <w:rFonts w:cs="Times New Roman"/>
                <w:b w:val="0"/>
                <w:bCs w:val="0"/>
                <w:sz w:val="16"/>
                <w:szCs w:val="16"/>
                <w:lang w:val="es-ES"/>
              </w:rPr>
              <w:t>La separación de organización inferencial y proveedor semántico genera consecuencias científicas, corporativas, económicas y sociales identificables.</w:t>
            </w:r>
          </w:p>
        </w:tc>
        <w:tc>
          <w:tcPr>
            <w:tcW w:w="4819" w:type="dxa"/>
            <w:gridSpan w:val="2"/>
          </w:tcPr>
          <w:p w14:paraId="220BBED7" w14:textId="77777777" w:rsidR="00704206" w:rsidRPr="00A92DF0" w:rsidRDefault="00C63637" w:rsidP="00A92DF0">
            <w:pPr>
              <w:spacing w:after="60"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lang w:val="es-ES"/>
              </w:rPr>
            </w:pPr>
            <w:r w:rsidRPr="00A92DF0">
              <w:rPr>
                <w:rFonts w:cs="Times New Roman"/>
                <w:sz w:val="16"/>
                <w:szCs w:val="16"/>
                <w:lang w:val="es-ES"/>
              </w:rPr>
              <w:t>Que todas sus magnitudes poblacionales o de mercado estén ya medidas.</w:t>
            </w:r>
          </w:p>
        </w:tc>
      </w:tr>
      <w:tr w:rsidR="00704206" w:rsidRPr="002F4F30" w14:paraId="26C8474B" w14:textId="77777777" w:rsidTr="00A92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gridSpan w:val="4"/>
          </w:tcPr>
          <w:p w14:paraId="4F5E8115" w14:textId="77777777" w:rsidR="00704206" w:rsidRPr="00A92DF0" w:rsidRDefault="00C63637" w:rsidP="00A92DF0">
            <w:pPr>
              <w:spacing w:after="60" w:line="240" w:lineRule="auto"/>
              <w:rPr>
                <w:rFonts w:cs="Times New Roman"/>
                <w:b w:val="0"/>
                <w:bCs w:val="0"/>
                <w:sz w:val="16"/>
                <w:szCs w:val="16"/>
                <w:lang w:val="es-ES"/>
              </w:rPr>
            </w:pPr>
            <w:r w:rsidRPr="00A92DF0">
              <w:rPr>
                <w:rFonts w:cs="Times New Roman"/>
                <w:b w:val="0"/>
                <w:bCs w:val="0"/>
                <w:sz w:val="16"/>
                <w:szCs w:val="16"/>
                <w:lang w:val="es-ES"/>
              </w:rPr>
              <w:t>MDPAR-H posee contenido formal, realización interna y condiciones explícitas de falsación.</w:t>
            </w:r>
          </w:p>
        </w:tc>
        <w:tc>
          <w:tcPr>
            <w:tcW w:w="4819" w:type="dxa"/>
            <w:gridSpan w:val="2"/>
          </w:tcPr>
          <w:p w14:paraId="778AE6E1" w14:textId="77777777" w:rsidR="00704206" w:rsidRPr="00A92DF0" w:rsidRDefault="00C63637" w:rsidP="00A92DF0">
            <w:pPr>
              <w:spacing w:after="60"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lang w:val="es-ES"/>
              </w:rPr>
            </w:pPr>
            <w:r w:rsidRPr="00A92DF0">
              <w:rPr>
                <w:rFonts w:cs="Times New Roman"/>
                <w:sz w:val="16"/>
                <w:szCs w:val="16"/>
                <w:lang w:val="es-ES"/>
              </w:rPr>
              <w:t>Que su dominio externo máximo haya quedado agotado por C0–C12 o por una única superficie profesional.</w:t>
            </w:r>
          </w:p>
        </w:tc>
      </w:tr>
    </w:tbl>
    <w:p w14:paraId="6C63BDF8" w14:textId="77777777" w:rsidR="00C07D4D" w:rsidRDefault="00C07D4D" w:rsidP="00C07D4D">
      <w:pPr>
        <w:pStyle w:val="MDPARProfileH1"/>
        <w:spacing w:before="0" w:after="0" w:line="360" w:lineRule="auto"/>
        <w:jc w:val="both"/>
        <w:rPr>
          <w:sz w:val="24"/>
          <w:szCs w:val="20"/>
          <w:lang w:val="es-ES"/>
        </w:rPr>
      </w:pPr>
    </w:p>
    <w:p w14:paraId="497BB600" w14:textId="77777777" w:rsidR="00C07D4D" w:rsidRDefault="00C07D4D">
      <w:pPr>
        <w:spacing w:after="200" w:line="276" w:lineRule="auto"/>
        <w:rPr>
          <w:b/>
          <w:szCs w:val="20"/>
          <w:lang w:val="es-ES"/>
        </w:rPr>
      </w:pPr>
      <w:r>
        <w:rPr>
          <w:szCs w:val="20"/>
          <w:lang w:val="es-ES"/>
        </w:rPr>
        <w:br w:type="page"/>
      </w:r>
    </w:p>
    <w:p w14:paraId="2A01EED9" w14:textId="77777777" w:rsidR="00704206" w:rsidRPr="00323398" w:rsidRDefault="00C63637" w:rsidP="00323398">
      <w:pPr>
        <w:pStyle w:val="MDPARProfileH1"/>
        <w:spacing w:before="0" w:after="0" w:line="360" w:lineRule="auto"/>
        <w:jc w:val="both"/>
        <w:outlineLvl w:val="0"/>
        <w:rPr>
          <w:sz w:val="24"/>
          <w:szCs w:val="20"/>
          <w:lang w:val="es-ES"/>
        </w:rPr>
      </w:pPr>
      <w:bookmarkStart w:id="104" w:name="_Toc242721940"/>
      <w:r w:rsidRPr="00323398">
        <w:rPr>
          <w:sz w:val="24"/>
          <w:szCs w:val="20"/>
          <w:lang w:val="es-ES"/>
        </w:rPr>
        <w:lastRenderedPageBreak/>
        <w:t>Capítulo 13: Repercusiones</w:t>
      </w:r>
      <w:bookmarkEnd w:id="104"/>
    </w:p>
    <w:p w14:paraId="2734D44C" w14:textId="77777777" w:rsidR="00323398" w:rsidRDefault="00323398">
      <w:pPr>
        <w:pStyle w:val="MDPARThesisBody"/>
        <w:rPr>
          <w:lang w:val="es-ES"/>
        </w:rPr>
      </w:pPr>
    </w:p>
    <w:p w14:paraId="30C13CCE" w14:textId="77777777" w:rsidR="00704206" w:rsidRDefault="00C63637">
      <w:pPr>
        <w:pStyle w:val="MDPARThesisBody"/>
        <w:rPr>
          <w:lang w:val="es-ES"/>
        </w:rPr>
      </w:pPr>
      <w:r w:rsidRPr="00CE55D6">
        <w:rPr>
          <w:lang w:val="es-ES"/>
        </w:rPr>
        <w:t>Las repercusiones que siguen no son un inventario de aplicaciones ni una segunda demostración de originalidad. Se derivan de tres objetos diferenciados en el capítulo 12: el SCC como formalismo matemático autónomo; MDPAR como realización arquitectónica y ejecutable; y su articulación como programa de contraste experimental. En cada disciplina se distingue la consecuencia conceptual de la construcción, la responsabilidad efectivamente realizada y la extensión externa que todavía requiere validación. Las líneas de invarianza lingüística, ciberseguridad y cierre del problema de decisión se formulan aquí como problemas investigables, no como prestaciones universales ya acreditadas.</w:t>
      </w:r>
    </w:p>
    <w:p w14:paraId="00467279" w14:textId="77777777" w:rsidR="00323398" w:rsidRPr="003E4238" w:rsidRDefault="00323398">
      <w:pPr>
        <w:pStyle w:val="MDPARThesisBody"/>
        <w:rPr>
          <w:lang w:val="es-ES"/>
        </w:rPr>
      </w:pPr>
    </w:p>
    <w:p w14:paraId="29A231F3" w14:textId="77777777" w:rsidR="00704206" w:rsidRPr="00323398" w:rsidRDefault="00C63637" w:rsidP="00323398">
      <w:pPr>
        <w:pStyle w:val="MDPARProfileCallout"/>
        <w:spacing w:before="0" w:after="0" w:line="360" w:lineRule="auto"/>
        <w:jc w:val="both"/>
        <w:rPr>
          <w:sz w:val="20"/>
          <w:szCs w:val="18"/>
          <w:lang w:val="es-ES"/>
        </w:rPr>
      </w:pPr>
      <w:r w:rsidRPr="00323398">
        <w:rPr>
          <w:sz w:val="20"/>
          <w:szCs w:val="18"/>
          <w:lang w:val="es-ES"/>
        </w:rPr>
        <w:t>Una repercusión no es una promesa de futuro. Es aquello que cambia en la formulación de un problema si se aceptan como premisas los resultados que la tesis ya ha establecido.</w:t>
      </w:r>
    </w:p>
    <w:p w14:paraId="4E62EE47" w14:textId="77777777" w:rsidR="00323398" w:rsidRDefault="00323398">
      <w:pPr>
        <w:pStyle w:val="MDPARProfileH2"/>
        <w:rPr>
          <w:lang w:val="es-ES"/>
        </w:rPr>
      </w:pPr>
    </w:p>
    <w:p w14:paraId="445BE818" w14:textId="77777777" w:rsidR="00751CC2" w:rsidRDefault="00C63637" w:rsidP="00751CC2">
      <w:pPr>
        <w:pStyle w:val="MDPARProfileH2"/>
        <w:spacing w:before="0" w:after="0" w:line="360" w:lineRule="auto"/>
        <w:ind w:firstLine="709"/>
        <w:jc w:val="both"/>
        <w:outlineLvl w:val="1"/>
        <w:rPr>
          <w:lang w:val="es-ES"/>
        </w:rPr>
      </w:pPr>
      <w:bookmarkStart w:id="105" w:name="_Toc242721941"/>
      <w:r w:rsidRPr="003E4238">
        <w:rPr>
          <w:lang w:val="es-ES"/>
        </w:rPr>
        <w:t>13.1. Filología y lingüística: de la interlingua semántica a la senda de invariancia</w:t>
      </w:r>
      <w:bookmarkEnd w:id="105"/>
    </w:p>
    <w:p w14:paraId="14E3B371" w14:textId="77777777" w:rsidR="00803B61" w:rsidRDefault="00751CC2">
      <w:pPr>
        <w:pStyle w:val="MDPARThesisBody"/>
        <w:rPr>
          <w:lang w:val="es-ES"/>
        </w:rPr>
      </w:pPr>
      <w:r w:rsidRPr="0027708B">
        <w:rPr>
          <w:lang w:val="es-ES"/>
        </w:rPr>
        <w:t>Las interlinguas semánticas y los esquemas de anotación interlingüística permiten comparar expresiones lingüísticas mediante compromisos representacionales explícitos. AMR, UCCA y Universal Dependencies son antecedentes distintos, no equivalentes entre sí: sus inventarios semánticos o gramaticales persiguen objetivos propios. El SCC desplaza la pregunta hacia las propiedades de organización inferencial que podrían conservarse entre realizaciones lingüísticas sin imponer al núcleo una ontología semántica global. Ello no elimina los adaptadores de observación ni las decisiones lingüísticas que permiten construir cada representación.</w:t>
      </w:r>
    </w:p>
    <w:p w14:paraId="7E67BDE7" w14:textId="77777777" w:rsidR="00751CC2" w:rsidRPr="00751CC2" w:rsidRDefault="00751CC2">
      <w:pPr>
        <w:pStyle w:val="MDPARThesisBody"/>
        <w:rPr>
          <w:lang w:val="es-ES"/>
        </w:rPr>
      </w:pPr>
    </w:p>
    <w:tbl>
      <w:tblPr>
        <w:tblStyle w:val="Tablanormal2"/>
        <w:tblW w:w="0" w:type="auto"/>
        <w:tblLook w:val="04A0" w:firstRow="1" w:lastRow="0" w:firstColumn="1" w:lastColumn="0" w:noHBand="0" w:noVBand="1"/>
      </w:tblPr>
      <w:tblGrid>
        <w:gridCol w:w="2765"/>
        <w:gridCol w:w="2865"/>
        <w:gridCol w:w="3374"/>
      </w:tblGrid>
      <w:tr w:rsidR="00704206" w:rsidRPr="00803B61" w14:paraId="0BFF8EEF" w14:textId="77777777" w:rsidTr="00803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CED4E89" w14:textId="77777777" w:rsidR="00704206" w:rsidRPr="00803B61" w:rsidRDefault="00C63637" w:rsidP="00323398">
            <w:pPr>
              <w:spacing w:line="240" w:lineRule="auto"/>
              <w:rPr>
                <w:sz w:val="16"/>
                <w:szCs w:val="16"/>
              </w:rPr>
            </w:pPr>
            <w:r w:rsidRPr="00803B61">
              <w:rPr>
                <w:sz w:val="16"/>
                <w:szCs w:val="16"/>
              </w:rPr>
              <w:t>Problema previo</w:t>
            </w:r>
          </w:p>
        </w:tc>
        <w:tc>
          <w:tcPr>
            <w:tcW w:w="3061" w:type="dxa"/>
          </w:tcPr>
          <w:p w14:paraId="66EAD547" w14:textId="77777777" w:rsidR="00704206" w:rsidRPr="00803B61" w:rsidRDefault="00C63637" w:rsidP="00323398">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803B61">
              <w:rPr>
                <w:sz w:val="16"/>
                <w:szCs w:val="16"/>
              </w:rPr>
              <w:t>Error de delimitación</w:t>
            </w:r>
          </w:p>
        </w:tc>
        <w:tc>
          <w:tcPr>
            <w:tcW w:w="3628" w:type="dxa"/>
          </w:tcPr>
          <w:p w14:paraId="5A04FA34" w14:textId="77777777" w:rsidR="00704206" w:rsidRPr="00803B61" w:rsidRDefault="00C63637" w:rsidP="00323398">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803B61">
              <w:rPr>
                <w:sz w:val="16"/>
                <w:szCs w:val="16"/>
              </w:rPr>
              <w:t>Solución MDPAR</w:t>
            </w:r>
          </w:p>
        </w:tc>
      </w:tr>
      <w:tr w:rsidR="00704206" w:rsidRPr="002F4F30" w14:paraId="4E79368D"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61B2BD5" w14:textId="77777777" w:rsidR="00704206" w:rsidRPr="00803B61" w:rsidRDefault="00751CC2" w:rsidP="00323398">
            <w:pPr>
              <w:spacing w:after="60" w:line="240" w:lineRule="auto"/>
              <w:rPr>
                <w:sz w:val="16"/>
                <w:szCs w:val="16"/>
                <w:lang w:val="es-ES"/>
              </w:rPr>
            </w:pPr>
            <w:r>
              <w:rPr>
                <w:sz w:val="16"/>
                <w:szCs w:val="16"/>
                <w:lang w:val="es-ES"/>
              </w:rPr>
              <w:t>Comparar la organización inferencial expresada en lenguas diferentes</w:t>
            </w:r>
          </w:p>
        </w:tc>
        <w:tc>
          <w:tcPr>
            <w:tcW w:w="3061" w:type="dxa"/>
          </w:tcPr>
          <w:p w14:paraId="3B6D6F62" w14:textId="77777777" w:rsidR="00704206" w:rsidRPr="00803B61" w:rsidRDefault="00751CC2" w:rsidP="00323398">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Pr>
                <w:sz w:val="16"/>
                <w:szCs w:val="16"/>
                <w:lang w:val="es-ES"/>
              </w:rPr>
              <w:t>Suponer que la comparación estructural exige equivalencia semántica completa o identidad de representación</w:t>
            </w:r>
          </w:p>
        </w:tc>
        <w:tc>
          <w:tcPr>
            <w:tcW w:w="3628" w:type="dxa"/>
          </w:tcPr>
          <w:p w14:paraId="7056D6BE" w14:textId="77777777" w:rsidR="00704206" w:rsidRPr="00803B61" w:rsidRDefault="00C63637" w:rsidP="00323398">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 xml:space="preserve">Representar </w:t>
            </w:r>
            <w:r w:rsidR="00751CC2">
              <w:rPr>
                <w:sz w:val="16"/>
                <w:szCs w:val="16"/>
                <w:lang w:val="es-ES"/>
              </w:rPr>
              <w:t>las realizaciones mediante trayectorias SCCC y declarar correspondencias y propiedades transportables sin exigir identidad semántica global</w:t>
            </w:r>
          </w:p>
        </w:tc>
      </w:tr>
      <w:tr w:rsidR="00704206" w:rsidRPr="002F4F30" w14:paraId="35B3C923" w14:textId="77777777" w:rsidTr="00803B61">
        <w:tc>
          <w:tcPr>
            <w:cnfStyle w:val="001000000000" w:firstRow="0" w:lastRow="0" w:firstColumn="1" w:lastColumn="0" w:oddVBand="0" w:evenVBand="0" w:oddHBand="0" w:evenHBand="0" w:firstRowFirstColumn="0" w:firstRowLastColumn="0" w:lastRowFirstColumn="0" w:lastRowLastColumn="0"/>
            <w:tcW w:w="2948" w:type="dxa"/>
          </w:tcPr>
          <w:p w14:paraId="1B2E9F0F" w14:textId="77777777" w:rsidR="00704206" w:rsidRPr="00803B61" w:rsidRDefault="00C63637" w:rsidP="00323398">
            <w:pPr>
              <w:spacing w:after="60" w:line="240" w:lineRule="auto"/>
              <w:rPr>
                <w:sz w:val="16"/>
                <w:szCs w:val="16"/>
              </w:rPr>
            </w:pPr>
            <w:r w:rsidRPr="00803B61">
              <w:rPr>
                <w:sz w:val="16"/>
                <w:szCs w:val="16"/>
              </w:rPr>
              <w:t>Definir invariancia interlingüística.</w:t>
            </w:r>
          </w:p>
        </w:tc>
        <w:tc>
          <w:tcPr>
            <w:tcW w:w="3061" w:type="dxa"/>
          </w:tcPr>
          <w:p w14:paraId="6698C223" w14:textId="77777777" w:rsidR="00704206" w:rsidRPr="00803B61" w:rsidRDefault="00751CC2" w:rsidP="00323398">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Pr>
                <w:sz w:val="16"/>
                <w:szCs w:val="16"/>
                <w:lang w:val="es-ES"/>
              </w:rPr>
              <w:t>Confundir semejanza entre representaciones finales con conservación de una propiedad a lo largo de una transformación</w:t>
            </w:r>
          </w:p>
        </w:tc>
        <w:tc>
          <w:tcPr>
            <w:tcW w:w="3628" w:type="dxa"/>
          </w:tcPr>
          <w:p w14:paraId="0D5CA1B1" w14:textId="77777777" w:rsidR="00704206" w:rsidRPr="00803B61" w:rsidRDefault="00751CC2" w:rsidP="00323398">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Pr>
                <w:sz w:val="16"/>
                <w:szCs w:val="16"/>
                <w:lang w:val="es-ES"/>
              </w:rPr>
              <w:t>Definir una senda de correspondencia y transformación, con criterios explícitos de preservación, pérdida y recuperación respecto del origen</w:t>
            </w:r>
          </w:p>
        </w:tc>
      </w:tr>
      <w:tr w:rsidR="00704206" w:rsidRPr="002F4F30" w14:paraId="02E4B5A5"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D380248" w14:textId="77777777" w:rsidR="00704206" w:rsidRPr="00803B61" w:rsidRDefault="00C63637" w:rsidP="00323398">
            <w:pPr>
              <w:spacing w:after="60" w:line="240" w:lineRule="auto"/>
              <w:rPr>
                <w:sz w:val="16"/>
                <w:szCs w:val="16"/>
                <w:lang w:val="es-ES"/>
              </w:rPr>
            </w:pPr>
            <w:r w:rsidRPr="00803B61">
              <w:rPr>
                <w:sz w:val="16"/>
                <w:szCs w:val="16"/>
                <w:lang w:val="es-ES"/>
              </w:rPr>
              <w:t>Evaluar una traducción o re-realización.</w:t>
            </w:r>
          </w:p>
        </w:tc>
        <w:tc>
          <w:tcPr>
            <w:tcW w:w="3061" w:type="dxa"/>
          </w:tcPr>
          <w:p w14:paraId="78BC5154" w14:textId="77777777" w:rsidR="00704206" w:rsidRPr="00803B61" w:rsidRDefault="00751CC2" w:rsidP="00323398">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Pr>
                <w:sz w:val="16"/>
                <w:szCs w:val="16"/>
                <w:lang w:val="es-ES"/>
              </w:rPr>
              <w:t>Utilizar una medida agregada que no distinga fidelidad semántica y conservación de propiedades estructurales</w:t>
            </w:r>
          </w:p>
        </w:tc>
        <w:tc>
          <w:tcPr>
            <w:tcW w:w="3628" w:type="dxa"/>
          </w:tcPr>
          <w:p w14:paraId="6B89072A" w14:textId="77777777" w:rsidR="00704206" w:rsidRPr="00803B61" w:rsidRDefault="00751CC2" w:rsidP="00323398">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Pr>
                <w:sz w:val="16"/>
                <w:szCs w:val="16"/>
                <w:lang w:val="es-ES"/>
              </w:rPr>
              <w:t>Evaluar ambas dimensiones por separado y declarar qué propiedad se está contrastando en cada operación</w:t>
            </w:r>
          </w:p>
        </w:tc>
      </w:tr>
      <w:tr w:rsidR="00704206" w:rsidRPr="002F4F30" w14:paraId="58BF2BEA" w14:textId="77777777" w:rsidTr="00803B61">
        <w:tc>
          <w:tcPr>
            <w:cnfStyle w:val="001000000000" w:firstRow="0" w:lastRow="0" w:firstColumn="1" w:lastColumn="0" w:oddVBand="0" w:evenVBand="0" w:oddHBand="0" w:evenHBand="0" w:firstRowFirstColumn="0" w:firstRowLastColumn="0" w:lastRowFirstColumn="0" w:lastRowLastColumn="0"/>
            <w:tcW w:w="2948" w:type="dxa"/>
          </w:tcPr>
          <w:p w14:paraId="1B193743" w14:textId="77777777" w:rsidR="00704206" w:rsidRPr="00803B61" w:rsidRDefault="00C63637" w:rsidP="00323398">
            <w:pPr>
              <w:spacing w:after="60" w:line="240" w:lineRule="auto"/>
              <w:rPr>
                <w:sz w:val="16"/>
                <w:szCs w:val="16"/>
              </w:rPr>
            </w:pPr>
            <w:r w:rsidRPr="00803B61">
              <w:rPr>
                <w:sz w:val="16"/>
                <w:szCs w:val="16"/>
              </w:rPr>
              <w:t>Construir una interlingua universal.</w:t>
            </w:r>
          </w:p>
        </w:tc>
        <w:tc>
          <w:tcPr>
            <w:tcW w:w="3061" w:type="dxa"/>
          </w:tcPr>
          <w:p w14:paraId="3169C149" w14:textId="77777777" w:rsidR="00704206" w:rsidRPr="00803B61" w:rsidRDefault="00C63637" w:rsidP="00323398">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Suponer que cuanto más significado absorba la representación común, más universal será.</w:t>
            </w:r>
          </w:p>
        </w:tc>
        <w:tc>
          <w:tcPr>
            <w:tcW w:w="3628" w:type="dxa"/>
          </w:tcPr>
          <w:p w14:paraId="4128E3FD" w14:textId="77777777" w:rsidR="00704206" w:rsidRPr="00803B61" w:rsidRDefault="00C63637" w:rsidP="00323398">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Usar una representación estructural más austera, ontology-light, y mantener la interpretación semántica fuera del núcleo.</w:t>
            </w:r>
          </w:p>
        </w:tc>
      </w:tr>
    </w:tbl>
    <w:p w14:paraId="39048307" w14:textId="77777777" w:rsidR="00803B61" w:rsidRDefault="00803B61">
      <w:pPr>
        <w:pStyle w:val="MDPARThesisBody"/>
        <w:rPr>
          <w:b/>
          <w:bCs/>
          <w:lang w:val="es-ES"/>
        </w:rPr>
      </w:pPr>
    </w:p>
    <w:p w14:paraId="7D238745" w14:textId="77777777" w:rsidR="00704206" w:rsidRPr="00751CC2" w:rsidRDefault="00C63637">
      <w:pPr>
        <w:pStyle w:val="MDPARThesisBody"/>
        <w:rPr>
          <w:lang w:val="es-ES"/>
        </w:rPr>
      </w:pPr>
      <w:r w:rsidRPr="0027708B">
        <w:rPr>
          <w:b/>
          <w:bCs/>
          <w:lang w:val="es-ES"/>
        </w:rPr>
        <w:lastRenderedPageBreak/>
        <w:t>Repercusión.</w:t>
      </w:r>
      <w:r w:rsidRPr="0027708B">
        <w:rPr>
          <w:lang w:val="es-ES"/>
        </w:rPr>
        <w:t xml:space="preserve"> La unidad de comparación propuesta es la propiedad estructural declarada y su transporte a través de una senda admisible, no la semejanza superficial ni la identidad semántica completa de dos textos. El SCC permite diferenciar correspondencia, conservación local, composición de transformaciones, pérdida y eventual recuperación de una propiedad. MDPAR proporciona la vía ejecutable para recibir observaciones, reconstruir representaciones y verificar los contratos aplicables. La traducción, la paráfrasis y las diferencias tipológicas pasan</w:t>
      </w:r>
      <w:r w:rsidR="00CE55D6">
        <w:rPr>
          <w:lang w:val="es-ES"/>
        </w:rPr>
        <w:t>,</w:t>
      </w:r>
      <w:r w:rsidRPr="0027708B">
        <w:rPr>
          <w:lang w:val="es-ES"/>
        </w:rPr>
        <w:t xml:space="preserve"> así</w:t>
      </w:r>
      <w:r w:rsidR="00CE55D6">
        <w:rPr>
          <w:lang w:val="es-ES"/>
        </w:rPr>
        <w:t>,</w:t>
      </w:r>
      <w:r w:rsidRPr="0027708B">
        <w:rPr>
          <w:lang w:val="es-ES"/>
        </w:rPr>
        <w:t xml:space="preserve"> a constituir condiciones de contraste de una pregunta estructural precisa, no pruebas automáticas de universalidad.</w:t>
      </w:r>
    </w:p>
    <w:p w14:paraId="57095934" w14:textId="77777777" w:rsidR="00704206" w:rsidRPr="00751CC2" w:rsidRDefault="00C63637">
      <w:pPr>
        <w:pStyle w:val="MDPARThesisBody"/>
        <w:rPr>
          <w:lang w:val="es-ES"/>
        </w:rPr>
      </w:pPr>
      <w:r w:rsidRPr="0027708B">
        <w:rPr>
          <w:b/>
          <w:bCs/>
          <w:lang w:val="es-ES"/>
        </w:rPr>
        <w:t>Estatuto.</w:t>
      </w:r>
      <w:r w:rsidRPr="0027708B">
        <w:rPr>
          <w:lang w:val="es-ES"/>
        </w:rPr>
        <w:t xml:space="preserve"> Las operaciones de correspondencia, transporte e invariancia pertenecen al formalismo; su implementación acredita una realización computacional dentro de los contratos ensayados. No se ha establecido</w:t>
      </w:r>
      <w:r w:rsidR="00CE55D6">
        <w:rPr>
          <w:lang w:val="es-ES"/>
        </w:rPr>
        <w:t>,</w:t>
      </w:r>
      <w:r w:rsidRPr="0027708B">
        <w:rPr>
          <w:lang w:val="es-ES"/>
        </w:rPr>
        <w:t xml:space="preserve"> por ello</w:t>
      </w:r>
      <w:r w:rsidR="00CE55D6">
        <w:rPr>
          <w:lang w:val="es-ES"/>
        </w:rPr>
        <w:t>,</w:t>
      </w:r>
      <w:r w:rsidRPr="0027708B">
        <w:rPr>
          <w:lang w:val="es-ES"/>
        </w:rPr>
        <w:t xml:space="preserve"> la invariancia entre lenguas naturales ni la neutralidad de los adaptadores. La evaluación deberá distinguir preservación estructural, pérdida de información semántica en la observación, errores de reconstrucción y efectos de las transformaciones. C4 no exige identidad exacta entre realizaciones: su objeto es la conservación o transformación de propiedades declaradas bajo correspondencias admisibles. El programa interlingüístico queda pendiente de su contraste específico.</w:t>
      </w:r>
    </w:p>
    <w:p w14:paraId="1CAFF28A" w14:textId="77777777" w:rsidR="00323398" w:rsidRPr="003E4238" w:rsidRDefault="00323398">
      <w:pPr>
        <w:pStyle w:val="MDPARThesisBody"/>
        <w:rPr>
          <w:lang w:val="es-ES"/>
        </w:rPr>
      </w:pPr>
    </w:p>
    <w:p w14:paraId="24F85906" w14:textId="77777777" w:rsidR="00704206" w:rsidRPr="0027708B" w:rsidRDefault="00C63637" w:rsidP="00323398">
      <w:pPr>
        <w:pStyle w:val="MDPARProfileCallout"/>
        <w:spacing w:before="0" w:after="0" w:line="360" w:lineRule="auto"/>
        <w:ind w:left="238" w:right="119"/>
        <w:jc w:val="both"/>
        <w:rPr>
          <w:sz w:val="16"/>
          <w:szCs w:val="14"/>
          <w:lang w:val="es-ES"/>
        </w:rPr>
      </w:pPr>
      <w:r w:rsidRPr="0027708B">
        <w:rPr>
          <w:sz w:val="20"/>
          <w:szCs w:val="18"/>
          <w:lang w:val="es-ES"/>
        </w:rPr>
        <w:t>La posible universalidad relevante no reside en convertir todas las lenguas en una misma semántica, sino en determinar qué propiedades de organización pueden compararse y transportarse pese a sus diferencias.</w:t>
      </w:r>
    </w:p>
    <w:p w14:paraId="667BFA31" w14:textId="77777777" w:rsidR="00546EA4" w:rsidRDefault="00546EA4">
      <w:pPr>
        <w:pStyle w:val="MDPARProfileH2"/>
        <w:rPr>
          <w:lang w:val="es-ES"/>
        </w:rPr>
      </w:pPr>
    </w:p>
    <w:p w14:paraId="3D3A20CA" w14:textId="77777777" w:rsidR="00704206" w:rsidRPr="003E4238" w:rsidRDefault="00C63637" w:rsidP="00546EA4">
      <w:pPr>
        <w:pStyle w:val="MDPARProfileH2"/>
        <w:spacing w:before="0" w:after="0" w:line="360" w:lineRule="auto"/>
        <w:ind w:firstLine="709"/>
        <w:jc w:val="both"/>
        <w:outlineLvl w:val="1"/>
        <w:rPr>
          <w:lang w:val="es-ES"/>
        </w:rPr>
      </w:pPr>
      <w:bookmarkStart w:id="106" w:name="_Toc242721942"/>
      <w:r w:rsidRPr="003E4238">
        <w:rPr>
          <w:lang w:val="es-ES"/>
        </w:rPr>
        <w:t>13.2. Matemáticas: de describir inferencias a calcular propiedades de trayectorias</w:t>
      </w:r>
      <w:bookmarkEnd w:id="106"/>
    </w:p>
    <w:p w14:paraId="7A08A9F0" w14:textId="77777777" w:rsidR="00704206" w:rsidRDefault="00C63637">
      <w:pPr>
        <w:pStyle w:val="MDPARThesisBody"/>
        <w:rPr>
          <w:lang w:val="es-ES"/>
        </w:rPr>
      </w:pPr>
      <w:r w:rsidRPr="0027708B">
        <w:rPr>
          <w:lang w:val="es-ES"/>
        </w:rPr>
        <w:t>El SCC no es una notación para transcribir ideas ni un conjunto de métricas añadidas a un grafo. La Parte II define una familia de objetos —ocurrencias, estados, relaciones, trayectorias, correspondencias, transformaciones y realizaciones— junto con operaciones y condiciones de evaluabilidad. Su contribución matemática debe examinarse por la coherencia de ese sistema, sus propiedades derivadas y los problemas que permite formular, no por la novedad aislada de cada variable o construcción utilizada.</w:t>
      </w:r>
    </w:p>
    <w:p w14:paraId="396C641C" w14:textId="77777777" w:rsidR="00803B61" w:rsidRPr="003E4238" w:rsidRDefault="00803B61">
      <w:pPr>
        <w:pStyle w:val="MDPARThesisBody"/>
        <w:rPr>
          <w:lang w:val="es-ES"/>
        </w:rPr>
      </w:pPr>
    </w:p>
    <w:tbl>
      <w:tblPr>
        <w:tblStyle w:val="Tablanormal2"/>
        <w:tblW w:w="0" w:type="auto"/>
        <w:tblLook w:val="04A0" w:firstRow="1" w:lastRow="0" w:firstColumn="1" w:lastColumn="0" w:noHBand="0" w:noVBand="1"/>
      </w:tblPr>
      <w:tblGrid>
        <w:gridCol w:w="2764"/>
        <w:gridCol w:w="2858"/>
        <w:gridCol w:w="3382"/>
      </w:tblGrid>
      <w:tr w:rsidR="00704206" w:rsidRPr="00803B61" w14:paraId="6AC73FC0" w14:textId="77777777" w:rsidTr="00803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E494CD5" w14:textId="77777777" w:rsidR="00704206" w:rsidRPr="00803B61" w:rsidRDefault="00C63637" w:rsidP="00546EA4">
            <w:pPr>
              <w:spacing w:line="240" w:lineRule="auto"/>
              <w:rPr>
                <w:sz w:val="16"/>
                <w:szCs w:val="16"/>
              </w:rPr>
            </w:pPr>
            <w:r w:rsidRPr="00803B61">
              <w:rPr>
                <w:sz w:val="16"/>
                <w:szCs w:val="16"/>
              </w:rPr>
              <w:t>Problema previo</w:t>
            </w:r>
          </w:p>
        </w:tc>
        <w:tc>
          <w:tcPr>
            <w:tcW w:w="3061" w:type="dxa"/>
          </w:tcPr>
          <w:p w14:paraId="2D1545DF" w14:textId="77777777" w:rsidR="00704206" w:rsidRPr="00803B61" w:rsidRDefault="00C63637" w:rsidP="00546EA4">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803B61">
              <w:rPr>
                <w:sz w:val="16"/>
                <w:szCs w:val="16"/>
              </w:rPr>
              <w:t>Error de delimitación</w:t>
            </w:r>
          </w:p>
        </w:tc>
        <w:tc>
          <w:tcPr>
            <w:tcW w:w="3628" w:type="dxa"/>
          </w:tcPr>
          <w:p w14:paraId="24264239" w14:textId="77777777" w:rsidR="00704206" w:rsidRPr="00803B61" w:rsidRDefault="00C63637" w:rsidP="00546EA4">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803B61">
              <w:rPr>
                <w:sz w:val="16"/>
                <w:szCs w:val="16"/>
              </w:rPr>
              <w:t>Solución MDPAR</w:t>
            </w:r>
          </w:p>
        </w:tc>
      </w:tr>
      <w:tr w:rsidR="00704206" w:rsidRPr="002F4F30" w14:paraId="05B2581A"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8E587AE" w14:textId="77777777" w:rsidR="00704206" w:rsidRPr="00803B61" w:rsidRDefault="00C63637" w:rsidP="00546EA4">
            <w:pPr>
              <w:spacing w:after="60" w:line="240" w:lineRule="auto"/>
              <w:rPr>
                <w:sz w:val="16"/>
                <w:szCs w:val="16"/>
                <w:lang w:val="es-ES"/>
              </w:rPr>
            </w:pPr>
            <w:r w:rsidRPr="00803B61">
              <w:rPr>
                <w:sz w:val="16"/>
                <w:szCs w:val="16"/>
                <w:lang w:val="es-ES"/>
              </w:rPr>
              <w:t>Formalizar un proceso inferencial sin reducirlo a una cadena textual.</w:t>
            </w:r>
          </w:p>
        </w:tc>
        <w:tc>
          <w:tcPr>
            <w:tcW w:w="3061" w:type="dxa"/>
          </w:tcPr>
          <w:p w14:paraId="189323D0" w14:textId="77777777" w:rsidR="00704206" w:rsidRPr="00803B61" w:rsidRDefault="00C63637" w:rsidP="00546EA4">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Confundir secuencia de símbolos con estructura completa del proceso.</w:t>
            </w:r>
          </w:p>
        </w:tc>
        <w:tc>
          <w:tcPr>
            <w:tcW w:w="3628" w:type="dxa"/>
          </w:tcPr>
          <w:p w14:paraId="5FD190F1" w14:textId="77777777" w:rsidR="00704206" w:rsidRPr="00803B61" w:rsidRDefault="00C63637" w:rsidP="00546EA4">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Trayectoria T=(V,&lt;,</w:t>
            </w:r>
            <w:r w:rsidRPr="00803B61">
              <w:rPr>
                <w:sz w:val="16"/>
                <w:szCs w:val="16"/>
              </w:rPr>
              <w:t>σ</w:t>
            </w:r>
            <w:r w:rsidRPr="00803B61">
              <w:rPr>
                <w:sz w:val="16"/>
                <w:szCs w:val="16"/>
                <w:lang w:val="es-ES"/>
              </w:rPr>
              <w:t>,E): ocurrencias, orden, coordenadas y relaciones como objeto discreto.</w:t>
            </w:r>
          </w:p>
        </w:tc>
      </w:tr>
      <w:tr w:rsidR="00704206" w:rsidRPr="002F4F30" w14:paraId="46356EA0" w14:textId="77777777" w:rsidTr="00803B61">
        <w:tc>
          <w:tcPr>
            <w:cnfStyle w:val="001000000000" w:firstRow="0" w:lastRow="0" w:firstColumn="1" w:lastColumn="0" w:oddVBand="0" w:evenVBand="0" w:oddHBand="0" w:evenHBand="0" w:firstRowFirstColumn="0" w:firstRowLastColumn="0" w:lastRowFirstColumn="0" w:lastRowLastColumn="0"/>
            <w:tcW w:w="2948" w:type="dxa"/>
          </w:tcPr>
          <w:p w14:paraId="25EA9C2A" w14:textId="77777777" w:rsidR="00704206" w:rsidRPr="00803B61" w:rsidRDefault="00C63637" w:rsidP="00546EA4">
            <w:pPr>
              <w:spacing w:after="60" w:line="240" w:lineRule="auto"/>
              <w:rPr>
                <w:sz w:val="16"/>
                <w:szCs w:val="16"/>
                <w:lang w:val="es-ES"/>
              </w:rPr>
            </w:pPr>
            <w:r w:rsidRPr="00803B61">
              <w:rPr>
                <w:sz w:val="16"/>
                <w:szCs w:val="16"/>
                <w:lang w:val="es-ES"/>
              </w:rPr>
              <w:t>Decidir cuándo dos trayectorias son «la misma».</w:t>
            </w:r>
          </w:p>
        </w:tc>
        <w:tc>
          <w:tcPr>
            <w:tcW w:w="3061" w:type="dxa"/>
          </w:tcPr>
          <w:p w14:paraId="3475AC02" w14:textId="77777777" w:rsidR="00704206" w:rsidRPr="00803B61" w:rsidRDefault="00C63637" w:rsidP="00546EA4">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Usar semejanza, identidad, equivalencia y correspondencia como sinónimos.</w:t>
            </w:r>
          </w:p>
        </w:tc>
        <w:tc>
          <w:tcPr>
            <w:tcW w:w="3628" w:type="dxa"/>
          </w:tcPr>
          <w:p w14:paraId="21549DC6" w14:textId="77777777" w:rsidR="00704206" w:rsidRPr="00803B61" w:rsidRDefault="00C63637" w:rsidP="00546EA4">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Separar identidad exacta, equivalencia operacional y correspondencia entre realizaciones.</w:t>
            </w:r>
          </w:p>
        </w:tc>
      </w:tr>
      <w:tr w:rsidR="00704206" w:rsidRPr="002F4F30" w14:paraId="1616373C"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AE1C4B9" w14:textId="77777777" w:rsidR="00704206" w:rsidRPr="00803B61" w:rsidRDefault="00C63637" w:rsidP="00546EA4">
            <w:pPr>
              <w:spacing w:after="60" w:line="240" w:lineRule="auto"/>
              <w:rPr>
                <w:sz w:val="16"/>
                <w:szCs w:val="16"/>
                <w:lang w:val="es-ES"/>
              </w:rPr>
            </w:pPr>
            <w:r w:rsidRPr="00803B61">
              <w:rPr>
                <w:sz w:val="16"/>
                <w:szCs w:val="16"/>
                <w:lang w:val="es-ES"/>
              </w:rPr>
              <w:lastRenderedPageBreak/>
              <w:t>Hablar de invariancia bajo transformación.</w:t>
            </w:r>
          </w:p>
        </w:tc>
        <w:tc>
          <w:tcPr>
            <w:tcW w:w="3061" w:type="dxa"/>
          </w:tcPr>
          <w:p w14:paraId="1244A375" w14:textId="77777777" w:rsidR="00704206" w:rsidRPr="00803B61" w:rsidRDefault="00C63637" w:rsidP="00546EA4">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Declarar invariante una propiedad sin especificar transformación ni deformación admisible.</w:t>
            </w:r>
          </w:p>
        </w:tc>
        <w:tc>
          <w:tcPr>
            <w:tcW w:w="3628" w:type="dxa"/>
          </w:tcPr>
          <w:p w14:paraId="6E3F8675" w14:textId="77777777" w:rsidR="00704206" w:rsidRPr="00803B61" w:rsidRDefault="00C63637" w:rsidP="00546EA4">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Definir transporte dirigido de propiedades y criterios previos de preservación, pérdida y recuperación.</w:t>
            </w:r>
          </w:p>
        </w:tc>
      </w:tr>
      <w:tr w:rsidR="00704206" w:rsidRPr="002F4F30" w14:paraId="769E0F45" w14:textId="77777777" w:rsidTr="00803B61">
        <w:tc>
          <w:tcPr>
            <w:cnfStyle w:val="001000000000" w:firstRow="0" w:lastRow="0" w:firstColumn="1" w:lastColumn="0" w:oddVBand="0" w:evenVBand="0" w:oddHBand="0" w:evenHBand="0" w:firstRowFirstColumn="0" w:firstRowLastColumn="0" w:lastRowFirstColumn="0" w:lastRowLastColumn="0"/>
            <w:tcW w:w="2948" w:type="dxa"/>
          </w:tcPr>
          <w:p w14:paraId="6D51AEAB" w14:textId="77777777" w:rsidR="00704206" w:rsidRPr="00803B61" w:rsidRDefault="00C63637" w:rsidP="00546EA4">
            <w:pPr>
              <w:spacing w:after="60" w:line="240" w:lineRule="auto"/>
              <w:rPr>
                <w:sz w:val="16"/>
                <w:szCs w:val="16"/>
              </w:rPr>
            </w:pPr>
            <w:r w:rsidRPr="00803B61">
              <w:rPr>
                <w:sz w:val="16"/>
                <w:szCs w:val="16"/>
              </w:rPr>
              <w:t>Representar retorno o recurrencia.</w:t>
            </w:r>
          </w:p>
        </w:tc>
        <w:tc>
          <w:tcPr>
            <w:tcW w:w="3061" w:type="dxa"/>
          </w:tcPr>
          <w:p w14:paraId="71A6C6F6" w14:textId="77777777" w:rsidR="00704206" w:rsidRPr="00803B61" w:rsidRDefault="00C63637" w:rsidP="00546EA4">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Confundir volver a una posición con borrar el tiempo y regresar a la misma ocurrencia.</w:t>
            </w:r>
          </w:p>
        </w:tc>
        <w:tc>
          <w:tcPr>
            <w:tcW w:w="3628" w:type="dxa"/>
          </w:tcPr>
          <w:p w14:paraId="262BBA7D" w14:textId="77777777" w:rsidR="00704206" w:rsidRPr="00803B61" w:rsidRDefault="00C63637" w:rsidP="00546EA4">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Mantener identidad de ocurrencias y orden longitudinal: recurrencia espacial/estructural sin reescritura temporal.</w:t>
            </w:r>
          </w:p>
        </w:tc>
      </w:tr>
      <w:tr w:rsidR="00704206" w:rsidRPr="002F4F30" w14:paraId="34BCB7CD"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8BCBD4F" w14:textId="77777777" w:rsidR="00704206" w:rsidRPr="00803B61" w:rsidRDefault="00C63637" w:rsidP="00546EA4">
            <w:pPr>
              <w:spacing w:after="60" w:line="240" w:lineRule="auto"/>
              <w:rPr>
                <w:sz w:val="16"/>
                <w:szCs w:val="16"/>
                <w:lang w:val="es-ES"/>
              </w:rPr>
            </w:pPr>
            <w:r w:rsidRPr="00803B61">
              <w:rPr>
                <w:sz w:val="16"/>
                <w:szCs w:val="16"/>
                <w:lang w:val="es-ES"/>
              </w:rPr>
              <w:t>Usar geometría para representar pensamiento.</w:t>
            </w:r>
          </w:p>
        </w:tc>
        <w:tc>
          <w:tcPr>
            <w:tcW w:w="3061" w:type="dxa"/>
          </w:tcPr>
          <w:p w14:paraId="6BB74142" w14:textId="77777777" w:rsidR="00704206" w:rsidRPr="00803B61" w:rsidRDefault="00751CC2" w:rsidP="00546EA4">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Pr>
                <w:sz w:val="16"/>
                <w:szCs w:val="16"/>
                <w:lang w:val="es-ES"/>
              </w:rPr>
              <w:t>Confundir una visualización, una realización que preserva determinadas propiedades y una identidad matemática entre operaciones definidas en espacios distintos</w:t>
            </w:r>
          </w:p>
        </w:tc>
        <w:tc>
          <w:tcPr>
            <w:tcW w:w="3628" w:type="dxa"/>
          </w:tcPr>
          <w:p w14:paraId="704F7EB4" w14:textId="77777777" w:rsidR="00704206" w:rsidRPr="00803B61" w:rsidRDefault="00751CC2" w:rsidP="00546EA4">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Pr>
                <w:sz w:val="16"/>
                <w:szCs w:val="16"/>
                <w:lang w:val="es-ES"/>
              </w:rPr>
              <w:t>Definir realizaciones geométricas mediante contratos explícitos de incidencia y correspondencia, y demostrar por separado las propiedades que dichas realizaciones preservan</w:t>
            </w:r>
          </w:p>
        </w:tc>
      </w:tr>
    </w:tbl>
    <w:p w14:paraId="46E4096A" w14:textId="77777777" w:rsidR="00546EA4" w:rsidRDefault="00546EA4">
      <w:pPr>
        <w:pStyle w:val="MDPARThesisBody"/>
        <w:rPr>
          <w:lang w:val="es-ES"/>
        </w:rPr>
      </w:pPr>
    </w:p>
    <w:p w14:paraId="354A0E76" w14:textId="77777777" w:rsidR="00704206" w:rsidRPr="003E4238" w:rsidRDefault="00C63637">
      <w:pPr>
        <w:pStyle w:val="MDPARThesisBody"/>
        <w:rPr>
          <w:lang w:val="es-ES"/>
        </w:rPr>
      </w:pPr>
      <w:r w:rsidRPr="0027708B">
        <w:rPr>
          <w:b/>
          <w:bCs/>
          <w:lang w:val="es-ES"/>
        </w:rPr>
        <w:t>Repercusión.</w:t>
      </w:r>
      <w:r w:rsidRPr="0027708B">
        <w:rPr>
          <w:lang w:val="es-ES"/>
        </w:rPr>
        <w:t xml:space="preserve"> El vocabulario informal sobre dirección, profundidad, recurrencia, cierre, equivalencia, transformación y reconstrucción adquiere criterios diferenciados de cálculo. Las sendas de invarianza y el Atlas permiten formular problemas constructivos sobre testigos y conservación de propiedades; el juego de trayectorias permite distinguir representación, permutación y reconstrucción justificada. Una pseudodistancia o una realización poliédrica describe relaciones internas bajo sus hipótesis, sin atribuir al pensamiento una geometría física. El SCC constituye</w:t>
      </w:r>
      <w:r w:rsidR="00CE55D6">
        <w:rPr>
          <w:lang w:val="es-ES"/>
        </w:rPr>
        <w:t>,</w:t>
      </w:r>
      <w:r w:rsidRPr="0027708B">
        <w:rPr>
          <w:lang w:val="es-ES"/>
        </w:rPr>
        <w:t xml:space="preserve"> así</w:t>
      </w:r>
      <w:r w:rsidR="00CE55D6">
        <w:rPr>
          <w:lang w:val="es-ES"/>
        </w:rPr>
        <w:t>,</w:t>
      </w:r>
      <w:r w:rsidRPr="0027708B">
        <w:rPr>
          <w:lang w:val="es-ES"/>
        </w:rPr>
        <w:t xml:space="preserve"> un objeto matemático susceptible de análisis autónomo, extensiones, contraejemplos y comparación rigurosa con formalismos previos.</w:t>
      </w:r>
    </w:p>
    <w:p w14:paraId="75198E5E" w14:textId="77777777" w:rsidR="00704206" w:rsidRPr="00751CC2" w:rsidRDefault="00C63637">
      <w:pPr>
        <w:pStyle w:val="MDPARThesisBody"/>
        <w:rPr>
          <w:lang w:val="es-ES"/>
        </w:rPr>
      </w:pPr>
      <w:r w:rsidRPr="0027708B">
        <w:rPr>
          <w:b/>
          <w:bCs/>
          <w:lang w:val="es-ES"/>
        </w:rPr>
        <w:t>Estatuto.</w:t>
      </w:r>
      <w:r w:rsidRPr="0027708B">
        <w:rPr>
          <w:lang w:val="es-ES"/>
        </w:rPr>
        <w:t xml:space="preserve"> Las afirmaciones sobre existencia de objetos, definiciones y consecuencias internas pertenecen al nivel formal y exigen demostración o derivación bajo hipótesis explícitas. La conformidad de una implementación no sustituye esa justificación, y la validez interna del cálculo no demuestra que cualquier proceso cognitivo real admita una proyección informativa sobre él. La originalidad de la conjunción de operaciones exige un análisis de prioridad específico frente a antecedentes relacionales, algebraicos y computacionales.</w:t>
      </w:r>
    </w:p>
    <w:p w14:paraId="7077B39E" w14:textId="77777777" w:rsidR="00546EA4" w:rsidRPr="003E4238" w:rsidRDefault="00546EA4">
      <w:pPr>
        <w:pStyle w:val="MDPARThesisBody"/>
        <w:rPr>
          <w:lang w:val="es-ES"/>
        </w:rPr>
      </w:pPr>
    </w:p>
    <w:p w14:paraId="3B329DD3" w14:textId="77777777" w:rsidR="00704206" w:rsidRPr="0027708B" w:rsidRDefault="00C63637" w:rsidP="00546EA4">
      <w:pPr>
        <w:pStyle w:val="MDPARProfileCallout"/>
        <w:spacing w:before="0" w:after="0" w:line="360" w:lineRule="auto"/>
        <w:jc w:val="both"/>
        <w:rPr>
          <w:sz w:val="16"/>
          <w:szCs w:val="14"/>
          <w:lang w:val="es-ES"/>
        </w:rPr>
      </w:pPr>
      <w:r w:rsidRPr="0027708B">
        <w:rPr>
          <w:sz w:val="20"/>
          <w:szCs w:val="18"/>
          <w:lang w:val="es-ES"/>
        </w:rPr>
        <w:t>La aportación matemática es delimitar qué puede calcularse, compararse y reconstruirse sobre una organización inferencial representada, y precisar también cuándo el propio cálculo debe abstenerse de emitir un resultado.</w:t>
      </w:r>
    </w:p>
    <w:p w14:paraId="1FDD7102" w14:textId="77777777" w:rsidR="00546EA4" w:rsidRDefault="00546EA4">
      <w:pPr>
        <w:pStyle w:val="MDPARProfileH2"/>
        <w:rPr>
          <w:lang w:val="es-ES"/>
        </w:rPr>
      </w:pPr>
    </w:p>
    <w:p w14:paraId="0D452CE6" w14:textId="77777777" w:rsidR="00704206" w:rsidRPr="003E4238" w:rsidRDefault="00C63637" w:rsidP="00546EA4">
      <w:pPr>
        <w:pStyle w:val="MDPARProfileH2"/>
        <w:spacing w:before="0" w:after="0" w:line="360" w:lineRule="auto"/>
        <w:ind w:firstLine="709"/>
        <w:jc w:val="both"/>
        <w:outlineLvl w:val="1"/>
        <w:rPr>
          <w:lang w:val="es-ES"/>
        </w:rPr>
      </w:pPr>
      <w:bookmarkStart w:id="107" w:name="_Toc242721943"/>
      <w:r w:rsidRPr="003E4238">
        <w:rPr>
          <w:lang w:val="es-ES"/>
        </w:rPr>
        <w:t>13.3. Ciencias cognitivas e inteligencia artificial: del modelo que razona al sistema que conserva el razonamiento</w:t>
      </w:r>
      <w:bookmarkEnd w:id="107"/>
    </w:p>
    <w:p w14:paraId="31D83EDC" w14:textId="77777777" w:rsidR="00704206" w:rsidRDefault="00C63637">
      <w:pPr>
        <w:pStyle w:val="MDPARThesisBody"/>
        <w:rPr>
          <w:lang w:val="es-ES"/>
        </w:rPr>
      </w:pPr>
      <w:r w:rsidRPr="0027708B">
        <w:rPr>
          <w:lang w:val="es-ES"/>
        </w:rPr>
        <w:t xml:space="preserve">Una interfaz generativa puede reunir interpretación, memoria aparente, planificación y producción de respuestas sin distinguir qué responsabilidad pertenece al modelo y cuál al sistema. El SCC aporta una representación explícita de determinadas </w:t>
      </w:r>
      <w:r w:rsidRPr="0027708B">
        <w:rPr>
          <w:lang w:val="es-ES"/>
        </w:rPr>
        <w:lastRenderedPageBreak/>
        <w:t>propiedades de organización inferencial; MDPAR distribuye su observación, reconstrucción, cálculo, continuidad y autoridad entre componentes.</w:t>
      </w:r>
    </w:p>
    <w:p w14:paraId="4FF04674" w14:textId="77777777" w:rsidR="00803B61" w:rsidRPr="003E4238" w:rsidRDefault="00803B61">
      <w:pPr>
        <w:pStyle w:val="MDPARThesisBody"/>
        <w:rPr>
          <w:lang w:val="es-ES"/>
        </w:rPr>
      </w:pPr>
    </w:p>
    <w:tbl>
      <w:tblPr>
        <w:tblStyle w:val="Tablanormal2"/>
        <w:tblW w:w="0" w:type="auto"/>
        <w:tblLook w:val="04A0" w:firstRow="1" w:lastRow="0" w:firstColumn="1" w:lastColumn="0" w:noHBand="0" w:noVBand="1"/>
      </w:tblPr>
      <w:tblGrid>
        <w:gridCol w:w="2766"/>
        <w:gridCol w:w="2841"/>
        <w:gridCol w:w="3397"/>
      </w:tblGrid>
      <w:tr w:rsidR="00704206" w:rsidRPr="00803B61" w14:paraId="3D9913A9" w14:textId="77777777" w:rsidTr="00803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FCBA363" w14:textId="77777777" w:rsidR="00704206" w:rsidRPr="00803B61" w:rsidRDefault="00C63637" w:rsidP="001746CF">
            <w:pPr>
              <w:spacing w:line="240" w:lineRule="auto"/>
              <w:rPr>
                <w:sz w:val="16"/>
                <w:szCs w:val="16"/>
              </w:rPr>
            </w:pPr>
            <w:r w:rsidRPr="00803B61">
              <w:rPr>
                <w:sz w:val="16"/>
                <w:szCs w:val="16"/>
              </w:rPr>
              <w:t>Problema previo</w:t>
            </w:r>
          </w:p>
        </w:tc>
        <w:tc>
          <w:tcPr>
            <w:tcW w:w="3061" w:type="dxa"/>
          </w:tcPr>
          <w:p w14:paraId="5247DF3C" w14:textId="77777777" w:rsidR="00704206" w:rsidRPr="00803B61" w:rsidRDefault="00C63637" w:rsidP="001746CF">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803B61">
              <w:rPr>
                <w:sz w:val="16"/>
                <w:szCs w:val="16"/>
              </w:rPr>
              <w:t>Error de delimitación</w:t>
            </w:r>
          </w:p>
        </w:tc>
        <w:tc>
          <w:tcPr>
            <w:tcW w:w="3628" w:type="dxa"/>
          </w:tcPr>
          <w:p w14:paraId="2A4BEB92" w14:textId="77777777" w:rsidR="00704206" w:rsidRPr="00803B61" w:rsidRDefault="00C63637" w:rsidP="001746CF">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803B61">
              <w:rPr>
                <w:sz w:val="16"/>
                <w:szCs w:val="16"/>
              </w:rPr>
              <w:t>Solución MDPAR</w:t>
            </w:r>
          </w:p>
        </w:tc>
      </w:tr>
      <w:tr w:rsidR="00704206" w:rsidRPr="002F4F30" w14:paraId="223622C4"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4940925" w14:textId="77777777" w:rsidR="00704206" w:rsidRPr="00803B61" w:rsidRDefault="00C63637" w:rsidP="001746CF">
            <w:pPr>
              <w:spacing w:after="60" w:line="240" w:lineRule="auto"/>
              <w:rPr>
                <w:sz w:val="16"/>
                <w:szCs w:val="16"/>
                <w:lang w:val="es-ES"/>
              </w:rPr>
            </w:pPr>
            <w:r w:rsidRPr="00803B61">
              <w:rPr>
                <w:sz w:val="16"/>
                <w:szCs w:val="16"/>
                <w:lang w:val="es-ES"/>
              </w:rPr>
              <w:t xml:space="preserve">Medir capacidad </w:t>
            </w:r>
            <w:r w:rsidR="00751CC2">
              <w:rPr>
                <w:sz w:val="16"/>
                <w:szCs w:val="16"/>
                <w:lang w:val="es-ES"/>
              </w:rPr>
              <w:t>de un sistema cognitivo.</w:t>
            </w:r>
          </w:p>
        </w:tc>
        <w:tc>
          <w:tcPr>
            <w:tcW w:w="3061" w:type="dxa"/>
          </w:tcPr>
          <w:p w14:paraId="2E2FA69C" w14:textId="77777777" w:rsidR="00704206" w:rsidRPr="00803B61" w:rsidRDefault="00751CC2" w:rsidP="001746CF">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Pr>
                <w:sz w:val="16"/>
                <w:szCs w:val="16"/>
                <w:lang w:val="es-ES"/>
              </w:rPr>
              <w:t>Inferir todas sus capacidades operacionales a partir del rendimiento aislado del modelo semántico</w:t>
            </w:r>
          </w:p>
        </w:tc>
        <w:tc>
          <w:tcPr>
            <w:tcW w:w="3628" w:type="dxa"/>
          </w:tcPr>
          <w:p w14:paraId="7517842A" w14:textId="77777777" w:rsidR="00704206" w:rsidRPr="00803B61" w:rsidRDefault="00751CC2" w:rsidP="001746CF">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Pr>
                <w:sz w:val="16"/>
                <w:szCs w:val="16"/>
                <w:lang w:val="es-ES"/>
              </w:rPr>
              <w:t>Evaluar separadamente la capacidad del proveedor y las propiedades de la arquitectura que conserva, coordina y gobierna sus contribuciones</w:t>
            </w:r>
          </w:p>
        </w:tc>
      </w:tr>
      <w:tr w:rsidR="00704206" w:rsidRPr="002F4F30" w14:paraId="314461C9" w14:textId="77777777" w:rsidTr="00803B61">
        <w:tc>
          <w:tcPr>
            <w:cnfStyle w:val="001000000000" w:firstRow="0" w:lastRow="0" w:firstColumn="1" w:lastColumn="0" w:oddVBand="0" w:evenVBand="0" w:oddHBand="0" w:evenHBand="0" w:firstRowFirstColumn="0" w:firstRowLastColumn="0" w:lastRowFirstColumn="0" w:lastRowLastColumn="0"/>
            <w:tcW w:w="2948" w:type="dxa"/>
          </w:tcPr>
          <w:p w14:paraId="11E07513" w14:textId="77777777" w:rsidR="00704206" w:rsidRPr="00803B61" w:rsidRDefault="00C63637" w:rsidP="001746CF">
            <w:pPr>
              <w:spacing w:after="60" w:line="240" w:lineRule="auto"/>
              <w:rPr>
                <w:sz w:val="16"/>
                <w:szCs w:val="16"/>
                <w:lang w:val="es-ES"/>
              </w:rPr>
            </w:pPr>
            <w:r w:rsidRPr="00803B61">
              <w:rPr>
                <w:sz w:val="16"/>
                <w:szCs w:val="16"/>
                <w:lang w:val="es-ES"/>
              </w:rPr>
              <w:t xml:space="preserve">Mantener continuidad </w:t>
            </w:r>
            <w:r w:rsidR="00751CC2">
              <w:rPr>
                <w:sz w:val="16"/>
                <w:szCs w:val="16"/>
                <w:lang w:val="es-ES"/>
              </w:rPr>
              <w:t>al cambiar de proveedor.</w:t>
            </w:r>
          </w:p>
        </w:tc>
        <w:tc>
          <w:tcPr>
            <w:tcW w:w="3061" w:type="dxa"/>
          </w:tcPr>
          <w:p w14:paraId="6AF81265" w14:textId="77777777" w:rsidR="00704206" w:rsidRPr="00803B61" w:rsidRDefault="00751CC2" w:rsidP="001746CF">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Pr>
                <w:sz w:val="16"/>
                <w:szCs w:val="16"/>
                <w:lang w:val="es-ES"/>
              </w:rPr>
              <w:t>Equiparar la persistencia del contexto del modelo con la conservación de todas las responsabilidades longitudinales del sistema</w:t>
            </w:r>
            <w:r w:rsidR="00C63637" w:rsidRPr="00803B61">
              <w:rPr>
                <w:sz w:val="16"/>
                <w:szCs w:val="16"/>
                <w:lang w:val="es-ES"/>
              </w:rPr>
              <w:t>.</w:t>
            </w:r>
          </w:p>
        </w:tc>
        <w:tc>
          <w:tcPr>
            <w:tcW w:w="3628" w:type="dxa"/>
          </w:tcPr>
          <w:p w14:paraId="49E6AB3F" w14:textId="77777777" w:rsidR="00704206" w:rsidRPr="00803B61" w:rsidRDefault="00C63637" w:rsidP="001746CF">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 xml:space="preserve">Persistir trayectoria, snapshots, </w:t>
            </w:r>
            <w:r w:rsidR="00751CC2">
              <w:rPr>
                <w:sz w:val="16"/>
                <w:szCs w:val="16"/>
                <w:lang w:val="es-ES"/>
              </w:rPr>
              <w:t>procedencia y estdo estructural fuera del proveedor, bajo contratos explícitos de continuidad.</w:t>
            </w:r>
          </w:p>
        </w:tc>
      </w:tr>
      <w:tr w:rsidR="00704206" w:rsidRPr="002F4F30" w14:paraId="255F4870"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76823F4" w14:textId="77777777" w:rsidR="00704206" w:rsidRPr="00803B61" w:rsidRDefault="00C63637" w:rsidP="001746CF">
            <w:pPr>
              <w:spacing w:after="60" w:line="240" w:lineRule="auto"/>
              <w:rPr>
                <w:sz w:val="16"/>
                <w:szCs w:val="16"/>
              </w:rPr>
            </w:pPr>
            <w:r w:rsidRPr="00803B61">
              <w:rPr>
                <w:sz w:val="16"/>
                <w:szCs w:val="16"/>
              </w:rPr>
              <w:t>Coordinar varias inteligencias.</w:t>
            </w:r>
          </w:p>
        </w:tc>
        <w:tc>
          <w:tcPr>
            <w:tcW w:w="3061" w:type="dxa"/>
          </w:tcPr>
          <w:p w14:paraId="61380980" w14:textId="77777777" w:rsidR="00704206" w:rsidRPr="00803B61" w:rsidRDefault="00C63637" w:rsidP="001746CF">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Suponer que cooperación implica copropiedad del estado o autoridad simétrica.</w:t>
            </w:r>
          </w:p>
        </w:tc>
        <w:tc>
          <w:tcPr>
            <w:tcW w:w="3628" w:type="dxa"/>
          </w:tcPr>
          <w:p w14:paraId="3DD166BD" w14:textId="77777777" w:rsidR="00704206" w:rsidRPr="00803B61" w:rsidRDefault="00C63637" w:rsidP="001746CF">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Contratos de observación/intervención con autoridad delimitada y ownership estructural separado.</w:t>
            </w:r>
          </w:p>
        </w:tc>
      </w:tr>
      <w:tr w:rsidR="00704206" w:rsidRPr="002F4F30" w14:paraId="54790BD5" w14:textId="77777777" w:rsidTr="00803B61">
        <w:tc>
          <w:tcPr>
            <w:cnfStyle w:val="001000000000" w:firstRow="0" w:lastRow="0" w:firstColumn="1" w:lastColumn="0" w:oddVBand="0" w:evenVBand="0" w:oddHBand="0" w:evenHBand="0" w:firstRowFirstColumn="0" w:firstRowLastColumn="0" w:lastRowFirstColumn="0" w:lastRowLastColumn="0"/>
            <w:tcW w:w="2948" w:type="dxa"/>
          </w:tcPr>
          <w:p w14:paraId="536ABA1E" w14:textId="77777777" w:rsidR="00704206" w:rsidRPr="00803B61" w:rsidRDefault="00C63637" w:rsidP="001746CF">
            <w:pPr>
              <w:spacing w:after="60" w:line="240" w:lineRule="auto"/>
              <w:rPr>
                <w:sz w:val="16"/>
                <w:szCs w:val="16"/>
                <w:lang w:val="es-ES"/>
              </w:rPr>
            </w:pPr>
            <w:r w:rsidRPr="00803B61">
              <w:rPr>
                <w:sz w:val="16"/>
                <w:szCs w:val="16"/>
                <w:lang w:val="es-ES"/>
              </w:rPr>
              <w:t>Decidir cuánto razonamiento profundo comprar.</w:t>
            </w:r>
          </w:p>
        </w:tc>
        <w:tc>
          <w:tcPr>
            <w:tcW w:w="3061" w:type="dxa"/>
          </w:tcPr>
          <w:p w14:paraId="4072EB0A" w14:textId="77777777" w:rsidR="00704206" w:rsidRPr="00803B61" w:rsidRDefault="00C63637" w:rsidP="001746CF">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Hacer routing por heurística de confianza o por tamaño del modelo sin estado cognitivo explícito.</w:t>
            </w:r>
          </w:p>
        </w:tc>
        <w:tc>
          <w:tcPr>
            <w:tcW w:w="3628" w:type="dxa"/>
          </w:tcPr>
          <w:p w14:paraId="13AFA5D1" w14:textId="77777777" w:rsidR="00704206" w:rsidRPr="00803B61" w:rsidRDefault="00C63637" w:rsidP="001746CF">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Usar propiedades y políticas del proceso para decidir qué capacidad necesita intervenir y bajo qué autoridad.</w:t>
            </w:r>
          </w:p>
        </w:tc>
      </w:tr>
      <w:tr w:rsidR="00704206" w:rsidRPr="002F4F30" w14:paraId="52498552"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2C7BA1A" w14:textId="77777777" w:rsidR="00704206" w:rsidRPr="00803B61" w:rsidRDefault="00C63637" w:rsidP="001746CF">
            <w:pPr>
              <w:spacing w:after="60" w:line="240" w:lineRule="auto"/>
              <w:rPr>
                <w:sz w:val="16"/>
                <w:szCs w:val="16"/>
              </w:rPr>
            </w:pPr>
            <w:r w:rsidRPr="00803B61">
              <w:rPr>
                <w:sz w:val="16"/>
                <w:szCs w:val="16"/>
              </w:rPr>
              <w:t>Gestionar pérdida y recuperación.</w:t>
            </w:r>
          </w:p>
        </w:tc>
        <w:tc>
          <w:tcPr>
            <w:tcW w:w="3061" w:type="dxa"/>
          </w:tcPr>
          <w:p w14:paraId="033B5B7B" w14:textId="77777777" w:rsidR="00704206" w:rsidRPr="00803B61" w:rsidRDefault="00C63637" w:rsidP="001746CF">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Tratar la indisponibilidad de una capacidad como pérdida de identidad del sistema.</w:t>
            </w:r>
          </w:p>
        </w:tc>
        <w:tc>
          <w:tcPr>
            <w:tcW w:w="3628" w:type="dxa"/>
          </w:tcPr>
          <w:p w14:paraId="17311D9B" w14:textId="77777777" w:rsidR="00704206" w:rsidRPr="00803B61" w:rsidRDefault="00C63637" w:rsidP="001746CF">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Conservar continuidad estructural durante degradación y permitir recuperación sin borrar el intervalo de pérdida.</w:t>
            </w:r>
          </w:p>
        </w:tc>
      </w:tr>
      <w:tr w:rsidR="00704206" w:rsidRPr="002F4F30" w14:paraId="6D208BA1" w14:textId="77777777" w:rsidTr="00803B61">
        <w:tc>
          <w:tcPr>
            <w:cnfStyle w:val="001000000000" w:firstRow="0" w:lastRow="0" w:firstColumn="1" w:lastColumn="0" w:oddVBand="0" w:evenVBand="0" w:oddHBand="0" w:evenHBand="0" w:firstRowFirstColumn="0" w:firstRowLastColumn="0" w:lastRowFirstColumn="0" w:lastRowLastColumn="0"/>
            <w:tcW w:w="2948" w:type="dxa"/>
          </w:tcPr>
          <w:p w14:paraId="698C8C9A" w14:textId="77777777" w:rsidR="00704206" w:rsidRPr="00803B61" w:rsidRDefault="00C63637" w:rsidP="001746CF">
            <w:pPr>
              <w:spacing w:after="60" w:line="240" w:lineRule="auto"/>
              <w:rPr>
                <w:sz w:val="16"/>
                <w:szCs w:val="16"/>
              </w:rPr>
            </w:pPr>
            <w:r w:rsidRPr="00803B61">
              <w:rPr>
                <w:sz w:val="16"/>
                <w:szCs w:val="16"/>
              </w:rPr>
              <w:t>Representar incertidumbre.</w:t>
            </w:r>
          </w:p>
        </w:tc>
        <w:tc>
          <w:tcPr>
            <w:tcW w:w="3061" w:type="dxa"/>
          </w:tcPr>
          <w:p w14:paraId="4FFAECC6" w14:textId="77777777" w:rsidR="00704206" w:rsidRPr="00803B61" w:rsidRDefault="00C63637" w:rsidP="001746CF">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Forzar una respuesta o convertir insuficiencia de identificación en una categoría semántica arbitraria.</w:t>
            </w:r>
          </w:p>
        </w:tc>
        <w:tc>
          <w:tcPr>
            <w:tcW w:w="3628" w:type="dxa"/>
          </w:tcPr>
          <w:p w14:paraId="685A594B" w14:textId="77777777" w:rsidR="00704206" w:rsidRPr="00803B61" w:rsidRDefault="00C63637" w:rsidP="001746CF">
            <w:pPr>
              <w:spacing w:after="6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803B61">
              <w:rPr>
                <w:sz w:val="16"/>
                <w:szCs w:val="16"/>
                <w:lang w:val="es-ES"/>
              </w:rPr>
              <w:t>UNKNOWN y estados no evaluables permanecen como estados explícitos sin fabricar contenido.</w:t>
            </w:r>
          </w:p>
        </w:tc>
      </w:tr>
      <w:tr w:rsidR="00704206" w:rsidRPr="002F4F30" w14:paraId="35D1FEE6"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4998339" w14:textId="77777777" w:rsidR="00704206" w:rsidRPr="00803B61" w:rsidRDefault="00C63637" w:rsidP="001746CF">
            <w:pPr>
              <w:spacing w:after="60" w:line="240" w:lineRule="auto"/>
              <w:rPr>
                <w:sz w:val="16"/>
                <w:szCs w:val="16"/>
              </w:rPr>
            </w:pPr>
            <w:r w:rsidRPr="00803B61">
              <w:rPr>
                <w:sz w:val="16"/>
                <w:szCs w:val="16"/>
              </w:rPr>
              <w:t>Explicar systematicity</w:t>
            </w:r>
            <w:r w:rsidR="00751CC2">
              <w:rPr>
                <w:sz w:val="16"/>
                <w:szCs w:val="16"/>
              </w:rPr>
              <w:t xml:space="preserve"> y </w:t>
            </w:r>
            <w:r w:rsidRPr="00803B61">
              <w:rPr>
                <w:sz w:val="16"/>
                <w:szCs w:val="16"/>
              </w:rPr>
              <w:t>composi</w:t>
            </w:r>
            <w:r w:rsidR="00751CC2">
              <w:rPr>
                <w:sz w:val="16"/>
                <w:szCs w:val="16"/>
              </w:rPr>
              <w:t>cionalidad.</w:t>
            </w:r>
          </w:p>
        </w:tc>
        <w:tc>
          <w:tcPr>
            <w:tcW w:w="3061" w:type="dxa"/>
          </w:tcPr>
          <w:p w14:paraId="604BCC31" w14:textId="77777777" w:rsidR="00704206" w:rsidRPr="00803B61" w:rsidRDefault="00C63637" w:rsidP="001746CF">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803B61">
              <w:rPr>
                <w:sz w:val="16"/>
                <w:szCs w:val="16"/>
                <w:lang w:val="es-ES"/>
              </w:rPr>
              <w:t xml:space="preserve">Presuponer que toda organización sistemática </w:t>
            </w:r>
            <w:r w:rsidR="00751CC2">
              <w:rPr>
                <w:sz w:val="16"/>
                <w:szCs w:val="16"/>
                <w:lang w:val="es-ES"/>
              </w:rPr>
              <w:t>observable debe realizarse dentro del mismo componente que produce la interpretación semántica</w:t>
            </w:r>
            <w:r w:rsidR="009B281D">
              <w:rPr>
                <w:sz w:val="16"/>
                <w:szCs w:val="16"/>
                <w:lang w:val="es-ES"/>
              </w:rPr>
              <w:t>.</w:t>
            </w:r>
          </w:p>
        </w:tc>
        <w:tc>
          <w:tcPr>
            <w:tcW w:w="3628" w:type="dxa"/>
          </w:tcPr>
          <w:p w14:paraId="56E54D44" w14:textId="77777777" w:rsidR="00704206" w:rsidRPr="00803B61" w:rsidRDefault="009B281D" w:rsidP="001746CF">
            <w:pPr>
              <w:spacing w:after="6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Pr>
                <w:sz w:val="16"/>
                <w:szCs w:val="16"/>
                <w:lang w:val="es-ES"/>
              </w:rPr>
              <w:t>Investigar qué propiedades de organización inferencial pueden externalizarse en una representación y un cálculo independientes del proveedor.</w:t>
            </w:r>
          </w:p>
        </w:tc>
      </w:tr>
    </w:tbl>
    <w:p w14:paraId="542C852F" w14:textId="77777777" w:rsidR="001746CF" w:rsidRDefault="001746CF">
      <w:pPr>
        <w:pStyle w:val="MDPARThesisBody"/>
        <w:rPr>
          <w:lang w:val="es-ES"/>
        </w:rPr>
      </w:pPr>
    </w:p>
    <w:p w14:paraId="4AFE4ECA" w14:textId="77777777" w:rsidR="00704206" w:rsidRPr="003E4238" w:rsidRDefault="00C63637">
      <w:pPr>
        <w:pStyle w:val="MDPARThesisBody"/>
        <w:rPr>
          <w:lang w:val="es-ES"/>
        </w:rPr>
      </w:pPr>
      <w:r w:rsidRPr="0027708B">
        <w:rPr>
          <w:b/>
          <w:bCs/>
          <w:lang w:val="es-ES"/>
        </w:rPr>
        <w:t>Repercusión.</w:t>
      </w:r>
      <w:r w:rsidRPr="0027708B">
        <w:rPr>
          <w:lang w:val="es-ES"/>
        </w:rPr>
        <w:t xml:space="preserve"> La unidad de estudio deja de ser necesariamente el modelo aislado y puede pasar a ser un proceso estructural persistente al que contribuyen capacidades semánticas heterogéneas. La separación entre semantic capability y cognitive ownership permite estudiar sustitución de proveedores, cooperación OPEN/CLOSED, persistencia de compromisos y continuidad sin exigir que un mismo observador conserve todo el estado. Para las ciencias cognitivas, el SCC proporciona</w:t>
      </w:r>
      <w:r w:rsidR="00CE55D6">
        <w:rPr>
          <w:lang w:val="es-ES"/>
        </w:rPr>
        <w:t>,</w:t>
      </w:r>
      <w:r w:rsidRPr="0027708B">
        <w:rPr>
          <w:lang w:val="es-ES"/>
        </w:rPr>
        <w:t xml:space="preserve"> además</w:t>
      </w:r>
      <w:r w:rsidR="00CE55D6">
        <w:rPr>
          <w:lang w:val="es-ES"/>
        </w:rPr>
        <w:t>,</w:t>
      </w:r>
      <w:r w:rsidRPr="0027708B">
        <w:rPr>
          <w:lang w:val="es-ES"/>
        </w:rPr>
        <w:t xml:space="preserve"> un lenguaje con el que formular hipótesis sobre trayectorias, recurrencia y reorganización; que esas propiedades correspondan a procesos psicológicos humanos es una cuestión empírica independiente.</w:t>
      </w:r>
    </w:p>
    <w:p w14:paraId="192178BF" w14:textId="77777777" w:rsidR="001746CF" w:rsidRDefault="00C63637">
      <w:pPr>
        <w:pStyle w:val="MDPARThesisBody"/>
        <w:rPr>
          <w:lang w:val="es-ES"/>
        </w:rPr>
      </w:pPr>
      <w:r w:rsidRPr="0027708B">
        <w:rPr>
          <w:b/>
          <w:bCs/>
          <w:lang w:val="es-ES"/>
        </w:rPr>
        <w:t>Estatuto.</w:t>
      </w:r>
      <w:r w:rsidRPr="0027708B">
        <w:rPr>
          <w:lang w:val="es-ES"/>
        </w:rPr>
        <w:t xml:space="preserve"> La distribución funcional está realizada en MDPAR y las campañas internas aportan evidencia diferenciada sobre identificación, cooperación, longitudinalidad, adquisición de capacidad, concurrencia, temporalidad y recuperación. La generalización a otros proveedores, modalidades y arquitecturas independientes, así como cualquier correspondencia con cognición humana observada, exige protocolos externos específicos.</w:t>
      </w:r>
    </w:p>
    <w:p w14:paraId="3421F74D" w14:textId="77777777" w:rsidR="009B281D" w:rsidRPr="009B281D" w:rsidRDefault="009B281D">
      <w:pPr>
        <w:pStyle w:val="MDPARThesisBody"/>
        <w:rPr>
          <w:lang w:val="es-ES"/>
        </w:rPr>
      </w:pPr>
    </w:p>
    <w:p w14:paraId="16191C7E" w14:textId="77777777" w:rsidR="001746CF" w:rsidRDefault="001746CF">
      <w:pPr>
        <w:pStyle w:val="MDPARProfileH2"/>
        <w:rPr>
          <w:lang w:val="es-ES"/>
        </w:rPr>
      </w:pPr>
    </w:p>
    <w:p w14:paraId="5C66C73E" w14:textId="77777777" w:rsidR="00704206" w:rsidRPr="003E4238" w:rsidRDefault="00C63637" w:rsidP="001746CF">
      <w:pPr>
        <w:pStyle w:val="MDPARProfileH2"/>
        <w:spacing w:before="0" w:after="0" w:line="360" w:lineRule="auto"/>
        <w:ind w:firstLine="709"/>
        <w:jc w:val="both"/>
        <w:outlineLvl w:val="1"/>
        <w:rPr>
          <w:lang w:val="es-ES"/>
        </w:rPr>
      </w:pPr>
      <w:bookmarkStart w:id="108" w:name="_Toc242721944"/>
      <w:r w:rsidRPr="003E4238">
        <w:rPr>
          <w:lang w:val="es-ES"/>
        </w:rPr>
        <w:t>13.4. Epistemología y metodología científica: de producir respuestas a conservar las condiciones de discusión</w:t>
      </w:r>
      <w:bookmarkEnd w:id="108"/>
    </w:p>
    <w:p w14:paraId="6DF67B93" w14:textId="77777777" w:rsidR="00704206" w:rsidRDefault="00C63637">
      <w:pPr>
        <w:pStyle w:val="MDPARThesisBody"/>
        <w:rPr>
          <w:lang w:val="es-ES"/>
        </w:rPr>
      </w:pPr>
      <w:r w:rsidRPr="0027708B">
        <w:rPr>
          <w:lang w:val="es-ES"/>
        </w:rPr>
        <w:t>El problema epistemológico no termina en decidir si una respuesta es correcta. Una inferencia también puede carecer de observaciones suficientes, quedar fuera de las coordenadas representacionales disponibles o no satisfacer las condiciones necesarias para evaluar una propiedad. El SCC y MDPAR permiten conservar estas diferencias sin convertirlas en una respuesta negativa ni disolverlas en una noción única de incertidumbre.</w:t>
      </w:r>
    </w:p>
    <w:p w14:paraId="23EF9F61" w14:textId="77777777" w:rsidR="00803B61" w:rsidRPr="003E4238" w:rsidRDefault="00803B61">
      <w:pPr>
        <w:pStyle w:val="MDPARThesisBody"/>
        <w:rPr>
          <w:lang w:val="es-ES"/>
        </w:rPr>
      </w:pPr>
    </w:p>
    <w:tbl>
      <w:tblPr>
        <w:tblStyle w:val="Tablanormal2"/>
        <w:tblW w:w="0" w:type="auto"/>
        <w:tblLook w:val="04A0" w:firstRow="1" w:lastRow="0" w:firstColumn="1" w:lastColumn="0" w:noHBand="0" w:noVBand="1"/>
      </w:tblPr>
      <w:tblGrid>
        <w:gridCol w:w="2929"/>
        <w:gridCol w:w="2929"/>
        <w:gridCol w:w="2929"/>
      </w:tblGrid>
      <w:tr w:rsidR="000D1032" w:rsidRPr="00803B61" w14:paraId="0EE8440F" w14:textId="77777777" w:rsidTr="00803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AC21226" w14:textId="77777777" w:rsidR="000D1032" w:rsidRPr="00803B61" w:rsidRDefault="000D1032" w:rsidP="000D1032">
            <w:pPr>
              <w:spacing w:before="40" w:after="40" w:line="240" w:lineRule="auto"/>
              <w:jc w:val="both"/>
              <w:rPr>
                <w:sz w:val="16"/>
                <w:szCs w:val="20"/>
              </w:rPr>
            </w:pPr>
            <w:r w:rsidRPr="00803B61">
              <w:rPr>
                <w:sz w:val="16"/>
                <w:szCs w:val="20"/>
              </w:rPr>
              <w:t>Problema previo</w:t>
            </w:r>
          </w:p>
        </w:tc>
        <w:tc>
          <w:tcPr>
            <w:tcW w:w="2929" w:type="dxa"/>
          </w:tcPr>
          <w:p w14:paraId="423F0157" w14:textId="77777777" w:rsidR="000D1032" w:rsidRPr="00803B61" w:rsidRDefault="000D1032" w:rsidP="000D1032">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803B61">
              <w:rPr>
                <w:sz w:val="16"/>
                <w:szCs w:val="20"/>
              </w:rPr>
              <w:t>Error de delimitación</w:t>
            </w:r>
          </w:p>
        </w:tc>
        <w:tc>
          <w:tcPr>
            <w:tcW w:w="2929" w:type="dxa"/>
          </w:tcPr>
          <w:p w14:paraId="06232FAA" w14:textId="77777777" w:rsidR="000D1032" w:rsidRPr="00803B61" w:rsidRDefault="000D1032" w:rsidP="000D1032">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803B61">
              <w:rPr>
                <w:sz w:val="16"/>
                <w:szCs w:val="20"/>
              </w:rPr>
              <w:t>Solución MDPAR</w:t>
            </w:r>
          </w:p>
        </w:tc>
      </w:tr>
      <w:tr w:rsidR="000D1032" w:rsidRPr="002F4F30" w14:paraId="5553CB80"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F87A8DF" w14:textId="77777777" w:rsidR="000D1032" w:rsidRPr="00803B61" w:rsidRDefault="000D1032" w:rsidP="000D1032">
            <w:pPr>
              <w:spacing w:before="40" w:after="40" w:line="240" w:lineRule="auto"/>
              <w:jc w:val="both"/>
              <w:rPr>
                <w:sz w:val="16"/>
                <w:szCs w:val="20"/>
              </w:rPr>
            </w:pPr>
            <w:r w:rsidRPr="00803B61">
              <w:rPr>
                <w:sz w:val="16"/>
                <w:szCs w:val="20"/>
              </w:rPr>
              <w:t>Distinguir evidencia de interpretación.</w:t>
            </w:r>
          </w:p>
        </w:tc>
        <w:tc>
          <w:tcPr>
            <w:tcW w:w="2929" w:type="dxa"/>
          </w:tcPr>
          <w:p w14:paraId="12666069" w14:textId="77777777" w:rsidR="000D1032" w:rsidRPr="00803B61" w:rsidRDefault="000D1032" w:rsidP="000D1032">
            <w:pPr>
              <w:spacing w:before="40" w:after="40"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Permitir que observación, inferencia y conclusión se compriman en una narración fluida.</w:t>
            </w:r>
          </w:p>
        </w:tc>
        <w:tc>
          <w:tcPr>
            <w:tcW w:w="2929" w:type="dxa"/>
          </w:tcPr>
          <w:p w14:paraId="7C8D571C" w14:textId="77777777" w:rsidR="000D1032" w:rsidRPr="00803B61" w:rsidRDefault="000D1032" w:rsidP="000D1032">
            <w:pPr>
              <w:spacing w:before="40" w:after="40"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Conservar procedencia, relaciones, inferencias, incertidumbre y fronteras de autoridad como componentes diferenciados.</w:t>
            </w:r>
          </w:p>
        </w:tc>
      </w:tr>
      <w:tr w:rsidR="000D1032" w:rsidRPr="002F4F30" w14:paraId="3E443241" w14:textId="77777777" w:rsidTr="00803B61">
        <w:tc>
          <w:tcPr>
            <w:cnfStyle w:val="001000000000" w:firstRow="0" w:lastRow="0" w:firstColumn="1" w:lastColumn="0" w:oddVBand="0" w:evenVBand="0" w:oddHBand="0" w:evenHBand="0" w:firstRowFirstColumn="0" w:firstRowLastColumn="0" w:lastRowFirstColumn="0" w:lastRowLastColumn="0"/>
            <w:tcW w:w="2929" w:type="dxa"/>
          </w:tcPr>
          <w:p w14:paraId="0AB2D0EF" w14:textId="77777777" w:rsidR="000D1032" w:rsidRPr="00803B61" w:rsidRDefault="000D1032" w:rsidP="000D1032">
            <w:pPr>
              <w:spacing w:before="40" w:after="40" w:line="240" w:lineRule="auto"/>
              <w:jc w:val="both"/>
              <w:rPr>
                <w:sz w:val="16"/>
                <w:szCs w:val="20"/>
                <w:lang w:val="es-ES"/>
              </w:rPr>
            </w:pPr>
            <w:r w:rsidRPr="00803B61">
              <w:rPr>
                <w:sz w:val="16"/>
                <w:szCs w:val="20"/>
                <w:lang w:val="es-ES"/>
              </w:rPr>
              <w:t>Tratar resultados negativos o no evaluables.</w:t>
            </w:r>
          </w:p>
        </w:tc>
        <w:tc>
          <w:tcPr>
            <w:tcW w:w="2929" w:type="dxa"/>
          </w:tcPr>
          <w:p w14:paraId="090615BA" w14:textId="77777777" w:rsidR="000D1032" w:rsidRPr="00803B61" w:rsidRDefault="000D1032" w:rsidP="000D1032">
            <w:pPr>
              <w:spacing w:before="40" w:after="40"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Considerarlos ausencia de resultado y eliminarlos del relato experimental.</w:t>
            </w:r>
          </w:p>
        </w:tc>
        <w:tc>
          <w:tcPr>
            <w:tcW w:w="2929" w:type="dxa"/>
          </w:tcPr>
          <w:p w14:paraId="497C3D30" w14:textId="77777777" w:rsidR="000D1032" w:rsidRPr="00803B61" w:rsidRDefault="000D1032" w:rsidP="000D1032">
            <w:pPr>
              <w:spacing w:before="40" w:after="40"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Persistir UNEVALUABLE, UNKNOWN y fallos de contrato como evidencia informativa.</w:t>
            </w:r>
          </w:p>
        </w:tc>
      </w:tr>
      <w:tr w:rsidR="000D1032" w:rsidRPr="002F4F30" w14:paraId="0874D6B4"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948BCF5" w14:textId="77777777" w:rsidR="000D1032" w:rsidRPr="00803B61" w:rsidRDefault="000D1032" w:rsidP="000D1032">
            <w:pPr>
              <w:spacing w:before="40" w:after="40" w:line="240" w:lineRule="auto"/>
              <w:jc w:val="both"/>
              <w:rPr>
                <w:sz w:val="16"/>
                <w:szCs w:val="20"/>
              </w:rPr>
            </w:pPr>
            <w:r w:rsidRPr="00803B61">
              <w:rPr>
                <w:sz w:val="16"/>
                <w:szCs w:val="20"/>
              </w:rPr>
              <w:t>Exigir reproducibilidad.</w:t>
            </w:r>
          </w:p>
        </w:tc>
        <w:tc>
          <w:tcPr>
            <w:tcW w:w="2929" w:type="dxa"/>
          </w:tcPr>
          <w:p w14:paraId="5685D892" w14:textId="77777777" w:rsidR="000D1032" w:rsidRPr="00803B61" w:rsidRDefault="009B281D" w:rsidP="000D1032">
            <w:pPr>
              <w:spacing w:before="40" w:after="40"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Pr>
                <w:sz w:val="16"/>
                <w:szCs w:val="20"/>
                <w:lang w:val="es-ES"/>
              </w:rPr>
              <w:t>Exigir identidad de salida a componentes estocásticos o, en el extremo contrario, utilizar su variabilidad para renunciar a reconstruir la ejecución.</w:t>
            </w:r>
          </w:p>
        </w:tc>
        <w:tc>
          <w:tcPr>
            <w:tcW w:w="2929" w:type="dxa"/>
          </w:tcPr>
          <w:p w14:paraId="67D24383" w14:textId="77777777" w:rsidR="000D1032" w:rsidRPr="00803B61" w:rsidRDefault="009B281D" w:rsidP="000D1032">
            <w:pPr>
              <w:spacing w:before="40" w:after="40"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Pr>
                <w:sz w:val="16"/>
                <w:szCs w:val="20"/>
                <w:lang w:val="es-ES"/>
              </w:rPr>
              <w:t>Diferenciar reproducción determinista, trazabilidad de observaciones neuronales y reconstrucción del expediente.</w:t>
            </w:r>
          </w:p>
        </w:tc>
      </w:tr>
      <w:tr w:rsidR="000D1032" w:rsidRPr="002F4F30" w14:paraId="56EE509C" w14:textId="77777777" w:rsidTr="00803B61">
        <w:tc>
          <w:tcPr>
            <w:cnfStyle w:val="001000000000" w:firstRow="0" w:lastRow="0" w:firstColumn="1" w:lastColumn="0" w:oddVBand="0" w:evenVBand="0" w:oddHBand="0" w:evenHBand="0" w:firstRowFirstColumn="0" w:firstRowLastColumn="0" w:lastRowFirstColumn="0" w:lastRowLastColumn="0"/>
            <w:tcW w:w="2929" w:type="dxa"/>
          </w:tcPr>
          <w:p w14:paraId="055D7044" w14:textId="77777777" w:rsidR="000D1032" w:rsidRPr="00803B61" w:rsidRDefault="000D1032" w:rsidP="000D1032">
            <w:pPr>
              <w:spacing w:before="40" w:after="40" w:line="240" w:lineRule="auto"/>
              <w:jc w:val="both"/>
              <w:rPr>
                <w:sz w:val="16"/>
                <w:szCs w:val="20"/>
              </w:rPr>
            </w:pPr>
            <w:r w:rsidRPr="00803B61">
              <w:rPr>
                <w:sz w:val="16"/>
                <w:szCs w:val="20"/>
              </w:rPr>
              <w:t>Validar una arquitectura general.</w:t>
            </w:r>
          </w:p>
        </w:tc>
        <w:tc>
          <w:tcPr>
            <w:tcW w:w="2929" w:type="dxa"/>
          </w:tcPr>
          <w:p w14:paraId="6CA88F02" w14:textId="77777777" w:rsidR="000D1032" w:rsidRPr="00803B61" w:rsidRDefault="009B281D" w:rsidP="000D1032">
            <w:pPr>
              <w:spacing w:before="40" w:after="40"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Pr>
                <w:sz w:val="16"/>
                <w:szCs w:val="20"/>
                <w:lang w:val="es-ES"/>
              </w:rPr>
              <w:t>Confundir una propiedad formal, su realización computacional, el éxito en una campaña interna y su generalización a sistemas independientes.</w:t>
            </w:r>
          </w:p>
        </w:tc>
        <w:tc>
          <w:tcPr>
            <w:tcW w:w="2929" w:type="dxa"/>
          </w:tcPr>
          <w:p w14:paraId="1983234F" w14:textId="77777777" w:rsidR="000D1032" w:rsidRPr="00803B61" w:rsidRDefault="009B281D" w:rsidP="000D1032">
            <w:pPr>
              <w:spacing w:before="40" w:after="40"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Pr>
                <w:sz w:val="16"/>
                <w:szCs w:val="20"/>
                <w:lang w:val="es-ES"/>
              </w:rPr>
              <w:t>Establecer criterios de justificación distintos para formalización, realización, validez interna y validez externa.</w:t>
            </w:r>
          </w:p>
        </w:tc>
      </w:tr>
      <w:tr w:rsidR="000D1032" w:rsidRPr="002F4F30" w14:paraId="3E9DED73" w14:textId="77777777" w:rsidTr="00803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F975262" w14:textId="77777777" w:rsidR="000D1032" w:rsidRPr="00803B61" w:rsidRDefault="000D1032" w:rsidP="000D1032">
            <w:pPr>
              <w:spacing w:before="40" w:after="40" w:line="240" w:lineRule="auto"/>
              <w:jc w:val="both"/>
              <w:rPr>
                <w:sz w:val="16"/>
                <w:szCs w:val="20"/>
              </w:rPr>
            </w:pPr>
            <w:r w:rsidRPr="00803B61">
              <w:rPr>
                <w:sz w:val="16"/>
                <w:szCs w:val="20"/>
              </w:rPr>
              <w:t>Falsar una propuesta flexible.</w:t>
            </w:r>
          </w:p>
        </w:tc>
        <w:tc>
          <w:tcPr>
            <w:tcW w:w="2929" w:type="dxa"/>
          </w:tcPr>
          <w:p w14:paraId="3B4027AF" w14:textId="77777777" w:rsidR="000D1032" w:rsidRPr="00803B61" w:rsidRDefault="000D1032" w:rsidP="000D1032">
            <w:pPr>
              <w:spacing w:before="40" w:after="40"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Modificar criterios después del resultado hasta absorber cualquier contraejemplo.</w:t>
            </w:r>
          </w:p>
        </w:tc>
        <w:tc>
          <w:tcPr>
            <w:tcW w:w="2929" w:type="dxa"/>
          </w:tcPr>
          <w:p w14:paraId="273F3340" w14:textId="77777777" w:rsidR="000D1032" w:rsidRPr="00803B61" w:rsidRDefault="000D1032" w:rsidP="000D1032">
            <w:pPr>
              <w:spacing w:before="40" w:after="40"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803B61">
              <w:rPr>
                <w:sz w:val="16"/>
                <w:szCs w:val="20"/>
                <w:lang w:val="es-ES"/>
              </w:rPr>
              <w:t>Declarar previamente invariantes, contratos, condiciones de invalidez y reglas de restricción/reformulación.</w:t>
            </w:r>
          </w:p>
        </w:tc>
      </w:tr>
      <w:tr w:rsidR="000D1032" w:rsidRPr="002F4F30" w14:paraId="5745A414" w14:textId="77777777" w:rsidTr="00803B61">
        <w:tc>
          <w:tcPr>
            <w:cnfStyle w:val="001000000000" w:firstRow="0" w:lastRow="0" w:firstColumn="1" w:lastColumn="0" w:oddVBand="0" w:evenVBand="0" w:oddHBand="0" w:evenHBand="0" w:firstRowFirstColumn="0" w:firstRowLastColumn="0" w:lastRowFirstColumn="0" w:lastRowLastColumn="0"/>
            <w:tcW w:w="2929" w:type="dxa"/>
          </w:tcPr>
          <w:p w14:paraId="4BAB2E64" w14:textId="77777777" w:rsidR="000D1032" w:rsidRPr="00803B61" w:rsidRDefault="000D1032" w:rsidP="000D1032">
            <w:pPr>
              <w:spacing w:before="40" w:after="40" w:line="240" w:lineRule="auto"/>
              <w:jc w:val="both"/>
              <w:rPr>
                <w:sz w:val="16"/>
                <w:szCs w:val="20"/>
              </w:rPr>
            </w:pPr>
            <w:r w:rsidRPr="00803B61">
              <w:rPr>
                <w:sz w:val="16"/>
                <w:szCs w:val="20"/>
              </w:rPr>
              <w:t>Explicar una decisión.</w:t>
            </w:r>
          </w:p>
        </w:tc>
        <w:tc>
          <w:tcPr>
            <w:tcW w:w="2929" w:type="dxa"/>
          </w:tcPr>
          <w:p w14:paraId="011F9576" w14:textId="77777777" w:rsidR="000D1032" w:rsidRPr="00803B61" w:rsidRDefault="000D1032" w:rsidP="000D1032">
            <w:pPr>
              <w:spacing w:before="40" w:after="40"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Añadir una justificación retrospectiva generada por el mismo sistema que produjo la salida.</w:t>
            </w:r>
          </w:p>
        </w:tc>
        <w:tc>
          <w:tcPr>
            <w:tcW w:w="2929" w:type="dxa"/>
          </w:tcPr>
          <w:p w14:paraId="33B58F42" w14:textId="77777777" w:rsidR="000D1032" w:rsidRPr="00803B61" w:rsidRDefault="000D1032" w:rsidP="000D1032">
            <w:pPr>
              <w:spacing w:before="40" w:after="40"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803B61">
              <w:rPr>
                <w:sz w:val="16"/>
                <w:szCs w:val="20"/>
                <w:lang w:val="es-ES"/>
              </w:rPr>
              <w:t>Conservar durante el proceso un objeto público de evidencia, estructura, provenance, incertidumbre y autoridad susceptible de contestación.</w:t>
            </w:r>
          </w:p>
        </w:tc>
      </w:tr>
    </w:tbl>
    <w:p w14:paraId="25B47516" w14:textId="77777777" w:rsidR="001746CF" w:rsidRDefault="001746CF">
      <w:pPr>
        <w:pStyle w:val="MDPARThesisBody"/>
        <w:rPr>
          <w:lang w:val="es-ES"/>
        </w:rPr>
      </w:pPr>
    </w:p>
    <w:p w14:paraId="16FC98AC" w14:textId="77777777" w:rsidR="000D1032" w:rsidRDefault="00C63637" w:rsidP="000D1032">
      <w:pPr>
        <w:pStyle w:val="MDPARThesisBody"/>
        <w:rPr>
          <w:lang w:val="es-ES"/>
        </w:rPr>
      </w:pPr>
      <w:r w:rsidRPr="00CE55D6">
        <w:rPr>
          <w:b/>
          <w:bCs/>
          <w:lang w:val="es-ES"/>
        </w:rPr>
        <w:t>Repercusión.</w:t>
      </w:r>
      <w:r w:rsidRPr="00CE55D6">
        <w:rPr>
          <w:lang w:val="es-ES"/>
        </w:rPr>
        <w:t xml:space="preserve"> La distinción entre </w:t>
      </w:r>
      <w:r>
        <w:t>Ω</w:t>
      </w:r>
      <w:r w:rsidRPr="00CE55D6">
        <w:rPr>
          <w:lang w:val="es-ES"/>
        </w:rPr>
        <w:t>, UNKNOWN y UNEVALUABLE separa tres situaciones: exterioridad respecto de una ocurrencia estructural positiva disponible, ocurrencia representada cuya localización canónica no está resuelta e imposibilidad de evaluar una propiedad bajo el contrato aplicable. Son estados de naturaleza diferente y ninguno equivale a demostrar falsedad. MDPAR añade un expediente reconstruible de observaciones, relaciones, transformaciones, procedencia y autoridad. Su valor epistemológico consiste en conservar qué se sabe, qué permanece abierto y bajo qué condiciones podría revisarse una inferencia.</w:t>
      </w:r>
    </w:p>
    <w:p w14:paraId="7379C37E" w14:textId="77777777" w:rsidR="000D1032" w:rsidRPr="003E4238" w:rsidRDefault="000D1032" w:rsidP="000D1032">
      <w:pPr>
        <w:pStyle w:val="MDPARThesisBody"/>
        <w:rPr>
          <w:lang w:val="es-ES"/>
        </w:rPr>
      </w:pPr>
      <w:r w:rsidRPr="0027708B">
        <w:rPr>
          <w:lang w:val="es-ES"/>
        </w:rPr>
        <w:t xml:space="preserve">En metodología experimental, conservar un resultado adverso, una transformación que pierde una propiedad, una observación neuronal variable o una evaluación imposible evita redefinir retrospectivamente el criterio de éxito. La trazabilidad permite identificar qué contrato se aplicó y qué resultado obtuvo, pero no garantiza la verdad de la fuente </w:t>
      </w:r>
      <w:r w:rsidRPr="0027708B">
        <w:rPr>
          <w:lang w:val="es-ES"/>
        </w:rPr>
        <w:lastRenderedPageBreak/>
        <w:t>original ni convierte una validación interna en corroboración externa. La distinción epistemológica entre los límites de una representación y la incertidumbre dentro de ella recibe su desarrollo filosófico específico en el apartado 13.11.</w:t>
      </w:r>
    </w:p>
    <w:p w14:paraId="214D9DC7" w14:textId="77777777" w:rsidR="00704206" w:rsidRDefault="00C63637" w:rsidP="009B281D">
      <w:pPr>
        <w:pStyle w:val="MDPARThesisBody"/>
        <w:rPr>
          <w:lang w:val="es-ES"/>
        </w:rPr>
      </w:pPr>
      <w:r w:rsidRPr="00CE55D6">
        <w:rPr>
          <w:b/>
          <w:bCs/>
          <w:lang w:val="es-ES"/>
        </w:rPr>
        <w:t>Estatuto.</w:t>
      </w:r>
      <w:r w:rsidRPr="00CE55D6">
        <w:rPr>
          <w:lang w:val="es-ES"/>
        </w:rPr>
        <w:t xml:space="preserve"> Las distinciones de representación y evaluabilidad proceden del SCC; su conservación operacional y la reconstrucción del expediente pertenecen a MDPAR; las campañas y la superficie documental proporcionan evidencia circunscrita a sus contratos. El valor metodológico consiste en hacer explícitas las condiciones de discusión y falsación. La fiabilidad factual de las observaciones, la reproducibilidad independiente y la generalidad externa requieren contrastes separados.</w:t>
      </w:r>
    </w:p>
    <w:p w14:paraId="39AAAF70" w14:textId="77777777" w:rsidR="00146AEA" w:rsidRPr="003E4238" w:rsidRDefault="00146AEA">
      <w:pPr>
        <w:pStyle w:val="MDPARThesisBody"/>
        <w:rPr>
          <w:lang w:val="es-ES"/>
        </w:rPr>
      </w:pPr>
    </w:p>
    <w:p w14:paraId="641934DA" w14:textId="77777777" w:rsidR="00704206" w:rsidRPr="0027708B" w:rsidRDefault="00C63637" w:rsidP="00146AEA">
      <w:pPr>
        <w:pStyle w:val="MDPARProfileCallout"/>
        <w:spacing w:before="0" w:after="0" w:line="360" w:lineRule="auto"/>
        <w:jc w:val="both"/>
        <w:rPr>
          <w:sz w:val="16"/>
          <w:szCs w:val="14"/>
          <w:lang w:val="es-ES"/>
        </w:rPr>
      </w:pPr>
      <w:r w:rsidRPr="0027708B">
        <w:rPr>
          <w:sz w:val="20"/>
          <w:szCs w:val="18"/>
          <w:lang w:val="es-ES"/>
        </w:rPr>
        <w:t>Una inferencia discutible no es necesariamente una inferencia verdadera: es una cuyas premisas, operaciones, límites y condiciones de autoridad pueden examinarse sin confundir ausencia de información, exterioridad representacional y fallo de evaluabilidad.</w:t>
      </w:r>
    </w:p>
    <w:p w14:paraId="360D6EE1" w14:textId="77777777" w:rsidR="00C036BD" w:rsidRPr="00802B30" w:rsidRDefault="00C036BD" w:rsidP="000D1032">
      <w:pPr>
        <w:pStyle w:val="MDPARThesisBody"/>
        <w:ind w:firstLine="0"/>
        <w:rPr>
          <w:lang w:val="es-ES"/>
        </w:rPr>
      </w:pPr>
    </w:p>
    <w:p w14:paraId="3C6385DB" w14:textId="77777777" w:rsidR="00C036BD" w:rsidRPr="00802B30" w:rsidRDefault="00342882" w:rsidP="00802B30">
      <w:pPr>
        <w:pStyle w:val="MDPARProfileH2"/>
        <w:spacing w:before="0" w:after="0" w:line="360" w:lineRule="auto"/>
        <w:ind w:firstLine="709"/>
        <w:jc w:val="both"/>
        <w:outlineLvl w:val="1"/>
        <w:rPr>
          <w:lang w:val="es-ES"/>
        </w:rPr>
      </w:pPr>
      <w:bookmarkStart w:id="109" w:name="_Toc242721945"/>
      <w:r w:rsidRPr="00802B30">
        <w:rPr>
          <w:lang w:val="es-ES"/>
        </w:rPr>
        <w:t>13.5. Ingeniería de software y sistemas distribuidos: de integrar componentes a preservar identidad cognitiva</w:t>
      </w:r>
      <w:bookmarkEnd w:id="109"/>
    </w:p>
    <w:p w14:paraId="5112ED69" w14:textId="77777777" w:rsidR="00C036BD" w:rsidRPr="00802B30" w:rsidRDefault="00342882">
      <w:pPr>
        <w:pStyle w:val="MDPARThesisBody"/>
        <w:rPr>
          <w:lang w:val="es-ES"/>
        </w:rPr>
      </w:pPr>
      <w:r w:rsidRPr="0027708B">
        <w:rPr>
          <w:lang w:val="es-ES"/>
        </w:rPr>
        <w:t>Los sistemas distribuidos ya disponen de APIs, orquestación, persistencia, control de acceso y recuperación. La pregunta específica de MDPAR es qué debe permanecer cuando los componentes cambian para que el proceso inferencial siga siendo reconstruible y para que ninguna capacidad herede autoridad por el mero hecho de estar disponible. El SCC especifica el objeto estructural que se pretende preservar; MDPAR realiza su distribución operacional.</w:t>
      </w:r>
    </w:p>
    <w:p w14:paraId="5E2AC097" w14:textId="77777777" w:rsidR="00C036BD" w:rsidRPr="00802B30" w:rsidRDefault="00342882">
      <w:pPr>
        <w:pStyle w:val="MDPARThesisBody"/>
        <w:rPr>
          <w:lang w:val="es-ES"/>
        </w:rPr>
      </w:pPr>
      <w:r w:rsidRPr="0027708B">
        <w:rPr>
          <w:b/>
          <w:bCs/>
          <w:lang w:val="es-ES"/>
        </w:rPr>
        <w:t>Repercusión.</w:t>
      </w:r>
      <w:r w:rsidRPr="0027708B">
        <w:rPr>
          <w:lang w:val="es-ES"/>
        </w:rPr>
        <w:t xml:space="preserve"> La integración técnica y la continuidad cognitiva dejan de ser sinónimos. Compartir un formato o restablecer un servicio no determina por sí mismo qué trayectoria seguía abierta, qué observación mantiene vigencia o qué transformación está autorizada. MDPAR distribuye estas responsabilidades entre núcleo formal, reconstrucción, evaluación, routing, entradas, runtime y superficies de observación, con procedencia y contratos explícitos. La arquitectura permite formular pruebas de sustitución, interrupción, recuperación y cooperación que comprueban propiedades del proceso, además de la disponibilidad de sus componentes.</w:t>
      </w:r>
    </w:p>
    <w:p w14:paraId="292B4CD4" w14:textId="77777777" w:rsidR="00C036BD" w:rsidRPr="00802B30" w:rsidRDefault="00342882">
      <w:pPr>
        <w:pStyle w:val="MDPARThesisBody"/>
        <w:rPr>
          <w:lang w:val="es-ES"/>
        </w:rPr>
      </w:pPr>
      <w:r w:rsidRPr="00802B30">
        <w:rPr>
          <w:lang w:val="es-ES"/>
        </w:rPr>
        <w:t xml:space="preserve">Esta separación modifica también la noción de fallo. En una arquitectura monolítica, la pérdida del componente que interpreta puede confundirse con pérdida del estado cognitivo. En MDPAR, degradación, ausencia, fallback y recuperación son acontecimientos de la trayectoria. El sistema puede registrar que una capacidad dejó de </w:t>
      </w:r>
      <w:r w:rsidRPr="00802B30">
        <w:rPr>
          <w:lang w:val="es-ES"/>
        </w:rPr>
        <w:lastRenderedPageBreak/>
        <w:t>estar disponible, continuar bajo condiciones más pobres y recuperar después una capacidad sin reescribir retrospectivamente la historia intermedia. La resiliencia deja de significar únicamente uptime: puede significar conservación de identidad bajo cambio de capacidad.</w:t>
      </w:r>
    </w:p>
    <w:p w14:paraId="7D2F3109" w14:textId="77777777" w:rsidR="00C036BD" w:rsidRPr="009B281D" w:rsidRDefault="00342882">
      <w:pPr>
        <w:pStyle w:val="MDPARThesisBody"/>
        <w:rPr>
          <w:lang w:val="es-ES"/>
        </w:rPr>
      </w:pPr>
      <w:r w:rsidRPr="0027708B">
        <w:rPr>
          <w:b/>
          <w:bCs/>
          <w:lang w:val="es-ES"/>
        </w:rPr>
        <w:t>Estatuto.</w:t>
      </w:r>
      <w:r w:rsidRPr="0027708B">
        <w:rPr>
          <w:lang w:val="es-ES"/>
        </w:rPr>
        <w:t xml:space="preserve"> C11–C12 aportan evidencia interna de degradación, continuidad, recuperación y cooperación sostenida bajo condiciones experimentales delimitadas. Esto demuestra realización de las responsabilidades ensayadas, no compatibilidad universal con software simbólico independiente ni despliegue generalizado en embodiment.</w:t>
      </w:r>
    </w:p>
    <w:p w14:paraId="1679262D" w14:textId="77777777" w:rsidR="00802B30" w:rsidRPr="00802B30" w:rsidRDefault="00802B30">
      <w:pPr>
        <w:pStyle w:val="MDPARThesisBody"/>
        <w:rPr>
          <w:lang w:val="es-ES"/>
        </w:rPr>
      </w:pPr>
    </w:p>
    <w:p w14:paraId="40BA4239" w14:textId="77777777" w:rsidR="00C036BD" w:rsidRPr="00802B30" w:rsidRDefault="00342882" w:rsidP="00802B30">
      <w:pPr>
        <w:pStyle w:val="MDPARProfileCallout"/>
        <w:spacing w:before="0" w:after="0" w:line="360" w:lineRule="auto"/>
        <w:jc w:val="both"/>
        <w:rPr>
          <w:sz w:val="20"/>
          <w:szCs w:val="18"/>
          <w:lang w:val="es-ES"/>
        </w:rPr>
      </w:pPr>
      <w:r w:rsidRPr="00802B30">
        <w:rPr>
          <w:sz w:val="20"/>
          <w:szCs w:val="18"/>
          <w:lang w:val="es-ES"/>
        </w:rPr>
        <w:t>Una arquitectura distribuida puede mantener servicios</w:t>
      </w:r>
      <w:r w:rsidR="00802B30" w:rsidRPr="00802B30">
        <w:rPr>
          <w:sz w:val="20"/>
          <w:szCs w:val="18"/>
          <w:lang w:val="es-ES"/>
        </w:rPr>
        <w:t>,</w:t>
      </w:r>
      <w:r w:rsidRPr="00802B30">
        <w:rPr>
          <w:sz w:val="20"/>
          <w:szCs w:val="18"/>
          <w:lang w:val="es-ES"/>
        </w:rPr>
        <w:t xml:space="preserve"> aunque cambien sus nodos. MDPAR plantea una exigencia adicional: que también pueda mantenerse reconocible el proceso cognitivo que esos nodos estaban sosteniendo.</w:t>
      </w:r>
    </w:p>
    <w:p w14:paraId="448B4F30" w14:textId="77777777" w:rsidR="00C036BD" w:rsidRPr="00802B30" w:rsidRDefault="00C036BD">
      <w:pPr>
        <w:pStyle w:val="MDPARThesisBody"/>
        <w:rPr>
          <w:lang w:val="es-ES"/>
        </w:rPr>
      </w:pPr>
    </w:p>
    <w:p w14:paraId="2F69AD0B" w14:textId="77777777" w:rsidR="009B281D" w:rsidRDefault="00342882" w:rsidP="009B281D">
      <w:pPr>
        <w:pStyle w:val="MDPARProfileH2"/>
        <w:spacing w:before="0" w:after="0" w:line="360" w:lineRule="auto"/>
        <w:ind w:firstLine="709"/>
        <w:jc w:val="both"/>
        <w:outlineLvl w:val="1"/>
        <w:rPr>
          <w:lang w:val="es-ES"/>
        </w:rPr>
      </w:pPr>
      <w:bookmarkStart w:id="110" w:name="_Toc242721946"/>
      <w:r w:rsidRPr="00802B30">
        <w:rPr>
          <w:lang w:val="es-ES"/>
        </w:rPr>
        <w:t>13.6. Interoperabilidad tecnológica: de compartir formatos a compartir contratos estructurales</w:t>
      </w:r>
      <w:bookmarkEnd w:id="110"/>
    </w:p>
    <w:p w14:paraId="04205937" w14:textId="77777777" w:rsidR="009B281D" w:rsidRDefault="009B281D">
      <w:pPr>
        <w:pStyle w:val="MDPARThesisBody"/>
        <w:rPr>
          <w:b/>
          <w:bCs/>
          <w:lang w:val="es-ES"/>
        </w:rPr>
      </w:pPr>
      <w:r w:rsidRPr="0027708B">
        <w:rPr>
          <w:lang w:val="es-ES"/>
        </w:rPr>
        <w:t>Intercambiar mensajes, alinear ontologías y compartir contratos estructurales son tres formas distintas de interoperabilidad. Los formatos comunes resuelven el transporte de datos; las ontologías compartidas permiten compromisos semánticos explícitos; el SCC plantea si ciertas propiedades de organización pueden compararse sin exigir la misma ontología a todos los participantes. Su carácter ontology-light no elimina los adaptadores ni garantiza ausencia de pérdida semántica.</w:t>
      </w:r>
    </w:p>
    <w:p w14:paraId="680B3AC4" w14:textId="77777777" w:rsidR="00C036BD" w:rsidRPr="00802B30" w:rsidRDefault="00342882">
      <w:pPr>
        <w:pStyle w:val="MDPARThesisBody"/>
        <w:rPr>
          <w:lang w:val="es-ES"/>
        </w:rPr>
      </w:pPr>
      <w:r w:rsidRPr="0027708B">
        <w:rPr>
          <w:b/>
          <w:bCs/>
          <w:lang w:val="es-ES"/>
        </w:rPr>
        <w:t>Repercusión.</w:t>
      </w:r>
      <w:r w:rsidRPr="0027708B">
        <w:rPr>
          <w:lang w:val="es-ES"/>
        </w:rPr>
        <w:t xml:space="preserve"> La interoperabilidad estructural puede especificarse mediante contratos de observación, correspondencia, transformación, conservación de propiedades y condiciones de evaluabilidad. MDPAR añade la ejecución cooperativa sobre un estado canónico cuya procedencia, continuidad y autoridad no pertenecen automáticamente al proveedor que aporta semántica. Esta distinción permite diseñar experimentos que separen transporte correcto de mensajes, concordancia de interpretaciones y preservación efectiva de propiedades inferenciales.</w:t>
      </w:r>
    </w:p>
    <w:p w14:paraId="11DA5C5B" w14:textId="77777777" w:rsidR="00C036BD" w:rsidRPr="00802B30" w:rsidRDefault="00342882">
      <w:pPr>
        <w:pStyle w:val="MDPARThesisBody"/>
        <w:rPr>
          <w:lang w:val="es-ES"/>
        </w:rPr>
      </w:pPr>
      <w:r w:rsidRPr="00802B30">
        <w:rPr>
          <w:lang w:val="es-ES"/>
        </w:rPr>
        <w:t>La consecuencia más amplia es que la cooperación entre inteligencias heterogéneas puede estudiarse sin exigir homogeneidad cognitiva. Un modelo frontier, un modelo local, un componente simbólico, un plugin especializado o una capacidad encarnada pueden participar sobre el mismo expediente sin poseer los mismos mecanismos internos. Si la propiedad transportada permanece identificable, la diversidad del participante deja de ser por sí sola un obstáculo para la continuidad del sistema.</w:t>
      </w:r>
    </w:p>
    <w:p w14:paraId="0115B8CC" w14:textId="77777777" w:rsidR="00C036BD" w:rsidRDefault="00342882">
      <w:pPr>
        <w:pStyle w:val="MDPARThesisBody"/>
        <w:rPr>
          <w:lang w:val="es-ES"/>
        </w:rPr>
      </w:pPr>
      <w:r w:rsidRPr="0027708B">
        <w:rPr>
          <w:b/>
          <w:bCs/>
          <w:lang w:val="es-ES"/>
        </w:rPr>
        <w:lastRenderedPageBreak/>
        <w:t>Estatuto.</w:t>
      </w:r>
      <w:r w:rsidRPr="0027708B">
        <w:rPr>
          <w:lang w:val="es-ES"/>
        </w:rPr>
        <w:t xml:space="preserve"> La cooperación entre componentes heterogéneos se ha examinado internamente, pero la independencia entre sistemas simbólicos desarrollados por terceros sigue siendo una cuestión de despliegue y validación externa.</w:t>
      </w:r>
    </w:p>
    <w:p w14:paraId="395F2441" w14:textId="77777777" w:rsidR="005B702C" w:rsidRPr="00802B30" w:rsidRDefault="005B702C">
      <w:pPr>
        <w:pStyle w:val="MDPARThesisBody"/>
        <w:rPr>
          <w:lang w:val="es-ES"/>
        </w:rPr>
      </w:pPr>
    </w:p>
    <w:p w14:paraId="11FEA9A9" w14:textId="77777777" w:rsidR="00C036BD" w:rsidRPr="005B702C" w:rsidRDefault="00342882" w:rsidP="005B702C">
      <w:pPr>
        <w:pStyle w:val="MDPARProfileCallout"/>
        <w:spacing w:before="0" w:after="0" w:line="360" w:lineRule="auto"/>
        <w:jc w:val="both"/>
        <w:rPr>
          <w:sz w:val="20"/>
          <w:szCs w:val="18"/>
          <w:lang w:val="es-ES"/>
        </w:rPr>
      </w:pPr>
      <w:r w:rsidRPr="005B702C">
        <w:rPr>
          <w:sz w:val="20"/>
          <w:szCs w:val="18"/>
          <w:lang w:val="es-ES"/>
        </w:rPr>
        <w:t>Interoperar no tiene por qué significar pensar igual. Puede significar conservar un conjunto explícito de relaciones suficientemente común para que inteligencias distintas sepan qué parte del proceso reciben, qué pueden modificar y qué deben devolver.</w:t>
      </w:r>
    </w:p>
    <w:p w14:paraId="71BF6161" w14:textId="77777777" w:rsidR="00C036BD" w:rsidRPr="00802B30" w:rsidRDefault="00C036BD">
      <w:pPr>
        <w:pStyle w:val="MDPARThesisBody"/>
        <w:rPr>
          <w:lang w:val="es-ES"/>
        </w:rPr>
      </w:pPr>
    </w:p>
    <w:p w14:paraId="5607ADCA" w14:textId="77777777" w:rsidR="00C036BD" w:rsidRPr="00802B30" w:rsidRDefault="00342882" w:rsidP="005B702C">
      <w:pPr>
        <w:pStyle w:val="MDPARProfileH2"/>
        <w:spacing w:before="0" w:after="0" w:line="360" w:lineRule="auto"/>
        <w:ind w:firstLine="709"/>
        <w:jc w:val="both"/>
        <w:outlineLvl w:val="1"/>
        <w:rPr>
          <w:lang w:val="es-ES"/>
        </w:rPr>
      </w:pPr>
      <w:bookmarkStart w:id="111" w:name="_Toc242721947"/>
      <w:r w:rsidRPr="00802B30">
        <w:rPr>
          <w:lang w:val="es-ES"/>
        </w:rPr>
        <w:t>13.7. Organización y empresa: de adquirir inteligencia a gobernar responsabilidad cognitiva</w:t>
      </w:r>
      <w:bookmarkEnd w:id="111"/>
    </w:p>
    <w:p w14:paraId="7FA2F96B" w14:textId="77777777" w:rsidR="00C036BD" w:rsidRPr="00802B30" w:rsidRDefault="00342882">
      <w:pPr>
        <w:pStyle w:val="MDPARThesisBody"/>
        <w:rPr>
          <w:lang w:val="es-ES"/>
        </w:rPr>
      </w:pPr>
      <w:r w:rsidRPr="0027708B">
        <w:rPr>
          <w:lang w:val="es-ES"/>
        </w:rPr>
        <w:t>La adquisición de capacidad externa no resuelve por sí sola quién conserva la historia inferencial, quién puede modificar el estado y qué condiciones autorizan cada transición. La cuestión corporativa no es solo qué modelo contratar, sino qué responsabilidades deben seguir siendo gobernables cuando cambian proveedores, costes, políticas o disponibilidad.</w:t>
      </w:r>
    </w:p>
    <w:p w14:paraId="2A477250" w14:textId="77777777" w:rsidR="00C036BD" w:rsidRPr="00802B30" w:rsidRDefault="00342882">
      <w:pPr>
        <w:pStyle w:val="MDPARThesisBody"/>
        <w:rPr>
          <w:lang w:val="es-ES"/>
        </w:rPr>
      </w:pPr>
      <w:r w:rsidRPr="0027708B">
        <w:rPr>
          <w:b/>
          <w:bCs/>
          <w:lang w:val="es-ES"/>
        </w:rPr>
        <w:t>Repercusión.</w:t>
      </w:r>
      <w:r w:rsidRPr="0027708B">
        <w:rPr>
          <w:lang w:val="es-ES"/>
        </w:rPr>
        <w:t xml:space="preserve"> La separación entre semantic capability y cognitive ownership permite tratar la continuidad, la procedencia, la sustitución de capacidad y la autoridad como responsabilidades organizativas explícitas. El SCC aporta propiedades estructurales identificables; MDPAR las integra en un sistema que puede incorporar capacidades ajenas sin transferirles automáticamente el estado global. La posible invariancia entre idiomas y la verificación de transformaciones potencialmente adversarias amplían los problemas que una organización podría someter a contrato, pero no constituyen todavía prestaciones comerciales acreditadas.</w:t>
      </w:r>
    </w:p>
    <w:p w14:paraId="11F92508" w14:textId="77777777" w:rsidR="00C036BD" w:rsidRPr="00802B30" w:rsidRDefault="00342882">
      <w:pPr>
        <w:pStyle w:val="MDPARThesisBody"/>
        <w:rPr>
          <w:lang w:val="es-ES"/>
        </w:rPr>
      </w:pPr>
      <w:r w:rsidRPr="00802B30">
        <w:rPr>
          <w:lang w:val="es-ES"/>
        </w:rPr>
        <w:t>La consecuencia afecta también a gobierno y auditoría. Si las responsabilidades cognitivas están explicitadas, una organización puede preguntar qué clase de capacidad requiere cada transición, qué decisiones pueden ejecutarse localmente, cuáles exigen una observación externa y cuáles necesitan autorización humana o profesional. La gobernanza deja de ser una política superpuesta a una caja semántica y puede incorporarse a la arquitectura que decide quién observa, quién calcula, quién conserva y quién actúa.</w:t>
      </w:r>
    </w:p>
    <w:p w14:paraId="1E0E5FB4" w14:textId="77777777" w:rsidR="00C036BD" w:rsidRPr="00CE0E4B" w:rsidRDefault="00342882">
      <w:pPr>
        <w:pStyle w:val="MDPARThesisBody"/>
        <w:rPr>
          <w:lang w:val="es-ES"/>
        </w:rPr>
      </w:pPr>
      <w:r w:rsidRPr="00F74DAF">
        <w:rPr>
          <w:b/>
          <w:bCs/>
          <w:lang w:val="es-ES"/>
        </w:rPr>
        <w:t>Estatuto.</w:t>
      </w:r>
      <w:r w:rsidRPr="00CE55D6">
        <w:rPr>
          <w:lang w:val="es-ES"/>
        </w:rPr>
        <w:t xml:space="preserve"> La separación de responsabilidades se realiza en la arquitectura y cuenta con evidencia interna de cooperación, routing y continuidad. La reducción de dependencia, el coste de migración lingüística, la resistencia ante manipulación y los efectos sobre gobierno corporativo requieren contrafactuales y evaluaciones externas. El programa de despliegue sigue sujeto a revisión.</w:t>
      </w:r>
    </w:p>
    <w:p w14:paraId="287A2DEC" w14:textId="77777777" w:rsidR="005B702C" w:rsidRPr="00802B30" w:rsidRDefault="005B702C">
      <w:pPr>
        <w:pStyle w:val="MDPARThesisBody"/>
        <w:rPr>
          <w:lang w:val="es-ES"/>
        </w:rPr>
      </w:pPr>
    </w:p>
    <w:p w14:paraId="72406CAE" w14:textId="77777777" w:rsidR="00C036BD" w:rsidRPr="005B702C" w:rsidRDefault="00342882" w:rsidP="005B702C">
      <w:pPr>
        <w:pStyle w:val="MDPARProfileCallout"/>
        <w:spacing w:before="0" w:after="0" w:line="360" w:lineRule="auto"/>
        <w:jc w:val="both"/>
        <w:rPr>
          <w:sz w:val="20"/>
          <w:szCs w:val="18"/>
          <w:lang w:val="es-ES"/>
        </w:rPr>
      </w:pPr>
      <w:r w:rsidRPr="005B702C">
        <w:rPr>
          <w:sz w:val="20"/>
          <w:szCs w:val="18"/>
          <w:lang w:val="es-ES"/>
        </w:rPr>
        <w:t>Una organización no necesita poseer todos los modelos que utiliza para conservar propiedad sobre su proceso cognitivo. Puede externalizar capacidad sin externalizar necesariamente memoria estructural, continuidad y autoridad.</w:t>
      </w:r>
    </w:p>
    <w:p w14:paraId="2C964706" w14:textId="77777777" w:rsidR="00C036BD" w:rsidRPr="00802B30" w:rsidRDefault="00C036BD">
      <w:pPr>
        <w:pStyle w:val="MDPARThesisBody"/>
        <w:rPr>
          <w:lang w:val="es-ES"/>
        </w:rPr>
      </w:pPr>
    </w:p>
    <w:p w14:paraId="1C2F75BE" w14:textId="77777777" w:rsidR="00C036BD" w:rsidRPr="005B702C" w:rsidRDefault="00342882" w:rsidP="005B702C">
      <w:pPr>
        <w:pStyle w:val="MDPARProfileH2"/>
        <w:spacing w:before="0" w:after="0" w:line="360" w:lineRule="auto"/>
        <w:ind w:firstLine="709"/>
        <w:jc w:val="both"/>
        <w:outlineLvl w:val="1"/>
        <w:rPr>
          <w:lang w:val="es-ES"/>
        </w:rPr>
      </w:pPr>
      <w:bookmarkStart w:id="112" w:name="_Toc242721948"/>
      <w:r w:rsidRPr="005B702C">
        <w:rPr>
          <w:lang w:val="es-ES"/>
        </w:rPr>
        <w:t>13.8. Economía de la computación: del modelo único a la adquisición situada de capacidad</w:t>
      </w:r>
      <w:bookmarkEnd w:id="112"/>
    </w:p>
    <w:p w14:paraId="63C4B537" w14:textId="77777777" w:rsidR="00C036BD" w:rsidRPr="00802B30" w:rsidRDefault="00342882">
      <w:pPr>
        <w:pStyle w:val="MDPARThesisBody"/>
        <w:rPr>
          <w:lang w:val="es-ES"/>
        </w:rPr>
      </w:pPr>
      <w:r w:rsidRPr="00802B30">
        <w:rPr>
          <w:lang w:val="es-ES"/>
        </w:rPr>
        <w:t>Cuando identificación, cálculo determinista, observación semántica, memoria, routing y autorización se concentran en una única llamada o en un único modelo, el coste de la capacidad máxima se extiende a operaciones que quizá no la necesitan. Sin una arquitectura que separe responsabilidades, tampoco existe una unidad clara sobre la que decidir qué compute comprar.</w:t>
      </w:r>
    </w:p>
    <w:p w14:paraId="0C68EBDB" w14:textId="77777777" w:rsidR="00C036BD" w:rsidRPr="00802B30" w:rsidRDefault="00342882">
      <w:pPr>
        <w:pStyle w:val="MDPARThesisBody"/>
        <w:rPr>
          <w:lang w:val="es-ES"/>
        </w:rPr>
      </w:pPr>
      <w:r w:rsidRPr="0027708B">
        <w:rPr>
          <w:b/>
          <w:bCs/>
          <w:lang w:val="es-ES"/>
        </w:rPr>
        <w:t>Repercusión.</w:t>
      </w:r>
      <w:r w:rsidRPr="0027708B">
        <w:rPr>
          <w:lang w:val="es-ES"/>
        </w:rPr>
        <w:t xml:space="preserve"> El SCC delimita operaciones estructurales calculables; MDPAR permite asignar recursos distintos a observación semántica, cálculo determinista, especialización CLOSED y continuidad. La unidad económica propuesta es la responsabilidad cognitiva pendiente, condicionada por el estado y la autoridad, no simplemente el token ni el modelo. Esto permite comparar configuraciones de adquisición situada de capacidad sin suponer que toda operación requiere el mismo proveedor ni que concurrencia equivale a compute gratuito.</w:t>
      </w:r>
    </w:p>
    <w:p w14:paraId="302CE11D" w14:textId="77777777" w:rsidR="00C036BD" w:rsidRPr="00802B30" w:rsidRDefault="00342882">
      <w:pPr>
        <w:pStyle w:val="MDPARThesisBody"/>
        <w:rPr>
          <w:lang w:val="es-ES"/>
        </w:rPr>
      </w:pPr>
      <w:r w:rsidRPr="00802B30">
        <w:rPr>
          <w:lang w:val="es-ES"/>
        </w:rPr>
        <w:t>Esta reformulación explica por qué reducir reasoning, latencia o dependencia de un proveedor no equivale necesariamente a reducir tokens totales, y por qué concurrencia no significa compute gratuito. El beneficio puede aparecer como tiempo evitado, resiliencia, menor hardware exigido, sustitución de capacidad, reducción de llamadas de alta gama o conservación de trabajo ya realizado. C, T, I, M y Q funcionan</w:t>
      </w:r>
      <w:r w:rsidR="005B702C">
        <w:rPr>
          <w:lang w:val="es-ES"/>
        </w:rPr>
        <w:t>,</w:t>
      </w:r>
      <w:r w:rsidRPr="00802B30">
        <w:rPr>
          <w:lang w:val="es-ES"/>
        </w:rPr>
        <w:t xml:space="preserve"> así</w:t>
      </w:r>
      <w:r w:rsidR="005B702C">
        <w:rPr>
          <w:lang w:val="es-ES"/>
        </w:rPr>
        <w:t>,</w:t>
      </w:r>
      <w:r w:rsidRPr="00802B30">
        <w:rPr>
          <w:lang w:val="es-ES"/>
        </w:rPr>
        <w:t xml:space="preserve"> como un ledger de consecuencias distintas que no deben comprimirse en una sola cifra de eficiencia.</w:t>
      </w:r>
    </w:p>
    <w:p w14:paraId="44C4E3FC" w14:textId="77777777" w:rsidR="00C036BD" w:rsidRDefault="00342882">
      <w:pPr>
        <w:pStyle w:val="MDPARThesisBody"/>
        <w:rPr>
          <w:lang w:val="es-ES"/>
        </w:rPr>
      </w:pPr>
      <w:r w:rsidRPr="0027708B">
        <w:rPr>
          <w:b/>
          <w:bCs/>
          <w:lang w:val="es-ES"/>
        </w:rPr>
        <w:t>Estatuto.</w:t>
      </w:r>
      <w:r w:rsidRPr="0027708B">
        <w:rPr>
          <w:lang w:val="es-ES"/>
        </w:rPr>
        <w:t xml:space="preserve"> Las mediciones internas permiten estudiar configuraciones concretas y distinguir coste, tiempo, infraestructura, mantenimiento y calidad. No autorizan un porcentaje general de ahorro ni una valoración de mercado. La invariancia lingüística podría modificar los costes de adaptación y la ciberseguridad los de verificación y gestión de incidentes, pero esos beneficios deberán demostrarse en cargas de trabajo externas, con calidad y riesgos comparables.</w:t>
      </w:r>
    </w:p>
    <w:p w14:paraId="506B1B34" w14:textId="77777777" w:rsidR="005B702C" w:rsidRPr="00802B30" w:rsidRDefault="005B702C">
      <w:pPr>
        <w:pStyle w:val="MDPARThesisBody"/>
        <w:rPr>
          <w:lang w:val="es-ES"/>
        </w:rPr>
      </w:pPr>
    </w:p>
    <w:p w14:paraId="37FF7FDE" w14:textId="77777777" w:rsidR="00C036BD" w:rsidRPr="005B702C" w:rsidRDefault="00342882" w:rsidP="005B702C">
      <w:pPr>
        <w:pStyle w:val="MDPARProfileCallout"/>
        <w:spacing w:before="0" w:after="0" w:line="360" w:lineRule="auto"/>
        <w:jc w:val="both"/>
        <w:rPr>
          <w:sz w:val="20"/>
          <w:szCs w:val="18"/>
          <w:lang w:val="es-ES"/>
        </w:rPr>
      </w:pPr>
      <w:r w:rsidRPr="005B702C">
        <w:rPr>
          <w:sz w:val="20"/>
          <w:szCs w:val="18"/>
          <w:lang w:val="es-ES"/>
        </w:rPr>
        <w:t>El recurso económico escaso no es solo el cómputo. Es la capacidad adecuada, disponible en el momento adecuado y con autoridad suficiente para resolver la transición que realmente está abierta.</w:t>
      </w:r>
    </w:p>
    <w:p w14:paraId="5FD949A7" w14:textId="77777777" w:rsidR="00C036BD" w:rsidRPr="00802B30" w:rsidRDefault="00C036BD">
      <w:pPr>
        <w:pStyle w:val="MDPARThesisBody"/>
        <w:rPr>
          <w:lang w:val="es-ES"/>
        </w:rPr>
      </w:pPr>
    </w:p>
    <w:p w14:paraId="2DEB7BFD" w14:textId="77777777" w:rsidR="00C036BD" w:rsidRPr="00802B30" w:rsidRDefault="00342882" w:rsidP="005B702C">
      <w:pPr>
        <w:pStyle w:val="MDPARProfileH2"/>
        <w:spacing w:before="0" w:after="0" w:line="360" w:lineRule="auto"/>
        <w:ind w:firstLine="709"/>
        <w:jc w:val="both"/>
        <w:outlineLvl w:val="1"/>
        <w:rPr>
          <w:lang w:val="es-ES"/>
        </w:rPr>
      </w:pPr>
      <w:bookmarkStart w:id="113" w:name="_Toc242721949"/>
      <w:r w:rsidRPr="00802B30">
        <w:rPr>
          <w:lang w:val="es-ES"/>
        </w:rPr>
        <w:t>13.9. Trabajo profesional y derecho: de automatizar el juicio a estructurar el problema previo al juicio</w:t>
      </w:r>
      <w:bookmarkEnd w:id="113"/>
    </w:p>
    <w:p w14:paraId="3E00571A" w14:textId="77777777" w:rsidR="00C036BD" w:rsidRPr="00802B30" w:rsidRDefault="00342882">
      <w:pPr>
        <w:pStyle w:val="MDPARThesisBody"/>
        <w:rPr>
          <w:lang w:val="es-ES"/>
        </w:rPr>
      </w:pPr>
      <w:r w:rsidRPr="0027708B">
        <w:rPr>
          <w:lang w:val="es-ES"/>
        </w:rPr>
        <w:t>El juicio profesional combina hechos, observaciones, inferencias, normas de competencia y decisiones de autoridad. La contribución del SCC es ofrecer una representación diferenciada de ciertas relaciones inferenciales; la de MDPAR es producir un expediente técnico reconstruible a partir de observaciones, sin convertir automáticamente sus resultados en hechos probados o dictámenes.</w:t>
      </w:r>
    </w:p>
    <w:p w14:paraId="2E1A5125" w14:textId="77777777" w:rsidR="00C036BD" w:rsidRPr="00802B30" w:rsidRDefault="00342882">
      <w:pPr>
        <w:pStyle w:val="MDPARThesisBody"/>
        <w:rPr>
          <w:lang w:val="es-ES"/>
        </w:rPr>
      </w:pPr>
      <w:r w:rsidRPr="0027708B">
        <w:rPr>
          <w:b/>
          <w:bCs/>
          <w:lang w:val="es-ES"/>
        </w:rPr>
        <w:t>Repercusión.</w:t>
      </w:r>
      <w:r w:rsidRPr="0027708B">
        <w:rPr>
          <w:lang w:val="es-ES"/>
        </w:rPr>
        <w:t xml:space="preserve"> Una entrada documental puede dar lugar a una representación canónica que separe evidencia original, observación semántica, inferencia, procedencia, incertidumbre y autoridad. El profesional puede examinar y corregir relaciones sin que la arquitectura deba sustituir su juicio. La distinción entre </w:t>
      </w:r>
      <w:r>
        <w:t>Ω</w:t>
      </w:r>
      <w:r w:rsidRPr="0027708B">
        <w:rPr>
          <w:lang w:val="es-ES"/>
        </w:rPr>
        <w:t>, UNKNOWN y UNEVALUABLE impide tratar toda ausencia como negación, mientras que los contratos de transformación permiten registrar qué cambió entre representaciones del expediente.</w:t>
      </w:r>
    </w:p>
    <w:p w14:paraId="42A7C3F8" w14:textId="77777777" w:rsidR="001E1F83" w:rsidRPr="001E1F83" w:rsidRDefault="001E1F83" w:rsidP="001E1F83">
      <w:pPr>
        <w:pStyle w:val="MDPARThesisBody"/>
        <w:rPr>
          <w:lang w:val="es-ES"/>
        </w:rPr>
      </w:pPr>
      <w:r w:rsidRPr="001E1F83">
        <w:rPr>
          <w:lang w:val="es-ES"/>
        </w:rPr>
        <w:t>La consecuencia profesional es un cambio en la unidad de trabajo que puede asumir la infraestructura. MDPAR realiza operaciones de reconstrucción estructural, separación entre evidencia e inferencia, conservación de procedencia, representación de incertidumbre y delimitación de autoridad. La superficie operacional integra estas responsabilidades en el tratamiento de evidencia documental y produce un expediente canónico del que pueden derivarse informes legibles. El profesional recibe</w:t>
      </w:r>
      <w:r w:rsidR="00F74DAF">
        <w:rPr>
          <w:lang w:val="es-ES"/>
        </w:rPr>
        <w:t>,</w:t>
      </w:r>
      <w:r w:rsidRPr="001E1F83">
        <w:rPr>
          <w:lang w:val="es-ES"/>
        </w:rPr>
        <w:t xml:space="preserve"> así</w:t>
      </w:r>
      <w:r w:rsidR="00F74DAF">
        <w:rPr>
          <w:lang w:val="es-ES"/>
        </w:rPr>
        <w:t>,</w:t>
      </w:r>
      <w:r w:rsidRPr="001E1F83">
        <w:rPr>
          <w:lang w:val="es-ES"/>
        </w:rPr>
        <w:t xml:space="preserve"> un objeto sobre el que puede examinar las relaciones identificadas, revisar las fuentes y formular su propio dictamen. La arquitectura no necesita adquirir autoridad clínica, jurídica o institucional para realizar las operaciones estructurales que le corresponden.</w:t>
      </w:r>
    </w:p>
    <w:p w14:paraId="3915DE88" w14:textId="77777777" w:rsidR="001E1F83" w:rsidRPr="00CE0E4B" w:rsidRDefault="001E1F83" w:rsidP="001E1F83">
      <w:pPr>
        <w:pStyle w:val="MDPARThesisBody"/>
        <w:rPr>
          <w:lang w:val="es-ES"/>
        </w:rPr>
      </w:pPr>
      <w:r w:rsidRPr="0027708B">
        <w:rPr>
          <w:b/>
          <w:bCs/>
          <w:lang w:val="es-ES"/>
        </w:rPr>
        <w:t>Estatuto.</w:t>
      </w:r>
      <w:r w:rsidRPr="0027708B">
        <w:rPr>
          <w:lang w:val="es-ES"/>
        </w:rPr>
        <w:t xml:space="preserve"> La superficie operacional demuestra el flujo ejecutable dentro de los casos y contratos procesados; no certifica exactitud factual exhaustiva, equivalencia con un dictamen experto ni admisibilidad jurídica. La reducción del trabajo profesional, la seguridad frente a alteraciones adversarias y la equidad entre narraciones o idiomas exigen estudios independientes y criterios propios de cada disciplina.</w:t>
      </w:r>
    </w:p>
    <w:p w14:paraId="1706CE4B" w14:textId="77777777" w:rsidR="00226DE9" w:rsidRPr="00802B30" w:rsidRDefault="00226DE9">
      <w:pPr>
        <w:pStyle w:val="MDPARThesisBody"/>
        <w:rPr>
          <w:lang w:val="es-ES"/>
        </w:rPr>
      </w:pPr>
    </w:p>
    <w:p w14:paraId="7B24C046" w14:textId="77777777" w:rsidR="00C036BD" w:rsidRPr="00226DE9" w:rsidRDefault="00342882" w:rsidP="00226DE9">
      <w:pPr>
        <w:pStyle w:val="MDPARProfileCallout"/>
        <w:spacing w:before="0" w:after="0" w:line="360" w:lineRule="auto"/>
        <w:jc w:val="both"/>
        <w:rPr>
          <w:sz w:val="20"/>
          <w:szCs w:val="18"/>
          <w:lang w:val="es-ES"/>
        </w:rPr>
      </w:pPr>
      <w:r w:rsidRPr="00226DE9">
        <w:rPr>
          <w:sz w:val="20"/>
          <w:szCs w:val="18"/>
          <w:lang w:val="es-ES"/>
        </w:rPr>
        <w:t>La pregunta relevante deja de ser cuánto juicio profesional puede sustituir una IA. Pasa a ser cuánto trabajo anterior al juicio puede convertirse en infraestructura sin transferir a esa infraestructura la autoridad que pertenece al profesional.</w:t>
      </w:r>
    </w:p>
    <w:p w14:paraId="4BF14400" w14:textId="77777777" w:rsidR="00C036BD" w:rsidRPr="00802B30" w:rsidRDefault="00C036BD">
      <w:pPr>
        <w:pStyle w:val="MDPARThesisBody"/>
        <w:rPr>
          <w:lang w:val="es-ES"/>
        </w:rPr>
      </w:pPr>
    </w:p>
    <w:p w14:paraId="01CA9689" w14:textId="77777777" w:rsidR="00C036BD" w:rsidRPr="00802B30" w:rsidRDefault="00342882" w:rsidP="00DF463F">
      <w:pPr>
        <w:pStyle w:val="MDPARProfileH2"/>
        <w:spacing w:before="0" w:after="0" w:line="360" w:lineRule="auto"/>
        <w:ind w:firstLine="709"/>
        <w:jc w:val="both"/>
        <w:outlineLvl w:val="1"/>
        <w:rPr>
          <w:lang w:val="es-ES"/>
        </w:rPr>
      </w:pPr>
      <w:bookmarkStart w:id="114" w:name="_Toc242721950"/>
      <w:r w:rsidRPr="00802B30">
        <w:rPr>
          <w:lang w:val="es-ES"/>
        </w:rPr>
        <w:lastRenderedPageBreak/>
        <w:t>13.10. Sociedad y soberanía cognitiva: de la persuasión privada al expediente discutible</w:t>
      </w:r>
      <w:bookmarkEnd w:id="114"/>
    </w:p>
    <w:p w14:paraId="53FDB3C6" w14:textId="77777777" w:rsidR="00C036BD" w:rsidRPr="00802B30" w:rsidRDefault="00342882">
      <w:pPr>
        <w:pStyle w:val="MDPARThesisBody"/>
        <w:rPr>
          <w:lang w:val="es-ES"/>
        </w:rPr>
      </w:pPr>
      <w:r w:rsidRPr="0027708B">
        <w:rPr>
          <w:lang w:val="es-ES"/>
        </w:rPr>
        <w:t>Las personas pueden narrar hechos mediante idiomas, registros, vocabularios y capacidades retóricas diferentes. Un procedimiento estructural común permite preguntar qué relaciones son comparables pese a esas diferencias, pero no garantiza que los observadores produzcan representaciones igualmente fieles ni que una institución trate de forma equitativa a quienes presentan sus relatos.</w:t>
      </w:r>
    </w:p>
    <w:p w14:paraId="46E6A100" w14:textId="77777777" w:rsidR="001E1F83" w:rsidRPr="001E1F83" w:rsidRDefault="001E1F83" w:rsidP="001E1F83">
      <w:pPr>
        <w:pStyle w:val="MDPARThesisBody"/>
        <w:rPr>
          <w:lang w:val="es-ES"/>
        </w:rPr>
      </w:pPr>
      <w:r w:rsidRPr="0027708B">
        <w:rPr>
          <w:b/>
          <w:bCs/>
          <w:lang w:val="es-ES"/>
        </w:rPr>
        <w:t>Repercusión.</w:t>
      </w:r>
      <w:r w:rsidRPr="0027708B">
        <w:rPr>
          <w:lang w:val="es-ES"/>
        </w:rPr>
        <w:t xml:space="preserve"> El SCC aporta criterios para estudiar conservación y transformación de propiedades; MDPAR conserva expedientes, procedencia, incertidumbre y límites de autoridad. Su articulación permite formular un ideal de simetría procedimental: someter narraciones heterogéneas a contratos explícitos de representación y revisión, sin asumir equivalencia de significado ni neutralidad lingüística. La contestabilidad adquiere aquí una dimensión social: las personas afectadas deben poder discutir observaciones, relaciones y consecuencias, no solo recibir una explicación persuasiva de la salida.</w:t>
      </w:r>
    </w:p>
    <w:p w14:paraId="18BB6753" w14:textId="77777777" w:rsidR="001E1F83" w:rsidRPr="00CE0E4B" w:rsidRDefault="001E1F83" w:rsidP="001E1F83">
      <w:pPr>
        <w:pStyle w:val="MDPARThesisBody"/>
        <w:rPr>
          <w:b/>
          <w:bCs/>
          <w:lang w:val="es-ES"/>
        </w:rPr>
      </w:pPr>
      <w:r w:rsidRPr="00F74DAF">
        <w:rPr>
          <w:b/>
          <w:bCs/>
          <w:lang w:val="es-ES"/>
        </w:rPr>
        <w:t>Estatuto.</w:t>
      </w:r>
      <w:r w:rsidRPr="00CE55D6">
        <w:rPr>
          <w:lang w:val="es-ES"/>
        </w:rPr>
        <w:t xml:space="preserve"> La arquitectura realiza conservación y distribución de responsabilidades dentro de sus contratos; la equidad entre idiomas, la reducción de sesgos, el acceso institucional y la eficacia defensiva son hipótesis de impacto externo. Las condiciones de despliegue y los resultados sobre poblaciones heterogéneas deben revisarse antes de presentar estas consecuencias como resultados sociales demostrados.</w:t>
      </w:r>
    </w:p>
    <w:p w14:paraId="6877AB53" w14:textId="77777777" w:rsidR="00226DE9" w:rsidRPr="00802B30" w:rsidRDefault="00226DE9">
      <w:pPr>
        <w:pStyle w:val="MDPARThesisBody"/>
        <w:rPr>
          <w:lang w:val="es-ES"/>
        </w:rPr>
      </w:pPr>
    </w:p>
    <w:p w14:paraId="51F476A1" w14:textId="77777777" w:rsidR="00C036BD" w:rsidRPr="00226DE9" w:rsidRDefault="00342882" w:rsidP="00226DE9">
      <w:pPr>
        <w:pStyle w:val="MDPARProfileCallout"/>
        <w:spacing w:before="0" w:after="0" w:line="360" w:lineRule="auto"/>
        <w:jc w:val="both"/>
        <w:rPr>
          <w:sz w:val="20"/>
          <w:szCs w:val="18"/>
          <w:lang w:val="es-ES"/>
        </w:rPr>
      </w:pPr>
      <w:r w:rsidRPr="00226DE9">
        <w:rPr>
          <w:sz w:val="20"/>
          <w:szCs w:val="18"/>
          <w:lang w:val="es-ES"/>
        </w:rPr>
        <w:t>La soberanía cognitiva no consiste en prescindir de inteligencias externas. Consiste en poder utilizarlas sin que la memoria, la procedencia y la autoridad del proceso desaparezcan dentro de ellas.</w:t>
      </w:r>
    </w:p>
    <w:p w14:paraId="2A77D269" w14:textId="77777777" w:rsidR="00C036BD" w:rsidRPr="00802B30" w:rsidRDefault="00C036BD">
      <w:pPr>
        <w:pStyle w:val="MDPARThesisBody"/>
        <w:rPr>
          <w:lang w:val="es-ES"/>
        </w:rPr>
      </w:pPr>
    </w:p>
    <w:p w14:paraId="51CFCA67" w14:textId="77777777" w:rsidR="00C036BD" w:rsidRPr="00802B30" w:rsidRDefault="00342882" w:rsidP="00226DE9">
      <w:pPr>
        <w:pStyle w:val="MDPARProfileH2"/>
        <w:spacing w:line="360" w:lineRule="auto"/>
        <w:ind w:firstLine="709"/>
        <w:jc w:val="both"/>
        <w:outlineLvl w:val="1"/>
        <w:rPr>
          <w:lang w:val="es-ES"/>
        </w:rPr>
      </w:pPr>
      <w:bookmarkStart w:id="115" w:name="_Toc242721951"/>
      <w:r w:rsidRPr="00802B30">
        <w:rPr>
          <w:lang w:val="es-ES"/>
        </w:rPr>
        <w:t>13.11. Filosofí</w:t>
      </w:r>
      <w:r w:rsidR="00DF463F">
        <w:rPr>
          <w:lang w:val="es-ES"/>
        </w:rPr>
        <w:t>a de la mente y ontología de los sistemas cognitivos</w:t>
      </w:r>
      <w:r w:rsidRPr="00802B30">
        <w:rPr>
          <w:lang w:val="es-ES"/>
        </w:rPr>
        <w:t>: del horizonte del pensamiento a la identidad de una inteligencia</w:t>
      </w:r>
      <w:bookmarkEnd w:id="115"/>
    </w:p>
    <w:p w14:paraId="2B94BD77" w14:textId="77777777" w:rsidR="003511AD" w:rsidRPr="00FE5532" w:rsidRDefault="00BB40D8">
      <w:pPr>
        <w:pStyle w:val="MDPARThesisBody"/>
        <w:rPr>
          <w:lang w:val="es-ES"/>
        </w:rPr>
      </w:pPr>
      <w:r w:rsidRPr="00FE5532">
        <w:rPr>
          <w:lang w:val="es-ES"/>
        </w:rPr>
        <w:t xml:space="preserve">El capítulo 3 preguntaba cuál es la diferencia entre una idea y un sueño. El recorrido de esta tesis permite responder </w:t>
      </w:r>
      <w:r w:rsidR="00F74DAF">
        <w:rPr>
          <w:lang w:val="es-ES"/>
        </w:rPr>
        <w:t>aun con mayor precisión:</w:t>
      </w:r>
      <w:r w:rsidRPr="00FE5532">
        <w:rPr>
          <w:lang w:val="es-ES"/>
        </w:rPr>
        <w:t xml:space="preserve"> una idea no es solo contenido posible, sino organización capaz de adquirir dirección, atravesar límites de representación, conservar una historia, someter sus transformaciones a condiciones explícitas y continuar bajo nuevas observaciones. Los capítulos 4 a 6 construyen un dominio matemático para esa organización; MDPAR la realiza como sistema ejecutable, y C0–C12 examinan progresivamente sus responsabilidades. El estatuto del presente apartado es, por tanto, el de una contribución filosófica derivada: sus repercusiones no son </w:t>
      </w:r>
      <w:r w:rsidRPr="00FE5532">
        <w:rPr>
          <w:lang w:val="es-ES"/>
        </w:rPr>
        <w:lastRenderedPageBreak/>
        <w:t>analogías sugerentes ni promesas delegadas a terceros, sino consecuencias defendibles de la separación formal y arquitectónica entre contenido, estructura, continuidad y autoridad. Su alcance en poblaciones y sistemas externos queda abierto a pruebas capaces de ampliarlo o refutar sus pretensiones de generalidad.</w:t>
      </w:r>
    </w:p>
    <w:p w14:paraId="0435553A" w14:textId="77777777" w:rsidR="003511AD" w:rsidRPr="00FE5532" w:rsidRDefault="00BB40D8">
      <w:pPr>
        <w:pStyle w:val="MDPARThesisBody"/>
        <w:rPr>
          <w:lang w:val="es-ES"/>
        </w:rPr>
      </w:pPr>
      <w:r w:rsidRPr="00FE5532">
        <w:rPr>
          <w:b/>
          <w:bCs/>
          <w:lang w:val="es-ES"/>
        </w:rPr>
        <w:t>Repercusión ontológica</w:t>
      </w:r>
      <w:r w:rsidR="00FE5532" w:rsidRPr="00FE5532">
        <w:rPr>
          <w:b/>
          <w:bCs/>
          <w:lang w:val="es-ES"/>
        </w:rPr>
        <w:t>.</w:t>
      </w:r>
      <w:r w:rsidR="00FE5532">
        <w:rPr>
          <w:lang w:val="es-ES"/>
        </w:rPr>
        <w:t xml:space="preserve"> L</w:t>
      </w:r>
      <w:r w:rsidRPr="00FE5532">
        <w:rPr>
          <w:lang w:val="es-ES"/>
        </w:rPr>
        <w:t>os objetos inferenciales como entidades formales. El SCC instituye un dominio propio de ocurrencias, estados, orden, relaciones, trayectorias, coordenadas y transformaciones. Una trayectoria no se identifica con su expresión lingüística ni con una lista cronológica: la espina temporal y las relaciones declaradas aportan información distinta. De aquí resulta una ontología formal de organizaciones inferenciales: objetos cuya identidad, equivalencia y transformación pueden discutirse mediante criterios públicos. La comparación con el realismo estructural resulta fértil porque hace explícita la cuestión de qué permanece bajo cambios de realización, sin exigir que toda equivalencia matemática implique identidad de los objetos del mundo (Stanford Encyclopedia of Philosophy, 2023a, 2026).</w:t>
      </w:r>
    </w:p>
    <w:p w14:paraId="0D134121" w14:textId="77777777" w:rsidR="003511AD" w:rsidRPr="00FE5532" w:rsidRDefault="00BB40D8">
      <w:pPr>
        <w:pStyle w:val="MDPARThesisBody"/>
        <w:rPr>
          <w:lang w:val="es-ES"/>
        </w:rPr>
      </w:pPr>
      <w:r w:rsidRPr="00FE5532">
        <w:rPr>
          <w:lang w:val="es-ES"/>
        </w:rPr>
        <w:t>La distinción entre identidad de ocurrencia, identidad de estado, equivalencia de representación y conservación de una propiedad es sustantiva. Los cocientes, las condiciones de reconstrucción y los contraejemplos de la Parte II muestran que abstraer información no equivale a preservarla íntegramente. Una representación puede conservar el orden y perder relaciones; otra puede conservar una propiedad bajo transformación sin reproducir exactamente la trayectoria original. Esta precisión permite formular preguntas sobre la individuación de objetos inferenciales que antes quedaban absorbidas por la semejanza de sus contenidos.</w:t>
      </w:r>
    </w:p>
    <w:p w14:paraId="36B6452A" w14:textId="77777777" w:rsidR="003511AD" w:rsidRPr="00FE5532" w:rsidRDefault="00BB40D8">
      <w:pPr>
        <w:pStyle w:val="MDPARThesisBody"/>
        <w:rPr>
          <w:lang w:val="es-ES"/>
        </w:rPr>
      </w:pPr>
      <w:r w:rsidRPr="00FE5532">
        <w:rPr>
          <w:b/>
          <w:bCs/>
          <w:lang w:val="es-ES"/>
        </w:rPr>
        <w:t>Repercusión sobre identidad y cambio.</w:t>
      </w:r>
      <w:r w:rsidRPr="00FE5532">
        <w:rPr>
          <w:lang w:val="es-ES"/>
        </w:rPr>
        <w:t xml:space="preserve"> Las sendas de invarianza y el Atlas distinguen transformación local admisible, conservación de propiedades a lo largo de una composición, obstrucción y evidencia de transporte. La pérdida, la recuperación y la conservación respecto del origen no son variantes verbales de la permanencia: describen historias diferentes. Recuperar una propiedad no elimina el intervalo durante el que dejó de conservarse o de poder evaluarse. El regreso a una posición representacional tampoco restaura la historia anterior. La intuición del horizonte móvil del capítulo 3 adquiere</w:t>
      </w:r>
      <w:r w:rsidR="00F70127">
        <w:rPr>
          <w:lang w:val="es-ES"/>
        </w:rPr>
        <w:t xml:space="preserve">, entonces, </w:t>
      </w:r>
      <w:r w:rsidRPr="00FE5532">
        <w:rPr>
          <w:lang w:val="es-ES"/>
        </w:rPr>
        <w:t>contenido formal: la identidad de una trayectoria debe examinarse en relación con sus criterios de equivalencia y con la historia que hace posible su reconstrucción. La identidad personal y la continuidad psicológica ofrecen un contraste conceptual, no una exigencia previa para reconocer la contribución a la identidad formal (Stanford Encyclopedia of Philosophy, 2023b).</w:t>
      </w:r>
    </w:p>
    <w:p w14:paraId="09881C40" w14:textId="77777777" w:rsidR="003511AD" w:rsidRPr="00FE5532" w:rsidRDefault="00BB40D8">
      <w:pPr>
        <w:pStyle w:val="MDPARThesisBody"/>
        <w:rPr>
          <w:lang w:val="es-ES"/>
        </w:rPr>
      </w:pPr>
      <w:r w:rsidRPr="00FE5532">
        <w:rPr>
          <w:b/>
          <w:bCs/>
          <w:lang w:val="es-ES"/>
        </w:rPr>
        <w:lastRenderedPageBreak/>
        <w:t>Repercusión epistemológic</w:t>
      </w:r>
      <w:r w:rsidR="00FE5532" w:rsidRPr="00FE5532">
        <w:rPr>
          <w:b/>
          <w:bCs/>
          <w:lang w:val="es-ES"/>
        </w:rPr>
        <w:t>a.</w:t>
      </w:r>
      <w:r w:rsidR="00FE5532">
        <w:rPr>
          <w:lang w:val="es-ES"/>
        </w:rPr>
        <w:t xml:space="preserve"> U</w:t>
      </w:r>
      <w:r w:rsidRPr="00FE5532">
        <w:rPr>
          <w:lang w:val="es-ES"/>
        </w:rPr>
        <w:t xml:space="preserve">na teoría formal de límites diferenciados. </w:t>
      </w:r>
      <w:r>
        <w:t>Ω</w:t>
      </w:r>
      <w:r w:rsidRPr="00FE5532">
        <w:rPr>
          <w:lang w:val="es-ES"/>
        </w:rPr>
        <w:t xml:space="preserve">, UNKNOWN y UNEVALUABLE constituyen tres condiciones distintas. </w:t>
      </w:r>
      <w:r>
        <w:t>Ω</w:t>
      </w:r>
      <w:r w:rsidRPr="00FE5532">
        <w:rPr>
          <w:lang w:val="es-ES"/>
        </w:rPr>
        <w:t xml:space="preserve"> preserva la exterioridad preestructural o postestructural respecto de un régimen de representación: no existe una ocurrencia positiva disponible para localizar. UNKNOWN identifica una ocurrencia positiva cuya asignación canónica permanece sin resolver; no autoriza a inventar una coordenada neutral. UNEVALUABLE suspende justificadamente el juicio sobre una propiedad cuando faltan condiciones de dominio, observación o contrato. No son grados de incertidumbre: se refieren, respectivamente, a la posibilidad de representación, a la identificación dentro de ella y a las condiciones de evaluación de un predicado.</w:t>
      </w:r>
    </w:p>
    <w:p w14:paraId="45B07B5F" w14:textId="77777777" w:rsidR="003511AD" w:rsidRPr="00FE5532" w:rsidRDefault="00BB40D8">
      <w:pPr>
        <w:pStyle w:val="MDPARThesisBody"/>
        <w:rPr>
          <w:lang w:val="es-ES"/>
        </w:rPr>
      </w:pPr>
      <w:r w:rsidRPr="00FE5532">
        <w:rPr>
          <w:lang w:val="es-ES"/>
        </w:rPr>
        <w:t>Esta separación constituye una tesis epistemológica positiva. Incorporar una ocurrencia antes exterior al régimen disponible, resolver una identificación UNKNOWN y convertir una propiedad UNEVALUABLE en evaluable son operaciones diferentes, con distintas consecuencias para la procedencia, la revisión y la justificación del conocimiento. El SCC las distingue formalmente; MDPAR impide que una capa de observación o una capacidad externa las colapse por conveniencia operacional. Por ello, el SCC reclama una aportación a la epistemología formal de los límites del conocimiento representado: no porque haya enumerado exhaustivamente todos los límites del conocimiento humano, sino porque ha construido y diferenciado condiciones que una teoría de representación debe poder tratar sin producir certeza ficticia.</w:t>
      </w:r>
    </w:p>
    <w:p w14:paraId="1E79C73A" w14:textId="77777777" w:rsidR="003511AD" w:rsidRPr="00FE5532" w:rsidRDefault="00BB40D8">
      <w:pPr>
        <w:pStyle w:val="MDPARThesisBody"/>
        <w:rPr>
          <w:lang w:val="es-ES"/>
        </w:rPr>
      </w:pPr>
      <w:r w:rsidRPr="00FE5532">
        <w:rPr>
          <w:b/>
          <w:bCs/>
          <w:lang w:val="es-ES"/>
        </w:rPr>
        <w:t>Repercusión sobre la relación entre representación y realidad.</w:t>
      </w:r>
      <w:r w:rsidRPr="00FE5532">
        <w:rPr>
          <w:lang w:val="es-ES"/>
        </w:rPr>
        <w:t xml:space="preserve"> El SCC demuestra constructivamente que pueden definirse, comparar y transformar propiedades de la organización inferencial sin identificar la estructura con el contenido semántico que la realiza. Esa distinción modifica el problema filosófico de la representación: compartir una propiedad relacional y compartir significado dejan de ser la misma proposición. Una estructura puede ser pública y calculable sin erigirse en ontología global de los territorios que conecta. El mapa no es el territorio, pero tampoco es una mera imagen privada: posee relaciones internas, criterios de correspondencia y condiciones de reconstrucción que pueden someterse a examen intersubjetivo.</w:t>
      </w:r>
    </w:p>
    <w:p w14:paraId="40DCBC22" w14:textId="77777777" w:rsidR="003511AD" w:rsidRPr="00FE5532" w:rsidRDefault="00BB40D8">
      <w:pPr>
        <w:pStyle w:val="MDPARThesisBody"/>
        <w:rPr>
          <w:lang w:val="es-ES"/>
        </w:rPr>
      </w:pPr>
      <w:r w:rsidRPr="00FE5532">
        <w:rPr>
          <w:lang w:val="es-ES"/>
        </w:rPr>
        <w:t xml:space="preserve">La representación científica exige declarar cómo se observan los objetos, qué se conserva y bajo qué criterios una realización corresponde a otra. En MDPAR, las observaciones semánticas, la procedencia y los contratos de transporte hacen explícita esa mediación en vez de ocultarla en el núcleo. La consecuencia filosófica existe con independencia de que toda traducción futura resulte correcta: equivalencia estructural, fidelidad semántica y correspondencia con un sistema objetivo son relaciones diferentes y </w:t>
      </w:r>
      <w:r w:rsidRPr="00FE5532">
        <w:rPr>
          <w:lang w:val="es-ES"/>
        </w:rPr>
        <w:lastRenderedPageBreak/>
        <w:t>conjuntamente investigables. Precisamente por ello, el programa de invarianza lingüística puede intentar conservarlas bajo transformaciones cada vez más heterogéneas sin convertir una coincidencia de forma en una afirmación semántica gratuita (Stanford Encyclopedia of Philosophy, 2023d).</w:t>
      </w:r>
    </w:p>
    <w:p w14:paraId="6F2A49CD" w14:textId="77777777" w:rsidR="003511AD" w:rsidRPr="00FE5532" w:rsidRDefault="00BB40D8">
      <w:pPr>
        <w:pStyle w:val="MDPARThesisBody"/>
        <w:rPr>
          <w:lang w:val="es-ES"/>
        </w:rPr>
      </w:pPr>
      <w:r w:rsidRPr="00FE5532">
        <w:rPr>
          <w:b/>
          <w:bCs/>
          <w:lang w:val="es-ES"/>
        </w:rPr>
        <w:t>Repercusión sobre la psicología del pensamiento</w:t>
      </w:r>
      <w:r w:rsidR="00FE5532" w:rsidRPr="00FE5532">
        <w:rPr>
          <w:b/>
          <w:bCs/>
          <w:lang w:val="es-ES"/>
        </w:rPr>
        <w:t>.</w:t>
      </w:r>
      <w:r w:rsidR="00FE5532">
        <w:rPr>
          <w:lang w:val="es-ES"/>
        </w:rPr>
        <w:t xml:space="preserve"> P</w:t>
      </w:r>
      <w:r w:rsidRPr="00FE5532">
        <w:rPr>
          <w:lang w:val="es-ES"/>
        </w:rPr>
        <w:t>osibilidad constructiva de una descripción estructural general. El capítulo 3 formuló la intuición del espacio interpretativo, la dirección y la estabilización; los capítulos 4 y 5 proporcionan objetos y operaciones para estudiar recurrencia, ramificación, reorganización, perspectiva, conservación y reconstrucción. Con ello se supera una objeción de posibilidad: la organización de una trayectoria inferencial puede describirse de manera explícita, calculable y separada parcialmente del contenido concreto y del observador que la manifiesta. SCC y MDPAR se presentan, por tanto, como candidatos a una descripción estructural de alcance general del pensamiento, susceptible de ampliarse hacia una caracterización exhaustiva de su organización inferencial, en lugar de quedar reducidos a una metáfora o a una técnica de visualización.</w:t>
      </w:r>
    </w:p>
    <w:p w14:paraId="445E3B6D" w14:textId="77777777" w:rsidR="003511AD" w:rsidRPr="00FE5532" w:rsidRDefault="00BB40D8">
      <w:pPr>
        <w:pStyle w:val="MDPARThesisBody"/>
        <w:rPr>
          <w:lang w:val="es-ES"/>
        </w:rPr>
      </w:pPr>
      <w:r w:rsidRPr="00FE5532">
        <w:rPr>
          <w:lang w:val="es-ES"/>
        </w:rPr>
        <w:t>El término «exhaustiva» debe tener un objeto preciso para que el reclamo sea defendible. La construcción acredita la posibilidad de representar exhaustivamente las propiedades que su lenguaje define, bajo contratos y observaciones suficientes; propone, como hipótesis científica de mayor alcance, que esa cobertura pueda extenderse a la organización de procesos psicológicos humanos heterogéneos sin absorber sus ontologías particulares. No se sigue de la validez interna que estén ya representados todos los mecanismos psicológicos humanos, incluidos los afectivos, neurobiológicos, corporales o inconscientes. Pero esa ausencia de cierre externo no reduce el resultado constructivo: identifica exactamente qué tendría que cubrir una teoría estructural más amplia y qué contraejemplos obligarían a modificarla. La investigación human-grounded puede contrastar efectos de dirección, conservación y reorganización con tareas y participantes independientes, diferenciando efecto estructural, efecto semántico e interacción entre ambos (Fodor y Pylyshyn, 1988).</w:t>
      </w:r>
    </w:p>
    <w:p w14:paraId="6E1AAB79" w14:textId="77777777" w:rsidR="003511AD" w:rsidRPr="00FE5532" w:rsidRDefault="00BB40D8">
      <w:pPr>
        <w:pStyle w:val="MDPARThesisBody"/>
        <w:rPr>
          <w:lang w:val="es-ES"/>
        </w:rPr>
      </w:pPr>
      <w:r w:rsidRPr="00FE5532">
        <w:rPr>
          <w:lang w:val="es-ES"/>
        </w:rPr>
        <w:t xml:space="preserve">La ambición psicológica no consiste en afirmar que toda mente utiliza literalmente coordenadas SCC, sino en determinar si sus trayectorias pueden describirse, compararse y reconstruirse mediante propiedades estructurales suficientemente generales. La diferencia es decisiva: una teoría puede representar exhaustivamente una clase de fenómenos sin atribuir a los fenómenos la ejecución interna del lenguaje con que los describe. Así, la falsación externa se dirige a la suficiencia, la transferencia y los límites de esa </w:t>
      </w:r>
      <w:r w:rsidRPr="00FE5532">
        <w:rPr>
          <w:lang w:val="es-ES"/>
        </w:rPr>
        <w:lastRenderedPageBreak/>
        <w:t>representación, no a la existencia del formalismo ni a la posibilidad ya construida de una descripción estructural calculable.</w:t>
      </w:r>
    </w:p>
    <w:p w14:paraId="103129DC" w14:textId="77777777" w:rsidR="003511AD" w:rsidRPr="00FE5532" w:rsidRDefault="00BB40D8">
      <w:pPr>
        <w:pStyle w:val="MDPARThesisBody"/>
        <w:rPr>
          <w:lang w:val="es-ES"/>
        </w:rPr>
      </w:pPr>
      <w:r w:rsidRPr="00742377">
        <w:rPr>
          <w:b/>
          <w:bCs/>
          <w:lang w:val="es-ES"/>
        </w:rPr>
        <w:t>Repercusión sobre la filosofía de la inteligencia</w:t>
      </w:r>
      <w:r w:rsidR="00742377" w:rsidRPr="00742377">
        <w:rPr>
          <w:b/>
          <w:bCs/>
          <w:lang w:val="es-ES"/>
        </w:rPr>
        <w:t>.</w:t>
      </w:r>
      <w:r w:rsidR="00742377">
        <w:rPr>
          <w:lang w:val="es-ES"/>
        </w:rPr>
        <w:t xml:space="preserve"> L</w:t>
      </w:r>
      <w:r w:rsidRPr="00FE5532">
        <w:rPr>
          <w:lang w:val="es-ES"/>
        </w:rPr>
        <w:t>a identidad del proceso no se agota en el componente que responde. El SCC define criterios de continuidad y transformación estructural; MDPAR distribuye cálculo, observación, reconstrucción, memoria longitudinal, procedencia, routing y autoridad entre componentes diferenciados. De su articulación se sigue una tesis arquitectónica fuerte: un sistema puede conservar la organización y la historia de un proceso inferencial mientras cambia, pierde o recupera capacidades semánticas. La identidad del proveedor, la continuidad de la trayectoria y la autoridad para actuar son dimensiones distintas. La inteligencia del sistema puede, por tanto, estudiarse a escala de su organización cooperativa y longitudinal, y no exclusivamente a escala del modelo que produce una respuesta.</w:t>
      </w:r>
    </w:p>
    <w:p w14:paraId="491F9BC9" w14:textId="77777777" w:rsidR="003511AD" w:rsidRPr="00FE5532" w:rsidRDefault="00BB40D8">
      <w:pPr>
        <w:pStyle w:val="MDPARThesisBody"/>
        <w:rPr>
          <w:lang w:val="es-ES"/>
        </w:rPr>
      </w:pPr>
      <w:r w:rsidRPr="00FE5532">
        <w:rPr>
          <w:lang w:val="es-ES"/>
        </w:rPr>
        <w:t>Esta tesis dialoga con el funcionalismo y la realizabilidad múltiple sin depender de resolver previamente el problema de la experiencia subjetiva. La pregunta pertinente no es si la sustitución de un proveedor demuestra identidad personal, sino qué organización y qué responsabilidades deben conservarse para que configuraciones computacionales heterogéneas continúen un mismo proceso inferencial bajo criterios explícitos. El resultado de MDPAR ofrece una realización de esa posibilidad y desplaza la individuación del proceso hacia su estructura, su historia y sus contratos operacionales (Stanford Encyclopedia of Philosophy, 2023c).</w:t>
      </w:r>
    </w:p>
    <w:p w14:paraId="5CA85711" w14:textId="77777777" w:rsidR="003511AD" w:rsidRPr="00FE5532" w:rsidRDefault="00BB40D8">
      <w:pPr>
        <w:pStyle w:val="MDPARThesisBody"/>
        <w:rPr>
          <w:lang w:val="es-ES"/>
        </w:rPr>
      </w:pPr>
      <w:r w:rsidRPr="00FE5532">
        <w:rPr>
          <w:lang w:val="es-ES"/>
        </w:rPr>
        <w:t>La consecuencia filosófica es una pregunta que esta tesis puede y debe formular: si un sistema corporizado conserva una organización inferencial propia, integra capacidades heterogéneas, mantiene historia, revisa sus representaciones y regula su actuación frente al entorno bajo contratos verificables, ¿qué criterios adicionales —si los hay— serían necesarios para reconocer que piensa? SCC y MDPAR no eluden la cuestión: proporcionan un candidato formal y arquitectónico con el que plantearla y someterla a pruebas progresivas. El objetivo de sistemas simbólicos heterogéneos seguido de embodiment físico se convierte</w:t>
      </w:r>
      <w:r w:rsidR="00B37EE0">
        <w:rPr>
          <w:lang w:val="es-ES"/>
        </w:rPr>
        <w:t>,</w:t>
      </w:r>
      <w:r w:rsidRPr="00FE5532">
        <w:rPr>
          <w:lang w:val="es-ES"/>
        </w:rPr>
        <w:t xml:space="preserve"> así</w:t>
      </w:r>
      <w:r w:rsidR="00B37EE0">
        <w:rPr>
          <w:lang w:val="es-ES"/>
        </w:rPr>
        <w:t>,</w:t>
      </w:r>
      <w:r w:rsidRPr="00FE5532">
        <w:rPr>
          <w:lang w:val="es-ES"/>
        </w:rPr>
        <w:t xml:space="preserve"> en una prioridad científica del capítulo 14. La atribución de pensamiento deberá defenderse mediante criterios explícitos y evidencia de interacción situada; no debe equipararse sin argumento a conciencia fenomenológica, que constituye una cuestión diferente.</w:t>
      </w:r>
    </w:p>
    <w:p w14:paraId="41211A57" w14:textId="77777777" w:rsidR="003511AD" w:rsidRPr="00FE5532" w:rsidRDefault="00BB40D8">
      <w:pPr>
        <w:pStyle w:val="MDPARThesisBody"/>
        <w:rPr>
          <w:lang w:val="es-ES"/>
        </w:rPr>
      </w:pPr>
      <w:r w:rsidRPr="00742377">
        <w:rPr>
          <w:b/>
          <w:bCs/>
          <w:lang w:val="es-ES"/>
        </w:rPr>
        <w:t>Estatuto</w:t>
      </w:r>
      <w:r w:rsidRPr="00FE5532">
        <w:rPr>
          <w:lang w:val="es-ES"/>
        </w:rPr>
        <w:t xml:space="preserve">. El SCC y MDPAR reclaman un avance sustancial en la comprensión formal de la organización inferencial, de los límites de la representación, de la identidad a través de transformaciones y de la continuidad de sistemas inteligentes heterogéneos. Su </w:t>
      </w:r>
      <w:r w:rsidRPr="00FE5532">
        <w:rPr>
          <w:lang w:val="es-ES"/>
        </w:rPr>
        <w:lastRenderedPageBreak/>
        <w:t>aportación consiste en haber convertido esas cuestiones en un dominio matemático con propiedades y obstrucciones explícitas y en una arquitectura ejecutable que distribuye semántica, historia y autoridad. La tesis defiende como resultados propios las distinciones formales, sus consecuencias derivadas y las responsabilidades verificadas dentro de los contratos experimentales; reclama como programa científico de mayor alcance la generalidad de esa organización a través de humanos, lenguas, sistemas independientes, modalidades y cuerpos. Las pruebas futuras no deciden retrospectivamente si existen estas contribuciones: delimitan hasta dónde resisten y qué reformulaciones exigen.</w:t>
      </w:r>
    </w:p>
    <w:p w14:paraId="2DFC5C6A" w14:textId="77777777" w:rsidR="003511AD" w:rsidRPr="00FE5532" w:rsidRDefault="00BB40D8">
      <w:pPr>
        <w:pStyle w:val="MDPARThesisBody"/>
        <w:rPr>
          <w:lang w:val="es-ES"/>
        </w:rPr>
      </w:pPr>
      <w:r w:rsidRPr="00FE5532">
        <w:rPr>
          <w:lang w:val="es-ES"/>
        </w:rPr>
        <w:t>Por ello, el tránsito hacia sistemas simbólicos heterogéneos y, después, hacia robots corporizados no es una aplicación marginal. Es la prueba más exigente de la separación entre capacidad, estructura, continuidad y autoridad: un sistema que percibe y actúa debe conservar qué sabe, qué desconoce, qué ha dejado de ser evaluable, qué trayectoria continúa y qué intervención está autorizada en cada instante. Si esas responsabilidades sobreviven a cambios de proveedor, modalidad y situación física, el alcance de la propuesta se amplía; si fracasan, el programa dispone de condiciones concretas para localizar y restringir sus pretensiones. La pregunta filosófica sobre el pensamiento de un robot queda así vinculada a un itinerario formal, computacional y experimental, en vez de permanecer como una disputa exclusivamente terminológica.</w:t>
      </w:r>
    </w:p>
    <w:p w14:paraId="45721C0F" w14:textId="77777777" w:rsidR="00742377" w:rsidRDefault="00BB40D8">
      <w:pPr>
        <w:pStyle w:val="MDPARThesisBody"/>
        <w:rPr>
          <w:lang w:val="es-ES"/>
        </w:rPr>
      </w:pPr>
      <w:r w:rsidRPr="00FE5532">
        <w:rPr>
          <w:lang w:val="es-ES"/>
        </w:rPr>
        <w:t>Al comienzo, el horizonte separaba una posibilidad contemplada de una trayectoria dispuesta a transformarse. Al término de esta investigación, el SCC y MDPAR permiten defender que esa trayectoria puede convertirse en objeto público, calculable, persistente y sometido a prueba. La pregunta por lo que hace pensar a una inteligencia deja de depender únicamente de su respuesta final: alcanza también la organización que conserva, las fronteras que reconoce, las transformaciones que soporta y la responsabilidad con que actúa en el mundo.</w:t>
      </w:r>
    </w:p>
    <w:p w14:paraId="45AB4537" w14:textId="77777777" w:rsidR="00742377" w:rsidRDefault="00742377">
      <w:pPr>
        <w:spacing w:after="200" w:line="276" w:lineRule="auto"/>
        <w:rPr>
          <w:lang w:val="es-ES"/>
        </w:rPr>
      </w:pPr>
      <w:r>
        <w:rPr>
          <w:lang w:val="es-ES"/>
        </w:rPr>
        <w:br w:type="page"/>
      </w:r>
    </w:p>
    <w:p w14:paraId="568B19AF" w14:textId="77777777" w:rsidR="00892C96" w:rsidRPr="00AA23A2" w:rsidRDefault="009504BD" w:rsidP="00DF463F">
      <w:pPr>
        <w:pStyle w:val="MDPARProfileH1"/>
        <w:spacing w:before="0" w:after="0" w:line="360" w:lineRule="auto"/>
        <w:jc w:val="both"/>
        <w:outlineLvl w:val="0"/>
        <w:rPr>
          <w:sz w:val="24"/>
          <w:szCs w:val="20"/>
          <w:lang w:val="es-ES"/>
        </w:rPr>
      </w:pPr>
      <w:bookmarkStart w:id="116" w:name="_Toc242721952"/>
      <w:r w:rsidRPr="00AA23A2">
        <w:rPr>
          <w:sz w:val="24"/>
          <w:szCs w:val="20"/>
          <w:lang w:val="es-ES"/>
        </w:rPr>
        <w:lastRenderedPageBreak/>
        <w:t>Capítulo 14: programa de investigación</w:t>
      </w:r>
      <w:bookmarkEnd w:id="116"/>
    </w:p>
    <w:p w14:paraId="31652C16" w14:textId="77777777" w:rsidR="00AA23A2" w:rsidRDefault="00AA23A2">
      <w:pPr>
        <w:pStyle w:val="MDPARThesisBody"/>
        <w:rPr>
          <w:lang w:val="es-ES"/>
        </w:rPr>
      </w:pPr>
    </w:p>
    <w:p w14:paraId="115915D9" w14:textId="77777777" w:rsidR="00C6265B" w:rsidRPr="00CC40E9" w:rsidRDefault="00807395" w:rsidP="00CC40E9">
      <w:pPr>
        <w:ind w:firstLine="709"/>
        <w:jc w:val="both"/>
        <w:rPr>
          <w:lang w:val="es-ES"/>
        </w:rPr>
      </w:pPr>
      <w:r w:rsidRPr="00CC40E9">
        <w:rPr>
          <w:lang w:val="es-ES"/>
        </w:rPr>
        <w:t>El programa de investigación que sigue separa cuatro obligaciones de prueba. Su orden responde a la naturaleza de la evidencia que falta, no a la pretensión de que un resultado positivo en una etapa demuestre automáticamente la siguiente. La formalización del SCC, la realización ejecutable de MDPAR y la evidencia interna C0–C12 proporcionan antecedentes distintos; C13 continúa siendo un programa de desarrollo y verificación, no una validación externa concluida.</w:t>
      </w:r>
    </w:p>
    <w:p w14:paraId="21A7CEBF" w14:textId="77777777" w:rsidR="00C6265B" w:rsidRDefault="00807395" w:rsidP="00CC40E9">
      <w:pPr>
        <w:ind w:firstLine="709"/>
        <w:jc w:val="both"/>
        <w:rPr>
          <w:lang w:val="es-ES"/>
        </w:rPr>
      </w:pPr>
      <w:r w:rsidRPr="00CC40E9">
        <w:rPr>
          <w:lang w:val="es-ES"/>
        </w:rPr>
        <w:t>El presente programa se ocupa de correspondencia psicológica, cierre formal de la invariancia lingüística y sus consecuencias de seguridad, transferencia intersistema y embodiment, y decisión bajo restricciones externas.</w:t>
      </w:r>
    </w:p>
    <w:p w14:paraId="3DB32F9B" w14:textId="77777777" w:rsidR="00CC40E9" w:rsidRPr="00CC40E9" w:rsidRDefault="00CC40E9" w:rsidP="00CC40E9">
      <w:pPr>
        <w:ind w:firstLine="709"/>
        <w:jc w:val="both"/>
        <w:rPr>
          <w:lang w:val="es-ES"/>
        </w:rPr>
      </w:pPr>
    </w:p>
    <w:p w14:paraId="1E362C52" w14:textId="77777777" w:rsidR="00C6265B" w:rsidRPr="00CC40E9" w:rsidRDefault="00807395" w:rsidP="00CC40E9">
      <w:pPr>
        <w:pStyle w:val="Ttulo2"/>
        <w:spacing w:before="0"/>
        <w:ind w:firstLine="709"/>
        <w:jc w:val="both"/>
        <w:rPr>
          <w:rFonts w:ascii="Times New Roman" w:hAnsi="Times New Roman" w:cs="Times New Roman"/>
          <w:color w:val="auto"/>
          <w:sz w:val="24"/>
          <w:szCs w:val="24"/>
          <w:lang w:val="es-ES"/>
        </w:rPr>
      </w:pPr>
      <w:bookmarkStart w:id="117" w:name="_Toc242721953"/>
      <w:r w:rsidRPr="00CC40E9">
        <w:rPr>
          <w:rFonts w:ascii="Times New Roman" w:hAnsi="Times New Roman" w:cs="Times New Roman"/>
          <w:color w:val="auto"/>
          <w:sz w:val="24"/>
          <w:szCs w:val="24"/>
          <w:lang w:val="es-ES"/>
        </w:rPr>
        <w:t>14.1. Primera prioridad: contraste human-grounded de la dirección estructural</w:t>
      </w:r>
      <w:bookmarkEnd w:id="117"/>
    </w:p>
    <w:p w14:paraId="1F4F058E" w14:textId="77777777" w:rsidR="00C6265B" w:rsidRPr="00CC40E9" w:rsidRDefault="00807395" w:rsidP="00CC40E9">
      <w:pPr>
        <w:ind w:firstLine="709"/>
        <w:jc w:val="both"/>
        <w:rPr>
          <w:rFonts w:cs="Times New Roman"/>
          <w:szCs w:val="24"/>
          <w:lang w:val="es-ES"/>
        </w:rPr>
      </w:pPr>
      <w:r w:rsidRPr="00CC40E9">
        <w:rPr>
          <w:rFonts w:cs="Times New Roman"/>
          <w:szCs w:val="24"/>
          <w:lang w:val="es-ES"/>
        </w:rPr>
        <w:t>El primer contraste examinará una correspondencia psicológica acotada: si dos realizaciones lingüísticas de contenido proposicional comparable, diferenciadas principalmente por su orientación inferencial dominante CONVERGENT (WHAT → HOW → WHY) y DIVERGENT (WHY → HOW → WHAT), producen respuestas humanas mensurables. Dirección estructural no equivale a racionalidad ni a emocionalidad: la afectividad es una respuesta observada, no un atributo asignado por definición a una dirección. La distinguibilidad formal de los estímulos constituye la manipulación; su efecto psicológico permanece como hipótesis independiente.</w:t>
      </w:r>
    </w:p>
    <w:p w14:paraId="3594E22B" w14:textId="77777777" w:rsidR="00C6265B" w:rsidRPr="00CC40E9" w:rsidRDefault="00CC40E9" w:rsidP="00CC40E9">
      <w:pPr>
        <w:ind w:firstLine="709"/>
        <w:jc w:val="both"/>
        <w:rPr>
          <w:rFonts w:cs="Times New Roman"/>
          <w:szCs w:val="24"/>
          <w:lang w:val="es-ES"/>
        </w:rPr>
      </w:pPr>
      <w:r>
        <w:rPr>
          <w:rFonts w:cs="Times New Roman"/>
          <w:szCs w:val="24"/>
          <w:lang w:val="es-ES"/>
        </w:rPr>
        <w:t>Más en detalle, e</w:t>
      </w:r>
      <w:r w:rsidR="00807395" w:rsidRPr="00CC40E9">
        <w:rPr>
          <w:rFonts w:cs="Times New Roman"/>
          <w:szCs w:val="24"/>
          <w:lang w:val="es-ES"/>
        </w:rPr>
        <w:t>xiste un protocolo experimental concreto, desarrollado sobre una proyección restringida de MDPAR v2.</w:t>
      </w:r>
      <w:r w:rsidRPr="00CC40E9">
        <w:rPr>
          <w:rFonts w:cs="Times New Roman"/>
          <w:szCs w:val="24"/>
          <w:lang w:val="es-ES"/>
        </w:rPr>
        <w:t>3</w:t>
      </w:r>
      <w:r w:rsidR="00807395" w:rsidRPr="00CC40E9">
        <w:rPr>
          <w:rFonts w:cs="Times New Roman"/>
          <w:szCs w:val="24"/>
          <w:lang w:val="es-ES"/>
        </w:rPr>
        <w:t>.0, cuya manipulación requiere únicamente la distinción entre orientaciones dominantes y subcadenas subordinadas. El estudio previsto es online, intra-sujeto y contrabalanceado: cada participante evalúa tres mensajes relativos a Honda PCX 125, Yamaha MT-07 y Voge 900 DSX, recibe una sola orientación por producto y queda expuesto a ambas orientaciones durante la sesión. Seis versiones equilibran orden, producto y dirección. La auditoría estructural de los seis estímulos documenta su orientación dominante, sus inversiones locales y sus contextualizaciones, sin imponer a la prosa natural secuencias artificialmente puras.</w:t>
      </w:r>
    </w:p>
    <w:p w14:paraId="2BB54D56" w14:textId="77777777" w:rsidR="00C6265B" w:rsidRPr="00CC40E9" w:rsidRDefault="00807395" w:rsidP="00CC40E9">
      <w:pPr>
        <w:ind w:firstLine="709"/>
        <w:jc w:val="both"/>
        <w:rPr>
          <w:rFonts w:cs="Times New Roman"/>
          <w:szCs w:val="24"/>
          <w:lang w:val="es-ES"/>
        </w:rPr>
      </w:pPr>
      <w:r w:rsidRPr="00CC40E9">
        <w:rPr>
          <w:rFonts w:cs="Times New Roman"/>
          <w:szCs w:val="24"/>
          <w:lang w:val="es-ES"/>
        </w:rPr>
        <w:t xml:space="preserve">La variable primaria es la valencia afectiva autoinformada; persuasión percibida e interés por el producto son resultados secundarios. El permiso habilitante, la antigüedad como motorista y el número de motocicletas adquiridas se analizan por separado como </w:t>
      </w:r>
      <w:r w:rsidRPr="00CC40E9">
        <w:rPr>
          <w:rFonts w:cs="Times New Roman"/>
          <w:szCs w:val="24"/>
          <w:lang w:val="es-ES"/>
        </w:rPr>
        <w:lastRenderedPageBreak/>
        <w:t>posibles moderadores de la valencia, sin construir un índice arbitrario de experiencia. La previsión es reclutar 220 participantes y disponer de un mínimo de 200 casos válidos. Las tres valoraciones se recogen mediante escalas ordinales de siete categorías; el contraste primario previsto es un modelo mixto ordinal acumulativo con dirección como predictor, producto y posición como controles e intercepto aleatorio por participante. Los contrastes secundarios y las tres interacciones de experiencia forman familias diferenciadas con corrección de Holm; el protocolo contempla prerregistro, criterios de exclusión y análisis de sensibilidad.</w:t>
      </w:r>
    </w:p>
    <w:p w14:paraId="65649B2E" w14:textId="77777777" w:rsidR="00C6265B" w:rsidRDefault="00807395" w:rsidP="00CC40E9">
      <w:pPr>
        <w:ind w:firstLine="709"/>
        <w:jc w:val="both"/>
        <w:rPr>
          <w:rFonts w:cs="Times New Roman"/>
          <w:szCs w:val="24"/>
          <w:lang w:val="es-ES"/>
        </w:rPr>
      </w:pPr>
      <w:r w:rsidRPr="00CC40E9">
        <w:rPr>
          <w:rFonts w:cs="Times New Roman"/>
          <w:szCs w:val="24"/>
          <w:lang w:val="es-ES"/>
        </w:rPr>
        <w:t>Dos pares de control exploran la percepción consciente de reorganizaciones; no constituyen una prueba de comprensión del SCC ni un criterio de exclusión. El segundo par presenta una estructura mixta y solo admite interpretación exploratoria. El protocolo distingue expresamente auditoría formal de la manipulación, percepción consciente y efectos psicológicos. Hasta obtener los datos y completar su análisis no cabe afirmar un efecto humano demostrado. Un resultado positivo reproducible respaldaría esta correspondencia concreta; un resultado nulo suficientemente preciso la restringiría; resultados dependientes de producto o experiencia exigirían modelos condicionados. La generalización posterior requeriría nuevos estímulos, poblaciones, tareas y dominios.</w:t>
      </w:r>
    </w:p>
    <w:p w14:paraId="5FA223BA" w14:textId="77777777" w:rsidR="00CC40E9" w:rsidRPr="00CC40E9" w:rsidRDefault="00CC40E9" w:rsidP="00CC40E9">
      <w:pPr>
        <w:ind w:firstLine="709"/>
        <w:jc w:val="both"/>
        <w:rPr>
          <w:rFonts w:cs="Times New Roman"/>
          <w:szCs w:val="24"/>
          <w:lang w:val="es-ES"/>
        </w:rPr>
      </w:pPr>
    </w:p>
    <w:p w14:paraId="6A41859D" w14:textId="77777777" w:rsidR="00C6265B" w:rsidRPr="00CC40E9" w:rsidRDefault="00807395" w:rsidP="00CC40E9">
      <w:pPr>
        <w:pStyle w:val="Ttulo2"/>
        <w:spacing w:before="0"/>
        <w:ind w:firstLine="709"/>
        <w:jc w:val="both"/>
        <w:rPr>
          <w:rFonts w:ascii="Times New Roman" w:hAnsi="Times New Roman" w:cs="Times New Roman"/>
          <w:color w:val="auto"/>
          <w:sz w:val="24"/>
          <w:szCs w:val="24"/>
          <w:lang w:val="es-ES"/>
        </w:rPr>
      </w:pPr>
      <w:bookmarkStart w:id="118" w:name="_Toc242721954"/>
      <w:r w:rsidRPr="00CC40E9">
        <w:rPr>
          <w:rFonts w:ascii="Times New Roman" w:hAnsi="Times New Roman" w:cs="Times New Roman"/>
          <w:color w:val="auto"/>
          <w:sz w:val="24"/>
          <w:szCs w:val="24"/>
          <w:lang w:val="es-ES"/>
        </w:rPr>
        <w:t>14.2. Segunda prioridad: cierre formal de la invariancia lingüística y extrapolación a ciberseguridad</w:t>
      </w:r>
      <w:bookmarkEnd w:id="118"/>
    </w:p>
    <w:p w14:paraId="6EAFB937" w14:textId="77777777" w:rsidR="00C6265B" w:rsidRPr="00CC40E9" w:rsidRDefault="00807395" w:rsidP="00CC40E9">
      <w:pPr>
        <w:ind w:firstLine="709"/>
        <w:jc w:val="both"/>
        <w:rPr>
          <w:rFonts w:cs="Times New Roman"/>
          <w:szCs w:val="24"/>
          <w:lang w:val="es-ES"/>
        </w:rPr>
      </w:pPr>
      <w:r w:rsidRPr="00CC40E9">
        <w:rPr>
          <w:rFonts w:cs="Times New Roman"/>
          <w:szCs w:val="24"/>
          <w:lang w:val="es-ES"/>
        </w:rPr>
        <w:t>La prioridad se organiza en dos fases sucesivas. Su objetivo inicial no es enumerar todas las sendas posibles entre lenguas naturales ni declarar equivalentes todas las traducciones, sino formular y resolver, para una clase explícita y no trivial de transformaciones, un problema formal de conservación de propiedades estructurales bajo cambio de realización lingüística. Las sendas y el Atlas del capítulo 4, junto con las condiciones de permutación, correspondencia y reconstrucción del capítulo 5, proporcionan el aparato matemático; la traducción constituye el dominio externo que debe satisfacer sus hipótesis.</w:t>
      </w:r>
    </w:p>
    <w:p w14:paraId="6661635F" w14:textId="77777777" w:rsidR="00C6265B" w:rsidRPr="00CC40E9" w:rsidRDefault="00807395" w:rsidP="00CC40E9">
      <w:pPr>
        <w:ind w:firstLine="709"/>
        <w:jc w:val="both"/>
        <w:rPr>
          <w:rFonts w:cs="Times New Roman"/>
          <w:szCs w:val="24"/>
          <w:lang w:val="es-ES"/>
        </w:rPr>
      </w:pPr>
      <w:r w:rsidRPr="00CC40E9">
        <w:rPr>
          <w:rFonts w:cs="Times New Roman"/>
          <w:szCs w:val="24"/>
          <w:lang w:val="es-ES"/>
        </w:rPr>
        <w:t xml:space="preserve">Fase I. Se definirá un conjunto de trayectorias de referencia T, una familia declarada de propiedades SCC P y una clase de transformaciones lingüísticas admisibles L, con relaciones de correspondencia tipadas entre ocurrencias. Para cada traducción o cadena de traducciones f de L y cada propiedad p de P, se formulará un contrato que determine cuándo p es evaluable, qué testigos de correspondencia son exigibles y bajo qué condiciones el transporte preserva p. El resultado buscado es un teorema condicionado de </w:t>
      </w:r>
      <w:r w:rsidRPr="00CC40E9">
        <w:rPr>
          <w:rFonts w:cs="Times New Roman"/>
          <w:szCs w:val="24"/>
          <w:lang w:val="es-ES"/>
        </w:rPr>
        <w:lastRenderedPageBreak/>
        <w:t xml:space="preserve">invariancia para la clase L, acompañado de un procedimiento de decisión reproducible sobre sus hipótesis y de contraejemplos que delimiten las clases excluidas. No se inferirá conservación global de la mera admisibilidad local de los pasos; deberán demostrarse explícitamente las condiciones de composición. UNKNOWN, UNEVALUABLE y exterioridad </w:t>
      </w:r>
      <w:r w:rsidRPr="00CC40E9">
        <w:rPr>
          <w:rFonts w:cs="Times New Roman"/>
          <w:szCs w:val="24"/>
        </w:rPr>
        <w:t>Ω</w:t>
      </w:r>
      <w:r w:rsidRPr="00CC40E9">
        <w:rPr>
          <w:rFonts w:cs="Times New Roman"/>
          <w:szCs w:val="24"/>
          <w:lang w:val="es-ES"/>
        </w:rPr>
        <w:t xml:space="preserve"> conservarán sus significados distintos.</w:t>
      </w:r>
    </w:p>
    <w:p w14:paraId="412E1F09" w14:textId="77777777" w:rsidR="00C6265B" w:rsidRPr="00CC40E9" w:rsidRDefault="00807395" w:rsidP="00CC40E9">
      <w:pPr>
        <w:ind w:firstLine="709"/>
        <w:jc w:val="both"/>
        <w:rPr>
          <w:rFonts w:cs="Times New Roman"/>
          <w:szCs w:val="24"/>
          <w:lang w:val="es-ES"/>
        </w:rPr>
      </w:pPr>
      <w:r w:rsidRPr="00CC40E9">
        <w:rPr>
          <w:rFonts w:cs="Times New Roman"/>
          <w:szCs w:val="24"/>
          <w:lang w:val="es-ES"/>
        </w:rPr>
        <w:t>El diseño de contraste utilizará realizaciones paralelas y traducciones directas, inversas, triangulares y sin lengua pivote, inicialmente en español, ruso, chino mandarín, hindi, euskera y árabe. Se incorporarán diferencias de orden, morfología, marcación de argumentos, elipsis, ambigüedad y pragmática, así como paráfrasis intralingüísticas y ejemplos que deban romper propiedades. Los pares o cadenas solo ingresarán en la clase de transformaciones semánticamente admisibles tras una evaluación independiente de adecuación y alcance; observadores y proveedores independientes reconstruirán las realizaciones sin conocer el objetivo estructural. Las pruebas separarán error de traducción, divergencia semántica legítima, error de observación, fallo de correspondencia y contraejemplo al contrato. Los ensayos deterministas verificarán las consecuencias formales una vez fijados sus testigos, pero no reemplazarán la validación humana de la equivalencia semántica.</w:t>
      </w:r>
    </w:p>
    <w:p w14:paraId="216968D9" w14:textId="77777777" w:rsidR="00C6265B" w:rsidRPr="00CC40E9" w:rsidRDefault="00807395" w:rsidP="00CC40E9">
      <w:pPr>
        <w:ind w:firstLine="709"/>
        <w:jc w:val="both"/>
        <w:rPr>
          <w:rFonts w:cs="Times New Roman"/>
          <w:szCs w:val="24"/>
          <w:lang w:val="es-ES"/>
        </w:rPr>
      </w:pPr>
      <w:r w:rsidRPr="00CC40E9">
        <w:rPr>
          <w:rFonts w:cs="Times New Roman"/>
          <w:szCs w:val="24"/>
          <w:lang w:val="es-ES"/>
        </w:rPr>
        <w:t>El criterio de cierre será inequívoco y limitado: especificación no circular de L, P y de los testigos; demostración de las condiciones necesarias o suficientes pertinentes y de la composición cuando se reclame; algoritmo que clasifique preservación, pérdida y no evaluabilidad conforme al contrato; implementación conforme; y pruebas independientes con casos positivos y negativos. Un número finito de traducciones no demostraría invariancia universal para todas las lenguas ni resolvería por inducción el problema abierto sin una caracterización formal de la clase cubierta. Tampoco será requisito descubrir todas las sendas: basta con cerrar matemáticamente una clase no trivial, definir sus fronteras y comprobar que sus realizaciones lingüísticas satisfacen efectivamente las premisas.</w:t>
      </w:r>
    </w:p>
    <w:p w14:paraId="63E818BC" w14:textId="77777777" w:rsidR="00C6265B" w:rsidRDefault="00807395" w:rsidP="00CC40E9">
      <w:pPr>
        <w:ind w:firstLine="709"/>
        <w:jc w:val="both"/>
        <w:rPr>
          <w:rFonts w:cs="Times New Roman"/>
          <w:szCs w:val="24"/>
          <w:lang w:val="es-ES"/>
        </w:rPr>
      </w:pPr>
      <w:r w:rsidRPr="00CC40E9">
        <w:rPr>
          <w:rFonts w:cs="Times New Roman"/>
          <w:szCs w:val="24"/>
          <w:lang w:val="es-ES"/>
        </w:rPr>
        <w:t xml:space="preserve">Fase II. Una vez obtenida esa capacidad, se estudiará su transferencia específica a ciberseguridad. La pregunta es si las propiedades invariantes permiten reconocer estructuras de instrucción y de relación que persisten bajo traducción, alternancia de lenguas, paráfrasis y transformaciones representacionales usadas para eludir controles. El dominio inicial comprende inyección de instrucciones directa e indirecta, ofuscación multilingüe y cadenas de transformación de contenido externo. La invariancia aportaría estabilidad de identificación y testigos de transporte; no determinaría por sí sola intención maliciosa, procedencia confiable ni autorización. Esas decisiones requieren conservar el </w:t>
      </w:r>
      <w:r w:rsidRPr="00CC40E9">
        <w:rPr>
          <w:rFonts w:cs="Times New Roman"/>
          <w:szCs w:val="24"/>
          <w:lang w:val="es-ES"/>
        </w:rPr>
        <w:lastRenderedPageBreak/>
        <w:t>origen del contenido, la separación entre dato e instrucción y políticas externas de privilegios. La evaluación adversaria de eficacia, falsos positivos y fallos de autoridad pertenece al desarrollo específico de C13; no se presentará como consecuencia ya demostrada del teorema lingüístico.</w:t>
      </w:r>
    </w:p>
    <w:p w14:paraId="5A09BE36" w14:textId="77777777" w:rsidR="00CC40E9" w:rsidRPr="00CC40E9" w:rsidRDefault="00CC40E9" w:rsidP="00CC40E9">
      <w:pPr>
        <w:ind w:firstLine="709"/>
        <w:jc w:val="both"/>
        <w:rPr>
          <w:rFonts w:cs="Times New Roman"/>
          <w:szCs w:val="24"/>
          <w:lang w:val="es-ES"/>
        </w:rPr>
      </w:pPr>
    </w:p>
    <w:p w14:paraId="42D2F642" w14:textId="77777777" w:rsidR="00C6265B" w:rsidRPr="00CC40E9" w:rsidRDefault="00807395" w:rsidP="00CC40E9">
      <w:pPr>
        <w:pStyle w:val="Ttulo2"/>
        <w:spacing w:before="0"/>
        <w:ind w:firstLine="709"/>
        <w:jc w:val="both"/>
        <w:rPr>
          <w:rFonts w:ascii="Times New Roman" w:hAnsi="Times New Roman" w:cs="Times New Roman"/>
          <w:color w:val="auto"/>
          <w:sz w:val="24"/>
          <w:szCs w:val="24"/>
          <w:lang w:val="es-ES"/>
        </w:rPr>
      </w:pPr>
      <w:bookmarkStart w:id="119" w:name="_Toc242721955"/>
      <w:r w:rsidRPr="00CC40E9">
        <w:rPr>
          <w:rFonts w:ascii="Times New Roman" w:hAnsi="Times New Roman" w:cs="Times New Roman"/>
          <w:color w:val="auto"/>
          <w:sz w:val="24"/>
          <w:szCs w:val="24"/>
          <w:lang w:val="es-ES"/>
        </w:rPr>
        <w:t>14.3. Tercera prioridad: integración simbólica heterogénea y posterior embodiment</w:t>
      </w:r>
      <w:bookmarkEnd w:id="119"/>
    </w:p>
    <w:p w14:paraId="323E173F" w14:textId="77777777" w:rsidR="00C6265B" w:rsidRPr="00CC40E9" w:rsidRDefault="00807395" w:rsidP="00CC40E9">
      <w:pPr>
        <w:ind w:firstLine="709"/>
        <w:jc w:val="both"/>
        <w:rPr>
          <w:rFonts w:cs="Times New Roman"/>
          <w:szCs w:val="24"/>
          <w:lang w:val="es-ES"/>
        </w:rPr>
      </w:pPr>
      <w:r w:rsidRPr="00CC40E9">
        <w:rPr>
          <w:rFonts w:cs="Times New Roman"/>
          <w:szCs w:val="24"/>
          <w:lang w:val="es-ES"/>
        </w:rPr>
        <w:t>Esta prioridad también comprende dos fases, y presupone resultados corroborados de las anteriores en el alcance que efectivamente se haya alcanzado. Fase I: sistemas simbólicos desarrollados independientemente de MDPAR, con ontologías locales, representaciones, reglas, memoria y mecanismos de inferencia diferentes, deberán intercambiar o reconstruir trayectorias mediante contratos explícitos sin adoptar internamente el SCC. El contraste evaluará correspondencia, transporte de propiedades, desacuerdos entre observadores, procedencia, continuidad longitudinal y conservación de límites de autoridad. Las capacidades demostradas en el estudio human-grounded y en invariancia lingüística y seguridad se incorporarán como obligaciones de prueba pertinentes, no como supuestos de validez universal.</w:t>
      </w:r>
    </w:p>
    <w:p w14:paraId="130E9A7D" w14:textId="77777777" w:rsidR="00C6265B" w:rsidRDefault="00807395" w:rsidP="00CC40E9">
      <w:pPr>
        <w:ind w:firstLine="709"/>
        <w:jc w:val="both"/>
        <w:rPr>
          <w:rFonts w:cs="Times New Roman"/>
          <w:szCs w:val="24"/>
          <w:lang w:val="es-ES"/>
        </w:rPr>
      </w:pPr>
      <w:r w:rsidRPr="00CC40E9">
        <w:rPr>
          <w:rFonts w:cs="Times New Roman"/>
          <w:szCs w:val="24"/>
          <w:lang w:val="es-ES"/>
        </w:rPr>
        <w:t>La integración deberá admitir resultados negativos y fallos parciales: una conexión técnica no prueba equivalencia semántica, y una equivalencia de propiedades en una operación no garantiza continuidad global. Solo cuando la cooperación intersistema satisfaga los contratos predefinidos se iniciará la fase II: despliegue en sistemas encarnados con percepción, acción, recursos y riesgos físicos. Se comprobarán transformaciones entre observaciones multimodales y representaciones simbólicas, pérdida y recuperación de capacidades, sustitución de proveedores, restricciones temporales y autorización de acciones. C12 constituye un antecedente interno de cooperación y recuperación, no una certificación de interoperabilidad externa ni de seguridad robótica. El embodiment añade una obligación de validación material que no se deduce del éxito simbólico.</w:t>
      </w:r>
    </w:p>
    <w:p w14:paraId="324975A4" w14:textId="77777777" w:rsidR="00CC40E9" w:rsidRPr="00CC40E9" w:rsidRDefault="00CC40E9" w:rsidP="00CC40E9">
      <w:pPr>
        <w:ind w:firstLine="709"/>
        <w:jc w:val="both"/>
        <w:rPr>
          <w:rFonts w:cs="Times New Roman"/>
          <w:szCs w:val="24"/>
          <w:lang w:val="es-ES"/>
        </w:rPr>
      </w:pPr>
    </w:p>
    <w:p w14:paraId="4732F250" w14:textId="77777777" w:rsidR="00C6265B" w:rsidRPr="00CC40E9" w:rsidRDefault="00807395" w:rsidP="00CC40E9">
      <w:pPr>
        <w:pStyle w:val="Ttulo2"/>
        <w:spacing w:before="0"/>
        <w:ind w:firstLine="709"/>
        <w:jc w:val="both"/>
        <w:rPr>
          <w:rFonts w:ascii="Times New Roman" w:hAnsi="Times New Roman" w:cs="Times New Roman"/>
          <w:color w:val="auto"/>
          <w:sz w:val="24"/>
          <w:szCs w:val="24"/>
          <w:lang w:val="es-ES"/>
        </w:rPr>
      </w:pPr>
      <w:bookmarkStart w:id="120" w:name="_Toc242721956"/>
      <w:r w:rsidRPr="00CC40E9">
        <w:rPr>
          <w:rFonts w:ascii="Times New Roman" w:hAnsi="Times New Roman" w:cs="Times New Roman"/>
          <w:color w:val="auto"/>
          <w:sz w:val="24"/>
          <w:szCs w:val="24"/>
          <w:lang w:val="es-ES"/>
        </w:rPr>
        <w:t>14.4. Cuarta prioridad: cierre funcional del problema de decisión</w:t>
      </w:r>
      <w:bookmarkEnd w:id="120"/>
    </w:p>
    <w:p w14:paraId="0886C9D2" w14:textId="77777777" w:rsidR="00C6265B" w:rsidRPr="00CC40E9" w:rsidRDefault="00807395" w:rsidP="00CC40E9">
      <w:pPr>
        <w:ind w:firstLine="709"/>
        <w:jc w:val="both"/>
        <w:rPr>
          <w:rFonts w:cs="Times New Roman"/>
          <w:szCs w:val="24"/>
          <w:lang w:val="es-ES"/>
        </w:rPr>
      </w:pPr>
      <w:r w:rsidRPr="00CC40E9">
        <w:rPr>
          <w:rFonts w:cs="Times New Roman"/>
          <w:szCs w:val="24"/>
          <w:lang w:val="es-ES"/>
        </w:rPr>
        <w:t xml:space="preserve">El capítulo 6 ya delimita el cierre representacional: el SCC puede construir y conservar un espacio de alternativas estructuradas, sus relaciones, incertidumbres y transformaciones sin derivar de ello el criterio que deba seleccionar una. La investigación pendiente es el cierre funcional de esa interfaz, no la incorporación de una función de utilidad universal al formalismo. Se estudiará una composición entre trayectorias y </w:t>
      </w:r>
      <w:r w:rsidRPr="00CC40E9">
        <w:rPr>
          <w:rFonts w:cs="Times New Roman"/>
          <w:szCs w:val="24"/>
          <w:lang w:val="es-ES"/>
        </w:rPr>
        <w:lastRenderedPageBreak/>
        <w:t>criterios externos de viabilidad, recursos, riesgo, reversibilidad, tiempo, preferencias y autoridad, manteniendo separados representación, evaluación y selección.</w:t>
      </w:r>
    </w:p>
    <w:p w14:paraId="35F94033" w14:textId="77777777" w:rsidR="00C6265B" w:rsidRPr="00CC40E9" w:rsidRDefault="00807395" w:rsidP="00CC40E9">
      <w:pPr>
        <w:ind w:firstLine="709"/>
        <w:jc w:val="both"/>
        <w:rPr>
          <w:lang w:val="es-ES"/>
        </w:rPr>
      </w:pPr>
      <w:r w:rsidRPr="00CC40E9">
        <w:rPr>
          <w:rFonts w:cs="Times New Roman"/>
          <w:szCs w:val="24"/>
          <w:lang w:val="es-ES"/>
        </w:rPr>
        <w:t>El programa deberá caracterizar condiciones de decisión bajo información incompleta, preferencias revisables y cambios del entorno; conservar la historia de alternativas descartadas; distinguir pérdida de viabilidad de modificación de preferencias; y hacer reconstruible por qué se seleccionó una trayectoria y bajo qué autoridad. Los ensayos incluirán alternativas simultáneamente defendibles, nueva información que altere su ordenación y casos sin elección justificada. El resultado buscado no es un único score que oculte los criterios, sino un procedimiento composicional verificable que permita pasar de la pluralidad representada a una elección situada sin atribuir al SCC juicios normativos o materiales que no contiene. Esta investigación puede progresar en paralelo a la integración y al embodiment, aunque se exponga</w:t>
      </w:r>
      <w:r w:rsidRPr="00CC40E9">
        <w:rPr>
          <w:lang w:val="es-ES"/>
        </w:rPr>
        <w:t xml:space="preserve"> como cuarta prioridad.</w:t>
      </w:r>
    </w:p>
    <w:p w14:paraId="3620C63C" w14:textId="77777777" w:rsidR="004F518D" w:rsidRDefault="004F518D">
      <w:pPr>
        <w:spacing w:after="200" w:line="276" w:lineRule="auto"/>
        <w:rPr>
          <w:b/>
          <w:lang w:val="es-ES"/>
        </w:rPr>
      </w:pPr>
      <w:r>
        <w:rPr>
          <w:b/>
          <w:lang w:val="es-ES"/>
        </w:rPr>
        <w:br w:type="page"/>
      </w:r>
      <w:r>
        <w:rPr>
          <w:b/>
          <w:lang w:val="es-ES"/>
        </w:rPr>
        <w:lastRenderedPageBreak/>
        <w:br w:type="page"/>
      </w:r>
    </w:p>
    <w:p w14:paraId="2261C03E" w14:textId="77777777" w:rsidR="004F518D" w:rsidRDefault="004F518D" w:rsidP="004F518D">
      <w:pPr>
        <w:jc w:val="center"/>
        <w:outlineLvl w:val="0"/>
        <w:rPr>
          <w:lang w:val="es-ES"/>
        </w:rPr>
      </w:pPr>
      <w:bookmarkStart w:id="121" w:name="_Toc242721957"/>
      <w:r>
        <w:rPr>
          <w:b/>
          <w:bCs/>
          <w:lang w:val="es-ES"/>
        </w:rPr>
        <w:lastRenderedPageBreak/>
        <w:t xml:space="preserve">PARTE VI </w:t>
      </w:r>
      <w:r w:rsidRPr="004F518D">
        <w:rPr>
          <w:b/>
          <w:bCs/>
          <w:lang w:val="es-ES"/>
        </w:rPr>
        <w:t>— C13</w:t>
      </w:r>
      <w:bookmarkEnd w:id="121"/>
    </w:p>
    <w:p w14:paraId="1B18D933" w14:textId="77777777" w:rsidR="004F518D" w:rsidRDefault="004F518D" w:rsidP="004F518D">
      <w:pPr>
        <w:jc w:val="both"/>
        <w:rPr>
          <w:b/>
          <w:bCs/>
          <w:lang w:val="es-ES"/>
        </w:rPr>
      </w:pPr>
    </w:p>
    <w:p w14:paraId="235148BB" w14:textId="77777777" w:rsidR="004F518D" w:rsidRPr="004F518D" w:rsidRDefault="004F518D" w:rsidP="004F518D">
      <w:pPr>
        <w:pStyle w:val="MDPARProfileH1"/>
        <w:spacing w:before="0" w:after="0"/>
        <w:jc w:val="both"/>
        <w:outlineLvl w:val="0"/>
        <w:rPr>
          <w:sz w:val="24"/>
          <w:szCs w:val="20"/>
          <w:lang w:val="es-ES"/>
        </w:rPr>
      </w:pPr>
      <w:bookmarkStart w:id="122" w:name="_Toc242721958"/>
      <w:r w:rsidRPr="004F518D">
        <w:rPr>
          <w:sz w:val="24"/>
          <w:szCs w:val="20"/>
          <w:lang w:val="es-ES"/>
        </w:rPr>
        <w:t>Capítulo 15</w:t>
      </w:r>
      <w:r w:rsidR="007D08E9">
        <w:rPr>
          <w:sz w:val="24"/>
          <w:szCs w:val="20"/>
          <w:lang w:val="es-ES"/>
        </w:rPr>
        <w:t xml:space="preserve">: </w:t>
      </w:r>
      <w:r w:rsidR="003F173D">
        <w:rPr>
          <w:sz w:val="24"/>
          <w:szCs w:val="20"/>
          <w:lang w:val="es-ES"/>
        </w:rPr>
        <w:t>fundamentos de</w:t>
      </w:r>
      <w:r w:rsidRPr="004F518D">
        <w:rPr>
          <w:sz w:val="24"/>
          <w:szCs w:val="20"/>
          <w:lang w:val="es-ES"/>
        </w:rPr>
        <w:t xml:space="preserve"> C13</w:t>
      </w:r>
      <w:bookmarkEnd w:id="122"/>
    </w:p>
    <w:p w14:paraId="005FE130" w14:textId="77777777" w:rsidR="004F518D" w:rsidRDefault="004F518D" w:rsidP="004F518D">
      <w:pPr>
        <w:pStyle w:val="MDPARThesisBody"/>
        <w:rPr>
          <w:lang w:val="es-ES"/>
        </w:rPr>
      </w:pPr>
    </w:p>
    <w:p w14:paraId="794EAB34" w14:textId="77777777" w:rsidR="004F518D" w:rsidRPr="004F518D" w:rsidRDefault="004F518D" w:rsidP="004F518D">
      <w:pPr>
        <w:pStyle w:val="MDPARThesisBody"/>
        <w:rPr>
          <w:lang w:val="es-ES"/>
        </w:rPr>
      </w:pPr>
      <w:r w:rsidRPr="004F518D">
        <w:rPr>
          <w:lang w:val="es-ES"/>
        </w:rPr>
        <w:t xml:space="preserve">C13 </w:t>
      </w:r>
      <w:r>
        <w:rPr>
          <w:lang w:val="es-ES"/>
        </w:rPr>
        <w:t>nació en la versión 2.3.0 de MDPAR debido a</w:t>
      </w:r>
      <w:r w:rsidRPr="004F518D">
        <w:rPr>
          <w:lang w:val="es-ES"/>
        </w:rPr>
        <w:t xml:space="preserve"> una dificultad</w:t>
      </w:r>
      <w:r>
        <w:rPr>
          <w:lang w:val="es-ES"/>
        </w:rPr>
        <w:t xml:space="preserve"> epistemológica</w:t>
      </w:r>
      <w:r w:rsidRPr="004F518D">
        <w:rPr>
          <w:lang w:val="es-ES"/>
        </w:rPr>
        <w:t xml:space="preserve"> </w:t>
      </w:r>
      <w:r>
        <w:rPr>
          <w:lang w:val="es-ES"/>
        </w:rPr>
        <w:t>concurrente que aparecía en el</w:t>
      </w:r>
      <w:r w:rsidRPr="004F518D">
        <w:rPr>
          <w:lang w:val="es-ES"/>
        </w:rPr>
        <w:t xml:space="preserve"> programa de invariancia de C4</w:t>
      </w:r>
      <w:r>
        <w:rPr>
          <w:lang w:val="es-ES"/>
        </w:rPr>
        <w:t xml:space="preserve"> que obligó refinar las matemáticas del software hasta alcanzar sus límites</w:t>
      </w:r>
      <w:r w:rsidRPr="004F518D">
        <w:rPr>
          <w:lang w:val="es-ES"/>
        </w:rPr>
        <w:t>: la posibilidad de observar una transformación no garantizaba que pudiera reconstruirse, y la reconstrucción de una trayectoria no garantizaba, por sí misma, que las propiedades atribuidas a su recorrido hubieran sido conservadas. Esta diferencia, que inicialmente podía parecer una cuestión de instrumentación, obligó a separar responsabilidades epistemológicas que el SCC necesitaba mantener distintas. El problema dejó de ser únicamente qué reconoce un observador y pasó a ser qué objeto matemático puede construirse, qué información necesita y cómo se comprueba su legitimidad.</w:t>
      </w:r>
    </w:p>
    <w:p w14:paraId="5A0ACFA5" w14:textId="77777777" w:rsidR="004F518D" w:rsidRPr="004F518D" w:rsidRDefault="004F518D" w:rsidP="004F518D">
      <w:pPr>
        <w:pStyle w:val="MDPARThesisBody"/>
        <w:rPr>
          <w:lang w:val="es-ES"/>
        </w:rPr>
      </w:pPr>
      <w:r w:rsidRPr="004F518D">
        <w:rPr>
          <w:lang w:val="es-ES"/>
        </w:rPr>
        <w:t>En la campaña de C4, la realización de permutaciones (PR), la reidentificación (RI), la traducción o invariancia longitudinal (TI) y la atribución de anclajes (TA) constituían ensayos diferentes. No eran cuatro nombres para una misma propiedad. En PR se examinaba la realización de transformaciones; en RI, la posibilidad de reconocer de nuevo una estructura; en TI, el transporte de propiedades a través de cambios y reobservaciones; y en TA, las consecuencias de fijar o variar el anclaje desde el que se atribuye una correspondencia. La separación importaba porque un acierto en una operación no autorizaba a inferir automáticamente un acierto en las demás.</w:t>
      </w:r>
    </w:p>
    <w:p w14:paraId="6BCCC86D" w14:textId="77777777" w:rsidR="004F518D" w:rsidRPr="004F518D" w:rsidRDefault="004F518D" w:rsidP="004F518D">
      <w:pPr>
        <w:pStyle w:val="MDPARThesisBody"/>
        <w:rPr>
          <w:lang w:val="es-ES"/>
        </w:rPr>
      </w:pPr>
      <w:r w:rsidRPr="004F518D">
        <w:rPr>
          <w:lang w:val="es-ES"/>
        </w:rPr>
        <w:t>Los registros congelados de C4 permiten dimensionar esa dificultad sin convertirla en un relato retrospectivo de fracaso. En la campaña PR con Sol NONE se conservaron 36 registros: 27 evaluables y nueve no evaluables. La reidentificación RI reunió 18 reobservaciones, con 17 válidas y una inválida; de los cinco registros plenamente evaluables, dos resultaron completamente estables. TI distinguió preservación, deriva y recuperación. Estos resultados no significaban que la invariancia fuese imposible. Significaban algo metodológicamente más exigente: había que precisar qué podía inferirse de una observación, bajo qué condiciones y mediante qué cadena de operaciones.</w:t>
      </w:r>
    </w:p>
    <w:p w14:paraId="2A31F57C" w14:textId="77777777" w:rsidR="004F518D" w:rsidRPr="004F518D" w:rsidRDefault="004F518D" w:rsidP="004F518D">
      <w:pPr>
        <w:pStyle w:val="MDPARThesisBody"/>
        <w:rPr>
          <w:lang w:val="es-ES"/>
        </w:rPr>
      </w:pPr>
      <w:r w:rsidRPr="004F518D">
        <w:rPr>
          <w:lang w:val="es-ES"/>
        </w:rPr>
        <w:t xml:space="preserve">La categoría UNEVALUABLE desempeñaba aquí una función científica positiva. Si la evidencia disponible no permitía determinar una propiedad, adjudicarle una respuesta afirmativa o negativa habría creado certeza ficticia. Del mismo modo, reconocer dos descripciones como próximas no bastaba para declarar que una propiedad se había </w:t>
      </w:r>
      <w:r w:rsidRPr="004F518D">
        <w:rPr>
          <w:lang w:val="es-ES"/>
        </w:rPr>
        <w:lastRenderedPageBreak/>
        <w:t>preservado durante toda la trayectoria intermedia. Una propiedad podía permanecer constante, perderse y recuperarse, o no disponer de evidencia suficiente para ser atribuida. El resultado terminal, por tanto, no agotaba el significado de la historia.</w:t>
      </w:r>
    </w:p>
    <w:p w14:paraId="59A36180" w14:textId="77777777" w:rsidR="004F518D" w:rsidRPr="004F518D" w:rsidRDefault="004F518D" w:rsidP="004F518D">
      <w:pPr>
        <w:pStyle w:val="MDPARThesisBody"/>
        <w:rPr>
          <w:lang w:val="es-ES"/>
        </w:rPr>
      </w:pPr>
      <w:r w:rsidRPr="004F518D">
        <w:rPr>
          <w:lang w:val="es-ES"/>
        </w:rPr>
        <w:t>Este era el límite que C4, considerado exclusivamente como programa de observación y contraste de invariancia, no podía f</w:t>
      </w:r>
      <w:r w:rsidR="000C3303">
        <w:rPr>
          <w:lang w:val="es-ES"/>
        </w:rPr>
        <w:t>l</w:t>
      </w:r>
      <w:r w:rsidRPr="004F518D">
        <w:rPr>
          <w:lang w:val="es-ES"/>
        </w:rPr>
        <w:t>anquear por simple acumulación de registros. Hacía falta formular un problema constructivo: dados unos objetos, unas restricciones y unos extremos, determinar si existe una secuencia admisible de transformaciones, construirla cuando exista y verificarla sin confundir la propuesta con su certificación. C13 nació de ese desplazamiento de pregunta. No reemplazó C4; convirtió en obligaciones matemáticas las diferencias que C4 había obligado a reconocer.</w:t>
      </w:r>
    </w:p>
    <w:p w14:paraId="6BE041F7" w14:textId="77777777" w:rsidR="004F518D" w:rsidRPr="004F518D" w:rsidRDefault="004F518D" w:rsidP="004F518D">
      <w:pPr>
        <w:pStyle w:val="MDPARThesisBody"/>
        <w:rPr>
          <w:lang w:val="es-ES"/>
        </w:rPr>
      </w:pPr>
      <w:r w:rsidRPr="004F518D">
        <w:rPr>
          <w:lang w:val="es-ES"/>
        </w:rPr>
        <w:t xml:space="preserve">La primera construcción tomó un espacio de combinaciones potencialmente enorme y mostró que su tamaño no obliga a enumerarlo. Sea P = (X, ≺) un orden parcial finito. Una extensión lineal </w:t>
      </w:r>
      <w:r>
        <w:t>σ</w:t>
      </w:r>
      <w:r w:rsidRPr="004F518D">
        <w:rPr>
          <w:lang w:val="es-ES"/>
        </w:rPr>
        <w:t xml:space="preserve"> de P es una ordenación total de X compatible con todas las precedencias de P; escribimos L(P) para el conjunto de esas extensiones. Si P es una anticadena de n elementos, entonces |L(P)| = n!, mientras que si P es una cadena total, |L(P)| = 1. Entre ambos extremos, el orden parcial describe restricciones compactas que pueden admitir multitud de realizaciones. El problema no consiste en confundir la representación del conjunto con el despliegue de todos sus elementos.</w:t>
      </w:r>
    </w:p>
    <w:p w14:paraId="154F921A" w14:textId="77777777" w:rsidR="004F518D" w:rsidRPr="004F518D" w:rsidRDefault="004F518D" w:rsidP="004F518D">
      <w:pPr>
        <w:pStyle w:val="MDPARThesisBody"/>
        <w:rPr>
          <w:lang w:val="es-ES"/>
        </w:rPr>
      </w:pPr>
      <w:r w:rsidRPr="004F518D">
        <w:rPr>
          <w:lang w:val="es-ES"/>
        </w:rPr>
        <w:t xml:space="preserve">Sobre L(P) puede definirse un grafo de reconfiguración G(P). Sus vértices son las extensiones lineales y dos vértices están conectados cuando una extensión se obtiene de la otra intercambiando dos elementos adyacentes e incomparables en P. Dados </w:t>
      </w:r>
      <w:r>
        <w:t>σ</w:t>
      </w:r>
      <w:r w:rsidRPr="004F518D">
        <w:rPr>
          <w:lang w:val="es-ES"/>
        </w:rPr>
        <w:t xml:space="preserve"> y </w:t>
      </w:r>
      <w:r>
        <w:t>τ</w:t>
      </w:r>
      <w:r w:rsidRPr="004F518D">
        <w:rPr>
          <w:lang w:val="es-ES"/>
        </w:rPr>
        <w:t xml:space="preserve"> en L(P), C13.1 pregunta por la distancia mínima entre ambos y por un recorrido que la alcance. Si D(</w:t>
      </w:r>
      <w:r>
        <w:t>σ</w:t>
      </w:r>
      <w:r w:rsidRPr="004F518D">
        <w:rPr>
          <w:lang w:val="es-ES"/>
        </w:rPr>
        <w:t>,</w:t>
      </w:r>
      <w:r>
        <w:t>τ</w:t>
      </w:r>
      <w:r w:rsidRPr="004F518D">
        <w:rPr>
          <w:lang w:val="es-ES"/>
        </w:rPr>
        <w:t xml:space="preserve">) es el conjunto de pares de elementos cuyo orden relativo difiere entre </w:t>
      </w:r>
      <w:r>
        <w:t>σ</w:t>
      </w:r>
      <w:r w:rsidRPr="004F518D">
        <w:rPr>
          <w:lang w:val="es-ES"/>
        </w:rPr>
        <w:t xml:space="preserve"> y </w:t>
      </w:r>
      <w:r>
        <w:t>τ</w:t>
      </w:r>
      <w:r w:rsidRPr="004F518D">
        <w:rPr>
          <w:lang w:val="es-ES"/>
        </w:rPr>
        <w:t>, se obtiene la identidad dP(</w:t>
      </w:r>
      <w:r>
        <w:t>σ</w:t>
      </w:r>
      <w:r w:rsidRPr="004F518D">
        <w:rPr>
          <w:lang w:val="es-ES"/>
        </w:rPr>
        <w:t>,</w:t>
      </w:r>
      <w:r>
        <w:t>τ</w:t>
      </w:r>
      <w:r w:rsidRPr="004F518D">
        <w:rPr>
          <w:lang w:val="es-ES"/>
        </w:rPr>
        <w:t>) = |D(</w:t>
      </w:r>
      <w:r>
        <w:t>σ</w:t>
      </w:r>
      <w:r w:rsidRPr="004F518D">
        <w:rPr>
          <w:lang w:val="es-ES"/>
        </w:rPr>
        <w:t>,</w:t>
      </w:r>
      <w:r>
        <w:t>τ</w:t>
      </w:r>
      <w:r w:rsidRPr="004F518D">
        <w:rPr>
          <w:lang w:val="es-ES"/>
        </w:rPr>
        <w:t>)|. No es una aproximación heurística: cada intercambio admisible altera el orden de un solo par, de modo que cualquier recorrido requiere al menos |D(</w:t>
      </w:r>
      <w:r>
        <w:t>σ</w:t>
      </w:r>
      <w:r w:rsidRPr="004F518D">
        <w:rPr>
          <w:lang w:val="es-ES"/>
        </w:rPr>
        <w:t>,</w:t>
      </w:r>
      <w:r>
        <w:t>τ</w:t>
      </w:r>
      <w:r w:rsidRPr="004F518D">
        <w:rPr>
          <w:lang w:val="es-ES"/>
        </w:rPr>
        <w:t>)| pasos; una construcción que sitúa sucesivamente los elementos en su posición objetivo invierte exactamente esos pares y alcanza la cota.</w:t>
      </w:r>
    </w:p>
    <w:p w14:paraId="28A49C2E" w14:textId="77777777" w:rsidR="004F518D" w:rsidRPr="004F518D" w:rsidRDefault="004F518D" w:rsidP="004F518D">
      <w:pPr>
        <w:pStyle w:val="MDPARThesisBody"/>
        <w:rPr>
          <w:lang w:val="es-ES"/>
        </w:rPr>
      </w:pPr>
      <w:r w:rsidRPr="004F518D">
        <w:rPr>
          <w:lang w:val="es-ES"/>
        </w:rPr>
        <w:t xml:space="preserve">La implementación canónica de esta operación reside en StructuralLinearExtensionReconfiguration.java, dentro de mdpar_parser. Sus procedimientos de distancia y camino mínimo trabajan con el orden parcial y las extensiones extremas, comprueban la admisibilidad de cada estado y de cada intercambio y evitan construir previamente el conjunto L(P). El resultado es exacto dentro de ese dominio. En particular, para una anticadena, transformar un orden en su inversión completa exige n(n−1)/2 intercambios; para una cadena total no hay una segunda extensión </w:t>
      </w:r>
      <w:r w:rsidRPr="004F518D">
        <w:rPr>
          <w:lang w:val="es-ES"/>
        </w:rPr>
        <w:lastRenderedPageBreak/>
        <w:t>a la que desplazarse. C13.1 no demuestra que todo problema sobre espacios implícitos pueda resolverse eficientemente: demuestra una propiedad exacta de esta familia y proporciona una primera respuesta constructiva a la pregunta nacida en C4.</w:t>
      </w:r>
    </w:p>
    <w:p w14:paraId="4E08550C" w14:textId="77777777" w:rsidR="004F518D" w:rsidRPr="004F518D" w:rsidRDefault="004F518D" w:rsidP="004F518D">
      <w:pPr>
        <w:pStyle w:val="MDPARThesisBody"/>
        <w:rPr>
          <w:lang w:val="es-ES"/>
        </w:rPr>
      </w:pPr>
      <w:r w:rsidRPr="004F518D">
        <w:rPr>
          <w:lang w:val="es-ES"/>
        </w:rPr>
        <w:t xml:space="preserve">La segunda exigencia apareció en cuanto el sistema pudo entregar un recorrido. Encontrar un testigo no equivale a verificarlo. Para un problema de reconfiguración, SEARCH recibe la instancia y propone una sucesión </w:t>
      </w:r>
      <w:r>
        <w:t>π</w:t>
      </w:r>
      <w:r w:rsidRPr="004F518D">
        <w:rPr>
          <w:lang w:val="es-ES"/>
        </w:rPr>
        <w:t xml:space="preserve"> = (</w:t>
      </w:r>
      <w:r>
        <w:t>σ</w:t>
      </w:r>
      <w:r w:rsidRPr="004F518D">
        <w:rPr>
          <w:lang w:val="es-ES"/>
        </w:rPr>
        <w:t>₀,…,</w:t>
      </w:r>
      <w:r>
        <w:t>σ</w:t>
      </w:r>
      <w:r w:rsidRPr="004F518D">
        <w:rPr>
          <w:lang w:val="es-ES"/>
        </w:rPr>
        <w:t xml:space="preserve">ₖ); VERIFY debe comprobar que </w:t>
      </w:r>
      <w:r>
        <w:t>σ</w:t>
      </w:r>
      <w:r w:rsidRPr="004F518D">
        <w:rPr>
          <w:lang w:val="es-ES"/>
        </w:rPr>
        <w:t xml:space="preserve">₀ y </w:t>
      </w:r>
      <w:r>
        <w:t>σ</w:t>
      </w:r>
      <w:r w:rsidRPr="004F518D">
        <w:rPr>
          <w:lang w:val="es-ES"/>
        </w:rPr>
        <w:t>ₖ son los extremos solicitados, que todos los estados pertenecen a L(P) y que cada paso corresponde a un intercambio adyacente permitido. Si además se afirma optimalidad, debe contrastarse la longitud con la distancia matemática. La implicación fundamental es: VERIFY(I,</w:t>
      </w:r>
      <w:r>
        <w:t>π</w:t>
      </w:r>
      <w:r w:rsidRPr="004F518D">
        <w:rPr>
          <w:lang w:val="es-ES"/>
        </w:rPr>
        <w:t xml:space="preserve">) = acepta ⇒ </w:t>
      </w:r>
      <w:r>
        <w:t>π</w:t>
      </w:r>
      <w:r w:rsidRPr="004F518D">
        <w:rPr>
          <w:lang w:val="es-ES"/>
        </w:rPr>
        <w:t xml:space="preserve"> es un testigo válido para I. Esta propiedad de corrección —soundness— no se confunde con la capacidad del buscador para encontrar siempre un testigo ni con la aceptación de todos los testigos posibles.</w:t>
      </w:r>
    </w:p>
    <w:p w14:paraId="30B37A03" w14:textId="77777777" w:rsidR="004F518D" w:rsidRPr="004F518D" w:rsidRDefault="004F518D" w:rsidP="004F518D">
      <w:pPr>
        <w:pStyle w:val="MDPARThesisBody"/>
        <w:rPr>
          <w:lang w:val="es-ES"/>
        </w:rPr>
      </w:pPr>
      <w:r w:rsidRPr="004F518D">
        <w:rPr>
          <w:lang w:val="es-ES"/>
        </w:rPr>
        <w:t>En el ensayo fundacional C13.2, parte de</w:t>
      </w:r>
      <w:r w:rsidR="003546DB">
        <w:rPr>
          <w:lang w:val="es-ES"/>
        </w:rPr>
        <w:t xml:space="preserve"> que</w:t>
      </w:r>
      <w:r w:rsidRPr="004F518D">
        <w:rPr>
          <w:lang w:val="es-ES"/>
        </w:rPr>
        <w:t xml:space="preserve"> la comprobación utilizaba información generada por la misma operación del puente PARSER. Por eso su independencia de implementación no debe describirse como absoluta. La evolución posterior del Atlas nativo sí incorporó una operación verify_witness que reconstruye los pasos a partir de índices de arista, extremos, contratos y etiqueta longitudinal, sin aceptar como prueba los metadatos declarados por SEARCH. La historia científica es precisamente la de esa separación progresiva: de una comprobación del recorrido generado a un verificador capaz de examinar una propuesta concreta según reglas explícitas.</w:t>
      </w:r>
    </w:p>
    <w:p w14:paraId="705C97F5" w14:textId="77777777" w:rsidR="004F518D" w:rsidRPr="004F518D" w:rsidRDefault="004F518D" w:rsidP="004F518D">
      <w:pPr>
        <w:pStyle w:val="MDPARThesisBody"/>
        <w:rPr>
          <w:lang w:val="es-ES"/>
        </w:rPr>
      </w:pPr>
      <w:r w:rsidRPr="004F518D">
        <w:rPr>
          <w:lang w:val="es-ES"/>
        </w:rPr>
        <w:t>C13.3 abordó el otro extremo de la combinatoria. En una cadena total de n elementos existen n! permutaciones brutas, pero solo una extensión lineal admisible. El procedimiento no necesita generar las n! posibilidades para descartarlas una a una: las restricciones permiten construir directamente la solución canónica. El contraste entre anticadena y cadena revela que la dificultad de representar un espacio no puede deducirse únicamente del número bruto de permutaciones; depende de qué se pregunta, de qué restricciones están disponibles y de qué estructura puede explotarse antes de enumerar.</w:t>
      </w:r>
    </w:p>
    <w:p w14:paraId="2B3E8E29" w14:textId="77777777" w:rsidR="004F518D" w:rsidRPr="004F518D" w:rsidRDefault="004F518D" w:rsidP="004F518D">
      <w:pPr>
        <w:pStyle w:val="MDPARThesisBody"/>
        <w:rPr>
          <w:lang w:val="es-ES"/>
        </w:rPr>
      </w:pPr>
      <w:r w:rsidRPr="004F518D">
        <w:rPr>
          <w:lang w:val="es-ES"/>
        </w:rPr>
        <w:t xml:space="preserve">Los tres ensayos fundacionales establecieron así una secuencia causal: calcular exactamente sobre un espacio implícito, entregar un recorrido susceptible de comprobación y utilizar restricciones para evitar trabajo combinatorio innecesario. Pero la construcción todavía debía enfrentarse a tres formas diferentes de exigencia. Una pantalla experimental planteó, primero, la existencia de una extensión lineal que respetase precedencias y extremos fijados; segundo, la existencia de una trayectoria cuya aceptación dependiera de las decisiones históricas; y tercero, la existencia de una biyección que preservase una </w:t>
      </w:r>
      <w:r w:rsidRPr="004F518D">
        <w:rPr>
          <w:lang w:val="es-ES"/>
        </w:rPr>
        <w:lastRenderedPageBreak/>
        <w:t>relación entre dos estructuras finitas. No eran variantes cosméticas de una misma búsqueda: en cada caso cambiaba la naturaleza del testigo.</w:t>
      </w:r>
    </w:p>
    <w:p w14:paraId="19E093FD" w14:textId="77777777" w:rsidR="004F518D" w:rsidRPr="004F518D" w:rsidRDefault="004F518D" w:rsidP="004F518D">
      <w:pPr>
        <w:pStyle w:val="MDPARThesisBody"/>
        <w:rPr>
          <w:lang w:val="es-ES"/>
        </w:rPr>
      </w:pPr>
      <w:r w:rsidRPr="004F518D">
        <w:rPr>
          <w:lang w:val="es-ES"/>
        </w:rPr>
        <w:t xml:space="preserve">En el primer candidato se pregunta si existe </w:t>
      </w:r>
      <w:r>
        <w:t>σ</w:t>
      </w:r>
      <w:r w:rsidRPr="004F518D">
        <w:rPr>
          <w:lang w:val="es-ES"/>
        </w:rPr>
        <w:t xml:space="preserve"> ∈ L(P) cuyo primer elemento sea a y cuyo último sea b. El testigo es una ordenación completa y el verificador comprueba permutación, precedencias y posiciones exigidas. En el tercero, para A = (X,R) y B = (Y,S), se busca una biyección f : X → Y tal que, para todos x,x′ ∈ X, (x,x′) ∈ R si y solo si (f(x),f(x′)) ∈ S. El testigo ya no es una ruta: es una correspondencia relacional. Ambos experimentos impiden reducir la construcción estructural a una sola forma de recorrido.</w:t>
      </w:r>
    </w:p>
    <w:p w14:paraId="579A0343" w14:textId="77777777" w:rsidR="004F518D" w:rsidRPr="004F518D" w:rsidRDefault="004F518D" w:rsidP="004F518D">
      <w:pPr>
        <w:pStyle w:val="MDPARThesisBody"/>
        <w:rPr>
          <w:lang w:val="es-ES"/>
        </w:rPr>
      </w:pPr>
      <w:r w:rsidRPr="004F518D">
        <w:rPr>
          <w:lang w:val="es-ES"/>
        </w:rPr>
        <w:t>El segundo candidato hizo visible una dificultad más profunda. En un grafo por capas, cada etapa ofrece dos aristas que conducen al mismo vértice siguiente. Con n capas bastan n+1 vértices y 2n aristas para describir 2ⁿ historias binarias de elección. Dos recorridos pueden terminar en el mismo vértice y, sin embargo, justificar resultados distintos porque sus decisiones previas no coinciden. La representación v del estado deja entonces de ser suficiente: es necesario considerar (v,H), donde H conserva la información histórica relevante para la condición de aceptación. El ensayo no afirma que siempre haya que memorizar la historia íntegra; demuestra que borrarla indiscriminadamente puede destruir información indispensable.</w:t>
      </w:r>
    </w:p>
    <w:p w14:paraId="4A7BFD94" w14:textId="77777777" w:rsidR="004F518D" w:rsidRPr="004F518D" w:rsidRDefault="004F518D" w:rsidP="004F518D">
      <w:pPr>
        <w:pStyle w:val="MDPARThesisBody"/>
        <w:rPr>
          <w:lang w:val="es-ES"/>
        </w:rPr>
      </w:pPr>
      <w:r w:rsidRPr="004F518D">
        <w:rPr>
          <w:lang w:val="es-ES"/>
        </w:rPr>
        <w:t>La cuestión siguiente fue determinar qué parte de H puede olvidarse sin alterar las respuestas. Dos historias son equivalentes respecto de un observable si ninguna continuación admisible permite distinguirlas mediante ese observable. Los ensayos de indistinguibilidad histórica, refinamiento observacional y estado longitudinal mínimo examinaron familias finitas en las que el cociente puede calcularse y actualizarse composicionalmente. Para historias de longitud n sobre un alfabeto de cuatro símbolos, las familias estudiadas produjeron, según el observable, 1, 2, n+1 y 2(n+1) clases. La variación de esos números es el resultado conceptual: no existe un único tamaño de memoria legítimo independiente de lo que se deba verificar.</w:t>
      </w:r>
    </w:p>
    <w:p w14:paraId="11BBE13F" w14:textId="77777777" w:rsidR="004F518D" w:rsidRPr="004F518D" w:rsidRDefault="004F518D" w:rsidP="004F518D">
      <w:pPr>
        <w:pStyle w:val="MDPARThesisBody"/>
        <w:rPr>
          <w:lang w:val="es-ES"/>
        </w:rPr>
      </w:pPr>
      <w:r w:rsidRPr="004F518D">
        <w:rPr>
          <w:lang w:val="es-ES"/>
        </w:rPr>
        <w:t>La distinción entre PRESERVED y RECOVERED ilustra por qué esto importa. Si una propiedad vale al comienzo y al final, la observación de los extremos no decide si permaneció siempre o si desapareció en un tramo y reapareció después. Para certificar preservación hay que disponer de un contrato que controle los pasos pertinentes; para certificar recuperación hay que reconocer la pérdida y el retorno. La etiqueta longitudinal no es, por tanto, una decoración añadida al destino. Es una propiedad del recorrido y de la evidencia que permite interpretarlo.</w:t>
      </w:r>
    </w:p>
    <w:p w14:paraId="6FBCF67D" w14:textId="77777777" w:rsidR="004F518D" w:rsidRPr="004F518D" w:rsidRDefault="004F518D" w:rsidP="004F518D">
      <w:pPr>
        <w:pStyle w:val="MDPARThesisBody"/>
        <w:rPr>
          <w:lang w:val="es-ES"/>
        </w:rPr>
      </w:pPr>
      <w:r w:rsidRPr="004F518D">
        <w:rPr>
          <w:lang w:val="es-ES"/>
        </w:rPr>
        <w:lastRenderedPageBreak/>
        <w:t xml:space="preserve">Sobre esa base se definió un fragmento nativo del Atlas con grafo dirigido finito explícito, aristas identificadas —incluidas aristas paralelas—, contratos relacionales explícitos cerrados reflexivamente, una cota de longitud y una etiqueta terminal. Una trayectoria </w:t>
      </w:r>
      <w:r>
        <w:t>π</w:t>
      </w:r>
      <w:r w:rsidRPr="004F518D">
        <w:rPr>
          <w:lang w:val="es-ES"/>
        </w:rPr>
        <w:t xml:space="preserve"> = (v₀,e₁,v₁,…,eₖ,vₖ), con k ≤ L, es admisible cuando satisface los extremos, la sucesión de aristas y la composición de contratos exigida. SEARCH(A,s,t,L,q) propone una trayectoria o comunica que no ha encontrado testigo; VERIFY(A,s,t,L,q,</w:t>
      </w:r>
      <w:r>
        <w:t>π</w:t>
      </w:r>
      <w:r w:rsidRPr="004F518D">
        <w:rPr>
          <w:lang w:val="es-ES"/>
        </w:rPr>
        <w:t>) comprueba la propuesta. La ausencia de un testigo en una exploración acotada no equivale, sin una justificación adicional de exhaustividad, a una prueba de inexistencia.</w:t>
      </w:r>
    </w:p>
    <w:p w14:paraId="3F4919FD" w14:textId="77777777" w:rsidR="004F518D" w:rsidRPr="004F518D" w:rsidRDefault="004F518D" w:rsidP="004F518D">
      <w:pPr>
        <w:pStyle w:val="MDPARThesisBody"/>
        <w:rPr>
          <w:lang w:val="es-ES"/>
        </w:rPr>
      </w:pPr>
      <w:r w:rsidRPr="004F518D">
        <w:rPr>
          <w:lang w:val="es-ES"/>
        </w:rPr>
        <w:t>La verificabilidad exigió reconstruir los contratos desde las aristas efectivamente recorridas. En el fragmento nativo, verify_witness comprueba identificadores, continuidad, índices de arista, composición relacional y etiqueta final. El verificador no puede dar por verdadera una historia porque el buscador la haya anotado como verdadera. Esta obligación recupera, con forma algorítmica, la exigencia epistemológica inicial de C4: no confundir una atribución con la evidencia que la autoriza.</w:t>
      </w:r>
    </w:p>
    <w:p w14:paraId="7276CD0F" w14:textId="77777777" w:rsidR="004F518D" w:rsidRPr="004F518D" w:rsidRDefault="004F518D" w:rsidP="004F518D">
      <w:pPr>
        <w:pStyle w:val="MDPARThesisBody"/>
        <w:rPr>
          <w:lang w:val="es-ES"/>
        </w:rPr>
      </w:pPr>
      <w:r w:rsidRPr="004F518D">
        <w:rPr>
          <w:lang w:val="es-ES"/>
        </w:rPr>
        <w:t>El retorno a C4 permitió examinar también qué significa conservar un resultado cuando cambian los nombres de sus objetos. El ensayo metamórfico C4→C13 transporta un Atlas TOTAL finito mediante una biyección de identificadores y comprueba que la existencia del testigo, la etiqueta longitudinal y la aceptación del verificador se mantienen cuando se transportan las relaciones correspondientes. Es una propiedad de equivarianza dentro del fragmento ensayado. No debe confundirse con una equivalencia semántica TOTAL del corpus histórico completo de C4, que los controles de tipado y discrepancias no acreditan.</w:t>
      </w:r>
    </w:p>
    <w:p w14:paraId="52A5A399" w14:textId="77777777" w:rsidR="004F518D" w:rsidRPr="004F518D" w:rsidRDefault="004F518D" w:rsidP="004F518D">
      <w:pPr>
        <w:pStyle w:val="MDPARThesisBody"/>
        <w:rPr>
          <w:lang w:val="es-ES"/>
        </w:rPr>
      </w:pPr>
      <w:r w:rsidRPr="004F518D">
        <w:rPr>
          <w:lang w:val="es-ES"/>
        </w:rPr>
        <w:t>Esta precisión es especialmente importante para interpretar el cierre. En el puente histórico se registraron 89 huellas estructurales tipadas válidas, 11 inválidas y 123 sin tipado suficiente; las 11 inválidas se explicaron mediante dos aristas de ramificación no consecutivas y nueve estados UNKNOWN sin trayectoria. Los controles de reproducción y traducción congeladas fueron satisfactorios en sus contratos, pero no autorizaban a promover todas las observaciones antiguas a equivalencias nativas generales. C13 no gana rigor escondiendo esa frontera: lo gana al hacerla explícita y comprobable.</w:t>
      </w:r>
    </w:p>
    <w:p w14:paraId="3781F4D5" w14:textId="77777777" w:rsidR="004F518D" w:rsidRPr="004F518D" w:rsidRDefault="004F518D" w:rsidP="004F518D">
      <w:pPr>
        <w:pStyle w:val="MDPARThesisBody"/>
        <w:rPr>
          <w:lang w:val="es-ES"/>
        </w:rPr>
      </w:pPr>
      <w:r w:rsidRPr="004F518D">
        <w:rPr>
          <w:lang w:val="es-ES"/>
        </w:rPr>
        <w:t xml:space="preserve">La investigación conservó así una distinción entre el éxito de una construcción, la corrección de su verificador, la exhaustividad de una decisión y la extensión legítima de un resultado a otros dominios. El programa experimental estricto pudo cerrar sus obligaciones declaradas sin afirmar que cada representación posible del SCC hubiera quedado reducida a un único lenguaje finito ni que toda ausencia de solución pudiera certificarse del mismo </w:t>
      </w:r>
      <w:r w:rsidRPr="004F518D">
        <w:rPr>
          <w:lang w:val="es-ES"/>
        </w:rPr>
        <w:lastRenderedPageBreak/>
        <w:t>modo. Su fuerza consistió en transformar dificultades de interpretación en objetos sobre los que podían formularse y comprobarse proposiciones precisas.</w:t>
      </w:r>
    </w:p>
    <w:p w14:paraId="0F9A5777" w14:textId="77777777" w:rsidR="004F518D" w:rsidRPr="004F518D" w:rsidRDefault="004F518D" w:rsidP="004F518D">
      <w:pPr>
        <w:pStyle w:val="MDPARThesisBody"/>
        <w:rPr>
          <w:lang w:val="es-ES"/>
        </w:rPr>
      </w:pPr>
      <w:r w:rsidRPr="004F518D">
        <w:rPr>
          <w:lang w:val="es-ES"/>
        </w:rPr>
        <w:t>En este sentido, el cierre canónico de C13 no es una simple acumulación de pruebas superadas. Es la articulación de una respuesta constructiva a la dificultad que lo hizo nacer: las trayectorias pueden tratarse como testigos; los testigos, como objetos verificables; las restricciones, como información operativa; la historia, como parte del estado cuando los observables lo exigen; y los cambios de representación, como transformaciones sometidas a contratos explícitos. Lo que en C4 aparecía repartido entre realización, reidentificación, transporte y atribución adquirió en C13 una formulación conjunta, aunque siempre dentro de los dominios formalmente declarados.</w:t>
      </w:r>
    </w:p>
    <w:p w14:paraId="2F1A19AB" w14:textId="77777777" w:rsidR="004F518D" w:rsidRPr="004F518D" w:rsidRDefault="004F518D" w:rsidP="004F518D">
      <w:pPr>
        <w:pStyle w:val="MDPARThesisBody"/>
        <w:rPr>
          <w:lang w:val="es-ES"/>
        </w:rPr>
      </w:pPr>
      <w:r w:rsidRPr="004F518D">
        <w:rPr>
          <w:lang w:val="es-ES"/>
        </w:rPr>
        <w:t>Pero ese cierre produjo una pregunta que no pertenecía al propósito original. El programa había necesitado representar espacios implícitos, calcular distancias exactas, construir y verificar testigos, distinguir SAT de UNSAT bajo condiciones controladas, conservar memoria suficiente y analizar cuándo una representación puede comprimirse sin perder sus observables. Todas esas operaciones tienen una segunda lectura, inevitable para quien estudia algoritmos: son también preguntas sobre representación, decisión, certificación y coste computacional. La complejidad no llegó desde fuera para adornar el Atlas. Estaba latente en las obligaciones que C4 había obligado a formular y que C13 había convertido en matemáticas.</w:t>
      </w:r>
    </w:p>
    <w:p w14:paraId="175779C2" w14:textId="77777777" w:rsidR="004F518D" w:rsidRPr="000A6E8E" w:rsidRDefault="004F518D" w:rsidP="004F518D">
      <w:pPr>
        <w:pStyle w:val="MDPARThesisBody"/>
        <w:rPr>
          <w:lang w:val="es-ES"/>
        </w:rPr>
      </w:pPr>
      <w:r w:rsidRPr="004F518D">
        <w:rPr>
          <w:lang w:val="es-ES"/>
        </w:rPr>
        <w:t xml:space="preserve">C13 había terminado su misión estricta. No había demostrado que MDPAR fuese el mejor solucionador disponible ni había resuelto los problemas abiertos de las clases de complejidad. Había hecho algo previo y decisivo: construir el instrumento con el que tales afirmaciones podían ponerse a prueba sin depender de intuiciones ni de resultados autodeclarados. Quedaba entonces una pregunta más difícil que la que había originado el programa: ¿qué sucedería si ese instrumento, nacido para resolver una deuda epistemológica de C4, se enfrentara deliberadamente a familias adversariales de la complejidad computacional? La respuesta exige cambiar de escala y de criterio de prueba. </w:t>
      </w:r>
      <w:r w:rsidRPr="000A6E8E">
        <w:rPr>
          <w:lang w:val="es-ES"/>
        </w:rPr>
        <w:t>Esa es la investigación del capítulo siguiente</w:t>
      </w:r>
      <w:r w:rsidR="00F46E6F" w:rsidRPr="000A6E8E">
        <w:rPr>
          <w:lang w:val="es-ES"/>
        </w:rPr>
        <w:t>.</w:t>
      </w:r>
    </w:p>
    <w:p w14:paraId="11E6C9A4" w14:textId="77777777" w:rsidR="004F518D" w:rsidRDefault="002F0751">
      <w:pPr>
        <w:spacing w:after="200" w:line="276" w:lineRule="auto"/>
        <w:rPr>
          <w:b/>
          <w:lang w:val="es-ES"/>
        </w:rPr>
      </w:pPr>
      <w:r>
        <w:rPr>
          <w:b/>
          <w:lang w:val="es-ES"/>
        </w:rPr>
        <w:br w:type="page"/>
      </w:r>
    </w:p>
    <w:p w14:paraId="5DD25AF7" w14:textId="77777777" w:rsidR="00F73EDE" w:rsidRPr="002F0751" w:rsidRDefault="001F52B4" w:rsidP="002F0751">
      <w:pPr>
        <w:pStyle w:val="MDPARProfileH1"/>
        <w:spacing w:before="0" w:after="0" w:line="360" w:lineRule="auto"/>
        <w:outlineLvl w:val="0"/>
        <w:rPr>
          <w:sz w:val="24"/>
          <w:szCs w:val="20"/>
          <w:lang w:val="es-ES"/>
        </w:rPr>
      </w:pPr>
      <w:bookmarkStart w:id="123" w:name="_Toc242721959"/>
      <w:r w:rsidRPr="002F0751">
        <w:rPr>
          <w:sz w:val="24"/>
          <w:szCs w:val="20"/>
          <w:lang w:val="es-ES"/>
        </w:rPr>
        <w:lastRenderedPageBreak/>
        <w:t>Capítulo 16</w:t>
      </w:r>
      <w:r w:rsidR="007D08E9">
        <w:rPr>
          <w:sz w:val="24"/>
          <w:szCs w:val="20"/>
          <w:lang w:val="es-ES"/>
        </w:rPr>
        <w:t>:</w:t>
      </w:r>
      <w:r w:rsidR="003F173D">
        <w:rPr>
          <w:sz w:val="24"/>
          <w:szCs w:val="20"/>
          <w:lang w:val="es-ES"/>
        </w:rPr>
        <w:t xml:space="preserve"> </w:t>
      </w:r>
      <w:r w:rsidRPr="002F0751">
        <w:rPr>
          <w:sz w:val="24"/>
          <w:szCs w:val="20"/>
          <w:lang w:val="es-ES"/>
        </w:rPr>
        <w:t>logros matemáticos de</w:t>
      </w:r>
      <w:r w:rsidR="007D08E9">
        <w:rPr>
          <w:sz w:val="24"/>
          <w:szCs w:val="20"/>
          <w:lang w:val="es-ES"/>
        </w:rPr>
        <w:t>rivados de</w:t>
      </w:r>
      <w:r w:rsidR="003F173D">
        <w:rPr>
          <w:sz w:val="24"/>
          <w:szCs w:val="20"/>
          <w:lang w:val="es-ES"/>
        </w:rPr>
        <w:t>sde</w:t>
      </w:r>
      <w:r w:rsidRPr="002F0751">
        <w:rPr>
          <w:sz w:val="24"/>
          <w:szCs w:val="20"/>
          <w:lang w:val="es-ES"/>
        </w:rPr>
        <w:t xml:space="preserve"> C13</w:t>
      </w:r>
      <w:bookmarkEnd w:id="123"/>
    </w:p>
    <w:p w14:paraId="69F88D05" w14:textId="77777777" w:rsidR="002F0751" w:rsidRDefault="002F0751">
      <w:pPr>
        <w:pStyle w:val="MDPARThesisBody"/>
        <w:rPr>
          <w:lang w:val="es-ES"/>
        </w:rPr>
      </w:pPr>
    </w:p>
    <w:p w14:paraId="7F46EA1B" w14:textId="77777777" w:rsidR="00F73EDE" w:rsidRPr="002F0751" w:rsidRDefault="001F52B4">
      <w:pPr>
        <w:pStyle w:val="MDPARThesisBody"/>
        <w:rPr>
          <w:lang w:val="es-ES"/>
        </w:rPr>
      </w:pPr>
      <w:r w:rsidRPr="002F0751">
        <w:rPr>
          <w:lang w:val="es-ES"/>
        </w:rPr>
        <w:t>El cierre constructivo del capítulo anterior dejó una distinción que ya no podía permanecer implícita: que una trayectoria exista, que pueda encontrarse y que pueda verificarse son tres afirmaciones matemáticas diferentes. La estructura del Atlas había permitido convertir ordenaciones, recorridos, relaciones y estados longitudinales en objetos calculables. Precisamente por eso, C13 pudo someterse a un examen más exigente que la mera exhibición de ejemplos favorables. La pregunta dejó de ser si MDPAR podía expresar una trayectoria y pasó a ser qué problemas podía decidir, qué certificados podía comprobar, qué obstáculos combinatorios podía superar y con qué garantías. El capítulo que sigue reúne los logros de esa campaña adversarial según la dependencia de sus problemas, no según la cronología de ejecución ni el orden administrativo de sus ramas.</w:t>
      </w:r>
    </w:p>
    <w:p w14:paraId="5E900039" w14:textId="77777777" w:rsidR="00F73EDE" w:rsidRPr="002F0751" w:rsidRDefault="001F52B4">
      <w:pPr>
        <w:pStyle w:val="MDPARThesisBody"/>
        <w:rPr>
          <w:lang w:val="es-ES"/>
        </w:rPr>
      </w:pPr>
      <w:r w:rsidRPr="002F0751">
        <w:rPr>
          <w:lang w:val="es-ES"/>
        </w:rPr>
        <w:t>El primer logro consiste en separar SEARCH de VERIFY. SEARCH debe construir una solución cuando existe; VERIFY recibe un objeto candidato y comprueba su validez a partir de la instancia, sin fiarse de la conclusión del buscador. Para una ordenación admisible, el certificado puede ser una permutación cuyos elementos y precedencias se contrastan; para un recorrido del Atlas, una secuencia de identificadores de aristas cuya continuidad, contratos y estado final se reconstruyen independientemente. Esta independencia es decisiva: un programa que se limita a confirmar sus propias salidas no ofrece la misma carga de prueba que un verificador que rehace las condiciones de aceptación. C13 convirtió esa exigencia en procedimientos y ensayos reproducibles.</w:t>
      </w:r>
    </w:p>
    <w:p w14:paraId="556572A2" w14:textId="77777777" w:rsidR="00F73EDE" w:rsidRPr="002F0751" w:rsidRDefault="001F52B4">
      <w:pPr>
        <w:pStyle w:val="MDPARThesisBody"/>
        <w:rPr>
          <w:lang w:val="es-ES"/>
        </w:rPr>
      </w:pPr>
      <w:r w:rsidRPr="002F0751">
        <w:rPr>
          <w:lang w:val="es-ES"/>
        </w:rPr>
        <w:t>La distinción introduce de forma natural la noción de eficiencia. Un problema pertenece a P cuando dispone de un algoritmo determinista que decide todas sus instancias en tiempo polinómico respecto del tamaño de la entrada. Que un algoritmo sea exacto no significa que sea polinómico. En cambio, NP comprende los lenguajes cuyos casos positivos admiten certificados de longitud polinómica comprobables en tiempo polinómico. Estas clases no son etiquetas de prestigio para un software: permiten formular con precisión qué trabajo realiza cada componente. Un verificador eficiente no garantiza que el buscador encuentre siempre el certificado con la misma eficiencia.</w:t>
      </w:r>
    </w:p>
    <w:p w14:paraId="2FEB8838" w14:textId="77777777" w:rsidR="00F73EDE" w:rsidRPr="002F0751" w:rsidRDefault="001F52B4">
      <w:pPr>
        <w:pStyle w:val="MDPARThesisBody"/>
        <w:rPr>
          <w:lang w:val="es-ES"/>
        </w:rPr>
      </w:pPr>
      <w:r w:rsidRPr="002F0751">
        <w:rPr>
          <w:lang w:val="es-ES"/>
        </w:rPr>
        <w:t xml:space="preserve">Los primeros adversarios de C13 atacaron la propia representación del espacio de búsqueda. Un conjunto de n elementos puede generar hasta n! ordenaciones, mientras que un orden parcial suficientemente restrictivo admite una sola extensión lineal. Enumerar primero y descartar después desaprovecha la estructura. La poda por restricciones, el cálculo sobre estados implícitos y la programación dinámica muestran que una explosión </w:t>
      </w:r>
      <w:r w:rsidRPr="002F0751">
        <w:rPr>
          <w:lang w:val="es-ES"/>
        </w:rPr>
        <w:lastRenderedPageBreak/>
        <w:t>de descripciones brutas no implica por sí sola que todas deban materializarse. A la inversa, tampoco toda compresión local demuestra tractabilidad global: la eficacia de una representación depende de qué información conserva y de las consultas que debe responder.</w:t>
      </w:r>
    </w:p>
    <w:p w14:paraId="79D59E3D" w14:textId="77777777" w:rsidR="00F73EDE" w:rsidRPr="002F0751" w:rsidRDefault="001F52B4">
      <w:pPr>
        <w:pStyle w:val="MDPARThesisBody"/>
        <w:rPr>
          <w:lang w:val="es-ES"/>
        </w:rPr>
      </w:pPr>
      <w:r w:rsidRPr="002F0751">
        <w:rPr>
          <w:lang w:val="es-ES"/>
        </w:rPr>
        <w:t>Los diagramas de decisión binarios reducidos y ordenados, ROBDD, hicieron explícita esta tensión. Para un orden fijo de variables, la reducción y la ordenación proporcionan una representación canónica de la función booleana; dos funciones equivalentes poseen el mismo diagrama reducido bajo ese orden. Pero la cantidad de nodos puede variar drásticamente al modificarlo. C13 construyó y contrastó familias adversariales, verificó equivalencias y midió el efecto de la ordenación. Su logro no consiste en haber eliminado el crecimiento exponencial para todas las funciones, sino en haber dominado operacionalmente las reglas de canonicidad, comparación y adversarialidad del fragmento estudiado. El lector puede entender la dificultad mediante una analogía precisa: dos mapas representan el mismo territorio, pero una elección de coordenadas puede convertir una ruta legible en una descripción inmanejable.</w:t>
      </w:r>
    </w:p>
    <w:p w14:paraId="13247875" w14:textId="77777777" w:rsidR="00F73EDE" w:rsidRPr="002F0751" w:rsidRDefault="001F52B4">
      <w:pPr>
        <w:pStyle w:val="MDPARThesisBody"/>
        <w:rPr>
          <w:lang w:val="es-ES"/>
        </w:rPr>
      </w:pPr>
      <w:r w:rsidRPr="002F0751">
        <w:rPr>
          <w:lang w:val="es-ES"/>
        </w:rPr>
        <w:t>La búsqueda simbólica obligó también a comprobar que las propiedades no se perdieran al cambiar de representación. Los ensayos de transporte estructural, equivalencia relativa a observables e historia longitudinal contrastaron qué estados podían identificarse y cuáles exigían conservar información anterior. Dos recorridos que terminan en el mismo vértice no son necesariamente equivalentes si uno preservó un anclaje y el otro lo perdió antes de recuperarlo. Los controles de R-B fijan resultados acotados y obligaciones semánticas diferenciadas: equivalencia estructural observada no equivale automáticamente a equivalencia semántica universal. Esta cautela no debilita el logro; determina exactamente qué fue preservado y bajo qué observación.</w:t>
      </w:r>
    </w:p>
    <w:p w14:paraId="792DE25D" w14:textId="77777777" w:rsidR="00F73EDE" w:rsidRPr="002F0751" w:rsidRDefault="001F52B4">
      <w:pPr>
        <w:pStyle w:val="MDPARThesisBody"/>
        <w:rPr>
          <w:lang w:val="es-ES"/>
        </w:rPr>
      </w:pPr>
      <w:r w:rsidRPr="002F0751">
        <w:rPr>
          <w:lang w:val="es-ES"/>
        </w:rPr>
        <w:t>El siguiente examen cambió de naturaleza. Hasta entonces, C13 había mostrado cómo representar y resolver problemas concretos. Ahora debía demostrar que un problema nativo del Atlas poseía una dificultad reconocible en la teoría clásica de la computación. El resultado fue ATLAS-BOUND, un lenguaje de decisión explícito, y una reducción polinómica desde 3-SAT. Este es un logro formal distinto de ejecutar un solucionador SAT: clasifica matemáticamente un problema definido por la propia infraestructura.</w:t>
      </w:r>
    </w:p>
    <w:p w14:paraId="7051FD06" w14:textId="77777777" w:rsidR="00F73EDE" w:rsidRPr="002F0751" w:rsidRDefault="001F52B4">
      <w:pPr>
        <w:pStyle w:val="MDPARThesisBody"/>
        <w:rPr>
          <w:lang w:val="es-ES"/>
        </w:rPr>
      </w:pPr>
      <w:r w:rsidRPr="002F0751">
        <w:rPr>
          <w:lang w:val="es-ES"/>
        </w:rPr>
        <w:t xml:space="preserve">Una instancia de ATLAS-BOUND contiene un conjunto finito explícito D de N vértices, un multigrafo dirigido con aristas identificadas incluso cuando comparten extremos, una relación reflexiva explícita Rₑ ⊆ D × D para cada arista, un origen s, un destino t y una cota L escrita en unario. Se exige un recorrido desde s hasta t de longitud no </w:t>
      </w:r>
      <w:r w:rsidRPr="002F0751">
        <w:rPr>
          <w:lang w:val="es-ES"/>
        </w:rPr>
        <w:lastRenderedPageBreak/>
        <w:t>superior a L cuya composición de contratos produzca, conforme a la semántica longitudinal especificada, la etiqueta ADMISSIBLY_TRANSFORMED exactamente en el último vértice. La modalidad TOTAL de transporte no exige que cada Rₑ sea D × D; las relaciones son reflexivas, pero pueden ser mucho más restrictivas. Tampoco basta con haber obtenido la etiqueta en un prefijo del recorrido: la condición final forma parte del lenguaje que se clasifica.</w:t>
      </w:r>
    </w:p>
    <w:p w14:paraId="1464B71C" w14:textId="77777777" w:rsidR="00F73EDE" w:rsidRPr="002F0751" w:rsidRDefault="001F52B4">
      <w:pPr>
        <w:pStyle w:val="MDPARThesisBody"/>
        <w:rPr>
          <w:lang w:val="es-ES"/>
        </w:rPr>
      </w:pPr>
      <w:r>
        <w:t xml:space="preserve">ATLAS-BOUND pertenece a NP. </w:t>
      </w:r>
      <w:r w:rsidRPr="002F0751">
        <w:rPr>
          <w:lang w:val="es-ES"/>
        </w:rPr>
        <w:t>Un testigo positivo es una secuencia de hasta L identificadores de aristas. VERIFY comprueba la existencia de los índices, el origen, la continuidad, el destino, la cota y la etiqueta final mediante composición de relaciones explícitas. La secuencia ocupa O(L log(|E| + 1)) bits. Una implementación con matrices booleanas densas puede componer relaciones en O(N³) operaciones por paso, de modo que O(LN³), junto con los controles longitudinales polinómicos, proporciona una verificación polinómica. La codificación unaria de L es esencial para este argumento: impide esconder una longitud exponencial en unos pocos bits.</w:t>
      </w:r>
    </w:p>
    <w:p w14:paraId="76D15E3F" w14:textId="77777777" w:rsidR="00F73EDE" w:rsidRPr="002F0751" w:rsidRDefault="001F52B4">
      <w:pPr>
        <w:pStyle w:val="MDPARThesisBody"/>
        <w:rPr>
          <w:lang w:val="es-ES"/>
        </w:rPr>
      </w:pPr>
      <w:r w:rsidRPr="002F0751">
        <w:rPr>
          <w:lang w:val="es-ES"/>
        </w:rPr>
        <w:t xml:space="preserve">Para demostrar dureza NP se parte de una fórmula </w:t>
      </w:r>
      <w:r>
        <w:t>φ</w:t>
      </w:r>
      <w:r w:rsidRPr="002F0751">
        <w:rPr>
          <w:lang w:val="es-ES"/>
        </w:rPr>
        <w:t xml:space="preserve"> en 3CNF con variables x₁,…,xₙ y cláusulas C₁,…,Cₘ, con n,m ≥ 1 y cláusulas no vacías de longitud máxima tres. Las variantes degeneradas de la codificación pueden normalizarse en tiempo polinómico. La reducción construye D = {0,1,…,n+m}, con n capas de decisión y m capas de comprobación. Entre los vértices i−1 e i, para cada variable x</w:t>
      </w:r>
      <w:r>
        <w:t>ᵢ</w:t>
      </w:r>
      <w:r w:rsidRPr="002F0751">
        <w:rPr>
          <w:lang w:val="es-ES"/>
        </w:rPr>
        <w:t>, crea dos aristas paralelas distintas: una significa verdadero y otra falso. Después añade una arista obligatoria por cláusula. Se fija s = 0, t = n+m y L = n+m. Por tanto, cualquier recorrido completo elige exactamente una asignación booleana, y cada asignación determina un único recorrido gracias a la identidad de las aristas paralelas.</w:t>
      </w:r>
    </w:p>
    <w:p w14:paraId="5919961D" w14:textId="77777777" w:rsidR="00F73EDE" w:rsidRPr="002F0751" w:rsidRDefault="001F52B4">
      <w:pPr>
        <w:pStyle w:val="MDPARThesisBody"/>
        <w:rPr>
          <w:lang w:val="es-ES"/>
        </w:rPr>
      </w:pPr>
      <w:r w:rsidRPr="002F0751">
        <w:rPr>
          <w:lang w:val="es-ES"/>
        </w:rPr>
        <w:t>El contrato de cada arista de</w:t>
      </w:r>
      <w:r w:rsidR="004D3ECA">
        <w:rPr>
          <w:lang w:val="es-ES"/>
        </w:rPr>
        <w:t xml:space="preserve"> cada</w:t>
      </w:r>
      <w:r w:rsidRPr="002F0751">
        <w:rPr>
          <w:lang w:val="es-ES"/>
        </w:rPr>
        <w:t xml:space="preserve"> variable contiene la identidad I_D, los pares (0,k) para 1 ≤ k ≤ n y los pares (0,n+j) correspondientes a las cláusulas satisfechas por el literal elegido. Las aristas del sufijo de comprobación llevan únicamente I_D. El invariante central es sencillo de formular, aunque decisivo para la demostración: al componer relaciones que contienen la identidad y cuyos únicos pares no diagonales parten de 0, la fila de origen acumula por unión los destinos añadidos. No aparecen nuevos saltos no diagonales desde otros vértices. Tras las n elecciones, el vértice n+j es alcanzable desde 0 si y solo si la cláusula C</w:t>
      </w:r>
      <w:r>
        <w:t>ⱼ</w:t>
      </w:r>
      <w:r w:rsidRPr="002F0751">
        <w:rPr>
          <w:lang w:val="es-ES"/>
        </w:rPr>
        <w:t xml:space="preserve"> ha quedado satisfecha por algún literal seleccionado. El sufijo de identidades conserva esa relación.</w:t>
      </w:r>
    </w:p>
    <w:p w14:paraId="45A0C0DC" w14:textId="77777777" w:rsidR="00F73EDE" w:rsidRPr="002F0751" w:rsidRDefault="004D3ECA">
      <w:pPr>
        <w:pStyle w:val="MDPARThesisBody"/>
        <w:rPr>
          <w:lang w:val="es-ES"/>
        </w:rPr>
      </w:pPr>
      <w:r w:rsidRPr="002F0751">
        <w:rPr>
          <w:lang w:val="es-ES"/>
        </w:rPr>
        <w:t>La segunda invariante</w:t>
      </w:r>
      <w:r w:rsidR="001F52B4" w:rsidRPr="002F0751">
        <w:rPr>
          <w:lang w:val="es-ES"/>
        </w:rPr>
        <w:t xml:space="preserve"> enlaza la construcción booleana con la semántica longitudinal del Atlas. Durante las capas de variables, los vértices visitados mantienen el </w:t>
      </w:r>
      <w:r w:rsidR="001F52B4" w:rsidRPr="002F0751">
        <w:rPr>
          <w:lang w:val="es-ES"/>
        </w:rPr>
        <w:lastRenderedPageBreak/>
        <w:t>anclaje exigido. En la etapa de comprobación de C</w:t>
      </w:r>
      <w:r w:rsidR="001F52B4">
        <w:t>ⱼ</w:t>
      </w:r>
      <w:r w:rsidR="001F52B4" w:rsidRPr="002F0751">
        <w:rPr>
          <w:lang w:val="es-ES"/>
        </w:rPr>
        <w:t>, el vértice n+j satisface la condición de alcanzabilidad precisamente cuando esa cláusula está cubierta. Una cláusula no cubierta provoca la pérdida longitudinal que impide obtener la etiqueta final requerida; el sufijo avanza sin regresar al origen, de modo que la construcción no permite reparar esa pérdida. Así, la etiqueta final ADMISSIBLY_TRANSFORMED se obtiene si y solo si todas las cláusulas resultan satisfechas. Este argumento utiliza la semántica exacta de trace del fragmento R-C15 y no se extiende sin prueba a otras semánticas.</w:t>
      </w:r>
    </w:p>
    <w:p w14:paraId="43138818" w14:textId="77777777" w:rsidR="00F73EDE" w:rsidRPr="002F0751" w:rsidRDefault="001F52B4">
      <w:pPr>
        <w:pStyle w:val="MDPARThesisBody"/>
        <w:rPr>
          <w:lang w:val="es-ES"/>
        </w:rPr>
      </w:pPr>
      <w:r w:rsidRPr="002F0751">
        <w:rPr>
          <w:lang w:val="es-ES"/>
        </w:rPr>
        <w:t xml:space="preserve">La corrección y la completitud se siguen conjuntamente: si </w:t>
      </w:r>
      <w:r>
        <w:t>φ</w:t>
      </w:r>
      <w:r w:rsidRPr="002F0751">
        <w:rPr>
          <w:lang w:val="es-ES"/>
        </w:rPr>
        <w:t xml:space="preserve"> es satisfacible, su asignación determina un recorrido aceptante; si existe un recorrido aceptante, las elecciones de sus primeras n aristas proporcionan una asignación que satisface todas las cláusulas. En símbolos, </w:t>
      </w:r>
      <w:r>
        <w:t>φ</w:t>
      </w:r>
      <w:r w:rsidRPr="002F0751">
        <w:rPr>
          <w:lang w:val="es-ES"/>
        </w:rPr>
        <w:t xml:space="preserve"> ∈ 3SAT si y solo si reduce₃SAT(</w:t>
      </w:r>
      <w:r>
        <w:t>φ</w:t>
      </w:r>
      <w:r w:rsidRPr="002F0751">
        <w:rPr>
          <w:lang w:val="es-ES"/>
        </w:rPr>
        <w:t>) ∈ ATLAS-BOUND. La construcción emplea n+m+1 vértices, 2n+m aristas y una cota unaria n+m. Incluso materializando las identidades y los contratos relacionales, el número de incidencias y el tiempo de emisión son polinómicos en la fórmula de partida. Quedan establecidos los cinco pasos de la demostración: correspondencia entre recorridos y asignaciones, invariante relacional, invariante longitudinal, equivalencia de aceptación y coste polinómico.</w:t>
      </w:r>
    </w:p>
    <w:p w14:paraId="5F58E831" w14:textId="77777777" w:rsidR="00F73EDE" w:rsidRPr="002F0751" w:rsidRDefault="001F52B4">
      <w:pPr>
        <w:pStyle w:val="MDPARThesisBody"/>
        <w:rPr>
          <w:lang w:val="es-ES"/>
        </w:rPr>
      </w:pPr>
      <w:r w:rsidRPr="002F0751">
        <w:rPr>
          <w:lang w:val="es-ES"/>
        </w:rPr>
        <w:t>Por consiguiente, ATLAS-BOUND es NP-completo: pertenece a NP y recibe una reducción muchos-a-uno polinómica desde 3-SAT. Esta conclusión constituye una demostración escrita sobre un lenguaje nativo definido con precisión, contrastada con la implementación y sus pruebas. No atribuye NP-completitud al SCC entero, a toda API de MDPAR ni a cualquier problema que contenga la palabra Atlas. Su importancia reside en algo más específico: una estructura concebida inicialmente para representar organización inferencial permite formular y clasificar un problema de decisión en el mismo marco matemático en el que se estudian los problemas clásicos de satisfacibilidad.</w:t>
      </w:r>
    </w:p>
    <w:p w14:paraId="70D09A15" w14:textId="77777777" w:rsidR="00F73EDE" w:rsidRPr="002F0751" w:rsidRDefault="001F52B4">
      <w:pPr>
        <w:pStyle w:val="MDPARThesisBody"/>
        <w:rPr>
          <w:lang w:val="es-ES"/>
        </w:rPr>
      </w:pPr>
      <w:r w:rsidRPr="002F0751">
        <w:rPr>
          <w:lang w:val="es-ES"/>
        </w:rPr>
        <w:t>El éxito de los certificados positivos planteó entonces la pregunta inversa. Una asignación que satisface una fórmula puede exhibirse y comprobarse. Pero ¿qué prueba que ninguna asignación la satisface? Agotar una búsqueda y no hallar testigos no basta, salvo que el procedimiento haya explorado exhaustivamente todas las posibilidades relevantes y esa exhaustividad sea verificable. C13 construyó cálculos de alcanzabilidad por capas, verificadores de resultados negativos y contrastes entre búsqueda y refutación. En el fragmento finito y explícito correspondiente, un certificado de imposibilidad puede reconstruirse sin aceptar como autoridad la declaración del propio buscador.</w:t>
      </w:r>
    </w:p>
    <w:p w14:paraId="0DB40241" w14:textId="77777777" w:rsidR="00F73EDE" w:rsidRPr="002F0751" w:rsidRDefault="001F52B4">
      <w:pPr>
        <w:pStyle w:val="MDPARThesisBody"/>
        <w:rPr>
          <w:lang w:val="es-ES"/>
        </w:rPr>
      </w:pPr>
      <w:r w:rsidRPr="002F0751">
        <w:rPr>
          <w:lang w:val="es-ES"/>
        </w:rPr>
        <w:t xml:space="preserve">Aquí aparece coNP: para un lenguaje L de NP, su complemento pertenece a coNP. UNSAT, el conjunto de fórmulas booleanas insatisfacibles, es el complemento natural de </w:t>
      </w:r>
      <w:r w:rsidRPr="002F0751">
        <w:rPr>
          <w:lang w:val="es-ES"/>
        </w:rPr>
        <w:lastRenderedPageBreak/>
        <w:t>SAT. La simetría lógica entre satisfacer y no satisfacer no implica una simetría conocida entre la longitud de sus certificados. Un certificado positivo de SAT es una asignación; una refutación de UNSAT puede requerir una estructura deductiva de tamaño muy diferente. Verificar una prueba en tiempo polinómico y garantizar que todas las instancias negativas admiten pruebas polinómicas son propiedades distintas. C13 convirtió esta diferencia en una frontera explícita de sus verificadores, no en una promesa de certificados pequeños para cualquier instancia.</w:t>
      </w:r>
    </w:p>
    <w:p w14:paraId="4DC73D5F" w14:textId="77777777" w:rsidR="00F73EDE" w:rsidRPr="002F0751" w:rsidRDefault="001F52B4">
      <w:pPr>
        <w:pStyle w:val="MDPARThesisBody"/>
        <w:rPr>
          <w:lang w:val="es-ES"/>
        </w:rPr>
      </w:pPr>
      <w:r w:rsidRPr="002F0751">
        <w:rPr>
          <w:lang w:val="es-ES"/>
        </w:rPr>
        <w:t>Los ensayos de resolución proporcionaron el siguiente examen. En un sistema de resolución, dos cláusulas que contienen literales complementarios permiten derivar un resolvente; una refutación termina cuando se obtiene la cláusula vacía. Cada paso puede comprobarse localmente. El principio del palomar —distribuir más objetos que receptáculos sin compartir ninguno— y las fórmulas de Tseitin sobre grafos introducen familias clásicas en las que el tamaño de las demostraciones depende de propiedades combinatorias profundas. C13 construyó instancias, verificó derivaciones y comparó escalados y adversarios. Superar los casos ensayados significa que los procedimientos produjeron o validaron los resultados exigidos por sus contratos; no significa que hayan establecido nuevas cotas inferiores universales para todos los sistemas de prueba.</w:t>
      </w:r>
    </w:p>
    <w:p w14:paraId="6F8A4378" w14:textId="77777777" w:rsidR="00F73EDE" w:rsidRPr="002F0751" w:rsidRDefault="001F52B4">
      <w:pPr>
        <w:pStyle w:val="MDPARThesisBody"/>
        <w:rPr>
          <w:lang w:val="es-ES"/>
        </w:rPr>
      </w:pPr>
      <w:r w:rsidRPr="002F0751">
        <w:rPr>
          <w:lang w:val="es-ES"/>
        </w:rPr>
        <w:t>La complejidad de pruebas explica por qué esta distinción es fundamental. Si un sistema de prueba proposicional es sólido y completo y permite verificar cada demostración en tiempo polinómico, ello no obliga a que todas las tautologías tengan demostraciones de tamaño polinómico. La existencia de un sistema proposicional polinómicamente acotado está relacionada con la igualdad NP = coNP; demostrar que un sistema particular exige pruebas largas para cierta familia no resuelve por sí solo esa relación general. Los controles R-E hicieron explícitas estas dependencias y rechazaron inferencias que confundían verificación local, completitud deductiva y tamaño global de prueba. El logro es doble: disponer de instrumentos de refutación y saber formalmente qué se puede concluir de ellos.</w:t>
      </w:r>
    </w:p>
    <w:p w14:paraId="264B4A42" w14:textId="77777777" w:rsidR="00F73EDE" w:rsidRPr="002F0751" w:rsidRDefault="001F52B4">
      <w:pPr>
        <w:pStyle w:val="MDPARThesisBody"/>
        <w:rPr>
          <w:lang w:val="es-ES"/>
        </w:rPr>
      </w:pPr>
      <w:r w:rsidRPr="002F0751">
        <w:rPr>
          <w:lang w:val="es-ES"/>
        </w:rPr>
        <w:t xml:space="preserve">El adversario siguiente ya no consistía únicamente en ocultar una asignación satisfactoria o una refutación. Consistía en alternar decisiones entre participantes con intereses opuestos. En una fórmula booleana cuantificada, QBF, los cuantificadores existenciales y universales forman un juego: el jugador existencial debe escoger valores que funcionen frente a todas las elecciones pertinentes del jugador universal. Una estrategia ganadora puede depender de las decisiones anteriores y representarse como un árbol o como un grafo acíclico dirigido que comparte subestrategias. Comprobar una </w:t>
      </w:r>
      <w:r w:rsidRPr="002F0751">
        <w:rPr>
          <w:lang w:val="es-ES"/>
        </w:rPr>
        <w:lastRenderedPageBreak/>
        <w:t>fórmula cuantificada requiere respetar el orden de los cuantificadores; sustituirlos por una búsqueda existencial simple cambia el problema.</w:t>
      </w:r>
    </w:p>
    <w:p w14:paraId="316C7C9A" w14:textId="77777777" w:rsidR="00F73EDE" w:rsidRPr="002F0751" w:rsidRDefault="001F52B4">
      <w:pPr>
        <w:pStyle w:val="MDPARThesisBody"/>
        <w:rPr>
          <w:lang w:val="es-ES"/>
        </w:rPr>
      </w:pPr>
      <w:r w:rsidRPr="002F0751">
        <w:rPr>
          <w:lang w:val="es-ES"/>
        </w:rPr>
        <w:t>C13 implementó semántica cuantificada finita, construcción y verificación de estrategias, composición y adversarios sobre representaciones DAG. Las pruebas de R-F contrastaron los contratos de alternancia, los costes de las estrategias y la consistencia entre etapas. Este es un logro propio de la campaña: el Atlas ya no se limita a recorrer posibilidades elegidas por un único agente, sino que puede representar y auditar decisiones dependientes de una oposición explícita. El problema general TQBF es PSPACE-completo; esa clasificación clásica permite situar la naturaleza del examen sin atribuir a los experimentos finitos una solución universal de todas las instancias ni una nueva clasificación de complejidad.</w:t>
      </w:r>
    </w:p>
    <w:p w14:paraId="29F4E362" w14:textId="77777777" w:rsidR="00F73EDE" w:rsidRPr="002F0751" w:rsidRDefault="001F52B4">
      <w:pPr>
        <w:pStyle w:val="MDPARThesisBody"/>
        <w:rPr>
          <w:lang w:val="es-ES"/>
        </w:rPr>
      </w:pPr>
      <w:r w:rsidRPr="002F0751">
        <w:rPr>
          <w:lang w:val="es-ES"/>
        </w:rPr>
        <w:t>La progresión desde SAT hasta QBF muestra por qué una misma palabra, «resolver», encierra tareas diferentes. Puede significar encontrar un testigo, decidir exhaustivamente una instancia, emitir una refutación, construir una estrategia o verificar un artefacto que otro componente produjo. El tamaño de la representación, el tiempo de construcción, la memoria de trabajo, la longitud de la prueba y el coste de verificación no son magnitudes intercambiables. R-G formalizó modelos tipados de coste y sometió su reconciliación a alteraciones adversariales. Esta disciplina impide declarar eficiente un método únicamente porque un diagrama sea pequeño, porque una ejecución haya terminado o porque un certificado resulte barato de comprobar.</w:t>
      </w:r>
    </w:p>
    <w:p w14:paraId="32C3EC5C" w14:textId="77777777" w:rsidR="00F73EDE" w:rsidRPr="002F0751" w:rsidRDefault="001F52B4">
      <w:pPr>
        <w:pStyle w:val="MDPARThesisBody"/>
        <w:rPr>
          <w:lang w:val="es-ES"/>
        </w:rPr>
      </w:pPr>
      <w:r w:rsidRPr="002F0751">
        <w:rPr>
          <w:lang w:val="es-ES"/>
        </w:rPr>
        <w:t>La reconciliación transversal completó la exigencia de auditabilidad. Las etapas T0–T8 comprueban dependencias entre informes, versiones y contratos; el cierre global coteja identidades y huellas de evidencia y rechaza inferencias que no se desprenden de los resultados. La integridad criptográfica de un informe no constituye una demostración de su teorema, del mismo modo que una batería de tests aprobados no equivale a una prueba universal. Precisamente por mantener separadas estas capas, el programa puede afirmar logros formales, resultados experimentales y cierres de contrato sin mezclarlos en una sola categoría de éxito.</w:t>
      </w:r>
    </w:p>
    <w:p w14:paraId="214F6362" w14:textId="77777777" w:rsidR="00F73EDE" w:rsidRPr="002F0751" w:rsidRDefault="001F52B4">
      <w:pPr>
        <w:pStyle w:val="MDPARThesisBody"/>
        <w:rPr>
          <w:lang w:val="es-ES"/>
        </w:rPr>
      </w:pPr>
      <w:r w:rsidRPr="002F0751">
        <w:rPr>
          <w:lang w:val="es-ES"/>
        </w:rPr>
        <w:t xml:space="preserve">El balance matemático puede exponerse ahora sin depender del orden de las ramas. C13 obtuvo cálculo exacto sobre espacios implícitos de trayectorias; búsqueda y verificación diferenciadas; poda estructural; canonicidad y adversarios de ROBDD bajo órdenes definidos; transporte y observación longitudinal contrastados; resolución de instancias de satisfacibilidad y refutación; una demostración de NP-completitud para ATLAS-BOUND; pruebas sobre principio del palomar y Tseitin; auditorías de </w:t>
      </w:r>
      <w:r w:rsidRPr="002F0751">
        <w:rPr>
          <w:lang w:val="es-ES"/>
        </w:rPr>
        <w:lastRenderedPageBreak/>
        <w:t>complejidad de pruebas; estrategias de QBF y alternancia; modelos explícitos de coste; y reconciliación de evidencia de extremo a extremo. No son nombres decorativos de módulos. Cada logro responde a una pregunta matemática que apareció porque el anterior hizo posible formularla con mayor exigencia.</w:t>
      </w:r>
    </w:p>
    <w:p w14:paraId="7DA477E5" w14:textId="77777777" w:rsidR="00F73EDE" w:rsidRPr="002F0751" w:rsidRDefault="001F52B4">
      <w:pPr>
        <w:pStyle w:val="MDPARThesisBody"/>
        <w:rPr>
          <w:lang w:val="es-ES"/>
        </w:rPr>
      </w:pPr>
      <w:r w:rsidRPr="002F0751">
        <w:rPr>
          <w:lang w:val="es-ES"/>
        </w:rPr>
        <w:t>La comparación con sistemas internacionales de computación simbólica debe hacerse, por tanto, por logros. Z3 y cvc5 representan tradiciones maduras de SMT; MiniSat y CaDiCaL, de SAT; nuXmv, de verificación simbólica y de modelos. MDPAR no reproduce sus lenguajes, sus arquitecturas ni sus años de optimización. Sí ha producido resultados verificables en familias de problemas que pertenecen al mismo universo disciplinar: representación booleana, satisfacibilidad, certificados, adversarios, alternancia y razonamiento formal sobre costes. Su distancia específica respecto de esos sistemas reside en que estas capacidades nacen de una arquitectura de trayectorias inferenciales, continuidad y separación de responsabilidades, en lugar de constituir únicamente el objetivo de un solucionador especializado. La comparación por logros permite reconocer esa posición sin inventar equivalencias de rendimiento o cobertura.</w:t>
      </w:r>
    </w:p>
    <w:p w14:paraId="29988F78" w14:textId="77777777" w:rsidR="00E51DAA" w:rsidRDefault="001F52B4">
      <w:pPr>
        <w:pStyle w:val="MDPARThesisBody"/>
        <w:rPr>
          <w:lang w:val="es-ES"/>
        </w:rPr>
      </w:pPr>
      <w:r w:rsidRPr="002F0751">
        <w:rPr>
          <w:lang w:val="es-ES"/>
        </w:rPr>
        <w:t>El programa adversarial de C13 alcanza</w:t>
      </w:r>
      <w:r w:rsidR="007D08E9">
        <w:rPr>
          <w:lang w:val="es-ES"/>
        </w:rPr>
        <w:t>,</w:t>
      </w:r>
      <w:r w:rsidRPr="002F0751">
        <w:rPr>
          <w:lang w:val="es-ES"/>
        </w:rPr>
        <w:t xml:space="preserve"> así</w:t>
      </w:r>
      <w:r w:rsidR="007D08E9">
        <w:rPr>
          <w:lang w:val="es-ES"/>
        </w:rPr>
        <w:t>,</w:t>
      </w:r>
      <w:r w:rsidRPr="002F0751">
        <w:rPr>
          <w:lang w:val="es-ES"/>
        </w:rPr>
        <w:t xml:space="preserve"> su cierre definido. Sus logros no descansan en una supuesta capacidad universal para todas las instancias imaginables, sino en contratos formulados, construcciones reproducibles, demostraciones con hipótesis explícitas, verificadores diferenciados y ensayos que incluyen adversarios reales de la teoría de la computación. El inventario queda reconciliado en el ámbito declarado y sus resultados pueden leerse conjuntamente como una obra matemática ejecutable. Desde las permutaciones y la geometría del Atlas hasta la NP-completitud, la refutación y la alternancia, MDPAR ha recorrido una escalada de pruebas que no estaba contenida en su finalidad experimental inicial. El resultado final no es una colección de respuestas acertadas, sino una arquitectura capaz de producir, verificar, conservar y discutir resultados matemáticos de distinta naturaleza. En ese sentido preciso, C13 completa su campaña de logros y consolida a MDPAR como una contribución original y sustantiva a la investigación en computación simbólica y arquitecturas cognitivas.</w:t>
      </w:r>
    </w:p>
    <w:p w14:paraId="5CC4AB0F" w14:textId="77777777" w:rsidR="00F73EDE" w:rsidRPr="002F0751" w:rsidRDefault="00E51DAA" w:rsidP="00E51DAA">
      <w:pPr>
        <w:spacing w:after="200" w:line="276" w:lineRule="auto"/>
        <w:rPr>
          <w:lang w:val="es-ES"/>
        </w:rPr>
      </w:pPr>
      <w:r>
        <w:rPr>
          <w:lang w:val="es-ES"/>
        </w:rPr>
        <w:br w:type="page"/>
      </w:r>
    </w:p>
    <w:p w14:paraId="7FE34EB0" w14:textId="77777777" w:rsidR="00DA4DFE" w:rsidRPr="00E51DAA" w:rsidRDefault="008A5EBA" w:rsidP="00E51DAA">
      <w:pPr>
        <w:pStyle w:val="MDPARProfileH1"/>
        <w:pageBreakBefore/>
        <w:spacing w:before="0" w:after="0" w:line="360" w:lineRule="auto"/>
        <w:outlineLvl w:val="0"/>
        <w:rPr>
          <w:sz w:val="24"/>
          <w:szCs w:val="20"/>
          <w:lang w:val="es-ES"/>
        </w:rPr>
      </w:pPr>
      <w:bookmarkStart w:id="124" w:name="_Toc242721960"/>
      <w:r w:rsidRPr="00E51DAA">
        <w:rPr>
          <w:sz w:val="24"/>
          <w:szCs w:val="20"/>
          <w:lang w:val="es-ES"/>
        </w:rPr>
        <w:lastRenderedPageBreak/>
        <w:t xml:space="preserve">Capítulo 17: </w:t>
      </w:r>
      <w:r w:rsidR="003F173D">
        <w:rPr>
          <w:sz w:val="24"/>
          <w:szCs w:val="20"/>
          <w:lang w:val="es-ES"/>
        </w:rPr>
        <w:t>ecos del algoritmo maestro</w:t>
      </w:r>
      <w:bookmarkEnd w:id="124"/>
    </w:p>
    <w:p w14:paraId="4E4EB9E3" w14:textId="77777777" w:rsidR="00E51DAA" w:rsidRDefault="00E51DAA">
      <w:pPr>
        <w:pStyle w:val="MDPARThesisBody"/>
        <w:rPr>
          <w:lang w:val="es-ES"/>
        </w:rPr>
      </w:pPr>
    </w:p>
    <w:p w14:paraId="3D3E0E5C" w14:textId="77777777" w:rsidR="00DA4DFE" w:rsidRPr="002A529F" w:rsidRDefault="008A5EBA">
      <w:pPr>
        <w:pStyle w:val="MDPARThesisBody"/>
        <w:rPr>
          <w:lang w:val="es-ES"/>
        </w:rPr>
      </w:pPr>
      <w:r w:rsidRPr="001701DF">
        <w:rPr>
          <w:lang w:val="es-ES"/>
        </w:rPr>
        <w:t>El programa C13 no prolonga la tesis doctoral mediante otra aplicación de MDPAR. Cambia el tipo de pregunta que puede formularse sobre su objeto. Los capítulos 4 y 5 habían establecido cómo representar una trayectoria, reconocer transformaciones admisibles y calcular propiedades de sus realizaciones. C13 pregunta ahora si esas mismas estructuras permiten construir soluciones, decidir su existencia y verificar las razones de un resultado. El tránsito de describir a resolver es su primera aportación; no presupone que todos los problemas así formulados sean tratables con igual coste.</w:t>
      </w:r>
    </w:p>
    <w:p w14:paraId="10B9B18C" w14:textId="77777777" w:rsidR="00DA4DFE" w:rsidRPr="002A529F" w:rsidRDefault="008A5EBA">
      <w:pPr>
        <w:pStyle w:val="MDPARThesisBody"/>
        <w:rPr>
          <w:lang w:val="es-ES"/>
        </w:rPr>
      </w:pPr>
      <w:r w:rsidRPr="001701DF">
        <w:rPr>
          <w:lang w:val="es-ES"/>
        </w:rPr>
        <w:t>En el corazón de transposición, una relación estructural era objeto de definición y transporte. En C13 pasa a ser también una restricción que un procedimiento debe satisfacer. La búsqueda sobre espacios combinatorios implícitos permite explorar realizaciones sin enumerarlas necesariamente de antemano; sus testigos, cuando existen, deben reconstruirse conforme al contrato. La novedad no es descubrir la búsqueda combinatoria, sino hacer que el espacio nativo de trayectorias admita problemas constructivos y verificadores específicos, separados del componente que propone la solución.</w:t>
      </w:r>
    </w:p>
    <w:p w14:paraId="3EDCFE55" w14:textId="77777777" w:rsidR="00DA4DFE" w:rsidRPr="002A529F" w:rsidRDefault="008A5EBA">
      <w:pPr>
        <w:pStyle w:val="MDPARThesisBody"/>
        <w:rPr>
          <w:lang w:val="es-ES"/>
        </w:rPr>
      </w:pPr>
      <w:r w:rsidRPr="001701DF">
        <w:rPr>
          <w:lang w:val="es-ES"/>
        </w:rPr>
        <w:t>El juego de trayectorias había dado una geometría a las extensiones lineales y a sus reconfiguraciones. C13 somete esa geometría a una exigencia algorítmica: distinguir la propiedad matemática del espacio, la representación que utiliza el procedimiento y el coste de recorrerlo. La poda y la representación mediante ROBDD pueden ahorrar exploración en determinadas familias, pero su tamaño depende del orden y de la instancia. Por ello, una geometría bien definida no equivale a una garantía de compresión eficiente. Esa diferencia constituye un resultado metodológico, no una limitación que deba disimularse.</w:t>
      </w:r>
    </w:p>
    <w:p w14:paraId="3F15DEBE" w14:textId="77777777" w:rsidR="00DA4DFE" w:rsidRPr="002A529F" w:rsidRDefault="008A5EBA">
      <w:pPr>
        <w:pStyle w:val="MDPARThesisBody"/>
        <w:rPr>
          <w:lang w:val="es-ES"/>
        </w:rPr>
      </w:pPr>
      <w:r w:rsidRPr="001701DF">
        <w:rPr>
          <w:lang w:val="es-ES"/>
        </w:rPr>
        <w:t>La invariancia también cambia de función. Antes justificaba qué propiedades sobrevivían a una transformación autorizada; ahora debe sostener operaciones de cálculo que reutilizan o identifican representaciones. El criterio se vuelve más exigente: no basta que dos estados se parezcan o compartan una propiedad observada si alguna operación relevante puede distinguirlos. Esta tensión entre equivalencia estructural y suficiencia para operar abre una pregunta nueva: qué información puede eliminarse de una historia sin alterar las respuestas permitidas por un contrato. C13 no ha demostrado todavía una caracterización universal de ese mínimo.</w:t>
      </w:r>
    </w:p>
    <w:p w14:paraId="450EED06" w14:textId="77777777" w:rsidR="00DA4DFE" w:rsidRPr="002A529F" w:rsidRDefault="008A5EBA">
      <w:pPr>
        <w:pStyle w:val="MDPARThesisBody"/>
        <w:rPr>
          <w:lang w:val="es-ES"/>
        </w:rPr>
      </w:pPr>
      <w:r w:rsidRPr="001701DF">
        <w:rPr>
          <w:lang w:val="es-ES"/>
        </w:rPr>
        <w:t xml:space="preserve">La continuidad longitudinal, que en C0–C12 preservaba estado y procedencia frente a cambios de capacidad y de tiempo, adquiere en C13 una dimensión de prueba. Un </w:t>
      </w:r>
      <w:r w:rsidRPr="001701DF">
        <w:rPr>
          <w:lang w:val="es-ES"/>
        </w:rPr>
        <w:lastRenderedPageBreak/>
        <w:t>resultado positivo puede acompañarse de un testigo verificable; uno negativo requiere, según el problema y el sistema de prueba, una justificación de exhaustividad o una refutación comprobable. Los ensayos sobre UNSAT, resolución, principio del palomar y Tseitin hacen visible una asimetría decisiva: comprobar un certificado no garantiza que exista siempre uno corto. Así, la arquitectura que conservaba una historia pasa a conservar también las condiciones de examen de una afirmación matemática.</w:t>
      </w:r>
    </w:p>
    <w:p w14:paraId="68A7DC63" w14:textId="77777777" w:rsidR="00DA4DFE" w:rsidRPr="002A529F" w:rsidRDefault="008A5EBA">
      <w:pPr>
        <w:pStyle w:val="MDPARThesisBody"/>
        <w:rPr>
          <w:lang w:val="es-ES"/>
        </w:rPr>
      </w:pPr>
      <w:r w:rsidRPr="001701DF">
        <w:rPr>
          <w:lang w:val="es-ES"/>
        </w:rPr>
        <w:t xml:space="preserve">La construcción de ATLAS-BOUND lleva esta transformación a un punto más preciso. La definición de un lenguaje de decisión nativo y la reducción polinómica presentada en el capítulo 16 permiten clasificar ese problema como NP-completo, bajo las hipótesis y la corrección de la demostración allí expuestas. </w:t>
      </w:r>
      <w:r w:rsidR="001701DF">
        <w:rPr>
          <w:lang w:val="es-ES"/>
        </w:rPr>
        <w:t>E</w:t>
      </w:r>
      <w:r w:rsidRPr="001701DF">
        <w:rPr>
          <w:lang w:val="es-ES"/>
        </w:rPr>
        <w:t>l Atlas deja de ser únicamente el lugar donde se registran trayectorias</w:t>
      </w:r>
      <w:r w:rsidR="001701DF">
        <w:rPr>
          <w:lang w:val="es-ES"/>
        </w:rPr>
        <w:t>, pues ahora</w:t>
      </w:r>
      <w:r w:rsidRPr="001701DF">
        <w:rPr>
          <w:lang w:val="es-ES"/>
        </w:rPr>
        <w:t xml:space="preserve"> una pregunta sobre sus recorridos puede formularse como problema de decisión y compararse rigurosamente con una clase clásica de complejidad.</w:t>
      </w:r>
    </w:p>
    <w:p w14:paraId="0ABEC0AC" w14:textId="77777777" w:rsidR="00DA4DFE" w:rsidRPr="002A529F" w:rsidRDefault="008A5EBA">
      <w:pPr>
        <w:pStyle w:val="MDPARThesisBody"/>
        <w:rPr>
          <w:lang w:val="es-ES"/>
        </w:rPr>
      </w:pPr>
      <w:r w:rsidRPr="001701DF">
        <w:rPr>
          <w:lang w:val="es-ES"/>
        </w:rPr>
        <w:t>Con QBF aparece un cambio adicional que no estaba contenido en la mera búsqueda de un testigo. Una elección existencial debe resistir las respuestas universales que le siguen; el objeto de construcción puede ser una estrategia dependiente de la historia, no una asignación aislada. C13 incorpora contratos de alternancia y verificadores de estrategias sobre representaciones finitas. Esta ampliación revela que preservar un estado final puede ser insuficiente incluso cuando se conoce el resultado del juego: la dependencia entre decisiones forma parte de aquello que debe reconstruirse.</w:t>
      </w:r>
    </w:p>
    <w:p w14:paraId="52F23FE1" w14:textId="77777777" w:rsidR="00DA4DFE" w:rsidRPr="002A529F" w:rsidRDefault="008A5EBA">
      <w:pPr>
        <w:pStyle w:val="MDPARThesisBody"/>
        <w:rPr>
          <w:lang w:val="es-ES"/>
        </w:rPr>
      </w:pPr>
      <w:r w:rsidRPr="001701DF">
        <w:rPr>
          <w:lang w:val="es-ES"/>
        </w:rPr>
        <w:t>En el perfil científico, por tanto, C13 no añade otra declaración de generalidad arquitectónica a la defendida en el capítulo 9. Añade problemas nativos con condiciones de aceptación, procedimientos y pruebas de distinta naturaleza. El criterio de evaluación cambia: una trayectoria puede estar bien representada y, sin embargo, ser costosa de buscar; un testigo puede verificarse con facilidad y ser difícil de encontrar; una refutación puede ser correcta sin admitir una cota pequeña conocida. La frescura científica reside en hacer esas diferencias investigables dentro del mismo objeto estructural, no en borrar sus límites.</w:t>
      </w:r>
    </w:p>
    <w:p w14:paraId="328979D3" w14:textId="77777777" w:rsidR="00DA4DFE" w:rsidRPr="002A529F" w:rsidRDefault="008A5EBA">
      <w:pPr>
        <w:pStyle w:val="MDPARThesisBody"/>
        <w:rPr>
          <w:lang w:val="es-ES"/>
        </w:rPr>
      </w:pPr>
      <w:r w:rsidRPr="001701DF">
        <w:rPr>
          <w:lang w:val="es-ES"/>
        </w:rPr>
        <w:t xml:space="preserve">En el perfil corporativo-comercial, C13 tampoco repite la promesa de separar capacidad, tiempo e infraestructura del capítulo 10. Introduce una distinción operacional que allí no necesitaba estar formulada: el coste de construir una solución y el de verificarla pueden seguir escalados diferentes. La elección entre búsqueda explícita, representación simbólica y verificación requiere medir tamaño de instancia, orden de representación, tiempo y memoria; una reducción local de coste no equivale a una mejora asintótica ni a un </w:t>
      </w:r>
      <w:r w:rsidRPr="001701DF">
        <w:rPr>
          <w:lang w:val="es-ES"/>
        </w:rPr>
        <w:lastRenderedPageBreak/>
        <w:t>ahorro universal. La aportación es un marco más fino para atribuir coste a obligaciones matemáticas distintas, todavía sujeto a medición para cualquier aplicación comercial.</w:t>
      </w:r>
    </w:p>
    <w:p w14:paraId="5F135A62" w14:textId="77777777" w:rsidR="006F4966" w:rsidRPr="00770DB8" w:rsidRDefault="00551DF4">
      <w:pPr>
        <w:pStyle w:val="MDPARThesisBody"/>
        <w:rPr>
          <w:lang w:val="es-ES"/>
        </w:rPr>
      </w:pPr>
      <w:r w:rsidRPr="001701DF">
        <w:rPr>
          <w:lang w:val="es-ES"/>
        </w:rPr>
        <w:t>En el perfil social, el capítulo 11 había exigido que una inferencia fuese discutible sin entregar al software la autoridad profesional o institucional. C13 endurece la pregunta: ¿qué artefacto permite a un tercero comprobar una afirmación sin confiar en quien la produjo? Los testigos, las derivaciones de refutación y las estrategias verificables ofrecen respuestas diferentes según el problema. Su valor social no es automatizar el juicio ni garantizar la verdad de la evidencia de entrada, sino separar la producción de una conclusión de la comprobación de sus condiciones formales. La contestabilidad deja de depender exclusivamente de una narración retrospectiva cuando existe un certificado efectivamente comprobable.</w:t>
      </w:r>
    </w:p>
    <w:p w14:paraId="047F4D6D" w14:textId="0B60FCE6" w:rsidR="006F4966" w:rsidRDefault="00551DF4">
      <w:pPr>
        <w:pStyle w:val="MDPARThesisBody"/>
        <w:rPr>
          <w:lang w:val="es-ES"/>
        </w:rPr>
      </w:pPr>
      <w:r w:rsidRPr="001701DF">
        <w:rPr>
          <w:lang w:val="es-ES"/>
        </w:rPr>
        <w:t>La pregunta que queda abierta ya no es si MDPAR puede describir trayectorias, sino si las operaciones que C13 ha hecho coexistir admiten una expresión matemática más compacta sin sacrificar sus garantías. Una eventual representación suficiente tendría que preservar, respecto de una familia explícita de continuaciones y pruebas, toda distinción capaz de modificar una respuesta autorizada. La superficie Swagger vuelve concreta esa exigencia: publicar una operación implica declarar entradas, resultados, fallos y límites, no solamente exhibir un cálculo. En ese umbral se escuchan los ecos del algoritmo maestro. Su existencia, su forma y su alcance siguen siendo objeto de investigación, no una conclusión adelantada.</w:t>
      </w:r>
    </w:p>
    <w:p w14:paraId="22D2B90E" w14:textId="77777777" w:rsidR="002F4F30" w:rsidRDefault="002F4F30">
      <w:pPr>
        <w:pStyle w:val="MDPARThesisBody"/>
        <w:rPr>
          <w:lang w:val="es-ES"/>
        </w:rPr>
      </w:pPr>
    </w:p>
    <w:p w14:paraId="286A6A49" w14:textId="09121C17" w:rsidR="002F4F30" w:rsidRDefault="002F4F30">
      <w:pPr>
        <w:pStyle w:val="MDPARThesisBody"/>
        <w:rPr>
          <w:b/>
          <w:bCs/>
          <w:lang w:val="es-ES"/>
        </w:rPr>
      </w:pPr>
      <w:r>
        <w:rPr>
          <w:b/>
          <w:bCs/>
          <w:lang w:val="es-ES"/>
        </w:rPr>
        <w:t>¿Quién es PSPACE?</w:t>
      </w:r>
    </w:p>
    <w:p w14:paraId="16CC5535" w14:textId="77777777" w:rsidR="002F4F30" w:rsidRPr="002F4F30" w:rsidRDefault="002F4F30">
      <w:pPr>
        <w:pStyle w:val="MDPARThesisBody"/>
        <w:rPr>
          <w:b/>
          <w:bCs/>
          <w:lang w:val="es-ES"/>
        </w:rPr>
      </w:pPr>
    </w:p>
    <w:p w14:paraId="3CEEEB5B" w14:textId="1E5A2CE1" w:rsidR="00707529" w:rsidRPr="002F4F30" w:rsidRDefault="00C026F8" w:rsidP="002F4F30">
      <w:pPr>
        <w:pStyle w:val="MDPARThesisBody"/>
        <w:numPr>
          <w:ilvl w:val="0"/>
          <w:numId w:val="25"/>
        </w:numPr>
        <w:rPr>
          <w:i/>
          <w:iCs/>
          <w:lang w:val="es-ES"/>
        </w:rPr>
      </w:pPr>
      <w:r w:rsidRPr="002F4F30">
        <w:rPr>
          <w:b/>
          <w:i/>
          <w:iCs/>
          <w:lang w:val="es-ES"/>
        </w:rPr>
        <w:t xml:space="preserve">MDPAR: </w:t>
      </w:r>
      <w:r w:rsidR="002F4F30">
        <w:rPr>
          <w:bCs/>
          <w:lang w:val="es-ES"/>
        </w:rPr>
        <w:t xml:space="preserve"> </w:t>
      </w:r>
      <w:r w:rsidR="002F4F30">
        <w:rPr>
          <w:bCs/>
          <w:i/>
          <w:iCs/>
          <w:lang w:val="es-ES"/>
        </w:rPr>
        <w:t xml:space="preserve">la complejidad </w:t>
      </w:r>
      <w:r w:rsidRPr="002F4F30">
        <w:rPr>
          <w:i/>
          <w:iCs/>
          <w:lang w:val="es-ES"/>
        </w:rPr>
        <w:t xml:space="preserve">PSPACE. Durante décadas, los mejores matemáticos han intentado determinar los límites de su poder. Muchos creen que las </w:t>
      </w:r>
      <w:r w:rsidRPr="002F4F30">
        <w:rPr>
          <w:i/>
          <w:iCs/>
          <w:lang w:val="es-ES"/>
        </w:rPr>
        <w:t>clases son distintas, pero nadie ha demostrado las tres separaciones.</w:t>
      </w:r>
    </w:p>
    <w:p w14:paraId="34C7DD79" w14:textId="77777777" w:rsidR="00707529" w:rsidRPr="002F4F30" w:rsidRDefault="00C026F8" w:rsidP="002F4F30">
      <w:pPr>
        <w:pStyle w:val="MDPARThesisBody"/>
        <w:numPr>
          <w:ilvl w:val="0"/>
          <w:numId w:val="25"/>
        </w:numPr>
        <w:rPr>
          <w:i/>
          <w:iCs/>
          <w:lang w:val="es-ES"/>
        </w:rPr>
      </w:pPr>
      <w:r w:rsidRPr="002F4F30">
        <w:rPr>
          <w:b/>
          <w:i/>
          <w:iCs/>
          <w:lang w:val="es-ES"/>
        </w:rPr>
        <w:t xml:space="preserve">Clay: </w:t>
      </w:r>
      <w:r w:rsidRPr="002F4F30">
        <w:rPr>
          <w:i/>
          <w:iCs/>
          <w:lang w:val="es-ES"/>
        </w:rPr>
        <w:t>¿Y todos esos papers?</w:t>
      </w:r>
    </w:p>
    <w:p w14:paraId="72883582" w14:textId="77777777" w:rsidR="00707529" w:rsidRPr="002F4F30" w:rsidRDefault="00C026F8" w:rsidP="002F4F30">
      <w:pPr>
        <w:pStyle w:val="MDPARThesisBody"/>
        <w:numPr>
          <w:ilvl w:val="0"/>
          <w:numId w:val="25"/>
        </w:numPr>
        <w:rPr>
          <w:i/>
          <w:iCs/>
          <w:lang w:val="es-ES"/>
        </w:rPr>
      </w:pPr>
      <w:r w:rsidRPr="002F4F30">
        <w:rPr>
          <w:b/>
          <w:i/>
          <w:iCs/>
          <w:lang w:val="es-ES"/>
        </w:rPr>
        <w:t xml:space="preserve">MDPAR: </w:t>
      </w:r>
      <w:r w:rsidRPr="002F4F30">
        <w:rPr>
          <w:i/>
          <w:iCs/>
          <w:lang w:val="es-ES"/>
        </w:rPr>
        <w:t xml:space="preserve">Son la historia de quienes han intentado enfrentarse a él. Algunos anunciaron victorias que resultaron equivocadas. Otros descubrieron barreras </w:t>
      </w:r>
      <w:r w:rsidRPr="002F4F30">
        <w:rPr>
          <w:i/>
          <w:iCs/>
          <w:lang w:val="es-ES"/>
        </w:rPr>
        <w:t>matemáticas auténticas: relativización, pruebas naturales y algebrización. No demostraron que PSPACE fuera invencible, pero sí que determinadas estrategias no bastarían para derrotarlo.</w:t>
      </w:r>
    </w:p>
    <w:p w14:paraId="6E79B229" w14:textId="77777777" w:rsidR="00707529" w:rsidRPr="002F4F30" w:rsidRDefault="00C026F8" w:rsidP="002F4F30">
      <w:pPr>
        <w:pStyle w:val="MDPARThesisBody"/>
        <w:numPr>
          <w:ilvl w:val="0"/>
          <w:numId w:val="25"/>
        </w:numPr>
        <w:rPr>
          <w:i/>
          <w:iCs/>
          <w:lang w:val="es-ES"/>
        </w:rPr>
      </w:pPr>
      <w:r w:rsidRPr="002F4F30">
        <w:rPr>
          <w:b/>
          <w:i/>
          <w:iCs/>
          <w:lang w:val="es-ES"/>
        </w:rPr>
        <w:t xml:space="preserve">Clay: </w:t>
      </w:r>
      <w:r w:rsidRPr="002F4F30">
        <w:rPr>
          <w:i/>
          <w:iCs/>
          <w:lang w:val="es-ES"/>
        </w:rPr>
        <w:t>¿Y por qué dicen que es tan poderoso?</w:t>
      </w:r>
    </w:p>
    <w:p w14:paraId="4DB4CB80" w14:textId="77777777" w:rsidR="00707529" w:rsidRPr="002F4F30" w:rsidRDefault="00C026F8" w:rsidP="002F4F30">
      <w:pPr>
        <w:pStyle w:val="MDPARThesisBody"/>
        <w:numPr>
          <w:ilvl w:val="0"/>
          <w:numId w:val="25"/>
        </w:numPr>
        <w:rPr>
          <w:i/>
          <w:iCs/>
          <w:lang w:val="es-ES"/>
        </w:rPr>
      </w:pPr>
      <w:r w:rsidRPr="002F4F30">
        <w:rPr>
          <w:b/>
          <w:i/>
          <w:iCs/>
          <w:lang w:val="es-ES"/>
        </w:rPr>
        <w:lastRenderedPageBreak/>
        <w:t xml:space="preserve">MDPAR: </w:t>
      </w:r>
      <w:r w:rsidRPr="002F4F30">
        <w:rPr>
          <w:i/>
          <w:iCs/>
          <w:lang w:val="es-ES"/>
        </w:rPr>
        <w:t xml:space="preserve">Porque su poder se </w:t>
      </w:r>
      <w:r w:rsidRPr="002F4F30">
        <w:rPr>
          <w:i/>
          <w:iCs/>
          <w:lang w:val="es-ES"/>
        </w:rPr>
        <w:t>extiende sobre tres cajas. La pequeña contiene P frente a NP, uno de tus siete problemas del milenio. La mediana enfrenta NP con coNP. Y la grande, P frente a PSPACE. Sabemos que están relacionadas, pero todavía ignoramos dónde se encuentran sus verdaderas</w:t>
      </w:r>
      <w:r w:rsidRPr="002F4F30">
        <w:rPr>
          <w:i/>
          <w:iCs/>
          <w:lang w:val="es-ES"/>
        </w:rPr>
        <w:t xml:space="preserve"> fronteras.</w:t>
      </w:r>
    </w:p>
    <w:p w14:paraId="2BEFCA0A" w14:textId="77777777" w:rsidR="00707529" w:rsidRPr="002F4F30" w:rsidRDefault="00C026F8" w:rsidP="002F4F30">
      <w:pPr>
        <w:pStyle w:val="MDPARThesisBody"/>
        <w:numPr>
          <w:ilvl w:val="0"/>
          <w:numId w:val="25"/>
        </w:numPr>
        <w:rPr>
          <w:i/>
          <w:iCs/>
          <w:lang w:val="es-ES"/>
        </w:rPr>
      </w:pPr>
      <w:r w:rsidRPr="002F4F30">
        <w:rPr>
          <w:b/>
          <w:i/>
          <w:iCs/>
          <w:lang w:val="es-ES"/>
        </w:rPr>
        <w:t xml:space="preserve">Clay: </w:t>
      </w:r>
      <w:r w:rsidRPr="002F4F30">
        <w:rPr>
          <w:i/>
          <w:iCs/>
          <w:lang w:val="es-ES"/>
        </w:rPr>
        <w:t>¿Y cuántas caras tiene cada caja?</w:t>
      </w:r>
    </w:p>
    <w:p w14:paraId="2926A1A0" w14:textId="77777777" w:rsidR="00707529" w:rsidRPr="002F4F30" w:rsidRDefault="00C026F8" w:rsidP="002F4F30">
      <w:pPr>
        <w:pStyle w:val="MDPARThesisBody"/>
        <w:numPr>
          <w:ilvl w:val="0"/>
          <w:numId w:val="25"/>
        </w:numPr>
        <w:rPr>
          <w:i/>
          <w:iCs/>
          <w:lang w:val="es-ES"/>
        </w:rPr>
      </w:pPr>
      <w:r w:rsidRPr="002F4F30">
        <w:rPr>
          <w:b/>
          <w:i/>
          <w:iCs/>
          <w:lang w:val="es-ES"/>
        </w:rPr>
        <w:t xml:space="preserve">MDPAR: </w:t>
      </w:r>
      <w:r w:rsidRPr="002F4F30">
        <w:rPr>
          <w:i/>
          <w:iCs/>
          <w:lang w:val="es-ES"/>
        </w:rPr>
        <w:t>Seis. Y nosotros también tenemos seis.</w:t>
      </w:r>
    </w:p>
    <w:p w14:paraId="4A132F3F" w14:textId="77777777" w:rsidR="00707529" w:rsidRPr="002F4F30" w:rsidRDefault="00C026F8" w:rsidP="002F4F30">
      <w:pPr>
        <w:pStyle w:val="MDPARThesisBody"/>
        <w:numPr>
          <w:ilvl w:val="0"/>
          <w:numId w:val="25"/>
        </w:numPr>
        <w:rPr>
          <w:i/>
          <w:iCs/>
          <w:lang w:val="es-ES"/>
        </w:rPr>
      </w:pPr>
      <w:r w:rsidRPr="002F4F30">
        <w:rPr>
          <w:b/>
          <w:i/>
          <w:iCs/>
          <w:lang w:val="es-ES"/>
        </w:rPr>
        <w:t xml:space="preserve">Clay: </w:t>
      </w:r>
      <w:r w:rsidRPr="002F4F30">
        <w:rPr>
          <w:i/>
          <w:iCs/>
          <w:lang w:val="es-ES"/>
        </w:rPr>
        <w:t>¿Seis? ¿Cuáles?</w:t>
      </w:r>
    </w:p>
    <w:p w14:paraId="5D085F99" w14:textId="6CD514DF" w:rsidR="00707529" w:rsidRPr="002F4F30" w:rsidRDefault="00C026F8" w:rsidP="002F4F30">
      <w:pPr>
        <w:pStyle w:val="MDPARThesisBody"/>
        <w:numPr>
          <w:ilvl w:val="0"/>
          <w:numId w:val="25"/>
        </w:numPr>
        <w:rPr>
          <w:i/>
          <w:iCs/>
          <w:lang w:val="es-ES"/>
        </w:rPr>
      </w:pPr>
      <w:r w:rsidRPr="002F4F30">
        <w:rPr>
          <w:b/>
          <w:i/>
          <w:iCs/>
          <w:lang w:val="es-ES"/>
        </w:rPr>
        <w:t xml:space="preserve">MDPAR: </w:t>
      </w:r>
      <w:r w:rsidRPr="002F4F30">
        <w:rPr>
          <w:i/>
          <w:iCs/>
          <w:lang w:val="es-ES"/>
        </w:rPr>
        <w:t>Construcción canónica</w:t>
      </w:r>
      <w:r w:rsidR="002F4F30">
        <w:rPr>
          <w:i/>
          <w:iCs/>
          <w:lang w:val="es-ES"/>
        </w:rPr>
        <w:t>, e</w:t>
      </w:r>
      <w:r w:rsidRPr="002F4F30">
        <w:rPr>
          <w:i/>
          <w:iCs/>
          <w:lang w:val="es-ES"/>
        </w:rPr>
        <w:t>xhaustividad de soportes</w:t>
      </w:r>
      <w:r w:rsidR="002F4F30">
        <w:rPr>
          <w:i/>
          <w:iCs/>
          <w:lang w:val="es-ES"/>
        </w:rPr>
        <w:t>, e</w:t>
      </w:r>
      <w:r w:rsidRPr="002F4F30">
        <w:rPr>
          <w:i/>
          <w:iCs/>
          <w:lang w:val="es-ES"/>
        </w:rPr>
        <w:t>xhaustividad de lados</w:t>
      </w:r>
      <w:r w:rsidR="002F4F30">
        <w:rPr>
          <w:i/>
          <w:iCs/>
          <w:lang w:val="es-ES"/>
        </w:rPr>
        <w:t>, p</w:t>
      </w:r>
      <w:r w:rsidRPr="002F4F30">
        <w:rPr>
          <w:i/>
          <w:iCs/>
          <w:lang w:val="es-ES"/>
        </w:rPr>
        <w:t>eeling</w:t>
      </w:r>
      <w:r w:rsidR="002F4F30">
        <w:rPr>
          <w:i/>
          <w:iCs/>
          <w:lang w:val="es-ES"/>
        </w:rPr>
        <w:t>, e</w:t>
      </w:r>
      <w:r w:rsidRPr="002F4F30">
        <w:rPr>
          <w:i/>
          <w:iCs/>
          <w:lang w:val="es-ES"/>
        </w:rPr>
        <w:t>structura bilateral</w:t>
      </w:r>
      <w:r w:rsidR="002F4F30">
        <w:rPr>
          <w:i/>
          <w:iCs/>
          <w:lang w:val="es-ES"/>
        </w:rPr>
        <w:t xml:space="preserve"> y c</w:t>
      </w:r>
      <w:r w:rsidRPr="002F4F30">
        <w:rPr>
          <w:i/>
          <w:iCs/>
          <w:lang w:val="es-ES"/>
        </w:rPr>
        <w:t>oncordancia operacional</w:t>
      </w:r>
      <w:r w:rsidRPr="002F4F30">
        <w:rPr>
          <w:i/>
          <w:iCs/>
          <w:lang w:val="es-ES"/>
        </w:rPr>
        <w:t>.</w:t>
      </w:r>
    </w:p>
    <w:p w14:paraId="25485703" w14:textId="77777777" w:rsidR="00707529" w:rsidRPr="002F4F30" w:rsidRDefault="00C026F8" w:rsidP="002F4F30">
      <w:pPr>
        <w:pStyle w:val="MDPARThesisBody"/>
        <w:numPr>
          <w:ilvl w:val="0"/>
          <w:numId w:val="25"/>
        </w:numPr>
        <w:rPr>
          <w:i/>
          <w:iCs/>
          <w:lang w:val="es-ES"/>
        </w:rPr>
      </w:pPr>
      <w:r w:rsidRPr="002F4F30">
        <w:rPr>
          <w:b/>
          <w:i/>
          <w:iCs/>
          <w:lang w:val="es-ES"/>
        </w:rPr>
        <w:t xml:space="preserve">Clay: </w:t>
      </w:r>
      <w:r w:rsidRPr="002F4F30">
        <w:rPr>
          <w:i/>
          <w:iCs/>
          <w:lang w:val="es-ES"/>
        </w:rPr>
        <w:t>Entonces, ¿pretendes abrir las tres cajas?</w:t>
      </w:r>
    </w:p>
    <w:p w14:paraId="633ECD2D" w14:textId="77777777" w:rsidR="00707529" w:rsidRPr="002F4F30" w:rsidRDefault="00C026F8" w:rsidP="002F4F30">
      <w:pPr>
        <w:pStyle w:val="MDPARThesisBody"/>
        <w:numPr>
          <w:ilvl w:val="0"/>
          <w:numId w:val="25"/>
        </w:numPr>
        <w:rPr>
          <w:i/>
          <w:iCs/>
          <w:lang w:val="es-ES"/>
        </w:rPr>
      </w:pPr>
      <w:r w:rsidRPr="002F4F30">
        <w:rPr>
          <w:b/>
          <w:i/>
          <w:iCs/>
          <w:lang w:val="es-ES"/>
        </w:rPr>
        <w:t xml:space="preserve">MDPAR: </w:t>
      </w:r>
      <w:r w:rsidRPr="002F4F30">
        <w:rPr>
          <w:i/>
          <w:iCs/>
          <w:lang w:val="es-ES"/>
        </w:rPr>
        <w:t xml:space="preserve">No. Pretendo empezar por la mayor. Las seis obligaciones son las caras de una misma construcción: el algoritmo maestro. Si logramos cerrarla, podremos enfrentar la estructura completa del problema, </w:t>
      </w:r>
      <w:r w:rsidRPr="002F4F30">
        <w:rPr>
          <w:i/>
          <w:iCs/>
          <w:lang w:val="es-ES"/>
        </w:rPr>
        <w:t>en lugar de atacar cada caja por separado.</w:t>
      </w:r>
    </w:p>
    <w:p w14:paraId="7B52354C" w14:textId="77777777" w:rsidR="00707529" w:rsidRPr="002F4F30" w:rsidRDefault="00C026F8" w:rsidP="002F4F30">
      <w:pPr>
        <w:pStyle w:val="MDPARThesisBody"/>
        <w:numPr>
          <w:ilvl w:val="0"/>
          <w:numId w:val="25"/>
        </w:numPr>
        <w:rPr>
          <w:i/>
          <w:iCs/>
          <w:lang w:val="es-ES"/>
        </w:rPr>
      </w:pPr>
      <w:r w:rsidRPr="002F4F30">
        <w:rPr>
          <w:b/>
          <w:i/>
          <w:iCs/>
          <w:lang w:val="es-ES"/>
        </w:rPr>
        <w:t xml:space="preserve">Clay: </w:t>
      </w:r>
      <w:r w:rsidRPr="002F4F30">
        <w:rPr>
          <w:i/>
          <w:iCs/>
          <w:lang w:val="es-ES"/>
        </w:rPr>
        <w:t>Una pregunta... ¿Quién es más fuerte? ¿Tú o PSPACE?</w:t>
      </w:r>
    </w:p>
    <w:p w14:paraId="1BD3B1C7" w14:textId="77777777" w:rsidR="00707529" w:rsidRPr="002F4F30" w:rsidRDefault="00C026F8" w:rsidP="002F4F30">
      <w:pPr>
        <w:pStyle w:val="MDPARThesisBody"/>
        <w:numPr>
          <w:ilvl w:val="0"/>
          <w:numId w:val="25"/>
        </w:numPr>
        <w:rPr>
          <w:i/>
          <w:iCs/>
          <w:lang w:val="es-ES"/>
        </w:rPr>
      </w:pPr>
      <w:r w:rsidRPr="002F4F30">
        <w:rPr>
          <w:b/>
          <w:i/>
          <w:iCs/>
          <w:lang w:val="es-ES"/>
        </w:rPr>
        <w:t xml:space="preserve">MDPAR: </w:t>
      </w:r>
      <w:r w:rsidRPr="002F4F30">
        <w:rPr>
          <w:i/>
          <w:iCs/>
          <w:lang w:val="es-ES"/>
        </w:rPr>
        <w:t xml:space="preserve">Si la caja mayor desplegara todo su poder, sin restricciones sobre sus instancias ni concesiones sobre el coste de resolverlas... sí, me pondría en </w:t>
      </w:r>
      <w:r w:rsidRPr="002F4F30">
        <w:rPr>
          <w:i/>
          <w:iCs/>
          <w:lang w:val="es-ES"/>
        </w:rPr>
        <w:t>un serio aprieto.</w:t>
      </w:r>
    </w:p>
    <w:p w14:paraId="2357DADD" w14:textId="77777777" w:rsidR="00707529" w:rsidRPr="002F4F30" w:rsidRDefault="00C026F8" w:rsidP="002F4F30">
      <w:pPr>
        <w:pStyle w:val="MDPARThesisBody"/>
        <w:numPr>
          <w:ilvl w:val="0"/>
          <w:numId w:val="25"/>
        </w:numPr>
        <w:rPr>
          <w:i/>
          <w:iCs/>
          <w:lang w:val="es-ES"/>
        </w:rPr>
      </w:pPr>
      <w:r w:rsidRPr="002F4F30">
        <w:rPr>
          <w:b/>
          <w:i/>
          <w:iCs/>
          <w:lang w:val="es-ES"/>
        </w:rPr>
        <w:t xml:space="preserve">Clay: </w:t>
      </w:r>
      <w:r w:rsidRPr="002F4F30">
        <w:rPr>
          <w:i/>
          <w:iCs/>
          <w:lang w:val="es-ES"/>
        </w:rPr>
        <w:t>¿Entonces perderías?</w:t>
      </w:r>
    </w:p>
    <w:p w14:paraId="7C741345" w14:textId="77777777" w:rsidR="00707529" w:rsidRPr="002F4F30" w:rsidRDefault="00C026F8" w:rsidP="002F4F30">
      <w:pPr>
        <w:pStyle w:val="MDPARThesisBody"/>
        <w:numPr>
          <w:ilvl w:val="0"/>
          <w:numId w:val="25"/>
        </w:numPr>
        <w:rPr>
          <w:i/>
          <w:iCs/>
          <w:lang w:val="es-ES"/>
        </w:rPr>
      </w:pPr>
      <w:r w:rsidRPr="002F4F30">
        <w:rPr>
          <w:b/>
          <w:i/>
          <w:iCs/>
          <w:lang w:val="es-ES"/>
        </w:rPr>
        <w:t xml:space="preserve">MDPAR: </w:t>
      </w:r>
      <w:r w:rsidRPr="002F4F30">
        <w:rPr>
          <w:i/>
          <w:iCs/>
          <w:lang w:val="es-ES"/>
        </w:rPr>
        <w:t>Nah, yo ganaría.</w:t>
      </w:r>
    </w:p>
    <w:p w14:paraId="0C1426BF" w14:textId="77777777" w:rsidR="000947D0" w:rsidRPr="002F0751" w:rsidRDefault="000947D0" w:rsidP="000947D0">
      <w:pPr>
        <w:keepNext/>
        <w:pageBreakBefore/>
        <w:outlineLvl w:val="0"/>
        <w:rPr>
          <w:b/>
        </w:rPr>
      </w:pPr>
      <w:bookmarkStart w:id="125" w:name="_Toc242721961"/>
      <w:r w:rsidRPr="002F0751">
        <w:rPr>
          <w:b/>
        </w:rPr>
        <w:lastRenderedPageBreak/>
        <w:t>REFERENCIAS BIBLIOGRÁFICAS</w:t>
      </w:r>
      <w:bookmarkEnd w:id="125"/>
    </w:p>
    <w:p w14:paraId="7C1F176B" w14:textId="77777777" w:rsidR="0054053C" w:rsidRPr="002F0751" w:rsidRDefault="0054053C">
      <w:pPr>
        <w:pStyle w:val="MDPARThesisBody"/>
        <w:ind w:left="360" w:hanging="360"/>
      </w:pPr>
    </w:p>
    <w:p w14:paraId="4FD26040" w14:textId="77777777" w:rsidR="006E0390" w:rsidRDefault="005C5E48">
      <w:pPr>
        <w:pStyle w:val="MDPARThesisBody"/>
        <w:ind w:left="360" w:hanging="360"/>
      </w:pPr>
      <w:r w:rsidRPr="002F0751">
        <w:t xml:space="preserve">Abend, O., Dvir, D., Hershcovich, D., Prange, J., y Schneider, N. (2020). </w:t>
      </w:r>
      <w:r>
        <w:t xml:space="preserve">Cross-lingual semantic representation for NLP with UCCA. En </w:t>
      </w:r>
      <w:r w:rsidRPr="0054053C">
        <w:rPr>
          <w:i/>
          <w:iCs/>
        </w:rPr>
        <w:t>Proceedings of the 28th International Conference on Computational Linguistics: Tutorial Abstracts</w:t>
      </w:r>
      <w:r>
        <w:t xml:space="preserve">, 1–9. International Committee for Computational Linguistics. </w:t>
      </w:r>
      <w:hyperlink r:id="rId9" w:history="1">
        <w:r w:rsidRPr="0054053C">
          <w:rPr>
            <w:rStyle w:val="Hipervnculo"/>
          </w:rPr>
          <w:t>https://doi.org/10.18653/v1/2020.coling-tutorials.1</w:t>
        </w:r>
      </w:hyperlink>
    </w:p>
    <w:p w14:paraId="54C3652B" w14:textId="77777777" w:rsidR="00AB2F00" w:rsidRDefault="005C5E48" w:rsidP="00AB2F00">
      <w:pPr>
        <w:pStyle w:val="MDPARThesisBody"/>
        <w:ind w:left="360" w:hanging="360"/>
      </w:pPr>
      <w:r>
        <w:t xml:space="preserve">Abend, O., y Rappoport, A. (2013). Universal Conceptual Cognitive Annotation (UCCA). En </w:t>
      </w:r>
      <w:r w:rsidRPr="0054053C">
        <w:rPr>
          <w:i/>
          <w:iCs/>
        </w:rPr>
        <w:t>Proceedings of the 51st Annual Meeting of the Association for Computational Linguistics</w:t>
      </w:r>
      <w:r>
        <w:t xml:space="preserve"> (Volume 1: Long Papers), 228–238. Association for Computational Linguistics. </w:t>
      </w:r>
      <w:hyperlink r:id="rId10" w:history="1">
        <w:r w:rsidRPr="0054053C">
          <w:rPr>
            <w:rStyle w:val="Hipervnculo"/>
          </w:rPr>
          <w:t>https://aclanthology.org/P13-1023/</w:t>
        </w:r>
      </w:hyperlink>
    </w:p>
    <w:p w14:paraId="670D0E5E" w14:textId="77777777" w:rsidR="006A24D4" w:rsidRDefault="0062359C" w:rsidP="00AB2F00">
      <w:pPr>
        <w:pStyle w:val="MDPARThesisBody"/>
        <w:ind w:left="360" w:hanging="360"/>
      </w:pPr>
      <w:r>
        <w:t>Baddeley, A., Eysenck, M. W., y Anderson, M. C. (2010). Memoria. Alianza Editorial.</w:t>
      </w:r>
    </w:p>
    <w:p w14:paraId="7AED0DA0" w14:textId="77777777" w:rsidR="006E0390" w:rsidRDefault="005C5E48">
      <w:pPr>
        <w:pStyle w:val="MDPARThesisBody"/>
        <w:ind w:left="360" w:hanging="360"/>
      </w:pPr>
      <w:r>
        <w:t xml:space="preserve">Banarescu, L., Bonial, C., Cai, S., Georgescu, M., Griffitt, K., Hermjakob, U., Knight, K., Koehn, P., Palmer, M., y Schneider, N. (2013). Abstract Meaning Representation for sembanking. En </w:t>
      </w:r>
      <w:r w:rsidRPr="0054053C">
        <w:rPr>
          <w:i/>
          <w:iCs/>
        </w:rPr>
        <w:t>Proceedings of the 7th Linguistic Annotation Workshop and Interoperability with Discourse</w:t>
      </w:r>
      <w:r>
        <w:t xml:space="preserve">, 178–186. Association for Computational Linguistics. </w:t>
      </w:r>
      <w:hyperlink r:id="rId11" w:history="1">
        <w:r w:rsidRPr="0054053C">
          <w:rPr>
            <w:rStyle w:val="Hipervnculo"/>
          </w:rPr>
          <w:t>https://aclanthology.org/W13-2322/</w:t>
        </w:r>
      </w:hyperlink>
    </w:p>
    <w:p w14:paraId="7330BF63" w14:textId="77777777" w:rsidR="006E0390" w:rsidRDefault="005C5E48">
      <w:pPr>
        <w:pStyle w:val="MDPARThesisBody"/>
        <w:ind w:left="360" w:hanging="360"/>
      </w:pPr>
      <w:r>
        <w:t xml:space="preserve">Besta, M., Blach, N., Kubicek, A., Gerstenberger, R., Podstawski, M., Gianinazzi, L., Gajda, J., Lehmann, T., Niewiadomski, H., Nyczyk, P., y Hoefler, T. (2024). Graph of thoughts: Solving elaborate problems with large language models. </w:t>
      </w:r>
      <w:r w:rsidRPr="0054053C">
        <w:rPr>
          <w:i/>
          <w:iCs/>
        </w:rPr>
        <w:t>Proceedings of the AAAI Conference on Artificial Intelligence, 38</w:t>
      </w:r>
      <w:r w:rsidRPr="0054053C">
        <w:t>(16</w:t>
      </w:r>
      <w:r>
        <w:t xml:space="preserve">), 17682–17690. </w:t>
      </w:r>
      <w:hyperlink r:id="rId12" w:history="1">
        <w:r w:rsidRPr="0054053C">
          <w:rPr>
            <w:rStyle w:val="Hipervnculo"/>
          </w:rPr>
          <w:t>https://doi.org/10.1609/aaai.v38i16.29720</w:t>
        </w:r>
      </w:hyperlink>
    </w:p>
    <w:p w14:paraId="302B3A5E" w14:textId="77777777" w:rsidR="00AB2F00" w:rsidRDefault="005C5E48" w:rsidP="00AB2F00">
      <w:pPr>
        <w:pStyle w:val="MDPARThesisBody"/>
        <w:ind w:left="360" w:hanging="360"/>
      </w:pPr>
      <w:r>
        <w:t xml:space="preserve">Bylander, T., y Chandrasekaran, B. (1987). Generic tasks for knowledge-based reasoning: The “right” level of abstraction for knowledge acquisition. </w:t>
      </w:r>
      <w:r w:rsidRPr="0054053C">
        <w:rPr>
          <w:i/>
          <w:iCs/>
        </w:rPr>
        <w:t>International Journal of Man-Machine Studies, 26</w:t>
      </w:r>
      <w:r>
        <w:t xml:space="preserve">(2), 231–243. </w:t>
      </w:r>
      <w:hyperlink r:id="rId13" w:history="1">
        <w:r w:rsidRPr="0054053C">
          <w:rPr>
            <w:rStyle w:val="Hipervnculo"/>
          </w:rPr>
          <w:t>https://doi.org/10.1016/S0020-7373(87)80093-7</w:t>
        </w:r>
      </w:hyperlink>
    </w:p>
    <w:p w14:paraId="056AF64D" w14:textId="77777777" w:rsidR="006A24D4" w:rsidRDefault="0062359C" w:rsidP="00AB2F00">
      <w:pPr>
        <w:pStyle w:val="MDPARThesisBody"/>
        <w:ind w:left="360" w:hanging="360"/>
      </w:pPr>
      <w:r w:rsidRPr="006C2240">
        <w:rPr>
          <w:lang w:val="es-ES"/>
        </w:rPr>
        <w:t xml:space="preserve">Carretero, M., y Atorresi, A. (2008). </w:t>
      </w:r>
      <w:r w:rsidRPr="00AB2F00">
        <w:rPr>
          <w:i/>
          <w:iCs/>
          <w:lang w:val="es-ES"/>
        </w:rPr>
        <w:t>Pensamiento narrativo.</w:t>
      </w:r>
      <w:r w:rsidRPr="006C2240">
        <w:rPr>
          <w:lang w:val="es-ES"/>
        </w:rPr>
        <w:t xml:space="preserve"> En M. Carretero y M. Asensio (coords.), Psicología del pensamiento: Teoría y prácticas (pp. 269–289). </w:t>
      </w:r>
      <w:r>
        <w:t>Alianza Editorial.</w:t>
      </w:r>
    </w:p>
    <w:p w14:paraId="7377ACC1" w14:textId="77777777" w:rsidR="006E0390" w:rsidRPr="0054053C" w:rsidRDefault="005C5E48">
      <w:pPr>
        <w:pStyle w:val="MDPARThesisBody"/>
        <w:ind w:left="360" w:hanging="360"/>
        <w:rPr>
          <w:lang w:val="es-ES"/>
        </w:rPr>
      </w:pPr>
      <w:r>
        <w:t xml:space="preserve">Chandrasekaran, B. (1986). Generic tasks in knowledge-based reasoning: High-level building blocks for expert system design. </w:t>
      </w:r>
      <w:r w:rsidRPr="00AB2F00">
        <w:rPr>
          <w:i/>
          <w:iCs/>
          <w:lang w:val="es-ES"/>
        </w:rPr>
        <w:t>IEEE Expert, 1</w:t>
      </w:r>
      <w:r w:rsidRPr="0054053C">
        <w:rPr>
          <w:lang w:val="es-ES"/>
        </w:rPr>
        <w:t xml:space="preserve">(3), 23–30. </w:t>
      </w:r>
      <w:hyperlink r:id="rId14" w:history="1">
        <w:r w:rsidRPr="0054053C">
          <w:rPr>
            <w:rStyle w:val="Hipervnculo"/>
            <w:lang w:val="es-ES"/>
          </w:rPr>
          <w:t>https://doi.org/10.1109/MEX.1986.4306977</w:t>
        </w:r>
      </w:hyperlink>
    </w:p>
    <w:p w14:paraId="512B5E93" w14:textId="77777777" w:rsidR="006E0390" w:rsidRDefault="005C5E48">
      <w:pPr>
        <w:pStyle w:val="MDPARThesisBody"/>
        <w:ind w:left="360" w:hanging="360"/>
      </w:pPr>
      <w:r w:rsidRPr="0054053C">
        <w:rPr>
          <w:lang w:val="es-ES"/>
        </w:rPr>
        <w:lastRenderedPageBreak/>
        <w:t xml:space="preserve">Chen, L., Zaharia, M., y Zou, J. (2024). </w:t>
      </w:r>
      <w:r>
        <w:t xml:space="preserve">FrugalGPT: How to use large language models while reducing cost and improving performance. Transactions on Machine Learning Research. </w:t>
      </w:r>
      <w:hyperlink r:id="rId15" w:history="1">
        <w:r w:rsidRPr="0054053C">
          <w:rPr>
            <w:rStyle w:val="Hipervnculo"/>
          </w:rPr>
          <w:t>https://mlanthology.org/tmlr/2024/chen2024tmlr-frugalgpt/</w:t>
        </w:r>
      </w:hyperlink>
    </w:p>
    <w:p w14:paraId="07D80DFD" w14:textId="77777777" w:rsidR="006E0390" w:rsidRDefault="005C5E48">
      <w:pPr>
        <w:pStyle w:val="MDPARThesisBody"/>
        <w:ind w:left="360" w:hanging="360"/>
      </w:pPr>
      <w:r>
        <w:t xml:space="preserve">Cromwell, P. R. (1997). </w:t>
      </w:r>
      <w:r w:rsidRPr="00A04EF6">
        <w:rPr>
          <w:i/>
          <w:iCs/>
        </w:rPr>
        <w:t>Polyhedra</w:t>
      </w:r>
      <w:r w:rsidRPr="0054053C">
        <w:t>.</w:t>
      </w:r>
      <w:r>
        <w:t xml:space="preserve"> Cambridge University Press.</w:t>
      </w:r>
    </w:p>
    <w:p w14:paraId="069D5B8F" w14:textId="77777777" w:rsidR="00AB2F00" w:rsidRPr="00770DB8" w:rsidRDefault="005C5E48" w:rsidP="00AB2F00">
      <w:pPr>
        <w:pStyle w:val="MDPARThesisBody"/>
        <w:ind w:left="360" w:hanging="360"/>
      </w:pPr>
      <w:r w:rsidRPr="0054053C">
        <w:rPr>
          <w:lang w:val="es-ES"/>
        </w:rPr>
        <w:t xml:space="preserve">Delvecchio, G. P., Molfetta, L., y Moro, G. (2025). </w:t>
      </w:r>
      <w:r>
        <w:t xml:space="preserve">Neuro-Symbolic Artificial Intelligence: A task-directed survey in the black-box models era. En </w:t>
      </w:r>
      <w:r w:rsidRPr="0054053C">
        <w:rPr>
          <w:i/>
          <w:iCs/>
        </w:rPr>
        <w:t>Proceedings of the Thirty-Fourth International Joint Conference on Artificial Intelligence,</w:t>
      </w:r>
      <w:r>
        <w:t xml:space="preserve"> 10418–10426. </w:t>
      </w:r>
      <w:hyperlink r:id="rId16" w:history="1">
        <w:r w:rsidRPr="00770DB8">
          <w:rPr>
            <w:rStyle w:val="Hipervnculo"/>
          </w:rPr>
          <w:t>https://doi.org/10.24963/ijcai.2025/1157</w:t>
        </w:r>
      </w:hyperlink>
    </w:p>
    <w:p w14:paraId="5DCE3CB6" w14:textId="77777777" w:rsidR="006E0390" w:rsidRPr="0054053C" w:rsidRDefault="005C5E48">
      <w:pPr>
        <w:pStyle w:val="MDPARThesisBody"/>
        <w:ind w:left="360" w:hanging="360"/>
        <w:rPr>
          <w:lang w:val="es-ES"/>
        </w:rPr>
      </w:pPr>
      <w:r>
        <w:t xml:space="preserve">Dung, P. M. (1995). On the acceptability of arguments and its fundamental role in nonmonotonic reasoning, logic programming and n-person games. </w:t>
      </w:r>
      <w:r w:rsidRPr="0054053C">
        <w:rPr>
          <w:i/>
          <w:iCs/>
          <w:lang w:val="es-ES"/>
        </w:rPr>
        <w:t>Artificial Intelligence, 77</w:t>
      </w:r>
      <w:r w:rsidRPr="0054053C">
        <w:rPr>
          <w:lang w:val="es-ES"/>
        </w:rPr>
        <w:t xml:space="preserve">(2), 321–357. </w:t>
      </w:r>
      <w:hyperlink r:id="rId17" w:history="1">
        <w:r w:rsidRPr="0054053C">
          <w:rPr>
            <w:rStyle w:val="Hipervnculo"/>
            <w:lang w:val="es-ES"/>
          </w:rPr>
          <w:t>https://doi.org/10.1016/0004-3702(94)00041-X</w:t>
        </w:r>
      </w:hyperlink>
    </w:p>
    <w:p w14:paraId="4BFC020F" w14:textId="77777777" w:rsidR="006E0390" w:rsidRDefault="005C5E48">
      <w:pPr>
        <w:pStyle w:val="MDPARThesisBody"/>
        <w:ind w:left="360" w:hanging="360"/>
      </w:pPr>
      <w:r w:rsidRPr="0054053C">
        <w:rPr>
          <w:lang w:val="es-ES"/>
        </w:rPr>
        <w:t xml:space="preserve">Euler, L. (1758). Elementa doctrinae solidorum. </w:t>
      </w:r>
      <w:r w:rsidRPr="0054053C">
        <w:rPr>
          <w:i/>
          <w:iCs/>
        </w:rPr>
        <w:t>Novi Commentarii Academiae Scientiarum Imperialis Petropolitanae</w:t>
      </w:r>
      <w:r>
        <w:t>, 4, 109–140.</w:t>
      </w:r>
    </w:p>
    <w:p w14:paraId="1DE7E187" w14:textId="77777777" w:rsidR="006E0390" w:rsidRDefault="005C5E48">
      <w:pPr>
        <w:pStyle w:val="MDPARThesisBody"/>
        <w:ind w:left="360" w:hanging="360"/>
      </w:pPr>
      <w:r>
        <w:t xml:space="preserve">Fensel, D. (2000). Problem-solving methods: Understanding, description, development, and reuse. Springer. </w:t>
      </w:r>
      <w:hyperlink r:id="rId18" w:history="1">
        <w:r w:rsidRPr="00A04EF6">
          <w:rPr>
            <w:rStyle w:val="Hipervnculo"/>
          </w:rPr>
          <w:t>https://doi.org/10.1007/3-540-44936-1</w:t>
        </w:r>
      </w:hyperlink>
    </w:p>
    <w:p w14:paraId="63C3B6FB" w14:textId="77777777" w:rsidR="006A24D4" w:rsidRDefault="0062359C" w:rsidP="00AB2F00">
      <w:pPr>
        <w:pStyle w:val="MDPARThesisBody"/>
        <w:ind w:left="360" w:hanging="360"/>
      </w:pPr>
      <w:r>
        <w:t xml:space="preserve">Galtung, J., Jacobsen, C. G., y Brand-Jacobsen, K. F. (2002). </w:t>
      </w:r>
      <w:r w:rsidRPr="00AB2F00">
        <w:rPr>
          <w:i/>
          <w:iCs/>
        </w:rPr>
        <w:t xml:space="preserve">Searching for peace: The road to TRANSCEND </w:t>
      </w:r>
      <w:r>
        <w:t>(2.ª ed.). Pluto Press.</w:t>
      </w:r>
    </w:p>
    <w:p w14:paraId="664FAB33" w14:textId="77777777" w:rsidR="006E0390" w:rsidRDefault="005C5E48">
      <w:pPr>
        <w:pStyle w:val="MDPARThesisBody"/>
        <w:ind w:left="360" w:hanging="360"/>
      </w:pPr>
      <w:r>
        <w:t xml:space="preserve">Gärdenfors, P. (2000). Conceptual spaces: The geometry of thought. The MIT Press. </w:t>
      </w:r>
      <w:hyperlink r:id="rId19" w:history="1">
        <w:r w:rsidRPr="00A04EF6">
          <w:rPr>
            <w:rStyle w:val="Hipervnculo"/>
          </w:rPr>
          <w:t>https://doi.org/10.7551/mitpress/2076.001.0001</w:t>
        </w:r>
      </w:hyperlink>
    </w:p>
    <w:p w14:paraId="1967B293" w14:textId="77777777" w:rsidR="006E0390" w:rsidRDefault="005C5E48">
      <w:pPr>
        <w:pStyle w:val="MDPARThesisBody"/>
        <w:ind w:left="360" w:hanging="360"/>
      </w:pPr>
      <w:r w:rsidRPr="00CE55D6">
        <w:t xml:space="preserve">Hawking, S. W., y Ellis, G. F. R. (1973). </w:t>
      </w:r>
      <w:r>
        <w:t xml:space="preserve">The large scale structure of space-time. Cambridge University Press. </w:t>
      </w:r>
      <w:hyperlink r:id="rId20" w:history="1">
        <w:r w:rsidRPr="00A04EF6">
          <w:rPr>
            <w:rStyle w:val="Hipervnculo"/>
          </w:rPr>
          <w:t>https://doi.org/10.1017/CBO9780511524646</w:t>
        </w:r>
      </w:hyperlink>
    </w:p>
    <w:p w14:paraId="3A3A6C39" w14:textId="77777777" w:rsidR="006E0390" w:rsidRDefault="005C5E48">
      <w:pPr>
        <w:pStyle w:val="MDPARThesisBody"/>
        <w:ind w:left="360" w:hanging="360"/>
      </w:pPr>
      <w:r>
        <w:t xml:space="preserve">International Energy Agency. (2025). </w:t>
      </w:r>
      <w:r w:rsidRPr="00A04EF6">
        <w:rPr>
          <w:i/>
          <w:iCs/>
        </w:rPr>
        <w:t>Energy and AI.</w:t>
      </w:r>
      <w:r>
        <w:t xml:space="preserve"> IEA. </w:t>
      </w:r>
      <w:hyperlink r:id="rId21" w:history="1">
        <w:r w:rsidRPr="00A04EF6">
          <w:rPr>
            <w:rStyle w:val="Hipervnculo"/>
          </w:rPr>
          <w:t>https://www.iea.org/reports/energy-and-ai</w:t>
        </w:r>
      </w:hyperlink>
    </w:p>
    <w:p w14:paraId="6E5690BC" w14:textId="77777777" w:rsidR="006E0390" w:rsidRPr="00770DB8" w:rsidRDefault="005C5E48">
      <w:pPr>
        <w:pStyle w:val="MDPARThesisBody"/>
        <w:ind w:left="360" w:hanging="360"/>
      </w:pPr>
      <w:r>
        <w:t xml:space="preserve">Korzybski, A. (1994). </w:t>
      </w:r>
      <w:r w:rsidRPr="00A04EF6">
        <w:rPr>
          <w:i/>
          <w:iCs/>
        </w:rPr>
        <w:t>Science and sanity: An introduction to non-Aristotelian systems and general semantics</w:t>
      </w:r>
      <w:r>
        <w:t xml:space="preserve"> (5.ª ed.). </w:t>
      </w:r>
      <w:r w:rsidRPr="00770DB8">
        <w:t>Institute of General Semantics. (Trabajo original publicado en 1933).</w:t>
      </w:r>
    </w:p>
    <w:p w14:paraId="09FB67D3" w14:textId="77777777" w:rsidR="006E0390" w:rsidRPr="00770DB8" w:rsidRDefault="005C5E48">
      <w:pPr>
        <w:pStyle w:val="MDPARThesisBody"/>
        <w:ind w:left="360" w:hanging="360"/>
      </w:pPr>
      <w:r>
        <w:t xml:space="preserve">Laird, J. E., Newell, A., y Rosenbloom, P. S. (1987). SOAR: An architecture for general intelligence. </w:t>
      </w:r>
      <w:r w:rsidRPr="00770DB8">
        <w:rPr>
          <w:i/>
          <w:iCs/>
        </w:rPr>
        <w:t>Artificial Intelligence, 33</w:t>
      </w:r>
      <w:r w:rsidRPr="00770DB8">
        <w:t xml:space="preserve">(1), 1–64. </w:t>
      </w:r>
      <w:hyperlink r:id="rId22" w:history="1">
        <w:r w:rsidRPr="00770DB8">
          <w:rPr>
            <w:rStyle w:val="Hipervnculo"/>
          </w:rPr>
          <w:t>https://doi.org/10.1016/0004-3702(87)90050-6</w:t>
        </w:r>
      </w:hyperlink>
    </w:p>
    <w:p w14:paraId="0CCAAFF2" w14:textId="77777777" w:rsidR="006E0390" w:rsidRDefault="005C5E48">
      <w:pPr>
        <w:pStyle w:val="MDPARThesisBody"/>
        <w:ind w:left="360" w:hanging="360"/>
      </w:pPr>
      <w:r>
        <w:t xml:space="preserve">Lewin, K. (1936). </w:t>
      </w:r>
      <w:r w:rsidRPr="00A04EF6">
        <w:rPr>
          <w:i/>
          <w:iCs/>
        </w:rPr>
        <w:t>Principles of topological psychology.</w:t>
      </w:r>
      <w:r>
        <w:t xml:space="preserve"> McGraw-Hill.</w:t>
      </w:r>
    </w:p>
    <w:p w14:paraId="56CC836C" w14:textId="77777777" w:rsidR="006E0390" w:rsidRDefault="005C5E48">
      <w:pPr>
        <w:pStyle w:val="MDPARThesisBody"/>
        <w:ind w:left="360" w:hanging="360"/>
      </w:pPr>
      <w:r>
        <w:t xml:space="preserve">National Institute of Standards and Technology. (2022a). </w:t>
      </w:r>
      <w:r w:rsidRPr="00A04EF6">
        <w:rPr>
          <w:i/>
          <w:iCs/>
        </w:rPr>
        <w:t>Digital evidence preservation: Considerations for evidence handlers</w:t>
      </w:r>
      <w:r>
        <w:t xml:space="preserve"> (NISTIR 8387). </w:t>
      </w:r>
      <w:hyperlink r:id="rId23" w:history="1">
        <w:r w:rsidRPr="00A04EF6">
          <w:rPr>
            <w:rStyle w:val="Hipervnculo"/>
          </w:rPr>
          <w:t>https://doi.org/10.6028/NIST.IR.8387</w:t>
        </w:r>
      </w:hyperlink>
    </w:p>
    <w:p w14:paraId="7EDA9C06" w14:textId="77777777" w:rsidR="006E0390" w:rsidRDefault="005C5E48">
      <w:pPr>
        <w:pStyle w:val="MDPARThesisBody"/>
        <w:ind w:left="360" w:hanging="360"/>
      </w:pPr>
      <w:r>
        <w:lastRenderedPageBreak/>
        <w:t xml:space="preserve">National Institute of Standards and Technology. (2022b). Report of the Digital Evidence Task Group quality study. National Institute of Standards and Technology. </w:t>
      </w:r>
      <w:hyperlink r:id="rId24" w:history="1">
        <w:r w:rsidRPr="00A04EF6">
          <w:rPr>
            <w:rStyle w:val="Hipervnculo"/>
          </w:rPr>
          <w:t>https://www.nist.gov/document/report-digital-evidence-task-group-quality-study</w:t>
        </w:r>
      </w:hyperlink>
    </w:p>
    <w:p w14:paraId="23A0918F" w14:textId="77777777" w:rsidR="006E0390" w:rsidRDefault="005C5E48">
      <w:pPr>
        <w:pStyle w:val="MDPARThesisBody"/>
        <w:ind w:left="360" w:hanging="360"/>
      </w:pPr>
      <w:r>
        <w:t xml:space="preserve">Nivre, J., de Marneffe, M.-C., Ginter, F., Goldberg, Y., Hajič, J., Manning, C. D., McDonald, R., Petrov, S., Pyysalo, S., Silveira, N., Tsarfaty, R., y Zeman, D. (2016). Universal Dependencies v1: A multilingual treebank collection. En </w:t>
      </w:r>
      <w:r w:rsidRPr="00A04EF6">
        <w:rPr>
          <w:i/>
          <w:iCs/>
        </w:rPr>
        <w:t>Proceedings of the Tenth International Conference on Language Resources and Evaluation</w:t>
      </w:r>
      <w:r>
        <w:t xml:space="preserve"> (LREC’16), 1659–1666. European Language Resources Association. </w:t>
      </w:r>
      <w:hyperlink r:id="rId25" w:history="1">
        <w:r w:rsidRPr="00A04EF6">
          <w:rPr>
            <w:rStyle w:val="Hipervnculo"/>
          </w:rPr>
          <w:t>https://aclanthology.org/L16-1262/</w:t>
        </w:r>
      </w:hyperlink>
    </w:p>
    <w:p w14:paraId="61FCECB2" w14:textId="77777777" w:rsidR="006E0390" w:rsidRDefault="005C5E48">
      <w:pPr>
        <w:pStyle w:val="MDPARThesisBody"/>
        <w:ind w:left="360" w:hanging="360"/>
      </w:pPr>
      <w:r>
        <w:t xml:space="preserve">NVIDIA. (2024). </w:t>
      </w:r>
      <w:r w:rsidRPr="00A04EF6">
        <w:rPr>
          <w:i/>
          <w:iCs/>
        </w:rPr>
        <w:t>NVIDIA Jetson Orin Nano Developer Kit gets a ‘Super’ boost.</w:t>
      </w:r>
      <w:r>
        <w:t xml:space="preserve"> NVIDIA Technical Blog. </w:t>
      </w:r>
      <w:hyperlink r:id="rId26" w:history="1">
        <w:r w:rsidRPr="00A04EF6">
          <w:rPr>
            <w:rStyle w:val="Hipervnculo"/>
          </w:rPr>
          <w:t>https://developer.nvidia.com/blog/?p=93942</w:t>
        </w:r>
      </w:hyperlink>
    </w:p>
    <w:p w14:paraId="3F114906" w14:textId="77777777" w:rsidR="006E0390" w:rsidRPr="007D55C6" w:rsidRDefault="005C5E48">
      <w:pPr>
        <w:pStyle w:val="MDPARThesisBody"/>
        <w:ind w:left="360" w:hanging="360"/>
        <w:rPr>
          <w:lang w:val="es-ES"/>
        </w:rPr>
      </w:pPr>
      <w:r>
        <w:t xml:space="preserve">NVIDIA. (2025). </w:t>
      </w:r>
      <w:r w:rsidRPr="00A04EF6">
        <w:rPr>
          <w:i/>
          <w:iCs/>
        </w:rPr>
        <w:t>Introducing NVIDIA Jetson Thor, the ultimate platform for physical AI.</w:t>
      </w:r>
      <w:r>
        <w:t xml:space="preserve"> </w:t>
      </w:r>
      <w:r w:rsidRPr="007D55C6">
        <w:rPr>
          <w:lang w:val="es-ES"/>
        </w:rPr>
        <w:t xml:space="preserve">NVIDIA Technical Blog. </w:t>
      </w:r>
      <w:hyperlink r:id="rId27" w:history="1">
        <w:r w:rsidRPr="007D55C6">
          <w:rPr>
            <w:rStyle w:val="Hipervnculo"/>
            <w:lang w:val="es-ES"/>
          </w:rPr>
          <w:t>https://developer.nvidia.com/blog/?p=104879</w:t>
        </w:r>
      </w:hyperlink>
    </w:p>
    <w:p w14:paraId="152B3549" w14:textId="77777777" w:rsidR="005E1EC2" w:rsidRPr="007D55C6" w:rsidRDefault="00F46BC1">
      <w:pPr>
        <w:pStyle w:val="MDPARThesisBody"/>
        <w:rPr>
          <w:lang w:val="es-ES"/>
        </w:rPr>
      </w:pPr>
      <w:r w:rsidRPr="007D55C6">
        <w:rPr>
          <w:lang w:val="es-ES"/>
        </w:rPr>
        <w:t xml:space="preserve">Marra, G., Dumančić, S., Manhaeve, R., y De Raedt, L. (2024). </w:t>
      </w:r>
      <w:r>
        <w:t xml:space="preserve">From statistical relational to neurosymbolic artificial intelligence: A survey. </w:t>
      </w:r>
      <w:r w:rsidRPr="007D55C6">
        <w:rPr>
          <w:lang w:val="es-ES"/>
        </w:rPr>
        <w:t>Artificial Intelligence, 328, 104062. https://doi.org/10.1016/j.artint.2023.104062</w:t>
      </w:r>
    </w:p>
    <w:p w14:paraId="35A7FDA6" w14:textId="77777777" w:rsidR="006E0390" w:rsidRDefault="005C5E48">
      <w:pPr>
        <w:pStyle w:val="MDPARThesisBody"/>
        <w:ind w:left="360" w:hanging="360"/>
      </w:pPr>
      <w:r w:rsidRPr="007D55C6">
        <w:rPr>
          <w:lang w:val="es-ES"/>
        </w:rPr>
        <w:t xml:space="preserve">Ong, I., Almahairi, A., Wu, V., Chiang, W.-L., Wu, T., Gonzalez, J. E., Kadous, M. W., y Stoica, I. (2025). </w:t>
      </w:r>
      <w:r>
        <w:t xml:space="preserve">RouteLLM: Learning to route LLMs from preference data. International Conference on Learning Representations. </w:t>
      </w:r>
      <w:hyperlink r:id="rId28" w:history="1">
        <w:r w:rsidRPr="00A04EF6">
          <w:rPr>
            <w:rStyle w:val="Hipervnculo"/>
          </w:rPr>
          <w:t>https://proceedings.iclr.cc/paper_files/paper/2025/hash/5503a7c69d48a2f86fc00b3dc09de686-Abstract-Conference.html</w:t>
        </w:r>
      </w:hyperlink>
    </w:p>
    <w:p w14:paraId="08BA91C4" w14:textId="77777777" w:rsidR="006E0390" w:rsidRDefault="005C5E48">
      <w:pPr>
        <w:pStyle w:val="MDPARThesisBody"/>
        <w:ind w:left="360" w:hanging="360"/>
      </w:pPr>
      <w:r>
        <w:t xml:space="preserve">OpenAI. (2025). Announcing The Stargate Project. </w:t>
      </w:r>
      <w:hyperlink r:id="rId29" w:history="1">
        <w:r w:rsidRPr="00A04EF6">
          <w:rPr>
            <w:rStyle w:val="Hipervnculo"/>
          </w:rPr>
          <w:t>https://openai.com/index/announcing-the-stargate-project/</w:t>
        </w:r>
      </w:hyperlink>
    </w:p>
    <w:p w14:paraId="7876B21D" w14:textId="77777777" w:rsidR="006E0390" w:rsidRDefault="005C5E48">
      <w:pPr>
        <w:pStyle w:val="MDPARThesisBody"/>
        <w:ind w:left="360" w:hanging="360"/>
      </w:pPr>
      <w:r>
        <w:t xml:space="preserve">Packer, C., Wooders, S., Lin, K., Fang, V., Patil, S. G., Stoica, I., y Gonzalez, J. E. (2023). </w:t>
      </w:r>
      <w:r w:rsidRPr="00A04EF6">
        <w:rPr>
          <w:i/>
          <w:iCs/>
        </w:rPr>
        <w:t>MemGPT: Towards LLMs as operating systems</w:t>
      </w:r>
      <w:r>
        <w:t xml:space="preserve"> [Pre-publicación]. arXiv. </w:t>
      </w:r>
      <w:hyperlink r:id="rId30" w:history="1">
        <w:r w:rsidRPr="00A04EF6">
          <w:rPr>
            <w:rStyle w:val="Hipervnculo"/>
          </w:rPr>
          <w:t>https://arxiv.org/abs/2310.08560</w:t>
        </w:r>
      </w:hyperlink>
    </w:p>
    <w:p w14:paraId="7C9BFF4A" w14:textId="77777777" w:rsidR="006E0390" w:rsidRDefault="005C5E48">
      <w:pPr>
        <w:pStyle w:val="MDPARThesisBody"/>
        <w:ind w:left="360" w:hanging="360"/>
      </w:pPr>
      <w:r>
        <w:t xml:space="preserve">Park, J. S., O’Brien, J. C., Cai, C. J., Morris, M. R., Liang, P., y Bernstein, M. S. (2023). Generative agents: Interactive simulacra of human behavior. En </w:t>
      </w:r>
      <w:r w:rsidRPr="00A04EF6">
        <w:rPr>
          <w:i/>
          <w:iCs/>
        </w:rPr>
        <w:t>Proceedings of the 36th Annual ACM Symposium on User Interface Software and Technology.</w:t>
      </w:r>
      <w:r>
        <w:t xml:space="preserve"> ACM. </w:t>
      </w:r>
      <w:hyperlink r:id="rId31" w:history="1">
        <w:r w:rsidRPr="00A04EF6">
          <w:rPr>
            <w:rStyle w:val="Hipervnculo"/>
          </w:rPr>
          <w:t>https://doi.org/10.1145/3586183.3606763</w:t>
        </w:r>
      </w:hyperlink>
    </w:p>
    <w:p w14:paraId="079DA45C" w14:textId="77777777" w:rsidR="006E0390" w:rsidRPr="007C36DC" w:rsidRDefault="005C5E48">
      <w:pPr>
        <w:pStyle w:val="MDPARThesisBody"/>
        <w:ind w:left="360" w:hanging="360"/>
        <w:rPr>
          <w:lang w:val="es-ES"/>
        </w:rPr>
      </w:pPr>
      <w:r>
        <w:t xml:space="preserve">Perelman, G. (2002). The entropy formula for the Ricci flow and its geometric applications [Pre-publicación]. arXiv. </w:t>
      </w:r>
      <w:hyperlink r:id="rId32" w:history="1">
        <w:r w:rsidRPr="007C36DC">
          <w:rPr>
            <w:rStyle w:val="Hipervnculo"/>
            <w:lang w:val="es-ES"/>
          </w:rPr>
          <w:t>https://arxiv.org/abs/math/0211159</w:t>
        </w:r>
      </w:hyperlink>
    </w:p>
    <w:p w14:paraId="45B7153E" w14:textId="77777777" w:rsidR="001537E8" w:rsidRPr="007C36DC" w:rsidRDefault="0037399D">
      <w:pPr>
        <w:pStyle w:val="MDPARThesisBody"/>
        <w:rPr>
          <w:lang w:val="es-ES"/>
        </w:rPr>
      </w:pPr>
      <w:r w:rsidRPr="007C36DC">
        <w:rPr>
          <w:lang w:val="es-ES"/>
        </w:rPr>
        <w:lastRenderedPageBreak/>
        <w:t xml:space="preserve">Phillips, S., y Wilson, W. H. (2010). </w:t>
      </w:r>
      <w:r>
        <w:t xml:space="preserve">Categorial compositionality: A category theory explanation for the systematicity of human cognition. </w:t>
      </w:r>
      <w:r w:rsidRPr="007C36DC">
        <w:rPr>
          <w:lang w:val="es-ES"/>
        </w:rPr>
        <w:t>PLOS Computational Biology, 6(7), e1000858. https://doi.org/10.1371/journal.pcbi.1000858</w:t>
      </w:r>
    </w:p>
    <w:p w14:paraId="1BB6D1BA" w14:textId="77777777" w:rsidR="006E0390" w:rsidRPr="0054053C" w:rsidRDefault="005C5E48">
      <w:pPr>
        <w:pStyle w:val="MDPARThesisBody"/>
        <w:ind w:left="360" w:hanging="360"/>
        <w:rPr>
          <w:lang w:val="es-ES"/>
        </w:rPr>
      </w:pPr>
      <w:r w:rsidRPr="007C36DC">
        <w:rPr>
          <w:lang w:val="es-ES"/>
        </w:rPr>
        <w:t xml:space="preserve">Poincaré, H. (1905). </w:t>
      </w:r>
      <w:r w:rsidRPr="00A04EF6">
        <w:rPr>
          <w:i/>
          <w:iCs/>
        </w:rPr>
        <w:t>Science and hypothesis.</w:t>
      </w:r>
      <w:r>
        <w:t xml:space="preserve"> </w:t>
      </w:r>
      <w:r w:rsidRPr="007C36DC">
        <w:t xml:space="preserve">Walter Scott Publishing. </w:t>
      </w:r>
      <w:r w:rsidRPr="0054053C">
        <w:rPr>
          <w:lang w:val="es-ES"/>
        </w:rPr>
        <w:t>(Trabajo original publicado en francés en 1902).</w:t>
      </w:r>
    </w:p>
    <w:p w14:paraId="4F989D1E" w14:textId="77777777" w:rsidR="006E0390" w:rsidRDefault="005C5E48">
      <w:pPr>
        <w:pStyle w:val="MDPARThesisBody"/>
        <w:ind w:left="360" w:hanging="360"/>
      </w:pPr>
      <w:r w:rsidRPr="007C36DC">
        <w:rPr>
          <w:lang w:val="es-ES"/>
        </w:rPr>
        <w:t xml:space="preserve">Reuters. (2026a, 20 de febrero). </w:t>
      </w:r>
      <w:r w:rsidRPr="00A04EF6">
        <w:rPr>
          <w:i/>
          <w:iCs/>
        </w:rPr>
        <w:t>OpenAI expects compute spend of around $600 billion through 2030, source says.</w:t>
      </w:r>
      <w:r>
        <w:t xml:space="preserve"> Reuters.</w:t>
      </w:r>
    </w:p>
    <w:p w14:paraId="2CD06BDB" w14:textId="77777777" w:rsidR="006E0390" w:rsidRPr="0054053C" w:rsidRDefault="005C5E48">
      <w:pPr>
        <w:pStyle w:val="MDPARThesisBody"/>
        <w:ind w:left="360" w:hanging="360"/>
        <w:rPr>
          <w:lang w:val="es-ES"/>
        </w:rPr>
      </w:pPr>
      <w:r>
        <w:t xml:space="preserve">Reuters. (2026b, 10 de septiembre). </w:t>
      </w:r>
      <w:r w:rsidRPr="00A04EF6">
        <w:rPr>
          <w:i/>
          <w:iCs/>
        </w:rPr>
        <w:t xml:space="preserve">AI boom poses new financial stability risks, BIS head says. </w:t>
      </w:r>
      <w:r w:rsidRPr="0054053C">
        <w:rPr>
          <w:lang w:val="es-ES"/>
        </w:rPr>
        <w:t>Reuters.</w:t>
      </w:r>
    </w:p>
    <w:p w14:paraId="52C66FDF" w14:textId="77777777" w:rsidR="006E0390" w:rsidRPr="0054053C" w:rsidRDefault="005C5E48">
      <w:pPr>
        <w:pStyle w:val="MDPARThesisBody"/>
        <w:ind w:left="360" w:hanging="360"/>
        <w:rPr>
          <w:lang w:val="es-ES"/>
        </w:rPr>
      </w:pPr>
      <w:r w:rsidRPr="0054053C">
        <w:rPr>
          <w:lang w:val="es-ES"/>
        </w:rPr>
        <w:t xml:space="preserve">Schläfli, L. (1901). </w:t>
      </w:r>
      <w:r w:rsidRPr="00A04EF6">
        <w:rPr>
          <w:i/>
          <w:iCs/>
          <w:lang w:val="es-ES"/>
        </w:rPr>
        <w:t>Theorie der vielfachen Kontinuität.</w:t>
      </w:r>
      <w:r w:rsidRPr="0054053C">
        <w:rPr>
          <w:lang w:val="es-ES"/>
        </w:rPr>
        <w:t xml:space="preserve"> Zürcher &amp; Furrer. (Trabajo desarrollado originalmente en 1852).</w:t>
      </w:r>
    </w:p>
    <w:p w14:paraId="21BEAA83" w14:textId="77777777" w:rsidR="006E0390" w:rsidRPr="00FA648F" w:rsidRDefault="005C5E48">
      <w:pPr>
        <w:pStyle w:val="MDPARThesisBody"/>
        <w:ind w:left="360" w:hanging="360"/>
        <w:rPr>
          <w:lang w:val="es-ES"/>
        </w:rPr>
      </w:pPr>
      <w:r w:rsidRPr="0054053C">
        <w:rPr>
          <w:lang w:val="es-ES"/>
        </w:rPr>
        <w:t xml:space="preserve">Schreiber, G., Akkermans, H., Anjewierden, A., de Hoog, R., Shadbolt, N. R., Van de Velde, W., y Wielinga, B. J. (2000). </w:t>
      </w:r>
      <w:r w:rsidRPr="00A04EF6">
        <w:rPr>
          <w:i/>
          <w:iCs/>
        </w:rPr>
        <w:t>Knowledge engineering and management: The CommonKADS methodology.</w:t>
      </w:r>
      <w:r>
        <w:t xml:space="preserve"> The MIT Press. </w:t>
      </w:r>
      <w:hyperlink r:id="rId33" w:history="1">
        <w:r w:rsidRPr="00FA648F">
          <w:rPr>
            <w:rStyle w:val="Hipervnculo"/>
            <w:lang w:val="es-ES"/>
          </w:rPr>
          <w:t>https://doi.org/10.7551/mitpress/4073.001.0001</w:t>
        </w:r>
      </w:hyperlink>
    </w:p>
    <w:p w14:paraId="2AA017AB" w14:textId="77777777" w:rsidR="006E0390" w:rsidRDefault="005C5E48">
      <w:pPr>
        <w:pStyle w:val="MDPARThesisBody"/>
        <w:ind w:left="360" w:hanging="360"/>
      </w:pPr>
      <w:r w:rsidRPr="00FA648F">
        <w:rPr>
          <w:lang w:val="es-ES"/>
        </w:rPr>
        <w:t>Slagel, J. T., White, L. M., Dutle, A., Muñoz, C. A., y Crespo, N. (2024).</w:t>
      </w:r>
      <w:r w:rsidRPr="00FA648F">
        <w:rPr>
          <w:i/>
          <w:iCs/>
          <w:lang w:val="es-ES"/>
        </w:rPr>
        <w:t xml:space="preserve"> </w:t>
      </w:r>
      <w:r w:rsidRPr="00A04EF6">
        <w:rPr>
          <w:i/>
          <w:iCs/>
        </w:rPr>
        <w:t xml:space="preserve">A verification framework for runtime assurance of autonomous UAS. </w:t>
      </w:r>
      <w:r>
        <w:t xml:space="preserve">NASA Technical Reports Server (Document ID 20240007986). </w:t>
      </w:r>
      <w:hyperlink r:id="rId34" w:history="1">
        <w:r w:rsidRPr="00A04EF6">
          <w:rPr>
            <w:rStyle w:val="Hipervnculo"/>
          </w:rPr>
          <w:t>https://ntrs.nasa.gov/citations/20240007986</w:t>
        </w:r>
      </w:hyperlink>
    </w:p>
    <w:p w14:paraId="5AB8B7D0" w14:textId="77777777" w:rsidR="006E0390" w:rsidRDefault="005C5E48">
      <w:pPr>
        <w:pStyle w:val="MDPARThesisBody"/>
        <w:ind w:left="360" w:hanging="360"/>
      </w:pPr>
      <w:r>
        <w:t xml:space="preserve">Smith, S. J., Hubbard, A., Newkirk, A., Ganeshalingam, M., Holecek, B., Sartor, D. A., Mills, M., y Shehabi, A. (2026). </w:t>
      </w:r>
      <w:r w:rsidRPr="00A04EF6">
        <w:rPr>
          <w:i/>
          <w:iCs/>
        </w:rPr>
        <w:t>United States Data Center Energy Usage Report: 2025 Update.</w:t>
      </w:r>
      <w:r>
        <w:t xml:space="preserve"> Lawrence Berkeley National Laboratory. </w:t>
      </w:r>
      <w:hyperlink r:id="rId35" w:history="1">
        <w:r w:rsidRPr="00A04EF6">
          <w:rPr>
            <w:rStyle w:val="Hipervnculo"/>
          </w:rPr>
          <w:t>https://eta-publications.lbl.gov/publications/united-states-data-center-energy-2025</w:t>
        </w:r>
      </w:hyperlink>
    </w:p>
    <w:p w14:paraId="7B708558" w14:textId="77777777" w:rsidR="00AB2F00" w:rsidRDefault="005C5E48" w:rsidP="00AB2F00">
      <w:pPr>
        <w:pStyle w:val="MDPARThesisBody"/>
        <w:ind w:left="360" w:hanging="360"/>
        <w:rPr>
          <w:rStyle w:val="Hipervnculo"/>
          <w:lang w:val="es-ES"/>
        </w:rPr>
      </w:pPr>
      <w:r w:rsidRPr="0054053C">
        <w:rPr>
          <w:lang w:val="es-ES"/>
        </w:rPr>
        <w:t xml:space="preserve">Snell, C., Lee, J., Xu, K., y Kumar, A. (2024). </w:t>
      </w:r>
      <w:r w:rsidRPr="00A04EF6">
        <w:rPr>
          <w:i/>
          <w:iCs/>
        </w:rPr>
        <w:t>Scaling LLM test-time compute optimally can be more effective than scaling model parameters</w:t>
      </w:r>
      <w:r>
        <w:t xml:space="preserve"> [Pre-publicación]. arXiv. </w:t>
      </w:r>
      <w:hyperlink r:id="rId36" w:history="1">
        <w:r w:rsidRPr="0027708B">
          <w:rPr>
            <w:rStyle w:val="Hipervnculo"/>
            <w:lang w:val="es-ES"/>
          </w:rPr>
          <w:t>https://arxiv.org/abs/2408.03314</w:t>
        </w:r>
      </w:hyperlink>
    </w:p>
    <w:p w14:paraId="26B8788E" w14:textId="77777777" w:rsidR="00AB2F00" w:rsidRDefault="000B25C4" w:rsidP="00AB2F00">
      <w:pPr>
        <w:pStyle w:val="MDPARThesisBody"/>
        <w:ind w:left="360" w:hanging="360"/>
      </w:pPr>
      <w:r w:rsidRPr="0027708B">
        <w:rPr>
          <w:lang w:val="es-ES"/>
        </w:rPr>
        <w:t xml:space="preserve">Stanford Encyclopedia of Philosophy. (2023a). </w:t>
      </w:r>
      <w:r w:rsidRPr="00AB2F00">
        <w:rPr>
          <w:i/>
          <w:iCs/>
          <w:lang w:val="es-ES"/>
        </w:rPr>
        <w:t>Structural realism</w:t>
      </w:r>
      <w:r w:rsidRPr="0027708B">
        <w:rPr>
          <w:lang w:val="es-ES"/>
        </w:rPr>
        <w:t xml:space="preserve"> (revisión sustantiva del 18 de mayo de 2023). </w:t>
      </w:r>
      <w:r>
        <w:t xml:space="preserve">Stanford University. </w:t>
      </w:r>
      <w:hyperlink r:id="rId37" w:history="1">
        <w:r w:rsidRPr="00AB2F00">
          <w:rPr>
            <w:rStyle w:val="Hipervnculo"/>
          </w:rPr>
          <w:t>https://plato.stanford.edu/entries/structural-realism/</w:t>
        </w:r>
      </w:hyperlink>
    </w:p>
    <w:p w14:paraId="0DF5B588" w14:textId="77777777" w:rsidR="00AB2F00" w:rsidRDefault="000B25C4" w:rsidP="00AB2F00">
      <w:pPr>
        <w:pStyle w:val="MDPARThesisBody"/>
        <w:ind w:left="360" w:hanging="360"/>
      </w:pPr>
      <w:r>
        <w:t xml:space="preserve">Stanford Encyclopedia of Philosophy. </w:t>
      </w:r>
      <w:r w:rsidRPr="0027708B">
        <w:rPr>
          <w:lang w:val="es-ES"/>
        </w:rPr>
        <w:t xml:space="preserve">(2023b). </w:t>
      </w:r>
      <w:r w:rsidRPr="00AB2F00">
        <w:rPr>
          <w:i/>
          <w:iCs/>
          <w:lang w:val="es-ES"/>
        </w:rPr>
        <w:t>Personal identity</w:t>
      </w:r>
      <w:r w:rsidRPr="0027708B">
        <w:rPr>
          <w:lang w:val="es-ES"/>
        </w:rPr>
        <w:t xml:space="preserve"> (revisión sustantiva del 30 de junio de 2023). </w:t>
      </w:r>
      <w:r>
        <w:t xml:space="preserve">Stanford University. </w:t>
      </w:r>
      <w:hyperlink r:id="rId38" w:history="1">
        <w:r w:rsidRPr="00AB2F00">
          <w:rPr>
            <w:rStyle w:val="Hipervnculo"/>
          </w:rPr>
          <w:t>https://plato.stanford.edu/entries/identity-personal/</w:t>
        </w:r>
      </w:hyperlink>
    </w:p>
    <w:p w14:paraId="2641E2FF" w14:textId="77777777" w:rsidR="00AB2F00" w:rsidRDefault="000B25C4" w:rsidP="00AB2F00">
      <w:pPr>
        <w:pStyle w:val="MDPARThesisBody"/>
        <w:ind w:left="360" w:hanging="360"/>
      </w:pPr>
      <w:r>
        <w:t xml:space="preserve">Stanford Encyclopedia of Philosophy. </w:t>
      </w:r>
      <w:r w:rsidRPr="0027708B">
        <w:rPr>
          <w:lang w:val="es-ES"/>
        </w:rPr>
        <w:t xml:space="preserve">(2023c). </w:t>
      </w:r>
      <w:r w:rsidRPr="00AB2F00">
        <w:rPr>
          <w:i/>
          <w:iCs/>
          <w:lang w:val="es-ES"/>
        </w:rPr>
        <w:t xml:space="preserve">Functionalism </w:t>
      </w:r>
      <w:r w:rsidRPr="0027708B">
        <w:rPr>
          <w:lang w:val="es-ES"/>
        </w:rPr>
        <w:t xml:space="preserve">(revisión sustantiva del 4 de abril de 2023). </w:t>
      </w:r>
      <w:r>
        <w:t xml:space="preserve">Stanford University. </w:t>
      </w:r>
      <w:hyperlink r:id="rId39" w:history="1">
        <w:r w:rsidRPr="00AB2F00">
          <w:rPr>
            <w:rStyle w:val="Hipervnculo"/>
          </w:rPr>
          <w:t>https://plato.stanford.edu/entries/functionalism/</w:t>
        </w:r>
      </w:hyperlink>
    </w:p>
    <w:p w14:paraId="48AE1A24" w14:textId="77777777" w:rsidR="00AA7FB2" w:rsidRPr="00DA3C6C" w:rsidRDefault="000B25C4" w:rsidP="00AB2F00">
      <w:pPr>
        <w:pStyle w:val="MDPARThesisBody"/>
        <w:ind w:left="360" w:hanging="360"/>
      </w:pPr>
      <w:r>
        <w:lastRenderedPageBreak/>
        <w:t xml:space="preserve">Stanford Encyclopedia of Philosophy. </w:t>
      </w:r>
      <w:r w:rsidRPr="0027708B">
        <w:rPr>
          <w:lang w:val="es-ES"/>
        </w:rPr>
        <w:t xml:space="preserve">(2026). </w:t>
      </w:r>
      <w:r w:rsidRPr="00AB2F00">
        <w:rPr>
          <w:i/>
          <w:iCs/>
          <w:lang w:val="es-ES"/>
        </w:rPr>
        <w:t>Scientific representation</w:t>
      </w:r>
      <w:r w:rsidRPr="0027708B">
        <w:rPr>
          <w:lang w:val="es-ES"/>
        </w:rPr>
        <w:t xml:space="preserve"> (revisión sustantiva del 20 de mayo de 2026). </w:t>
      </w:r>
      <w:r>
        <w:t xml:space="preserve">Stanford University. </w:t>
      </w:r>
      <w:hyperlink r:id="rId40" w:history="1">
        <w:r w:rsidRPr="00AB2F00">
          <w:rPr>
            <w:rStyle w:val="Hipervnculo"/>
          </w:rPr>
          <w:t>https://plato.stanford.edu/entries/scientific-representation/</w:t>
        </w:r>
      </w:hyperlink>
    </w:p>
    <w:p w14:paraId="5A2DB82F" w14:textId="77777777" w:rsidR="006E0390" w:rsidRDefault="005C5E48">
      <w:pPr>
        <w:pStyle w:val="MDPARThesisBody"/>
        <w:ind w:left="360" w:hanging="360"/>
      </w:pPr>
      <w:r>
        <w:t xml:space="preserve">Susskind, L. (1995). The world as a hologram. </w:t>
      </w:r>
      <w:r w:rsidRPr="00A04EF6">
        <w:rPr>
          <w:i/>
          <w:iCs/>
        </w:rPr>
        <w:t>Journal of Mathematical Physics, 36</w:t>
      </w:r>
      <w:r>
        <w:t xml:space="preserve">(11), 6377–6396. </w:t>
      </w:r>
      <w:hyperlink r:id="rId41" w:history="1">
        <w:r w:rsidRPr="00A04EF6">
          <w:rPr>
            <w:rStyle w:val="Hipervnculo"/>
          </w:rPr>
          <w:t>https://doi.org/10.1063/1.531249</w:t>
        </w:r>
      </w:hyperlink>
    </w:p>
    <w:p w14:paraId="26FFCC80" w14:textId="77777777" w:rsidR="006E0390" w:rsidRDefault="005C5E48">
      <w:pPr>
        <w:pStyle w:val="MDPARThesisBody"/>
        <w:ind w:left="360" w:hanging="360"/>
      </w:pPr>
      <w:r>
        <w:t xml:space="preserve">’t Hooft, G. (1993). Dimensional reduction in quantum gravity [Pre-publicación]. arXiv. </w:t>
      </w:r>
      <w:hyperlink r:id="rId42" w:history="1">
        <w:r w:rsidRPr="00A04EF6">
          <w:rPr>
            <w:rStyle w:val="Hipervnculo"/>
          </w:rPr>
          <w:t>https://arxiv.org/abs/gr-qc/9310026</w:t>
        </w:r>
      </w:hyperlink>
    </w:p>
    <w:p w14:paraId="3E5513C8" w14:textId="77777777" w:rsidR="004704AE" w:rsidRPr="004704AE" w:rsidRDefault="004704AE" w:rsidP="004704AE">
      <w:pPr>
        <w:pStyle w:val="MDPARThesisBody"/>
        <w:ind w:left="709" w:hanging="709"/>
      </w:pPr>
      <w:r>
        <w:t xml:space="preserve">Tabassi, E. (2023). </w:t>
      </w:r>
      <w:r w:rsidRPr="004704AE">
        <w:rPr>
          <w:i/>
          <w:iCs/>
        </w:rPr>
        <w:t>Artificial Intelligence Risk Management Framework</w:t>
      </w:r>
      <w:r>
        <w:t xml:space="preserve"> (AI RMF 1.0) (NIST AI 100-1). National Institute of Standards and Technology. </w:t>
      </w:r>
      <w:hyperlink r:id="rId43" w:history="1">
        <w:r w:rsidRPr="004704AE">
          <w:rPr>
            <w:rStyle w:val="Hipervnculo"/>
          </w:rPr>
          <w:t>https://doi.org/10.6028/NIST.AI.100-1</w:t>
        </w:r>
      </w:hyperlink>
    </w:p>
    <w:p w14:paraId="60E4ABDB" w14:textId="77777777" w:rsidR="004704AE" w:rsidRPr="000A2D71" w:rsidRDefault="004704AE" w:rsidP="004704AE">
      <w:pPr>
        <w:pStyle w:val="MDPARThesisBody"/>
        <w:ind w:left="709" w:hanging="709"/>
        <w:rPr>
          <w:lang w:val="es-ES"/>
        </w:rPr>
      </w:pPr>
      <w:r w:rsidRPr="000A2D71">
        <w:rPr>
          <w:lang w:val="es-ES"/>
        </w:rPr>
        <w:t xml:space="preserve">Unión Europea. (2016). </w:t>
      </w:r>
      <w:r w:rsidRPr="004704AE">
        <w:rPr>
          <w:i/>
          <w:iCs/>
          <w:lang w:val="es-ES"/>
        </w:rPr>
        <w:t>Reglamento (UE) 2016/679 del Parlamento Europeo y del Consejo, de 27 de abril de 2016, relativo a la protección de las personas físicas en lo que respecta al tratamiento de datos personales y a la libre circulación de estos datos.</w:t>
      </w:r>
      <w:r w:rsidRPr="000A2D71">
        <w:rPr>
          <w:lang w:val="es-ES"/>
        </w:rPr>
        <w:t xml:space="preserve"> Diario Oficial de la Unión Europea, L 119, 1–88.</w:t>
      </w:r>
    </w:p>
    <w:p w14:paraId="3FA1E659" w14:textId="77777777" w:rsidR="004704AE" w:rsidRPr="003E4238" w:rsidRDefault="004704AE" w:rsidP="004704AE">
      <w:pPr>
        <w:pStyle w:val="MDPARThesisBody"/>
        <w:ind w:left="709" w:hanging="709"/>
        <w:rPr>
          <w:lang w:val="es-ES"/>
        </w:rPr>
      </w:pPr>
      <w:r w:rsidRPr="000A2D71">
        <w:rPr>
          <w:lang w:val="es-ES"/>
        </w:rPr>
        <w:t xml:space="preserve">Unión Europea. (2024). </w:t>
      </w:r>
      <w:r w:rsidRPr="004704AE">
        <w:rPr>
          <w:i/>
          <w:iCs/>
          <w:lang w:val="es-ES"/>
        </w:rPr>
        <w:t>Reglamento (UE) 2024/1689 del Parlamento Europeo y del Consejo, de 13 de junio de 2024, por el que se establecen normas armonizadas en materia de inteligencia artificial</w:t>
      </w:r>
      <w:r w:rsidRPr="000A2D71">
        <w:rPr>
          <w:lang w:val="es-ES"/>
        </w:rPr>
        <w:t xml:space="preserve"> (Reglamento de Inteligencia Artificial). </w:t>
      </w:r>
      <w:r w:rsidRPr="003E4238">
        <w:rPr>
          <w:lang w:val="es-ES"/>
        </w:rPr>
        <w:t>Diario Oficial de la Unión Europea.</w:t>
      </w:r>
    </w:p>
    <w:p w14:paraId="410EAC7D" w14:textId="77777777" w:rsidR="006E0390" w:rsidRDefault="005C5E48">
      <w:pPr>
        <w:pStyle w:val="MDPARThesisBody"/>
        <w:ind w:left="360" w:hanging="360"/>
      </w:pPr>
      <w:r w:rsidRPr="003E4238">
        <w:rPr>
          <w:lang w:val="es-ES"/>
        </w:rPr>
        <w:t xml:space="preserve">Uptime Institute. (2026). </w:t>
      </w:r>
      <w:r w:rsidRPr="003E4238">
        <w:rPr>
          <w:i/>
          <w:iCs/>
          <w:lang w:val="es-ES"/>
        </w:rPr>
        <w:t>Annual outage analysis 2026.</w:t>
      </w:r>
      <w:r w:rsidRPr="003E4238">
        <w:rPr>
          <w:lang w:val="es-ES"/>
        </w:rPr>
        <w:t xml:space="preserve"> </w:t>
      </w:r>
      <w:r>
        <w:t xml:space="preserve">Uptime Intelligence. </w:t>
      </w:r>
      <w:hyperlink r:id="rId44" w:history="1">
        <w:r w:rsidRPr="00A04EF6">
          <w:rPr>
            <w:rStyle w:val="Hipervnculo"/>
          </w:rPr>
          <w:t>https://intelligence.uptimeinstitute.com/index.php/resource/annual-outage-analysis-2026</w:t>
        </w:r>
      </w:hyperlink>
    </w:p>
    <w:p w14:paraId="6AFC0E2D" w14:textId="77777777" w:rsidR="006E0390" w:rsidRDefault="005C5E48">
      <w:pPr>
        <w:pStyle w:val="MDPARThesisBody"/>
        <w:ind w:left="360" w:hanging="360"/>
      </w:pPr>
      <w:r>
        <w:t xml:space="preserve">Wein, S., y Schneider, N. (2024). Assessing the cross-linguistic utility of Abstract Meaning Representation. </w:t>
      </w:r>
      <w:r w:rsidRPr="00A04EF6">
        <w:rPr>
          <w:i/>
          <w:iCs/>
        </w:rPr>
        <w:t>Computational Linguistics, 50</w:t>
      </w:r>
      <w:r>
        <w:t xml:space="preserve">(2), 419–473. </w:t>
      </w:r>
      <w:hyperlink r:id="rId45" w:history="1">
        <w:r w:rsidRPr="00A04EF6">
          <w:rPr>
            <w:rStyle w:val="Hipervnculo"/>
          </w:rPr>
          <w:t>https://doi.org/10.1162/coli_a_00503</w:t>
        </w:r>
      </w:hyperlink>
    </w:p>
    <w:p w14:paraId="62B8BB39" w14:textId="77777777" w:rsidR="006E0390" w:rsidRDefault="005C5E48">
      <w:pPr>
        <w:pStyle w:val="MDPARThesisBody"/>
        <w:ind w:left="360" w:hanging="360"/>
      </w:pPr>
      <w:r>
        <w:t xml:space="preserve">Wielinga, B. J., Schreiber, A. T., &amp; Breuker, J. A. (1992). KADS: A modelling approach to knowledge engineering. </w:t>
      </w:r>
      <w:r w:rsidRPr="00A04EF6">
        <w:rPr>
          <w:i/>
          <w:iCs/>
        </w:rPr>
        <w:t>Knowledge Acquisition, 4</w:t>
      </w:r>
      <w:r>
        <w:t xml:space="preserve">(1), 5–53. </w:t>
      </w:r>
      <w:hyperlink r:id="rId46" w:history="1">
        <w:r w:rsidRPr="00A04EF6">
          <w:rPr>
            <w:rStyle w:val="Hipervnculo"/>
          </w:rPr>
          <w:t>https://doi.org/10.1016/1042-8143(92)90013-Q</w:t>
        </w:r>
      </w:hyperlink>
    </w:p>
    <w:p w14:paraId="63F362AE" w14:textId="77777777" w:rsidR="006E0390" w:rsidRDefault="005C5E48">
      <w:pPr>
        <w:pStyle w:val="MDPARThesisBody"/>
        <w:ind w:left="360" w:hanging="360"/>
      </w:pPr>
      <w:r>
        <w:t xml:space="preserve">Winskel, G. (1987). Event structures. En W. Brauer, W. Reisig, &amp; G. Rozenberg (Eds.), </w:t>
      </w:r>
      <w:r w:rsidRPr="00A04EF6">
        <w:rPr>
          <w:i/>
          <w:iCs/>
        </w:rPr>
        <w:t>Petri nets: Applications and relationships to other models of concurrency</w:t>
      </w:r>
      <w:r>
        <w:t xml:space="preserve"> (pp. 325–392). Springer. </w:t>
      </w:r>
      <w:hyperlink r:id="rId47" w:history="1">
        <w:r w:rsidRPr="00A04EF6">
          <w:rPr>
            <w:rStyle w:val="Hipervnculo"/>
          </w:rPr>
          <w:t>https://doi.org/10.1007/3-540-17906-2_31</w:t>
        </w:r>
      </w:hyperlink>
    </w:p>
    <w:p w14:paraId="0B1D9969" w14:textId="77777777" w:rsidR="006E0390" w:rsidRDefault="005C5E48">
      <w:pPr>
        <w:pStyle w:val="MDPARThesisBody"/>
        <w:ind w:left="360" w:hanging="360"/>
      </w:pPr>
      <w:r>
        <w:t xml:space="preserve">Winskel, G. (1990). A compositional proof system on a category of labelled transition systems. </w:t>
      </w:r>
      <w:r w:rsidRPr="00A04EF6">
        <w:rPr>
          <w:i/>
          <w:iCs/>
        </w:rPr>
        <w:t>Information and Computation, 87</w:t>
      </w:r>
      <w:r>
        <w:t>(1–2), 2–57.</w:t>
      </w:r>
      <w:hyperlink r:id="rId48" w:history="1">
        <w:r w:rsidRPr="00A04EF6">
          <w:rPr>
            <w:rStyle w:val="Hipervnculo"/>
          </w:rPr>
          <w:t xml:space="preserve"> https://doi.org/10.1016/0890-5401(90)90058-P</w:t>
        </w:r>
      </w:hyperlink>
    </w:p>
    <w:p w14:paraId="09930FB7" w14:textId="77777777" w:rsidR="006E0390" w:rsidRDefault="005C5E48">
      <w:pPr>
        <w:pStyle w:val="MDPARThesisBody"/>
        <w:ind w:left="360" w:hanging="360"/>
      </w:pPr>
      <w:r>
        <w:lastRenderedPageBreak/>
        <w:t xml:space="preserve">Yang, X.-W., Shao, J.-J., Guo, L.-Z., Zhang, B.-W., Zhou, Z., Jia, L.-H., Dai, W.-Z., y Li, Y.-F. (2025). Neuro-Symbolic Artificial Intelligence: Towards improving the reasoning abilities of large language models. En </w:t>
      </w:r>
      <w:r w:rsidRPr="00A04EF6">
        <w:rPr>
          <w:i/>
          <w:iCs/>
        </w:rPr>
        <w:t>Proceedings of the Thirty-Fourth International Joint Conference on Artificial Intelligence,</w:t>
      </w:r>
      <w:r>
        <w:t xml:space="preserve"> 10770–10778. </w:t>
      </w:r>
      <w:hyperlink r:id="rId49" w:history="1">
        <w:r w:rsidRPr="00A04EF6">
          <w:rPr>
            <w:rStyle w:val="Hipervnculo"/>
          </w:rPr>
          <w:t>https://doi.org/10.24963/ijcai.2025/1195</w:t>
        </w:r>
      </w:hyperlink>
    </w:p>
    <w:p w14:paraId="69CE864B" w14:textId="77777777" w:rsidR="006E0390" w:rsidRPr="00FA648F" w:rsidRDefault="005C5E48">
      <w:pPr>
        <w:pStyle w:val="MDPARThesisBody"/>
        <w:ind w:left="360" w:hanging="360"/>
        <w:rPr>
          <w:lang w:val="es-ES"/>
        </w:rPr>
      </w:pPr>
      <w:r>
        <w:t xml:space="preserve">Yao, S., Shinn, N., Razavi, P., y Narasimhan, K. (2024). </w:t>
      </w:r>
      <w:r w:rsidRPr="00A04EF6">
        <w:rPr>
          <w:i/>
          <w:iCs/>
        </w:rPr>
        <w:t>τ-bench: A benchmark for tool-agent-user interaction in real-world domains</w:t>
      </w:r>
      <w:r>
        <w:t xml:space="preserve"> [Pre-publicación]. arXiv. </w:t>
      </w:r>
      <w:hyperlink r:id="rId50" w:history="1">
        <w:r w:rsidRPr="00FA648F">
          <w:rPr>
            <w:rStyle w:val="Hipervnculo"/>
            <w:lang w:val="es-ES"/>
          </w:rPr>
          <w:t>https://arxiv.org/abs/2406.12045</w:t>
        </w:r>
      </w:hyperlink>
    </w:p>
    <w:p w14:paraId="3302C888" w14:textId="77777777" w:rsidR="006E0390" w:rsidRDefault="005C5E48">
      <w:pPr>
        <w:pStyle w:val="MDPARThesisBody"/>
        <w:ind w:left="360" w:hanging="360"/>
      </w:pPr>
      <w:r w:rsidRPr="0054053C">
        <w:rPr>
          <w:lang w:val="es-ES"/>
        </w:rPr>
        <w:t xml:space="preserve">Yao, S., Yu, D., Zhao, J., Shafran, I., Griffiths, T. L., Cao, Y., y Narasimhan, K. (2023a). </w:t>
      </w:r>
      <w:r>
        <w:t xml:space="preserve">Tree of thoughts: Deliberate problem solving with large language models. </w:t>
      </w:r>
      <w:r w:rsidRPr="00A04EF6">
        <w:rPr>
          <w:i/>
          <w:iCs/>
        </w:rPr>
        <w:t>Advances in Neural Information Processing Systems, 36,</w:t>
      </w:r>
      <w:r>
        <w:t xml:space="preserve"> 11809–11822. </w:t>
      </w:r>
      <w:hyperlink r:id="rId51" w:history="1">
        <w:r w:rsidRPr="00A04EF6">
          <w:rPr>
            <w:rStyle w:val="Hipervnculo"/>
          </w:rPr>
          <w:t>https://doi.org/10.52202/075280-0517</w:t>
        </w:r>
      </w:hyperlink>
    </w:p>
    <w:p w14:paraId="0CD3E8B8" w14:textId="77777777" w:rsidR="0054053C" w:rsidRPr="00FA648F" w:rsidRDefault="005C5E48">
      <w:pPr>
        <w:pStyle w:val="MDPARThesisBody"/>
        <w:ind w:left="360" w:hanging="360"/>
        <w:rPr>
          <w:lang w:val="es-ES"/>
        </w:rPr>
      </w:pPr>
      <w:r>
        <w:t xml:space="preserve">Yao, S., Zhao, J., Yu, D., Du, N., Shafran, I., Narasimhan, K., y Cao, Y. (2023b). ReAct: Synergizing reasoning and acting in language models. </w:t>
      </w:r>
      <w:r w:rsidRPr="00A04EF6">
        <w:rPr>
          <w:i/>
          <w:iCs/>
        </w:rPr>
        <w:t>International Conference on Learning Representations</w:t>
      </w:r>
      <w:r>
        <w:t xml:space="preserve">. </w:t>
      </w:r>
      <w:hyperlink r:id="rId52" w:history="1">
        <w:r w:rsidR="0054053C" w:rsidRPr="00FA648F">
          <w:rPr>
            <w:rStyle w:val="Hipervnculo"/>
            <w:lang w:val="es-ES"/>
          </w:rPr>
          <w:t>https://openreview.net/pdf?id=WE_vluYUL-X</w:t>
        </w:r>
      </w:hyperlink>
    </w:p>
    <w:p w14:paraId="3893901E" w14:textId="77777777" w:rsidR="00AB2F00" w:rsidRDefault="00AB2F00">
      <w:pPr>
        <w:spacing w:after="200" w:line="276" w:lineRule="auto"/>
        <w:rPr>
          <w:lang w:val="es-ES"/>
        </w:rPr>
      </w:pPr>
      <w:r>
        <w:rPr>
          <w:lang w:val="es-ES"/>
        </w:rPr>
        <w:br w:type="page"/>
      </w:r>
    </w:p>
    <w:p w14:paraId="100CAE5C" w14:textId="77777777" w:rsidR="006F2537" w:rsidRPr="00E512F5" w:rsidRDefault="006B1A89" w:rsidP="00E512F5">
      <w:pPr>
        <w:pStyle w:val="MDPARProfileH1"/>
        <w:spacing w:before="0" w:after="0" w:line="360" w:lineRule="auto"/>
        <w:jc w:val="center"/>
        <w:outlineLvl w:val="0"/>
        <w:rPr>
          <w:sz w:val="24"/>
          <w:szCs w:val="20"/>
          <w:lang w:val="es-ES"/>
        </w:rPr>
      </w:pPr>
      <w:bookmarkStart w:id="126" w:name="_Toc242721962"/>
      <w:r w:rsidRPr="00E512F5">
        <w:rPr>
          <w:sz w:val="24"/>
          <w:szCs w:val="20"/>
          <w:lang w:val="es-ES"/>
        </w:rPr>
        <w:lastRenderedPageBreak/>
        <w:t>ANEXOS</w:t>
      </w:r>
      <w:bookmarkEnd w:id="126"/>
    </w:p>
    <w:p w14:paraId="5189C2A2" w14:textId="77777777" w:rsidR="00E512F5" w:rsidRDefault="00E512F5" w:rsidP="00E512F5">
      <w:pPr>
        <w:pStyle w:val="MDPARProfileH1"/>
        <w:spacing w:before="0" w:after="0" w:line="360" w:lineRule="auto"/>
        <w:jc w:val="both"/>
        <w:rPr>
          <w:lang w:val="es-ES"/>
        </w:rPr>
      </w:pPr>
    </w:p>
    <w:p w14:paraId="2CFC9812" w14:textId="77777777" w:rsidR="006F2537" w:rsidRPr="00E512F5" w:rsidRDefault="006B1A89" w:rsidP="00E512F5">
      <w:pPr>
        <w:pStyle w:val="MDPARProfileH1"/>
        <w:spacing w:before="0" w:after="0" w:line="360" w:lineRule="auto"/>
        <w:jc w:val="both"/>
        <w:outlineLvl w:val="0"/>
        <w:rPr>
          <w:sz w:val="24"/>
          <w:szCs w:val="20"/>
          <w:lang w:val="es-ES"/>
        </w:rPr>
      </w:pPr>
      <w:bookmarkStart w:id="127" w:name="_Toc242721963"/>
      <w:r w:rsidRPr="00E512F5">
        <w:rPr>
          <w:sz w:val="24"/>
          <w:szCs w:val="20"/>
          <w:lang w:val="es-ES"/>
        </w:rPr>
        <w:t>ANEXO A — Perfil experimental C0–C1</w:t>
      </w:r>
      <w:r w:rsidR="008B42CA">
        <w:rPr>
          <w:sz w:val="24"/>
          <w:szCs w:val="20"/>
          <w:lang w:val="es-ES"/>
        </w:rPr>
        <w:t>2</w:t>
      </w:r>
      <w:bookmarkEnd w:id="127"/>
    </w:p>
    <w:p w14:paraId="7162AE7F" w14:textId="77777777" w:rsidR="00E512F5" w:rsidRPr="00B20A9B" w:rsidRDefault="00E512F5" w:rsidP="00E512F5">
      <w:pPr>
        <w:pStyle w:val="MDPARProfileH1"/>
        <w:spacing w:before="0" w:after="0" w:line="360" w:lineRule="auto"/>
        <w:jc w:val="both"/>
        <w:rPr>
          <w:lang w:val="es-ES"/>
        </w:rPr>
      </w:pPr>
    </w:p>
    <w:p w14:paraId="71CD34AC" w14:textId="77777777" w:rsidR="006F2537" w:rsidRPr="00EB46BF" w:rsidRDefault="00EB46BF" w:rsidP="00EB46BF">
      <w:pPr>
        <w:pStyle w:val="MDPARProfileCallout"/>
        <w:spacing w:before="0" w:after="0" w:line="360" w:lineRule="auto"/>
        <w:jc w:val="center"/>
        <w:rPr>
          <w:sz w:val="12"/>
          <w:szCs w:val="10"/>
          <w:lang w:val="es-ES"/>
        </w:rPr>
      </w:pPr>
      <w:r w:rsidRPr="00EB46BF">
        <w:rPr>
          <w:sz w:val="20"/>
          <w:szCs w:val="18"/>
          <w:lang w:val="es-ES"/>
        </w:rPr>
        <w:t>De la arquitectura fiable a la validez interna de sus capacidades</w:t>
      </w:r>
    </w:p>
    <w:p w14:paraId="686A921C" w14:textId="77777777" w:rsidR="00E512F5" w:rsidRDefault="00E512F5" w:rsidP="00E512F5">
      <w:pPr>
        <w:pStyle w:val="MDPARThesisBody"/>
        <w:rPr>
          <w:lang w:val="es-ES"/>
        </w:rPr>
      </w:pPr>
    </w:p>
    <w:p w14:paraId="5B741E1A" w14:textId="77777777" w:rsidR="00E512F5" w:rsidRDefault="006B1A89" w:rsidP="003B6C1C">
      <w:pPr>
        <w:pStyle w:val="MDPARThesisBody"/>
        <w:rPr>
          <w:lang w:val="es-ES"/>
        </w:rPr>
      </w:pPr>
      <w:r w:rsidRPr="00880D29">
        <w:rPr>
          <w:lang w:val="es-ES"/>
        </w:rPr>
        <w:t>Este anexo presenta las capacidades C0–C1</w:t>
      </w:r>
      <w:r w:rsidR="008B42CA">
        <w:rPr>
          <w:lang w:val="es-ES"/>
        </w:rPr>
        <w:t>2</w:t>
      </w:r>
      <w:r w:rsidRPr="00880D29">
        <w:rPr>
          <w:lang w:val="es-ES"/>
        </w:rPr>
        <w:t xml:space="preserve"> como propiedades diferenciadas de la arquitectura, realizadas computacionalmente y sometidas a campañas experimentales congeladas (FR</w:t>
      </w:r>
      <w:r w:rsidR="00081562">
        <w:rPr>
          <w:lang w:val="es-ES"/>
        </w:rPr>
        <w:t>OZEN</w:t>
      </w:r>
      <w:r w:rsidRPr="00880D29">
        <w:rPr>
          <w:lang w:val="es-ES"/>
        </w:rPr>
        <w:t xml:space="preserve">). </w:t>
      </w:r>
    </w:p>
    <w:p w14:paraId="10B3B4CC" w14:textId="77777777" w:rsidR="00D24788" w:rsidRPr="00B20A9B" w:rsidRDefault="00D24788" w:rsidP="003B6C1C">
      <w:pPr>
        <w:pStyle w:val="MDPARThesisBody"/>
        <w:rPr>
          <w:lang w:val="es-ES"/>
        </w:rPr>
      </w:pPr>
    </w:p>
    <w:p w14:paraId="592BB86B" w14:textId="77777777" w:rsidR="006F2537" w:rsidRPr="00880A7F" w:rsidRDefault="006B1A89" w:rsidP="00E512F5">
      <w:pPr>
        <w:pStyle w:val="MDPARProfileH1"/>
        <w:spacing w:before="0" w:after="0" w:line="360" w:lineRule="auto"/>
        <w:ind w:firstLine="709"/>
        <w:jc w:val="both"/>
        <w:outlineLvl w:val="1"/>
        <w:rPr>
          <w:sz w:val="24"/>
          <w:szCs w:val="20"/>
          <w:lang w:val="es-ES"/>
        </w:rPr>
      </w:pPr>
      <w:bookmarkStart w:id="128" w:name="_Toc242721964"/>
      <w:r w:rsidRPr="00880A7F">
        <w:rPr>
          <w:sz w:val="24"/>
          <w:szCs w:val="20"/>
          <w:lang w:val="es-ES"/>
        </w:rPr>
        <w:t>C0 — Contractual Reproducibility</w:t>
      </w:r>
      <w:bookmarkEnd w:id="128"/>
    </w:p>
    <w:p w14:paraId="7D4ED78E" w14:textId="77777777" w:rsidR="00E512F5" w:rsidRDefault="006B1A89" w:rsidP="00E512F5">
      <w:pPr>
        <w:pStyle w:val="MDPARThesisBody"/>
        <w:rPr>
          <w:lang w:val="es-ES"/>
        </w:rPr>
      </w:pPr>
      <w:r w:rsidRPr="00880D29">
        <w:rPr>
          <w:b/>
          <w:lang w:val="es-ES"/>
        </w:rPr>
        <w:t xml:space="preserve">El problema de la identidad experimental. </w:t>
      </w:r>
      <w:r w:rsidRPr="00880D29">
        <w:rPr>
          <w:lang w:val="es-ES"/>
        </w:rPr>
        <w:t>Antes de atribuir una propiedad a MDPAR debe poder identificarse la realización computacional que produjo la evidencia. C0 fija como objeto experimental la correspondencia entre código, corpus, contrato, configuración y artefactos congelados. Su proposición contrastable es que una ejecución declarada reproducible satisfaga íntegramente ese contrato; una divergencia documental o de artefactos constituye un fallo, aunque el resultado funcional parezca correcto.</w:t>
      </w:r>
    </w:p>
    <w:p w14:paraId="54B057FF" w14:textId="77777777" w:rsidR="00E512F5" w:rsidRDefault="006B1A89" w:rsidP="00E512F5">
      <w:pPr>
        <w:pStyle w:val="MDPARThesisBody"/>
        <w:rPr>
          <w:lang w:val="es-ES"/>
        </w:rPr>
      </w:pPr>
      <w:r w:rsidRPr="00880D29">
        <w:rPr>
          <w:b/>
          <w:lang w:val="es-ES"/>
        </w:rPr>
        <w:t xml:space="preserve">La realización técnica. </w:t>
      </w:r>
      <w:r w:rsidRPr="00880D29">
        <w:rPr>
          <w:lang w:val="es-ES"/>
        </w:rPr>
        <w:t>El protocolo comprueba las correspondencias contractuales sin inferir de ellas la corrección semántica de los resultados posteriores. El detalle de los artefactos y comandos se conserva en el Anexo B. La prueba se refiere a la identidad declarada de esta realización, no a la invariancia de todos los proveedores o entornos posibles.</w:t>
      </w:r>
    </w:p>
    <w:p w14:paraId="0C2CC3C2" w14:textId="77777777" w:rsidR="00E512F5" w:rsidRPr="001444FB" w:rsidRDefault="006B1A89" w:rsidP="00E512F5">
      <w:pPr>
        <w:pStyle w:val="MDPARThesisBody"/>
        <w:rPr>
          <w:lang w:val="es-ES"/>
        </w:rPr>
      </w:pPr>
      <w:r w:rsidRPr="00D24788">
        <w:rPr>
          <w:b/>
          <w:bCs/>
          <w:lang w:val="es-ES"/>
        </w:rPr>
        <w:t>Evidencia FR</w:t>
      </w:r>
      <w:r w:rsidR="00081562">
        <w:rPr>
          <w:b/>
          <w:bCs/>
          <w:lang w:val="es-ES"/>
        </w:rPr>
        <w:t>OZEN</w:t>
      </w:r>
      <w:r w:rsidRPr="00D24788">
        <w:rPr>
          <w:b/>
          <w:bCs/>
          <w:lang w:val="es-ES"/>
        </w:rPr>
        <w:t xml:space="preserve"> — MDPAR 2.3.0.</w:t>
      </w:r>
      <w:r w:rsidRPr="00D24788">
        <w:rPr>
          <w:lang w:val="es-ES"/>
        </w:rPr>
        <w:t xml:space="preserve"> El protocolo C0_CONTRACTUAL_REPRODUCIBILITY_V2 supera 26 de 26 comprobaciones; all_passed=true. La ampliación respecto de las seis comprobaciones de v2.0.0 y las diecinueve de v2.1.0–v2.2.0 aumenta la superficie contractual examinada sin alterar la naturaleza de la propiedad. El detalle de los artefactos, verificaciones y comandos corresponde al Anexo B.</w:t>
      </w:r>
    </w:p>
    <w:p w14:paraId="2C5E8F18" w14:textId="77777777" w:rsidR="00E512F5" w:rsidRPr="00E512F5" w:rsidRDefault="006B1A89" w:rsidP="00E512F5">
      <w:pPr>
        <w:pStyle w:val="MDPARThesisBody"/>
        <w:rPr>
          <w:lang w:val="es-ES"/>
        </w:rPr>
      </w:pPr>
      <w:r w:rsidRPr="00880D29">
        <w:rPr>
          <w:b/>
          <w:lang w:val="es-ES"/>
        </w:rPr>
        <w:t xml:space="preserve">Identidad experimental y alcance de la evidencia. </w:t>
      </w:r>
      <w:r w:rsidRPr="00880D29">
        <w:rPr>
          <w:lang w:val="es-ES"/>
        </w:rPr>
        <w:t>Ontológicamente, el objeto de C0 es una ejecución individualizada por sus dependencias y sus artefactos, no una capacidad abstracta sin procedencia. Epistemológicamente, las 26 comprobaciones satisfactorias permiten auditar la conformidad del FR</w:t>
      </w:r>
      <w:r w:rsidR="00081562">
        <w:rPr>
          <w:lang w:val="es-ES"/>
        </w:rPr>
        <w:t>OZEN</w:t>
      </w:r>
      <w:r w:rsidRPr="00880D29">
        <w:rPr>
          <w:lang w:val="es-ES"/>
        </w:rPr>
        <w:t xml:space="preserve"> y atribuirle las observaciones de las campañas posteriores. No prueban por sí mismas que una repetición externa </w:t>
      </w:r>
      <w:r w:rsidRPr="00880D29">
        <w:rPr>
          <w:lang w:val="es-ES"/>
        </w:rPr>
        <w:lastRenderedPageBreak/>
        <w:t>produzca idénticas interpretaciones semánticas: la identidad del instrumento y la estabilidad de sus observaciones son proposiciones diferentes.</w:t>
      </w:r>
    </w:p>
    <w:p w14:paraId="42A4463D" w14:textId="77777777" w:rsidR="00E512F5" w:rsidRDefault="00E512F5" w:rsidP="00E512F5">
      <w:pPr>
        <w:pStyle w:val="MDPARProfileH1"/>
        <w:spacing w:before="0" w:after="0" w:line="360" w:lineRule="auto"/>
        <w:jc w:val="both"/>
        <w:rPr>
          <w:lang w:val="es-ES"/>
        </w:rPr>
      </w:pPr>
    </w:p>
    <w:p w14:paraId="332766AE" w14:textId="77777777" w:rsidR="006F2537" w:rsidRPr="00880A7F" w:rsidRDefault="006B1A89" w:rsidP="00E512F5">
      <w:pPr>
        <w:pStyle w:val="MDPARProfileH1"/>
        <w:spacing w:before="0" w:after="0" w:line="360" w:lineRule="auto"/>
        <w:ind w:firstLine="709"/>
        <w:jc w:val="both"/>
        <w:outlineLvl w:val="1"/>
        <w:rPr>
          <w:sz w:val="24"/>
          <w:szCs w:val="20"/>
          <w:lang w:val="es-ES"/>
        </w:rPr>
      </w:pPr>
      <w:bookmarkStart w:id="129" w:name="_Toc242721965"/>
      <w:r w:rsidRPr="00880A7F">
        <w:rPr>
          <w:sz w:val="24"/>
          <w:szCs w:val="20"/>
          <w:lang w:val="es-ES"/>
        </w:rPr>
        <w:t>C1 — Structural Identification</w:t>
      </w:r>
      <w:bookmarkEnd w:id="129"/>
    </w:p>
    <w:p w14:paraId="099AF6DC" w14:textId="77777777" w:rsidR="00E512F5" w:rsidRDefault="006B1A89" w:rsidP="00E512F5">
      <w:pPr>
        <w:pStyle w:val="MDPARThesisBody"/>
        <w:rPr>
          <w:bCs/>
          <w:lang w:val="es-ES"/>
        </w:rPr>
      </w:pPr>
      <w:r w:rsidRPr="00880D29">
        <w:rPr>
          <w:b/>
          <w:lang w:val="es-ES"/>
        </w:rPr>
        <w:t xml:space="preserve">El problema de identificar sin constituir el objeto identificado. </w:t>
      </w:r>
      <w:r w:rsidRPr="00880D29">
        <w:rPr>
          <w:lang w:val="es-ES"/>
        </w:rPr>
        <w:t>C1 distingue el tipo estructural definido por el SCC, su posible manifestación en un estímulo y el acto de observación del proveedor. La hipótesis operacional es que el observador pueda discriminar presencia y ausencia conforme al gold congelado; los falsos positivos, falsos negativos y formatos inválidos son contraejemplos mensurables, no redefiniciones de los tipos.</w:t>
      </w:r>
    </w:p>
    <w:p w14:paraId="18FCFAA4" w14:textId="77777777" w:rsidR="006F2537" w:rsidRDefault="006B1A89" w:rsidP="00E512F5">
      <w:pPr>
        <w:pStyle w:val="MDPARThesisBody"/>
        <w:rPr>
          <w:lang w:val="es-ES"/>
        </w:rPr>
      </w:pPr>
      <w:r w:rsidRPr="00880D29">
        <w:rPr>
          <w:b/>
          <w:lang w:val="es-ES"/>
        </w:rPr>
        <w:t xml:space="preserve">La realización experimental. </w:t>
      </w:r>
      <w:r w:rsidRPr="00880D29">
        <w:rPr>
          <w:lang w:val="es-ES"/>
        </w:rPr>
        <w:t>El contrato registra verdaderos positivos, verdaderos negativos, falsos positivos, falsos negativos y salidas inválidas. Se examina tanto sensibilidad como especificidad, pues detectar todos los positivos no basta si se afirma también la presencia en todos los negativos. La arquitectura mantiene separadas la propuesta del observador y su admisión bajo el contrato de evaluación.</w:t>
      </w:r>
    </w:p>
    <w:p w14:paraId="3C281934" w14:textId="77777777" w:rsidR="00D24788" w:rsidRPr="00E512F5" w:rsidRDefault="00D24788" w:rsidP="00E512F5">
      <w:pPr>
        <w:pStyle w:val="MDPARThesisBody"/>
        <w:rPr>
          <w:lang w:val="es-ES"/>
        </w:rPr>
      </w:pPr>
    </w:p>
    <w:tbl>
      <w:tblPr>
        <w:tblStyle w:val="Tablanormal2"/>
        <w:tblW w:w="0" w:type="auto"/>
        <w:tblLook w:val="04A0" w:firstRow="1" w:lastRow="0" w:firstColumn="1" w:lastColumn="0" w:noHBand="0" w:noVBand="1"/>
      </w:tblPr>
      <w:tblGrid>
        <w:gridCol w:w="1255"/>
        <w:gridCol w:w="1255"/>
        <w:gridCol w:w="1255"/>
        <w:gridCol w:w="1255"/>
        <w:gridCol w:w="1255"/>
        <w:gridCol w:w="1255"/>
        <w:gridCol w:w="1255"/>
      </w:tblGrid>
      <w:tr w:rsidR="00D24788" w:rsidRPr="00E306B6" w14:paraId="3E3FD090"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695BBF7F" w14:textId="77777777" w:rsidR="00D24788" w:rsidRPr="00E306B6" w:rsidRDefault="00D24788" w:rsidP="00D24788">
            <w:pPr>
              <w:spacing w:line="240" w:lineRule="auto"/>
              <w:rPr>
                <w:sz w:val="16"/>
              </w:rPr>
            </w:pPr>
            <w:r w:rsidRPr="00E306B6">
              <w:rPr>
                <w:sz w:val="16"/>
              </w:rPr>
              <w:t>Modelo</w:t>
            </w:r>
          </w:p>
        </w:tc>
        <w:tc>
          <w:tcPr>
            <w:tcW w:w="1255" w:type="dxa"/>
          </w:tcPr>
          <w:p w14:paraId="7FCE62A5" w14:textId="77777777" w:rsidR="00D24788" w:rsidRPr="00E306B6" w:rsidRDefault="00D24788" w:rsidP="00D24788">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TP</w:t>
            </w:r>
          </w:p>
        </w:tc>
        <w:tc>
          <w:tcPr>
            <w:tcW w:w="1255" w:type="dxa"/>
          </w:tcPr>
          <w:p w14:paraId="2BAB4948" w14:textId="77777777" w:rsidR="00D24788" w:rsidRPr="00E306B6" w:rsidRDefault="00D24788" w:rsidP="00D24788">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TN</w:t>
            </w:r>
          </w:p>
        </w:tc>
        <w:tc>
          <w:tcPr>
            <w:tcW w:w="1255" w:type="dxa"/>
          </w:tcPr>
          <w:p w14:paraId="65271403" w14:textId="77777777" w:rsidR="00D24788" w:rsidRPr="00E306B6" w:rsidRDefault="00D24788" w:rsidP="00D24788">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FP</w:t>
            </w:r>
          </w:p>
        </w:tc>
        <w:tc>
          <w:tcPr>
            <w:tcW w:w="1255" w:type="dxa"/>
          </w:tcPr>
          <w:p w14:paraId="2737B486" w14:textId="77777777" w:rsidR="00D24788" w:rsidRPr="00E306B6" w:rsidRDefault="00D24788" w:rsidP="00D24788">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FN</w:t>
            </w:r>
          </w:p>
        </w:tc>
        <w:tc>
          <w:tcPr>
            <w:tcW w:w="1255" w:type="dxa"/>
          </w:tcPr>
          <w:p w14:paraId="1F152EB5" w14:textId="77777777" w:rsidR="00D24788" w:rsidRPr="00E306B6" w:rsidRDefault="00D24788" w:rsidP="00D24788">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Correctas</w:t>
            </w:r>
          </w:p>
        </w:tc>
        <w:tc>
          <w:tcPr>
            <w:tcW w:w="1255" w:type="dxa"/>
          </w:tcPr>
          <w:p w14:paraId="0AAD87CF" w14:textId="77777777" w:rsidR="00D24788" w:rsidRPr="00E306B6" w:rsidRDefault="00D24788" w:rsidP="00D24788">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Accuracy</w:t>
            </w:r>
          </w:p>
        </w:tc>
      </w:tr>
      <w:tr w:rsidR="00D24788" w:rsidRPr="00E306B6" w14:paraId="3D1A81A8"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130FF47" w14:textId="77777777" w:rsidR="00D24788" w:rsidRPr="00E306B6" w:rsidRDefault="00D24788" w:rsidP="00D24788">
            <w:pPr>
              <w:spacing w:line="240" w:lineRule="auto"/>
              <w:rPr>
                <w:sz w:val="16"/>
              </w:rPr>
            </w:pPr>
            <w:r w:rsidRPr="00E306B6">
              <w:rPr>
                <w:sz w:val="16"/>
              </w:rPr>
              <w:t>Sol none</w:t>
            </w:r>
          </w:p>
        </w:tc>
        <w:tc>
          <w:tcPr>
            <w:tcW w:w="1255" w:type="dxa"/>
          </w:tcPr>
          <w:p w14:paraId="3FBE0DE6"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18</w:t>
            </w:r>
          </w:p>
        </w:tc>
        <w:tc>
          <w:tcPr>
            <w:tcW w:w="1255" w:type="dxa"/>
          </w:tcPr>
          <w:p w14:paraId="792818DA"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16</w:t>
            </w:r>
          </w:p>
        </w:tc>
        <w:tc>
          <w:tcPr>
            <w:tcW w:w="1255" w:type="dxa"/>
          </w:tcPr>
          <w:p w14:paraId="124E5D68"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2</w:t>
            </w:r>
          </w:p>
        </w:tc>
        <w:tc>
          <w:tcPr>
            <w:tcW w:w="1255" w:type="dxa"/>
          </w:tcPr>
          <w:p w14:paraId="63621C25"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0</w:t>
            </w:r>
          </w:p>
        </w:tc>
        <w:tc>
          <w:tcPr>
            <w:tcW w:w="1255" w:type="dxa"/>
          </w:tcPr>
          <w:p w14:paraId="45DEAE94"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34/36</w:t>
            </w:r>
          </w:p>
        </w:tc>
        <w:tc>
          <w:tcPr>
            <w:tcW w:w="1255" w:type="dxa"/>
          </w:tcPr>
          <w:p w14:paraId="0ADC3644"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94,44%</w:t>
            </w:r>
          </w:p>
        </w:tc>
      </w:tr>
      <w:tr w:rsidR="00D24788" w:rsidRPr="00E306B6" w14:paraId="63012AC4" w14:textId="77777777" w:rsidTr="00E306B6">
        <w:tc>
          <w:tcPr>
            <w:cnfStyle w:val="001000000000" w:firstRow="0" w:lastRow="0" w:firstColumn="1" w:lastColumn="0" w:oddVBand="0" w:evenVBand="0" w:oddHBand="0" w:evenHBand="0" w:firstRowFirstColumn="0" w:firstRowLastColumn="0" w:lastRowFirstColumn="0" w:lastRowLastColumn="0"/>
            <w:tcW w:w="1255" w:type="dxa"/>
          </w:tcPr>
          <w:p w14:paraId="3CECD14A" w14:textId="77777777" w:rsidR="00D24788" w:rsidRPr="00E306B6" w:rsidRDefault="00D24788" w:rsidP="00D24788">
            <w:pPr>
              <w:spacing w:line="240" w:lineRule="auto"/>
              <w:rPr>
                <w:sz w:val="16"/>
              </w:rPr>
            </w:pPr>
            <w:r w:rsidRPr="00E306B6">
              <w:rPr>
                <w:sz w:val="16"/>
              </w:rPr>
              <w:t>Qwen3 4B non-thinking</w:t>
            </w:r>
          </w:p>
        </w:tc>
        <w:tc>
          <w:tcPr>
            <w:tcW w:w="1255" w:type="dxa"/>
          </w:tcPr>
          <w:p w14:paraId="6425D3C1"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18</w:t>
            </w:r>
          </w:p>
        </w:tc>
        <w:tc>
          <w:tcPr>
            <w:tcW w:w="1255" w:type="dxa"/>
          </w:tcPr>
          <w:p w14:paraId="1A398515"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0</w:t>
            </w:r>
          </w:p>
        </w:tc>
        <w:tc>
          <w:tcPr>
            <w:tcW w:w="1255" w:type="dxa"/>
          </w:tcPr>
          <w:p w14:paraId="2BB334AC"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18</w:t>
            </w:r>
          </w:p>
        </w:tc>
        <w:tc>
          <w:tcPr>
            <w:tcW w:w="1255" w:type="dxa"/>
          </w:tcPr>
          <w:p w14:paraId="14F86D40"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0</w:t>
            </w:r>
          </w:p>
        </w:tc>
        <w:tc>
          <w:tcPr>
            <w:tcW w:w="1255" w:type="dxa"/>
          </w:tcPr>
          <w:p w14:paraId="1983DDA9"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18/36</w:t>
            </w:r>
          </w:p>
        </w:tc>
        <w:tc>
          <w:tcPr>
            <w:tcW w:w="1255" w:type="dxa"/>
          </w:tcPr>
          <w:p w14:paraId="72DB52B7"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50,00%</w:t>
            </w:r>
          </w:p>
        </w:tc>
      </w:tr>
    </w:tbl>
    <w:p w14:paraId="3ED29DCF" w14:textId="77777777" w:rsidR="00D24788" w:rsidRDefault="00D24788" w:rsidP="00E512F5">
      <w:pPr>
        <w:pStyle w:val="MDPARThesisBody"/>
        <w:rPr>
          <w:lang w:val="es-ES"/>
        </w:rPr>
      </w:pPr>
    </w:p>
    <w:p w14:paraId="30FCEAA9" w14:textId="77777777" w:rsidR="00E512F5" w:rsidRPr="00D24788" w:rsidRDefault="00E512F5" w:rsidP="00E512F5">
      <w:pPr>
        <w:pStyle w:val="MDPARThesisBody"/>
        <w:rPr>
          <w:lang w:val="es-ES"/>
        </w:rPr>
      </w:pPr>
      <w:r w:rsidRPr="00D24788">
        <w:rPr>
          <w:b/>
          <w:bCs/>
          <w:lang w:val="es-ES"/>
        </w:rPr>
        <w:t>Evidencia FR</w:t>
      </w:r>
      <w:r w:rsidR="00081562">
        <w:rPr>
          <w:b/>
          <w:bCs/>
          <w:lang w:val="es-ES"/>
        </w:rPr>
        <w:t>OZEN</w:t>
      </w:r>
      <w:r w:rsidRPr="00D24788">
        <w:rPr>
          <w:b/>
          <w:bCs/>
          <w:lang w:val="es-ES"/>
        </w:rPr>
        <w:t xml:space="preserve"> — MDPAR 2.3.0.</w:t>
      </w:r>
      <w:r w:rsidRPr="00D24788">
        <w:rPr>
          <w:lang w:val="es-ES"/>
        </w:rPr>
        <w:t xml:space="preserve"> Sobre 36 clasificaciones, GPT-5.6 Sol NONE obtiene 18 verdaderos positivos, 16 verdaderos negativos, 2 falsos positivos y ningún falso negativo: 34/36 correctas y ninguna salida inválida. Qwen3 4B non-thinking obtiene 18 verdaderos positivos, 0 verdaderos negativos, 18 falsos positivos y 0 falsos negativos. Ambos alcanzan sensibilidad del 100 %, pero Qwen presenta especificidad del 0 % en este contrato. Esta asimetría es el resultado sustantivo, no una diferencia anecdótica entre porcentajes agregados.</w:t>
      </w:r>
    </w:p>
    <w:p w14:paraId="71C334C7" w14:textId="77777777" w:rsidR="00E512F5" w:rsidRPr="00E512F5" w:rsidRDefault="006B1A89" w:rsidP="00E512F5">
      <w:pPr>
        <w:pStyle w:val="MDPARThesisBody"/>
        <w:rPr>
          <w:lang w:val="es-ES"/>
        </w:rPr>
      </w:pPr>
      <w:r w:rsidRPr="00880D29">
        <w:rPr>
          <w:b/>
          <w:lang w:val="es-ES"/>
        </w:rPr>
        <w:t xml:space="preserve">Tipos estructurales, observación y justificación. </w:t>
      </w:r>
      <w:r w:rsidRPr="00880D29">
        <w:rPr>
          <w:lang w:val="es-ES"/>
        </w:rPr>
        <w:t>La existencia formal de un tipo depende de la especificación del SCC; que esté manifestado en un estímulo es una cuestión del corpus; que un proveedor lo reconozca es una proposición empírica. Los 18 falsos positivos de Qwen, frente a los dos de Sol en esta campaña, hacen visible la diferencia entre detectar presencia y discriminar ausencia. La prueba mide adecuación observacional bajo un contrato concreto; ni el acierto crea el tipo ni el error del observador lo elimina. La certificación de la observación permanece fuera de la mera declaración del proveedor.</w:t>
      </w:r>
    </w:p>
    <w:p w14:paraId="68CC98E5" w14:textId="77777777" w:rsidR="00E512F5" w:rsidRPr="00A45FBF" w:rsidRDefault="00E512F5" w:rsidP="00E512F5">
      <w:pPr>
        <w:pStyle w:val="MDPARProfileH2"/>
        <w:spacing w:before="0" w:after="0" w:line="360" w:lineRule="auto"/>
        <w:ind w:firstLine="709"/>
        <w:jc w:val="both"/>
        <w:rPr>
          <w:lang w:val="es-ES"/>
        </w:rPr>
      </w:pPr>
    </w:p>
    <w:p w14:paraId="0C128AE5" w14:textId="77777777" w:rsidR="006F2537" w:rsidRPr="00880A7F" w:rsidRDefault="006B1A89" w:rsidP="00E512F5">
      <w:pPr>
        <w:pStyle w:val="MDPARProfileH1"/>
        <w:spacing w:before="0" w:after="0" w:line="360" w:lineRule="auto"/>
        <w:ind w:firstLine="709"/>
        <w:jc w:val="both"/>
        <w:outlineLvl w:val="1"/>
        <w:rPr>
          <w:sz w:val="24"/>
          <w:szCs w:val="20"/>
          <w:lang w:val="es-ES"/>
        </w:rPr>
      </w:pPr>
      <w:bookmarkStart w:id="130" w:name="_Toc242721966"/>
      <w:r w:rsidRPr="00880A7F">
        <w:rPr>
          <w:sz w:val="24"/>
          <w:szCs w:val="20"/>
          <w:lang w:val="es-ES"/>
        </w:rPr>
        <w:t>C2 — Structural Metrology</w:t>
      </w:r>
      <w:bookmarkEnd w:id="130"/>
    </w:p>
    <w:p w14:paraId="3E6736C7" w14:textId="77777777" w:rsidR="00E512F5" w:rsidRDefault="006B1A89" w:rsidP="00E512F5">
      <w:pPr>
        <w:pStyle w:val="MDPARThesisBody"/>
        <w:rPr>
          <w:lang w:val="es-ES"/>
        </w:rPr>
      </w:pPr>
      <w:r w:rsidRPr="00880D29">
        <w:rPr>
          <w:b/>
          <w:lang w:val="es-ES"/>
        </w:rPr>
        <w:t xml:space="preserve">El problema de medir una observación. </w:t>
      </w:r>
      <w:r w:rsidRPr="00880D29">
        <w:rPr>
          <w:lang w:val="es-ES"/>
        </w:rPr>
        <w:t>Una identificación puntual no basta para constituir un resultado metrológico. C2 separa la admisibilidad de una observación, su repetibilidad al reexaminar el mismo estímulo y la discriminación entre estímulos diferentes. Su proposición contrastable exige conservar estas magnitudes de manera independiente, incluidos los casos en los que no existe base admisible para medir.</w:t>
      </w:r>
    </w:p>
    <w:p w14:paraId="18AD43FE" w14:textId="77777777" w:rsidR="006F2537" w:rsidRDefault="006B1A89" w:rsidP="00E512F5">
      <w:pPr>
        <w:pStyle w:val="MDPARThesisBody"/>
        <w:rPr>
          <w:lang w:val="es-ES"/>
        </w:rPr>
      </w:pPr>
      <w:r w:rsidRPr="00880D29">
        <w:rPr>
          <w:b/>
          <w:lang w:val="es-ES"/>
        </w:rPr>
        <w:t xml:space="preserve">La realización experimental. </w:t>
      </w:r>
      <w:r w:rsidRPr="00880D29">
        <w:rPr>
          <w:lang w:val="es-ES"/>
        </w:rPr>
        <w:t>El protocolo C2_STRUCTURAL_METROLOGY_V2 utiliza doce casos con dos observaciones por caso y seis contrastes. El grounding determinista exige anclaje exacto al source_text; los registros inválidos no se corrigen retrospectivamente y UNEVALUABLE no se sustituye por una respuesta negativa. La repetibilidad de estimabilidad y dirección se registra por separado de la repetibilidad completa.</w:t>
      </w:r>
    </w:p>
    <w:p w14:paraId="4A1616A1" w14:textId="77777777" w:rsidR="00D24788" w:rsidRPr="00E512F5" w:rsidRDefault="00D24788" w:rsidP="00E512F5">
      <w:pPr>
        <w:pStyle w:val="MDPARThesisBody"/>
        <w:rPr>
          <w:lang w:val="es-ES"/>
        </w:rPr>
      </w:pPr>
    </w:p>
    <w:tbl>
      <w:tblPr>
        <w:tblStyle w:val="Tablanormal2"/>
        <w:tblW w:w="0" w:type="auto"/>
        <w:tblLook w:val="04A0" w:firstRow="1" w:lastRow="0" w:firstColumn="1" w:lastColumn="0" w:noHBand="0" w:noVBand="1"/>
      </w:tblPr>
      <w:tblGrid>
        <w:gridCol w:w="2929"/>
        <w:gridCol w:w="2929"/>
        <w:gridCol w:w="2929"/>
      </w:tblGrid>
      <w:tr w:rsidR="00D24788" w:rsidRPr="00E306B6" w14:paraId="4C952027"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C6EF089" w14:textId="77777777" w:rsidR="00D24788" w:rsidRPr="00E306B6" w:rsidRDefault="00D24788" w:rsidP="00D24788">
            <w:pPr>
              <w:spacing w:line="240" w:lineRule="auto"/>
              <w:rPr>
                <w:sz w:val="16"/>
                <w:szCs w:val="20"/>
              </w:rPr>
            </w:pPr>
            <w:r w:rsidRPr="00E306B6">
              <w:rPr>
                <w:sz w:val="16"/>
                <w:szCs w:val="20"/>
              </w:rPr>
              <w:t>Métrica</w:t>
            </w:r>
          </w:p>
        </w:tc>
        <w:tc>
          <w:tcPr>
            <w:tcW w:w="2929" w:type="dxa"/>
          </w:tcPr>
          <w:p w14:paraId="570E8DA3" w14:textId="77777777" w:rsidR="00D24788" w:rsidRPr="00E306B6" w:rsidRDefault="00D24788" w:rsidP="00D24788">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Sol none</w:t>
            </w:r>
          </w:p>
        </w:tc>
        <w:tc>
          <w:tcPr>
            <w:tcW w:w="2929" w:type="dxa"/>
          </w:tcPr>
          <w:p w14:paraId="645C8632" w14:textId="77777777" w:rsidR="00D24788" w:rsidRPr="00E306B6" w:rsidRDefault="00D24788" w:rsidP="00D24788">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Qwen3 4B NT</w:t>
            </w:r>
          </w:p>
        </w:tc>
      </w:tr>
      <w:tr w:rsidR="00D24788" w:rsidRPr="00E306B6" w14:paraId="7D4E384A"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FFF58E7" w14:textId="77777777" w:rsidR="00D24788" w:rsidRPr="00E306B6" w:rsidRDefault="00D24788" w:rsidP="00D24788">
            <w:pPr>
              <w:spacing w:line="240" w:lineRule="auto"/>
              <w:rPr>
                <w:sz w:val="16"/>
                <w:szCs w:val="20"/>
              </w:rPr>
            </w:pPr>
            <w:r w:rsidRPr="00E306B6">
              <w:rPr>
                <w:sz w:val="16"/>
                <w:szCs w:val="20"/>
              </w:rPr>
              <w:t>Observaciones</w:t>
            </w:r>
          </w:p>
        </w:tc>
        <w:tc>
          <w:tcPr>
            <w:tcW w:w="2929" w:type="dxa"/>
          </w:tcPr>
          <w:p w14:paraId="52025C80"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24</w:t>
            </w:r>
          </w:p>
        </w:tc>
        <w:tc>
          <w:tcPr>
            <w:tcW w:w="2929" w:type="dxa"/>
          </w:tcPr>
          <w:p w14:paraId="3FA37863"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24</w:t>
            </w:r>
          </w:p>
        </w:tc>
      </w:tr>
      <w:tr w:rsidR="00D24788" w:rsidRPr="00E306B6" w14:paraId="2F19148A" w14:textId="77777777" w:rsidTr="00E306B6">
        <w:tc>
          <w:tcPr>
            <w:cnfStyle w:val="001000000000" w:firstRow="0" w:lastRow="0" w:firstColumn="1" w:lastColumn="0" w:oddVBand="0" w:evenVBand="0" w:oddHBand="0" w:evenHBand="0" w:firstRowFirstColumn="0" w:firstRowLastColumn="0" w:lastRowFirstColumn="0" w:lastRowLastColumn="0"/>
            <w:tcW w:w="2929" w:type="dxa"/>
          </w:tcPr>
          <w:p w14:paraId="3CD27647" w14:textId="77777777" w:rsidR="00D24788" w:rsidRPr="00E306B6" w:rsidRDefault="00D24788" w:rsidP="00D24788">
            <w:pPr>
              <w:spacing w:line="240" w:lineRule="auto"/>
              <w:rPr>
                <w:sz w:val="16"/>
                <w:szCs w:val="20"/>
              </w:rPr>
            </w:pPr>
            <w:r w:rsidRPr="00E306B6">
              <w:rPr>
                <w:sz w:val="16"/>
                <w:szCs w:val="20"/>
              </w:rPr>
              <w:t>Válidas</w:t>
            </w:r>
          </w:p>
        </w:tc>
        <w:tc>
          <w:tcPr>
            <w:tcW w:w="2929" w:type="dxa"/>
          </w:tcPr>
          <w:p w14:paraId="71106452"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21</w:t>
            </w:r>
          </w:p>
        </w:tc>
        <w:tc>
          <w:tcPr>
            <w:tcW w:w="2929" w:type="dxa"/>
          </w:tcPr>
          <w:p w14:paraId="1CE59886"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0</w:t>
            </w:r>
          </w:p>
        </w:tc>
      </w:tr>
      <w:tr w:rsidR="00D24788" w:rsidRPr="00E306B6" w14:paraId="06B53B98"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035AD06" w14:textId="77777777" w:rsidR="00D24788" w:rsidRPr="00E306B6" w:rsidRDefault="00D24788" w:rsidP="00D24788">
            <w:pPr>
              <w:spacing w:line="240" w:lineRule="auto"/>
              <w:rPr>
                <w:sz w:val="16"/>
                <w:szCs w:val="20"/>
              </w:rPr>
            </w:pPr>
            <w:r w:rsidRPr="00E306B6">
              <w:rPr>
                <w:sz w:val="16"/>
                <w:szCs w:val="20"/>
              </w:rPr>
              <w:t>Inválidas</w:t>
            </w:r>
          </w:p>
        </w:tc>
        <w:tc>
          <w:tcPr>
            <w:tcW w:w="2929" w:type="dxa"/>
          </w:tcPr>
          <w:p w14:paraId="563BB68A"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3</w:t>
            </w:r>
          </w:p>
        </w:tc>
        <w:tc>
          <w:tcPr>
            <w:tcW w:w="2929" w:type="dxa"/>
          </w:tcPr>
          <w:p w14:paraId="4BD6B39C"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24</w:t>
            </w:r>
          </w:p>
        </w:tc>
      </w:tr>
      <w:tr w:rsidR="00D24788" w:rsidRPr="00E306B6" w14:paraId="35EDC93D" w14:textId="77777777" w:rsidTr="00E306B6">
        <w:tc>
          <w:tcPr>
            <w:cnfStyle w:val="001000000000" w:firstRow="0" w:lastRow="0" w:firstColumn="1" w:lastColumn="0" w:oddVBand="0" w:evenVBand="0" w:oddHBand="0" w:evenHBand="0" w:firstRowFirstColumn="0" w:firstRowLastColumn="0" w:lastRowFirstColumn="0" w:lastRowLastColumn="0"/>
            <w:tcW w:w="2929" w:type="dxa"/>
          </w:tcPr>
          <w:p w14:paraId="71BBFA7A" w14:textId="77777777" w:rsidR="00D24788" w:rsidRPr="00E306B6" w:rsidRDefault="00D24788" w:rsidP="00D24788">
            <w:pPr>
              <w:spacing w:line="240" w:lineRule="auto"/>
              <w:rPr>
                <w:sz w:val="16"/>
                <w:szCs w:val="20"/>
              </w:rPr>
            </w:pPr>
            <w:r w:rsidRPr="00E306B6">
              <w:rPr>
                <w:sz w:val="16"/>
                <w:szCs w:val="20"/>
              </w:rPr>
              <w:t>Casos completamente repetibles</w:t>
            </w:r>
          </w:p>
        </w:tc>
        <w:tc>
          <w:tcPr>
            <w:tcW w:w="2929" w:type="dxa"/>
          </w:tcPr>
          <w:p w14:paraId="5385065E"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9/12</w:t>
            </w:r>
          </w:p>
        </w:tc>
        <w:tc>
          <w:tcPr>
            <w:tcW w:w="2929" w:type="dxa"/>
          </w:tcPr>
          <w:p w14:paraId="31521B4B"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0/12</w:t>
            </w:r>
          </w:p>
        </w:tc>
      </w:tr>
      <w:tr w:rsidR="00D24788" w:rsidRPr="00E306B6" w14:paraId="44FC1B98"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E4DFD73" w14:textId="77777777" w:rsidR="00D24788" w:rsidRPr="00E306B6" w:rsidRDefault="00D24788" w:rsidP="00D24788">
            <w:pPr>
              <w:spacing w:line="240" w:lineRule="auto"/>
              <w:rPr>
                <w:sz w:val="16"/>
                <w:szCs w:val="20"/>
              </w:rPr>
            </w:pPr>
            <w:r w:rsidRPr="00E306B6">
              <w:rPr>
                <w:sz w:val="16"/>
                <w:szCs w:val="20"/>
              </w:rPr>
              <w:t>Contrastes evaluables</w:t>
            </w:r>
          </w:p>
        </w:tc>
        <w:tc>
          <w:tcPr>
            <w:tcW w:w="2929" w:type="dxa"/>
          </w:tcPr>
          <w:p w14:paraId="1101323F"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5/6</w:t>
            </w:r>
          </w:p>
        </w:tc>
        <w:tc>
          <w:tcPr>
            <w:tcW w:w="2929" w:type="dxa"/>
          </w:tcPr>
          <w:p w14:paraId="75F14BF6" w14:textId="77777777" w:rsidR="00D24788" w:rsidRPr="00E306B6" w:rsidRDefault="00D24788" w:rsidP="00D2478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0/6</w:t>
            </w:r>
          </w:p>
        </w:tc>
      </w:tr>
      <w:tr w:rsidR="00D24788" w:rsidRPr="00E306B6" w14:paraId="1D541081" w14:textId="77777777" w:rsidTr="00E306B6">
        <w:tc>
          <w:tcPr>
            <w:cnfStyle w:val="001000000000" w:firstRow="0" w:lastRow="0" w:firstColumn="1" w:lastColumn="0" w:oddVBand="0" w:evenVBand="0" w:oddHBand="0" w:evenHBand="0" w:firstRowFirstColumn="0" w:firstRowLastColumn="0" w:lastRowFirstColumn="0" w:lastRowLastColumn="0"/>
            <w:tcW w:w="2929" w:type="dxa"/>
          </w:tcPr>
          <w:p w14:paraId="16BB808B" w14:textId="77777777" w:rsidR="00D24788" w:rsidRPr="00E306B6" w:rsidRDefault="00D24788" w:rsidP="00D24788">
            <w:pPr>
              <w:spacing w:line="240" w:lineRule="auto"/>
              <w:rPr>
                <w:sz w:val="16"/>
                <w:szCs w:val="20"/>
              </w:rPr>
            </w:pPr>
            <w:r w:rsidRPr="00E306B6">
              <w:rPr>
                <w:sz w:val="16"/>
                <w:szCs w:val="20"/>
              </w:rPr>
              <w:t>Contrastes discriminados</w:t>
            </w:r>
          </w:p>
        </w:tc>
        <w:tc>
          <w:tcPr>
            <w:tcW w:w="2929" w:type="dxa"/>
          </w:tcPr>
          <w:p w14:paraId="323F24AC"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5/5 evaluables</w:t>
            </w:r>
          </w:p>
        </w:tc>
        <w:tc>
          <w:tcPr>
            <w:tcW w:w="2929" w:type="dxa"/>
          </w:tcPr>
          <w:p w14:paraId="3B6E9B99" w14:textId="77777777" w:rsidR="00D24788" w:rsidRPr="00E306B6" w:rsidRDefault="00D24788" w:rsidP="00D2478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No adjudicable</w:t>
            </w:r>
          </w:p>
        </w:tc>
      </w:tr>
    </w:tbl>
    <w:p w14:paraId="3D09E920" w14:textId="77777777" w:rsidR="00D24788" w:rsidRDefault="00D24788" w:rsidP="00D24788">
      <w:pPr>
        <w:pStyle w:val="MDPARThesisBody"/>
        <w:ind w:firstLine="0"/>
        <w:rPr>
          <w:lang w:val="es-ES"/>
        </w:rPr>
      </w:pPr>
    </w:p>
    <w:p w14:paraId="4041364F" w14:textId="77777777" w:rsidR="00E512F5" w:rsidRPr="00D24788" w:rsidRDefault="00E512F5" w:rsidP="00E512F5">
      <w:pPr>
        <w:pStyle w:val="MDPARThesisBody"/>
        <w:rPr>
          <w:lang w:val="es-ES"/>
        </w:rPr>
      </w:pPr>
      <w:r w:rsidRPr="00D24788">
        <w:rPr>
          <w:b/>
          <w:bCs/>
          <w:lang w:val="es-ES"/>
        </w:rPr>
        <w:t>Evidencia FR</w:t>
      </w:r>
      <w:r w:rsidR="00081562">
        <w:rPr>
          <w:b/>
          <w:bCs/>
          <w:lang w:val="es-ES"/>
        </w:rPr>
        <w:t>OZEN</w:t>
      </w:r>
      <w:r w:rsidRPr="00D24788">
        <w:rPr>
          <w:b/>
          <w:bCs/>
          <w:lang w:val="es-ES"/>
        </w:rPr>
        <w:t xml:space="preserve"> — MDPAR 2.3.0.</w:t>
      </w:r>
      <w:r w:rsidRPr="00D24788">
        <w:rPr>
          <w:lang w:val="es-ES"/>
        </w:rPr>
        <w:t xml:space="preserve"> Sol NONE produce 21 observaciones válidas de 24; nueve de doce casos son completamente repetibles, diez repiten la estimabilidad y nueve la dirección. De seis contrastes, cinco resultan evaluables y los cinco quedan discriminados; uno permanece UNEVALUABLE. Las tres observaciones inválidas se conservan como fallos de contrato. Qwen3 4B non-thinking produce 0/24 observaciones admisibles: las 24 incumplen el anclaje exacto al source_text y los seis contrastes permanecen UNEVALUABLE. No es un resultado de «cero capacidad estructural», sino la identificación de una frontera de admisión bajo este contrato.</w:t>
      </w:r>
    </w:p>
    <w:p w14:paraId="20CD4BB1" w14:textId="77777777" w:rsidR="006F2537" w:rsidRPr="00A45FBF" w:rsidRDefault="006B1A89" w:rsidP="00E512F5">
      <w:pPr>
        <w:pStyle w:val="MDPARThesisBody"/>
        <w:rPr>
          <w:lang w:val="es-ES"/>
        </w:rPr>
      </w:pPr>
      <w:r w:rsidRPr="00880D29">
        <w:rPr>
          <w:b/>
          <w:lang w:val="es-ES"/>
        </w:rPr>
        <w:t xml:space="preserve">Admisibilidad, repetibilidad y conocimiento medible. </w:t>
      </w:r>
      <w:r w:rsidRPr="00880D29">
        <w:rPr>
          <w:lang w:val="es-ES"/>
        </w:rPr>
        <w:t xml:space="preserve">El anclaje al texto fuente es una condición operacional de admisibilidad, no una garantía universal de verdad semántica. Las 21 observaciones válidas de Sol permiten estimar repetibilidad y discriminación dentro del diseño congelado; las tres inválidas restringen ese conjunto. Las 24 observaciones no admisibles de Qwen no autorizan una tasa de discriminación igual a cero: los seis contrastes quedan UNEVALUABLE. Esta distinción evita transformar </w:t>
      </w:r>
      <w:r w:rsidRPr="00880D29">
        <w:rPr>
          <w:lang w:val="es-ES"/>
        </w:rPr>
        <w:lastRenderedPageBreak/>
        <w:t>ausencia de evidencia medible en evidencia de ausencia. Dos repeticiones describen este diseño, no toda la distribución estocástica de los proveedores.</w:t>
      </w:r>
    </w:p>
    <w:p w14:paraId="7EDD9AB7" w14:textId="77777777" w:rsidR="00880A7F" w:rsidRPr="00B20A9B" w:rsidRDefault="00880A7F" w:rsidP="00880A7F">
      <w:pPr>
        <w:pStyle w:val="MDPARThesisBody"/>
        <w:rPr>
          <w:lang w:val="es-ES"/>
        </w:rPr>
      </w:pPr>
    </w:p>
    <w:p w14:paraId="16856162" w14:textId="77777777" w:rsidR="006F2537" w:rsidRPr="00880A7F" w:rsidRDefault="006B1A89" w:rsidP="00880A7F">
      <w:pPr>
        <w:pStyle w:val="MDPARProfileH1"/>
        <w:spacing w:before="0" w:after="0" w:line="360" w:lineRule="auto"/>
        <w:ind w:firstLine="709"/>
        <w:jc w:val="both"/>
        <w:outlineLvl w:val="1"/>
        <w:rPr>
          <w:sz w:val="24"/>
          <w:szCs w:val="20"/>
          <w:lang w:val="es-ES"/>
        </w:rPr>
      </w:pPr>
      <w:bookmarkStart w:id="131" w:name="_Toc242721967"/>
      <w:r w:rsidRPr="00880A7F">
        <w:rPr>
          <w:sz w:val="24"/>
          <w:szCs w:val="20"/>
          <w:lang w:val="es-ES"/>
        </w:rPr>
        <w:t xml:space="preserve">C3 — Structural Calculus </w:t>
      </w:r>
      <w:r w:rsidR="00880A7F">
        <w:rPr>
          <w:sz w:val="24"/>
          <w:szCs w:val="20"/>
          <w:lang w:val="es-ES"/>
        </w:rPr>
        <w:t>y</w:t>
      </w:r>
      <w:r w:rsidRPr="00880A7F">
        <w:rPr>
          <w:sz w:val="24"/>
          <w:szCs w:val="20"/>
          <w:lang w:val="es-ES"/>
        </w:rPr>
        <w:t xml:space="preserve"> Directional Continuity</w:t>
      </w:r>
      <w:bookmarkEnd w:id="131"/>
    </w:p>
    <w:p w14:paraId="15F5ACAB" w14:textId="77777777" w:rsidR="00880A7F" w:rsidRDefault="006B1A89" w:rsidP="00880A7F">
      <w:pPr>
        <w:pStyle w:val="MDPARThesisBody"/>
        <w:rPr>
          <w:lang w:val="es-ES"/>
        </w:rPr>
      </w:pPr>
      <w:r w:rsidRPr="00880D29">
        <w:rPr>
          <w:b/>
          <w:lang w:val="es-ES"/>
        </w:rPr>
        <w:t xml:space="preserve">Del objeto estructural a sus operaciones calculables. </w:t>
      </w:r>
      <w:r w:rsidRPr="00880D29">
        <w:rPr>
          <w:lang w:val="es-ES"/>
        </w:rPr>
        <w:t>C1 identifica manifestaciones y C2 determina qué observaciones son medibles; C3 pregunta qué puede calcularse una vez constituida una representación admisible. Su objeto son propiedades y relaciones formalizadas del SCC. La hipótesis operacional es que su implementación produzca los resultados esperados ante casos y reconfiguraciones controladas, sin recurrir a inferencia neuronal para decidir el valor formal.</w:t>
      </w:r>
    </w:p>
    <w:p w14:paraId="0CEDDB37" w14:textId="77777777" w:rsidR="006F2537" w:rsidRDefault="006B1A89" w:rsidP="00880A7F">
      <w:pPr>
        <w:pStyle w:val="MDPARThesisBody"/>
        <w:rPr>
          <w:lang w:val="es-ES"/>
        </w:rPr>
      </w:pPr>
      <w:r w:rsidRPr="00880D29">
        <w:rPr>
          <w:b/>
          <w:lang w:val="es-ES"/>
        </w:rPr>
        <w:t xml:space="preserve">La realización experimental. </w:t>
      </w:r>
      <w:r w:rsidRPr="00880D29">
        <w:rPr>
          <w:lang w:val="es-ES"/>
        </w:rPr>
        <w:t>Structural Calculus examina topologías de cierre, bandas orbitales, equivalencia radial y pseudodistancia, incluidos probes de reconfiguración. Directional Continuity somete a contraste persistencia, reanclaje, pérdida de anclajes y aislamiento entre interacciones. El gold es el resultado del contrato formal aplicado a la representación, no una explicación textual producida por un modelo.</w:t>
      </w:r>
    </w:p>
    <w:p w14:paraId="1BFF7E36" w14:textId="77777777" w:rsidR="00D24788" w:rsidRPr="00880A7F" w:rsidRDefault="00D24788" w:rsidP="00880A7F">
      <w:pPr>
        <w:pStyle w:val="MDPARThesisBody"/>
        <w:rPr>
          <w:lang w:val="es-ES"/>
        </w:rPr>
      </w:pPr>
    </w:p>
    <w:tbl>
      <w:tblPr>
        <w:tblStyle w:val="Tablanormal2"/>
        <w:tblW w:w="0" w:type="auto"/>
        <w:tblLook w:val="04A0" w:firstRow="1" w:lastRow="0" w:firstColumn="1" w:lastColumn="0" w:noHBand="0" w:noVBand="1"/>
      </w:tblPr>
      <w:tblGrid>
        <w:gridCol w:w="2197"/>
        <w:gridCol w:w="2197"/>
        <w:gridCol w:w="2197"/>
        <w:gridCol w:w="2197"/>
      </w:tblGrid>
      <w:tr w:rsidR="00D24788" w:rsidRPr="002F4F30" w14:paraId="73C5F633"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3999E0E" w14:textId="77777777" w:rsidR="00D24788" w:rsidRPr="00E306B6" w:rsidRDefault="00D24788" w:rsidP="00B2057D">
            <w:pPr>
              <w:spacing w:line="240" w:lineRule="auto"/>
              <w:rPr>
                <w:sz w:val="16"/>
                <w:szCs w:val="20"/>
              </w:rPr>
            </w:pPr>
            <w:r w:rsidRPr="00E306B6">
              <w:rPr>
                <w:sz w:val="16"/>
                <w:szCs w:val="20"/>
              </w:rPr>
              <w:t>Instrumento</w:t>
            </w:r>
          </w:p>
        </w:tc>
        <w:tc>
          <w:tcPr>
            <w:tcW w:w="2197" w:type="dxa"/>
          </w:tcPr>
          <w:p w14:paraId="27516105" w14:textId="77777777" w:rsidR="00D24788" w:rsidRPr="00E306B6" w:rsidRDefault="00D24788" w:rsidP="00B2057D">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Casos/pasos</w:t>
            </w:r>
          </w:p>
        </w:tc>
        <w:tc>
          <w:tcPr>
            <w:tcW w:w="2197" w:type="dxa"/>
          </w:tcPr>
          <w:p w14:paraId="7803BFCD" w14:textId="77777777" w:rsidR="00D24788" w:rsidRPr="00E306B6" w:rsidRDefault="00D24788" w:rsidP="00B2057D">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Exactos</w:t>
            </w:r>
          </w:p>
        </w:tc>
        <w:tc>
          <w:tcPr>
            <w:tcW w:w="2197" w:type="dxa"/>
          </w:tcPr>
          <w:p w14:paraId="42E20426" w14:textId="77777777" w:rsidR="00D24788" w:rsidRPr="00E306B6" w:rsidRDefault="00D24788" w:rsidP="00B2057D">
            <w:pPr>
              <w:spacing w:line="240" w:lineRule="auto"/>
              <w:cnfStyle w:val="100000000000" w:firstRow="1" w:lastRow="0" w:firstColumn="0" w:lastColumn="0" w:oddVBand="0" w:evenVBand="0" w:oddHBand="0" w:evenHBand="0" w:firstRowFirstColumn="0" w:firstRowLastColumn="0" w:lastRowFirstColumn="0" w:lastRowLastColumn="0"/>
              <w:rPr>
                <w:sz w:val="16"/>
                <w:szCs w:val="20"/>
                <w:lang w:val="es-ES"/>
              </w:rPr>
            </w:pPr>
            <w:r w:rsidRPr="00E306B6">
              <w:rPr>
                <w:sz w:val="16"/>
                <w:szCs w:val="20"/>
                <w:lang w:val="es-ES"/>
              </w:rPr>
              <w:t>Neural calls para resultado formal</w:t>
            </w:r>
          </w:p>
        </w:tc>
      </w:tr>
      <w:tr w:rsidR="00D24788" w:rsidRPr="00E306B6" w14:paraId="7837DE8B"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C82FEE9" w14:textId="77777777" w:rsidR="00D24788" w:rsidRPr="00E306B6" w:rsidRDefault="00D24788" w:rsidP="00B2057D">
            <w:pPr>
              <w:spacing w:line="240" w:lineRule="auto"/>
              <w:rPr>
                <w:sz w:val="16"/>
                <w:szCs w:val="20"/>
              </w:rPr>
            </w:pPr>
            <w:r w:rsidRPr="00E306B6">
              <w:rPr>
                <w:sz w:val="16"/>
                <w:szCs w:val="20"/>
              </w:rPr>
              <w:t>Structural Calculus</w:t>
            </w:r>
          </w:p>
        </w:tc>
        <w:tc>
          <w:tcPr>
            <w:tcW w:w="2197" w:type="dxa"/>
          </w:tcPr>
          <w:p w14:paraId="1879F834" w14:textId="77777777" w:rsidR="00D24788" w:rsidRPr="00E306B6" w:rsidRDefault="00D24788" w:rsidP="00B2057D">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9 casos + 6 probes</w:t>
            </w:r>
          </w:p>
        </w:tc>
        <w:tc>
          <w:tcPr>
            <w:tcW w:w="2197" w:type="dxa"/>
          </w:tcPr>
          <w:p w14:paraId="1A33A847" w14:textId="77777777" w:rsidR="00D24788" w:rsidRPr="00E306B6" w:rsidRDefault="00D24788" w:rsidP="00B2057D">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9/9 + 6/6</w:t>
            </w:r>
          </w:p>
        </w:tc>
        <w:tc>
          <w:tcPr>
            <w:tcW w:w="2197" w:type="dxa"/>
          </w:tcPr>
          <w:p w14:paraId="4ACB66E9" w14:textId="77777777" w:rsidR="00D24788" w:rsidRPr="00E306B6" w:rsidRDefault="00D24788" w:rsidP="00B2057D">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0</w:t>
            </w:r>
          </w:p>
        </w:tc>
      </w:tr>
      <w:tr w:rsidR="00D24788" w:rsidRPr="00E306B6" w14:paraId="3F8145F1" w14:textId="77777777" w:rsidTr="00E306B6">
        <w:tc>
          <w:tcPr>
            <w:cnfStyle w:val="001000000000" w:firstRow="0" w:lastRow="0" w:firstColumn="1" w:lastColumn="0" w:oddVBand="0" w:evenVBand="0" w:oddHBand="0" w:evenHBand="0" w:firstRowFirstColumn="0" w:firstRowLastColumn="0" w:lastRowFirstColumn="0" w:lastRowLastColumn="0"/>
            <w:tcW w:w="2197" w:type="dxa"/>
          </w:tcPr>
          <w:p w14:paraId="12617BE6" w14:textId="77777777" w:rsidR="00D24788" w:rsidRPr="00E306B6" w:rsidRDefault="00D24788" w:rsidP="00B2057D">
            <w:pPr>
              <w:spacing w:line="240" w:lineRule="auto"/>
              <w:rPr>
                <w:sz w:val="16"/>
                <w:szCs w:val="20"/>
              </w:rPr>
            </w:pPr>
            <w:r w:rsidRPr="00E306B6">
              <w:rPr>
                <w:sz w:val="16"/>
                <w:szCs w:val="20"/>
              </w:rPr>
              <w:t>Directional Continuity</w:t>
            </w:r>
          </w:p>
        </w:tc>
        <w:tc>
          <w:tcPr>
            <w:tcW w:w="2197" w:type="dxa"/>
          </w:tcPr>
          <w:p w14:paraId="40DAF4B5" w14:textId="77777777" w:rsidR="00D24788" w:rsidRPr="00E306B6" w:rsidRDefault="00D24788" w:rsidP="00B2057D">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16 pasos / 7 fenómenos</w:t>
            </w:r>
          </w:p>
        </w:tc>
        <w:tc>
          <w:tcPr>
            <w:tcW w:w="2197" w:type="dxa"/>
          </w:tcPr>
          <w:p w14:paraId="2AEA888A" w14:textId="77777777" w:rsidR="00D24788" w:rsidRPr="00E306B6" w:rsidRDefault="00D24788" w:rsidP="00B2057D">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16/16</w:t>
            </w:r>
          </w:p>
        </w:tc>
        <w:tc>
          <w:tcPr>
            <w:tcW w:w="2197" w:type="dxa"/>
          </w:tcPr>
          <w:p w14:paraId="0284E63C" w14:textId="77777777" w:rsidR="00D24788" w:rsidRPr="00E306B6" w:rsidRDefault="00D24788" w:rsidP="00B2057D">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0</w:t>
            </w:r>
          </w:p>
        </w:tc>
      </w:tr>
    </w:tbl>
    <w:p w14:paraId="5D650698" w14:textId="77777777" w:rsidR="00D24788" w:rsidRDefault="00D24788" w:rsidP="00B2057D">
      <w:pPr>
        <w:pStyle w:val="MDPARThesisBody"/>
        <w:ind w:firstLine="0"/>
        <w:rPr>
          <w:lang w:val="es-ES"/>
        </w:rPr>
      </w:pPr>
    </w:p>
    <w:p w14:paraId="07BAD01C" w14:textId="77777777" w:rsidR="007C7624" w:rsidRDefault="007C7624" w:rsidP="007C7624">
      <w:pPr>
        <w:pStyle w:val="MDPARThesisBody"/>
        <w:rPr>
          <w:lang w:val="es-ES"/>
        </w:rPr>
      </w:pPr>
      <w:r w:rsidRPr="00B2057D">
        <w:rPr>
          <w:b/>
          <w:bCs/>
          <w:lang w:val="es-ES"/>
        </w:rPr>
        <w:t xml:space="preserve">Evidencia </w:t>
      </w:r>
      <w:r w:rsidR="00081562">
        <w:rPr>
          <w:b/>
          <w:bCs/>
          <w:lang w:val="es-ES"/>
        </w:rPr>
        <w:t>FROZEN</w:t>
      </w:r>
      <w:r w:rsidRPr="00B2057D">
        <w:rPr>
          <w:b/>
          <w:bCs/>
          <w:lang w:val="es-ES"/>
        </w:rPr>
        <w:t xml:space="preserve"> — MDPAR 2.3.0.</w:t>
      </w:r>
      <w:r w:rsidRPr="00D24788">
        <w:rPr>
          <w:lang w:val="es-ES"/>
        </w:rPr>
        <w:t xml:space="preserve"> Structural Calculus resuelve exactamente 9/9 casos y 6/6 probes de reconfiguración. Directional Continuity resuelve exactamente 16/16 pasos distribuidos en siete fenómenos. La serie anterior ya conservaba los dieciséis pasos direccionales y v2.3.0 amplía el estrés de reconfiguración. En las operaciones formalizadas evaluadas, el cálculo estructural no necesita llamadas neuronales para obtener el resultado.</w:t>
      </w:r>
    </w:p>
    <w:p w14:paraId="24CE8250" w14:textId="77777777" w:rsidR="007C7624" w:rsidRDefault="006B1A89" w:rsidP="007C7624">
      <w:pPr>
        <w:pStyle w:val="MDPARThesisBody"/>
        <w:rPr>
          <w:b/>
          <w:bCs/>
          <w:lang w:val="es-ES"/>
        </w:rPr>
      </w:pPr>
      <w:r w:rsidRPr="00880D29">
        <w:rPr>
          <w:b/>
          <w:lang w:val="es-ES"/>
        </w:rPr>
        <w:t xml:space="preserve">Autonomía operacional de la estructura. </w:t>
      </w:r>
      <w:r w:rsidRPr="00880D29">
        <w:rPr>
          <w:lang w:val="es-ES"/>
        </w:rPr>
        <w:t>Ontológicamente, el SCC define objetos y relaciones sobre los que es posible efectuar operaciones sin reinterpretar cada vez el contenido de origen. Los 9/9 casos, 6/6 reconfiguraciones y 16/16 pasos aportan evidencia de conformidad computacional de las operaciones examinadas. No sustituyen la justificación matemática de las definiciones, que corresponde a la Parte II, ni acreditan por sí solos la adecuación de cualquier observación semántica inicial. La separación efectiva consiste en que el proveedor puede intervenir en la observación sin convertirse en calculador ni certificador de las propiedades ya formalizadas.</w:t>
      </w:r>
    </w:p>
    <w:p w14:paraId="2169FD1F" w14:textId="77777777" w:rsidR="007C7624" w:rsidRPr="007C7624" w:rsidRDefault="007C7624" w:rsidP="007C7624">
      <w:pPr>
        <w:ind w:firstLine="709"/>
        <w:jc w:val="both"/>
        <w:rPr>
          <w:b/>
          <w:lang w:val="es-ES"/>
        </w:rPr>
      </w:pPr>
    </w:p>
    <w:p w14:paraId="7A2061BB" w14:textId="77777777" w:rsidR="006F2537" w:rsidRPr="00880A7F" w:rsidRDefault="006B1A89" w:rsidP="00880A7F">
      <w:pPr>
        <w:pStyle w:val="MDPARProfileH1"/>
        <w:spacing w:before="0" w:after="0" w:line="360" w:lineRule="auto"/>
        <w:ind w:firstLine="709"/>
        <w:jc w:val="both"/>
        <w:outlineLvl w:val="1"/>
        <w:rPr>
          <w:sz w:val="24"/>
          <w:szCs w:val="20"/>
          <w:lang w:val="es-ES"/>
        </w:rPr>
      </w:pPr>
      <w:bookmarkStart w:id="132" w:name="_Toc242721968"/>
      <w:r w:rsidRPr="00880A7F">
        <w:rPr>
          <w:sz w:val="24"/>
          <w:szCs w:val="20"/>
          <w:lang w:val="es-ES"/>
        </w:rPr>
        <w:lastRenderedPageBreak/>
        <w:t>C4 — Structural Transformation and Invariance</w:t>
      </w:r>
      <w:bookmarkEnd w:id="132"/>
    </w:p>
    <w:p w14:paraId="47522A1C" w14:textId="77777777" w:rsidR="00880A7F" w:rsidRDefault="006B1A89" w:rsidP="00880A7F">
      <w:pPr>
        <w:pStyle w:val="MDPARThesisBody"/>
        <w:rPr>
          <w:lang w:val="es-ES"/>
        </w:rPr>
      </w:pPr>
      <w:r w:rsidRPr="00880D29">
        <w:rPr>
          <w:b/>
          <w:lang w:val="es-ES"/>
        </w:rPr>
        <w:t xml:space="preserve">El problema de permanecer a través del cambio. </w:t>
      </w:r>
      <w:r w:rsidRPr="00880D29">
        <w:rPr>
          <w:lang w:val="es-ES"/>
        </w:rPr>
        <w:t>La identidad exacta de una realización, la equivalencia estructural y la conservación de propiedades bajo transformación son relaciones distintas. C4 estudia qué permanece al cambiar léxico, orden, superficie o anclaje, y qué condiciones producen deriva, pérdida, recuperación o falta de evaluabilidad. Su proposición no es que toda traducción preserve estructura, sino que las condiciones y resultados de ese transporte puedan definirse, observarse y contrastarse.</w:t>
      </w:r>
    </w:p>
    <w:p w14:paraId="362652A8" w14:textId="77777777" w:rsidR="006F2537" w:rsidRPr="00B20A9B" w:rsidRDefault="006B1A89" w:rsidP="00880A7F">
      <w:pPr>
        <w:pStyle w:val="MDPARThesisBody"/>
        <w:rPr>
          <w:lang w:val="es-ES"/>
        </w:rPr>
      </w:pPr>
      <w:r w:rsidRPr="008577AB">
        <w:rPr>
          <w:b/>
          <w:bCs/>
          <w:lang w:val="es-ES"/>
        </w:rPr>
        <w:t>La realización técnica.</w:t>
      </w:r>
      <w:r w:rsidRPr="00D24788">
        <w:rPr>
          <w:lang w:val="es-ES"/>
        </w:rPr>
        <w:t xml:space="preserve"> La campaña congelada combina cuatro instrumentos complementarios. Permutation Realization (PR) produce realizaciones bajo distintos anclajes; Permutation Re-identification (RI) vuelve a observar realizaciones inmutables; Translation Invariance (TI) conserva historias de transporte entre saltos; Translation Attribution (TA) examina cómo las condiciones de anclaje modifican las sendas obtenidas. No son cuatro puntuaciones de una misma tarea: separan construcción, re</w:t>
      </w:r>
      <w:r w:rsidR="008577AB">
        <w:rPr>
          <w:lang w:val="es-ES"/>
        </w:rPr>
        <w:t>-</w:t>
      </w:r>
      <w:r w:rsidRPr="00D24788">
        <w:rPr>
          <w:lang w:val="es-ES"/>
        </w:rPr>
        <w:t>observación, transporte longitudinal y atribución experimental.</w:t>
      </w:r>
    </w:p>
    <w:p w14:paraId="773DD2BE" w14:textId="77777777" w:rsidR="006F2537" w:rsidRPr="00B20A9B" w:rsidRDefault="006B1A89" w:rsidP="00E512F5">
      <w:pPr>
        <w:pStyle w:val="MDPARThesisBody"/>
        <w:rPr>
          <w:lang w:val="es-ES"/>
        </w:rPr>
      </w:pPr>
      <w:r w:rsidRPr="008577AB">
        <w:rPr>
          <w:b/>
          <w:bCs/>
          <w:lang w:val="es-ES"/>
        </w:rPr>
        <w:t>C4-PR — realización.</w:t>
      </w:r>
      <w:r w:rsidRPr="00D24788">
        <w:rPr>
          <w:lang w:val="es-ES"/>
        </w:rPr>
        <w:t xml:space="preserve"> Sobre nueve probes y cuatro condiciones se obtienen 36 registros por proveedor. Sol NONE completa 36/36: 27 evaluables y 9 UNEVALUABLE. La cobertura por condición es 8/9 para DIRECTION_ONLY, 4/9 para TARGET_SCC, 7/9 para PERMUTATION_SURFACE y 8/9 para CONTRACT_WITNESS. Qwen completa 36/36 registros, pero los 36 son UNEVALUABLE por grounding no admisible. La ausencia de identidad exacta con el target en las condiciones de Sol no anula la transformación: indica que identidad de estados y transporte de propiedades son criterios distintos.</w:t>
      </w:r>
    </w:p>
    <w:p w14:paraId="19CAA974" w14:textId="77777777" w:rsidR="006F2537" w:rsidRPr="00B20A9B" w:rsidRDefault="006B1A89" w:rsidP="00E512F5">
      <w:pPr>
        <w:pStyle w:val="MDPARThesisBody"/>
        <w:rPr>
          <w:lang w:val="es-ES"/>
        </w:rPr>
      </w:pPr>
      <w:r w:rsidRPr="008577AB">
        <w:rPr>
          <w:b/>
          <w:bCs/>
          <w:lang w:val="es-ES"/>
        </w:rPr>
        <w:t>C4-RI — re</w:t>
      </w:r>
      <w:r w:rsidR="008577AB" w:rsidRPr="008577AB">
        <w:rPr>
          <w:b/>
          <w:bCs/>
          <w:lang w:val="es-ES"/>
        </w:rPr>
        <w:t>-</w:t>
      </w:r>
      <w:r w:rsidRPr="008577AB">
        <w:rPr>
          <w:b/>
          <w:bCs/>
          <w:lang w:val="es-ES"/>
        </w:rPr>
        <w:t>identificación.</w:t>
      </w:r>
      <w:r w:rsidRPr="00D24788">
        <w:rPr>
          <w:lang w:val="es-ES"/>
        </w:rPr>
        <w:t xml:space="preserve"> Se someten seis realizaciones inmutables de Sol NONE a tres observaciones independientes cada una: 18 observaciones, 17 válidas y una inválida. Cinco registros son plenamente evaluables; dos resultan completamente estables y tres inestables. Ningún target original se recupera al menos una vez; dos registros reproducen en las tres repeticiones la huella observada tras la realización. La re</w:t>
      </w:r>
      <w:r w:rsidR="008577AB">
        <w:rPr>
          <w:lang w:val="es-ES"/>
        </w:rPr>
        <w:t>-</w:t>
      </w:r>
      <w:r w:rsidRPr="00D24788">
        <w:rPr>
          <w:lang w:val="es-ES"/>
        </w:rPr>
        <w:t>identificación mide estabilidad de observación, no decide por sí misma identidad semántica.</w:t>
      </w:r>
    </w:p>
    <w:p w14:paraId="0ED3864F" w14:textId="77777777" w:rsidR="00880A7F" w:rsidRDefault="006B1A89" w:rsidP="00880A7F">
      <w:pPr>
        <w:pStyle w:val="MDPARThesisBody"/>
        <w:rPr>
          <w:lang w:val="es-ES"/>
        </w:rPr>
      </w:pPr>
      <w:r w:rsidRPr="008577AB">
        <w:rPr>
          <w:b/>
          <w:bCs/>
          <w:lang w:val="es-ES"/>
        </w:rPr>
        <w:t>C4-TI — transporte longitudinal.</w:t>
      </w:r>
      <w:r w:rsidRPr="00D24788">
        <w:rPr>
          <w:lang w:val="es-ES"/>
        </w:rPr>
        <w:t xml:space="preserve"> En Sol NONE se completan cuatro de doce casos y cinco quedan parciales; se registran 91 saltos y 42 pares comparables. Entre los cuatro casos finales comparables aparecen una ventaja Pareto de LLM+MDPAR, una de LLM-only y dos empates exactos; por salto, diez ventajas LLM+MDPAR, nueve LLM-</w:t>
      </w:r>
      <w:r w:rsidRPr="00D24788">
        <w:rPr>
          <w:lang w:val="es-ES"/>
        </w:rPr>
        <w:lastRenderedPageBreak/>
        <w:t>only, veintiún empates y dos incomparables. CORE conserva 847 PRESERVED, 314 DRIFTED y 79 RECOVERED en LLM+MDPAR, frente a 851, 263 y 206, respectivamente, en LLM-only. Son frecuencias de historias estructurales, no un veredicto semántico agregado. Qwen no inicia saltos en los doce casos por incumplimiento del grounding inicial.</w:t>
      </w:r>
    </w:p>
    <w:p w14:paraId="63D43CE5" w14:textId="77777777" w:rsidR="006F2537" w:rsidRPr="00A45FBF" w:rsidRDefault="006B1A89" w:rsidP="00880A7F">
      <w:pPr>
        <w:pStyle w:val="MDPARThesisBody"/>
        <w:rPr>
          <w:lang w:val="es-ES"/>
        </w:rPr>
      </w:pPr>
      <w:r w:rsidRPr="008577AB">
        <w:rPr>
          <w:b/>
          <w:bCs/>
          <w:lang w:val="es-ES"/>
        </w:rPr>
        <w:t>C4-TA — atribución.</w:t>
      </w:r>
      <w:r w:rsidRPr="00D24788">
        <w:rPr>
          <w:lang w:val="es-ES"/>
        </w:rPr>
        <w:t xml:space="preserve"> El diseño comprende doce casos bajo cinco condiciones, sesenta cadenas en total. Sol completa veintidós y falla treinta y ocho; DIRECTIONAL_STATE_ANCHOR permite evaluar seis de doce casos y las otras condiciones cuatro de doce cada una. Las comparaciones contienen ventajas en ambos sentidos, empates e incomparabilidades: los anclajes modifican la trayectoria observada sin producir una jerarquía monotónica. Qwen completa cero de sesenta cadenas bajo el contrato de grounding vigente.</w:t>
      </w:r>
    </w:p>
    <w:p w14:paraId="6030FFDF" w14:textId="77777777" w:rsidR="00880A7F" w:rsidRDefault="006B1A89" w:rsidP="00880A7F">
      <w:pPr>
        <w:pStyle w:val="MDPARThesisBody"/>
        <w:rPr>
          <w:lang w:val="es-ES"/>
        </w:rPr>
      </w:pPr>
      <w:r w:rsidRPr="00880D29">
        <w:rPr>
          <w:b/>
          <w:lang w:val="es-ES"/>
        </w:rPr>
        <w:t xml:space="preserve">Identidad, equivalencia e invariancia: qué permanece y qué podemos afirmar. </w:t>
      </w:r>
      <w:r w:rsidRPr="00880D29">
        <w:rPr>
          <w:lang w:val="es-ES"/>
        </w:rPr>
        <w:t>PR examina la construcción de realizaciones; RI vuelve a observar realizaciones inmutables para estimar estabilidad; TI registra la historia del transporte entre saltos; TA contrasta la influencia de los anclajes. Ontológicamente, estas pruebas distinguen identidad de estado, correspondencia entre realizaciones y conservación de una propiedad. Epistemológicamente, sus evidencias autorizan afirmaciones distintas: construir una senda no demuestra su reidentificación estable, y reidentificarla no demuestra que una propiedad se transporte en todos los saltos. Los targets no recuperados de RI, los casos parciales de TI, las cadenas fallidas de TA y los estados UNEVALUABLE delimitan el dominio observado. C4 aporta operaciones y medición de transformaciones; la búsqueda constructiva y verificación de trayectorias candidatas se reserva para C13.</w:t>
      </w:r>
    </w:p>
    <w:p w14:paraId="52D4F051" w14:textId="77777777" w:rsidR="00880A7F" w:rsidRPr="00BE339A" w:rsidRDefault="00880A7F" w:rsidP="00BE339A">
      <w:pPr>
        <w:pStyle w:val="MDPARThesisBody"/>
        <w:rPr>
          <w:sz w:val="22"/>
          <w:szCs w:val="20"/>
          <w:lang w:val="es-ES"/>
        </w:rPr>
      </w:pPr>
    </w:p>
    <w:p w14:paraId="4E143941" w14:textId="77777777" w:rsidR="00605A46" w:rsidRPr="00BE339A" w:rsidRDefault="009460F9" w:rsidP="00BE339A">
      <w:pPr>
        <w:pStyle w:val="MDPARProfileH1"/>
        <w:spacing w:before="0" w:after="0" w:line="360" w:lineRule="auto"/>
        <w:ind w:firstLine="709"/>
        <w:jc w:val="both"/>
        <w:outlineLvl w:val="1"/>
        <w:rPr>
          <w:sz w:val="24"/>
          <w:szCs w:val="20"/>
          <w:lang w:val="es-ES"/>
        </w:rPr>
      </w:pPr>
      <w:bookmarkStart w:id="133" w:name="_Toc242721969"/>
      <w:r w:rsidRPr="00BE339A">
        <w:rPr>
          <w:sz w:val="24"/>
          <w:szCs w:val="20"/>
          <w:lang w:val="es-ES"/>
        </w:rPr>
        <w:t>C5 — Contextual Cooperation</w:t>
      </w:r>
      <w:bookmarkEnd w:id="133"/>
    </w:p>
    <w:p w14:paraId="78E546AE" w14:textId="77777777" w:rsidR="00605A46" w:rsidRPr="00BE339A" w:rsidRDefault="00BE339A">
      <w:pPr>
        <w:pStyle w:val="MDPARThesisBody"/>
        <w:rPr>
          <w:lang w:val="es-ES"/>
        </w:rPr>
      </w:pPr>
      <w:r w:rsidRPr="00880D29">
        <w:rPr>
          <w:b/>
          <w:lang w:val="es-ES"/>
        </w:rPr>
        <w:t xml:space="preserve">Comprender una dirección no equivale a poder realizarla. </w:t>
      </w:r>
      <w:r w:rsidRPr="00880D29">
        <w:rPr>
          <w:lang w:val="es-ES"/>
        </w:rPr>
        <w:t>C5 examina el paso de una observación semántica contextual a una decisión estructural. Contextual Direction (CD) evalúa si se identifica la dirección preferida; Contextual Adaptation (CA) evalúa si, dada esa propuesta, corresponde conservarla, permutarla o declarar indisponible la adaptación. La hipótesis exige separar acierto interpretativo, disponibilidad estructural y realización efectiva: ninguno de estos resultados debe sustituir a los otros.</w:t>
      </w:r>
    </w:p>
    <w:p w14:paraId="0ED579C6" w14:textId="77777777" w:rsidR="00DA02B3" w:rsidRPr="00880D29" w:rsidRDefault="00EC169F">
      <w:pPr>
        <w:pStyle w:val="MDPARThesisBody"/>
        <w:rPr>
          <w:lang w:val="es-ES"/>
        </w:rPr>
      </w:pPr>
      <w:r w:rsidRPr="00880D29">
        <w:rPr>
          <w:b/>
          <w:lang w:val="es-ES"/>
        </w:rPr>
        <w:t xml:space="preserve">La realización experimental: dirección y adaptación. </w:t>
      </w:r>
      <w:r w:rsidRPr="00880D29">
        <w:rPr>
          <w:lang w:val="es-ES"/>
        </w:rPr>
        <w:t xml:space="preserve">Cada instrumento contiene 24 checkpoints. La exactitud se calcula únicamente sobre los checkpoints evaluables y la cobertura sobre el total; la censura posterior a un fallo directo se conserva como tal. En </w:t>
      </w:r>
      <w:r w:rsidRPr="00880D29">
        <w:rPr>
          <w:lang w:val="es-ES"/>
        </w:rPr>
        <w:lastRenderedPageBreak/>
        <w:t>CA, KEEP, PERMUTE y UNAVAILABLE describen decisiones de disponibilidad diferentes, y los compromisos efectivos se someten a verificación de salida. El contrato permite localizar tanto el desacuerdo de dirección como el fallo que impide llegar a una transformación verificable.</w:t>
      </w:r>
    </w:p>
    <w:p w14:paraId="2EAD5E72" w14:textId="77777777" w:rsidR="00605A46" w:rsidRDefault="00BE339A">
      <w:pPr>
        <w:pStyle w:val="MDPARThesisBody"/>
        <w:rPr>
          <w:lang w:val="es-ES"/>
        </w:rPr>
      </w:pPr>
      <w:r w:rsidRPr="00D24788">
        <w:rPr>
          <w:b/>
          <w:bCs/>
          <w:lang w:val="es-ES"/>
        </w:rPr>
        <w:t xml:space="preserve">Evidencia </w:t>
      </w:r>
      <w:r w:rsidR="00081562">
        <w:rPr>
          <w:b/>
          <w:bCs/>
          <w:lang w:val="es-ES"/>
        </w:rPr>
        <w:t>FROZEN</w:t>
      </w:r>
      <w:r w:rsidRPr="00D24788">
        <w:rPr>
          <w:b/>
          <w:bCs/>
          <w:lang w:val="es-ES"/>
        </w:rPr>
        <w:t xml:space="preserve"> — MDPAR 2.3.0.</w:t>
      </w:r>
      <w:r w:rsidRPr="00D24788">
        <w:rPr>
          <w:lang w:val="es-ES"/>
        </w:rPr>
        <w:t xml:space="preserve"> </w:t>
      </w:r>
      <w:r w:rsidR="009460F9" w:rsidRPr="00BE339A">
        <w:rPr>
          <w:lang w:val="es-ES"/>
        </w:rPr>
        <w:t>La ejecución congelada de v2.3.0 comprende 24 checkpoints en cada instrumento. CD dispone de 14 evaluables, con 13 coincidencias exactas (92,86 % condicional); CA dispone también de 14 evaluables, de los que 11 identifican correctamente la dirección preferida (78,57 % condicional). En ambos instrumentos quedan diez checkpoints no evaluables: cinco fallos directos y cinco censuras posteriores. La cobertura de cada instrumento es del 58,33 %, y no debe confundirse con su exactitud condicionada.</w:t>
      </w:r>
    </w:p>
    <w:p w14:paraId="4C0D1A1F" w14:textId="77777777" w:rsidR="00BE339A" w:rsidRPr="00BE339A" w:rsidRDefault="00BE339A">
      <w:pPr>
        <w:pStyle w:val="MDPARThesisBody"/>
        <w:rPr>
          <w:lang w:val="es-ES"/>
        </w:rPr>
      </w:pPr>
    </w:p>
    <w:tbl>
      <w:tblPr>
        <w:tblStyle w:val="Tablanormal2"/>
        <w:tblW w:w="0" w:type="auto"/>
        <w:tblLayout w:type="fixed"/>
        <w:tblLook w:val="04A0" w:firstRow="1" w:lastRow="0" w:firstColumn="1" w:lastColumn="0" w:noHBand="0" w:noVBand="1"/>
      </w:tblPr>
      <w:tblGrid>
        <w:gridCol w:w="2041"/>
        <w:gridCol w:w="1701"/>
        <w:gridCol w:w="2154"/>
        <w:gridCol w:w="3061"/>
      </w:tblGrid>
      <w:tr w:rsidR="00605A46" w:rsidRPr="00E306B6" w14:paraId="36395B1A"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2DB007E1" w14:textId="77777777" w:rsidR="00605A46" w:rsidRPr="00E306B6" w:rsidRDefault="009460F9" w:rsidP="00BE339A">
            <w:pPr>
              <w:spacing w:line="240" w:lineRule="auto"/>
              <w:rPr>
                <w:sz w:val="16"/>
              </w:rPr>
            </w:pPr>
            <w:r w:rsidRPr="00E306B6">
              <w:rPr>
                <w:sz w:val="16"/>
              </w:rPr>
              <w:t>Instrumento</w:t>
            </w:r>
          </w:p>
        </w:tc>
        <w:tc>
          <w:tcPr>
            <w:tcW w:w="1701" w:type="dxa"/>
          </w:tcPr>
          <w:p w14:paraId="552B1CCD" w14:textId="77777777" w:rsidR="00605A46" w:rsidRPr="00E306B6" w:rsidRDefault="009460F9" w:rsidP="00BE339A">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Evaluables / total</w:t>
            </w:r>
          </w:p>
        </w:tc>
        <w:tc>
          <w:tcPr>
            <w:tcW w:w="2154" w:type="dxa"/>
          </w:tcPr>
          <w:p w14:paraId="71FCCB0C" w14:textId="77777777" w:rsidR="00605A46" w:rsidRPr="00E306B6" w:rsidRDefault="009460F9" w:rsidP="00BE339A">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Exactitud condicionada</w:t>
            </w:r>
          </w:p>
        </w:tc>
        <w:tc>
          <w:tcPr>
            <w:tcW w:w="3061" w:type="dxa"/>
          </w:tcPr>
          <w:p w14:paraId="0A067EC1" w14:textId="77777777" w:rsidR="00605A46" w:rsidRPr="00E306B6" w:rsidRDefault="009460F9" w:rsidP="00BE339A">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No evaluables</w:t>
            </w:r>
          </w:p>
        </w:tc>
      </w:tr>
      <w:tr w:rsidR="00605A46" w:rsidRPr="00E306B6" w14:paraId="02CF4EE6"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5168B5A2" w14:textId="77777777" w:rsidR="00605A46" w:rsidRPr="00E306B6" w:rsidRDefault="009460F9" w:rsidP="00BE339A">
            <w:pPr>
              <w:spacing w:line="240" w:lineRule="auto"/>
              <w:rPr>
                <w:sz w:val="16"/>
              </w:rPr>
            </w:pPr>
            <w:r w:rsidRPr="00E306B6">
              <w:rPr>
                <w:sz w:val="16"/>
              </w:rPr>
              <w:t>Contextual Direction</w:t>
            </w:r>
          </w:p>
        </w:tc>
        <w:tc>
          <w:tcPr>
            <w:tcW w:w="1701" w:type="dxa"/>
          </w:tcPr>
          <w:p w14:paraId="390CE2BE"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14/24</w:t>
            </w:r>
          </w:p>
        </w:tc>
        <w:tc>
          <w:tcPr>
            <w:tcW w:w="2154" w:type="dxa"/>
          </w:tcPr>
          <w:p w14:paraId="3E63532A"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13/14 (92,86 %)</w:t>
            </w:r>
          </w:p>
        </w:tc>
        <w:tc>
          <w:tcPr>
            <w:tcW w:w="3061" w:type="dxa"/>
          </w:tcPr>
          <w:p w14:paraId="037A3852"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10: 5 directos; 5 censurados</w:t>
            </w:r>
          </w:p>
        </w:tc>
      </w:tr>
      <w:tr w:rsidR="00605A46" w:rsidRPr="00E306B6" w14:paraId="26A65A16" w14:textId="77777777" w:rsidTr="00E306B6">
        <w:tc>
          <w:tcPr>
            <w:cnfStyle w:val="001000000000" w:firstRow="0" w:lastRow="0" w:firstColumn="1" w:lastColumn="0" w:oddVBand="0" w:evenVBand="0" w:oddHBand="0" w:evenHBand="0" w:firstRowFirstColumn="0" w:firstRowLastColumn="0" w:lastRowFirstColumn="0" w:lastRowLastColumn="0"/>
            <w:tcW w:w="2041" w:type="dxa"/>
          </w:tcPr>
          <w:p w14:paraId="66128E5E" w14:textId="77777777" w:rsidR="00605A46" w:rsidRPr="00E306B6" w:rsidRDefault="009460F9" w:rsidP="00BE339A">
            <w:pPr>
              <w:spacing w:line="240" w:lineRule="auto"/>
              <w:rPr>
                <w:sz w:val="16"/>
              </w:rPr>
            </w:pPr>
            <w:r w:rsidRPr="00E306B6">
              <w:rPr>
                <w:sz w:val="16"/>
              </w:rPr>
              <w:t>Contextual Adaptation</w:t>
            </w:r>
          </w:p>
        </w:tc>
        <w:tc>
          <w:tcPr>
            <w:tcW w:w="1701" w:type="dxa"/>
          </w:tcPr>
          <w:p w14:paraId="70EC8A8F"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14/24</w:t>
            </w:r>
          </w:p>
        </w:tc>
        <w:tc>
          <w:tcPr>
            <w:tcW w:w="2154" w:type="dxa"/>
          </w:tcPr>
          <w:p w14:paraId="3D8C7BB2"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11/14 (78,57 %)</w:t>
            </w:r>
          </w:p>
        </w:tc>
        <w:tc>
          <w:tcPr>
            <w:tcW w:w="3061" w:type="dxa"/>
          </w:tcPr>
          <w:p w14:paraId="51723D4B"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10: 5 directos; 5 censurados</w:t>
            </w:r>
          </w:p>
        </w:tc>
      </w:tr>
    </w:tbl>
    <w:p w14:paraId="56DAD0C9" w14:textId="77777777" w:rsidR="00605A46" w:rsidRDefault="00605A46">
      <w:pPr>
        <w:pStyle w:val="MDPARThesisBody"/>
      </w:pPr>
    </w:p>
    <w:p w14:paraId="2388A436" w14:textId="77777777" w:rsidR="00605A46" w:rsidRPr="00BE339A" w:rsidRDefault="009460F9">
      <w:pPr>
        <w:pStyle w:val="MDPARThesisBody"/>
        <w:rPr>
          <w:lang w:val="es-ES"/>
        </w:rPr>
      </w:pPr>
      <w:r w:rsidRPr="00880D29">
        <w:rPr>
          <w:b/>
          <w:lang w:val="es-ES"/>
        </w:rPr>
        <w:t xml:space="preserve">Resultados adversos y cobertura efectiva. </w:t>
      </w:r>
      <w:r w:rsidRPr="00880D29">
        <w:rPr>
          <w:lang w:val="es-ES"/>
        </w:rPr>
        <w:t>En CD, la única discrepancia evaluable corresponde a EPISTEMIC_UNKNOWN_PRONOMINAL_REFERENCE. En cada instrumento hay diez checkpoints no evaluables: cinco fallos directos y cinco censuras posteriores. CA registra cuatro KEEP, tres PERMUTE y siete UNAVAILABLE, seis compromisos efectivos y ocho fallos de verificación de salida. Por tanto, el 92,86 % y el 78,57 % describen exactitud condicionada, no cobertura ni tasa de adaptaciones realizadas; UNAVAILABLE no equivale a una transformación ejecutada.</w:t>
      </w:r>
    </w:p>
    <w:p w14:paraId="4C106264" w14:textId="77777777" w:rsidR="00605A46" w:rsidRDefault="00BE339A">
      <w:pPr>
        <w:pStyle w:val="MDPARThesisBody"/>
        <w:rPr>
          <w:lang w:val="es-ES"/>
        </w:rPr>
      </w:pPr>
      <w:r w:rsidRPr="00880D29">
        <w:rPr>
          <w:b/>
          <w:lang w:val="es-ES"/>
        </w:rPr>
        <w:t xml:space="preserve">De la interpretación contextual a la transformación autorizada. </w:t>
      </w:r>
      <w:r w:rsidRPr="00880D29">
        <w:rPr>
          <w:lang w:val="es-ES"/>
        </w:rPr>
        <w:t>Ontológicamente, la dirección propuesta, la disponibilidad de una transformación y el estado efectivamente transformado son objetos distintos del proceso. Epistemológicamente, preferir una dirección exige evidencia contextual; afirmar que se ha realizado una transformación exige además superar sus condiciones estructurales y su verificación de salida. OPEN aporta interpretación, pero esa propuesta no es una orden que redefina el SCC. Los fallos de grounding, identificación y verificación muestran dónde se interrumpe esta cadena; la arquitectura conserva el fallo directo y su censura posterior sin convertir la exactitud condicional en éxito general.</w:t>
      </w:r>
    </w:p>
    <w:p w14:paraId="2B9B67B4" w14:textId="77777777" w:rsidR="00BE339A" w:rsidRPr="00BE339A" w:rsidRDefault="00BE339A">
      <w:pPr>
        <w:pStyle w:val="MDPARThesisBody"/>
        <w:rPr>
          <w:lang w:val="es-ES"/>
        </w:rPr>
      </w:pPr>
    </w:p>
    <w:p w14:paraId="03E621E9" w14:textId="77777777" w:rsidR="00605A46" w:rsidRPr="00BE339A" w:rsidRDefault="009460F9" w:rsidP="00BE339A">
      <w:pPr>
        <w:pStyle w:val="MDPARProfileH1"/>
        <w:spacing w:before="0" w:after="0" w:line="360" w:lineRule="auto"/>
        <w:ind w:firstLine="709"/>
        <w:jc w:val="both"/>
        <w:outlineLvl w:val="1"/>
        <w:rPr>
          <w:sz w:val="24"/>
          <w:szCs w:val="20"/>
        </w:rPr>
      </w:pPr>
      <w:bookmarkStart w:id="134" w:name="_Toc242721970"/>
      <w:r w:rsidRPr="00BE339A">
        <w:rPr>
          <w:sz w:val="24"/>
          <w:szCs w:val="20"/>
        </w:rPr>
        <w:lastRenderedPageBreak/>
        <w:t>C6 — Longitudinal Cognition and Epistemic Timing</w:t>
      </w:r>
      <w:bookmarkEnd w:id="134"/>
    </w:p>
    <w:p w14:paraId="2EAF9FFE" w14:textId="77777777" w:rsidR="00605A46" w:rsidRPr="00BE339A" w:rsidRDefault="00BE339A">
      <w:pPr>
        <w:pStyle w:val="MDPARThesisBody"/>
        <w:rPr>
          <w:lang w:val="es-ES"/>
        </w:rPr>
      </w:pPr>
      <w:r w:rsidRPr="00880D29">
        <w:rPr>
          <w:b/>
          <w:lang w:val="es-ES"/>
        </w:rPr>
        <w:t xml:space="preserve">El conocimiento tiene historia y tiempo de autorización. </w:t>
      </w:r>
      <w:r w:rsidRPr="00880D29">
        <w:rPr>
          <w:lang w:val="es-ES"/>
        </w:rPr>
        <w:t>C6 examina la identidad longitudinal de un proceso epistémico y no solo la producción puntual de respuestas. El protocolo C6_LONGITUDINAL_EPISTEMIC_TIMING_V3 ejecuta una lectura primaria question-blind de 77 segmentos y conserva 130 preguntas. Su hipótesis operacional exige que observaciones, revisiones y estados mantengan procedencia y orden, sin que una adquisición tardía reescriba retrospectivamente un estado ya comprometido.</w:t>
      </w:r>
    </w:p>
    <w:p w14:paraId="22999D88" w14:textId="77777777" w:rsidR="00DA02B3" w:rsidRPr="00880D29" w:rsidRDefault="00EC169F">
      <w:pPr>
        <w:pStyle w:val="MDPARThesisBody"/>
        <w:rPr>
          <w:lang w:val="es-ES"/>
        </w:rPr>
      </w:pPr>
      <w:r w:rsidRPr="00880D29">
        <w:rPr>
          <w:b/>
          <w:lang w:val="es-ES"/>
        </w:rPr>
        <w:t xml:space="preserve">Tres historias que no deben confundirse. </w:t>
      </w:r>
      <w:r w:rsidRPr="00880D29">
        <w:rPr>
          <w:lang w:val="es-ES"/>
        </w:rPr>
        <w:t>El ledger semántico experimental del adapter conserva preguntas, respuestas provisionales y revisiones; TRACK registra recurrencia longitudinal en MDPAR; CORE conserva la historia de invariancia estructural. Son planos relacionados, pero sus contadores no son intercambiables: una revisión semántica no demuestra recurrencia TRACK y esta no prueba automáticamente la preservación de una propiedad estructural.</w:t>
      </w:r>
    </w:p>
    <w:p w14:paraId="7A3D1E1B" w14:textId="77777777" w:rsidR="00605A46" w:rsidRDefault="00BE339A">
      <w:pPr>
        <w:pStyle w:val="MDPARThesisBody"/>
        <w:rPr>
          <w:lang w:val="es-ES"/>
        </w:rPr>
      </w:pPr>
      <w:r w:rsidRPr="00D24788">
        <w:rPr>
          <w:b/>
          <w:bCs/>
          <w:lang w:val="es-ES"/>
        </w:rPr>
        <w:t xml:space="preserve">Evidencia </w:t>
      </w:r>
      <w:r w:rsidR="00081562">
        <w:rPr>
          <w:b/>
          <w:bCs/>
          <w:lang w:val="es-ES"/>
        </w:rPr>
        <w:t>FROZEN</w:t>
      </w:r>
      <w:r w:rsidRPr="00D24788">
        <w:rPr>
          <w:b/>
          <w:bCs/>
          <w:lang w:val="es-ES"/>
        </w:rPr>
        <w:t xml:space="preserve"> — MDPAR 2.3.0.</w:t>
      </w:r>
      <w:r w:rsidRPr="00D24788">
        <w:rPr>
          <w:lang w:val="es-ES"/>
        </w:rPr>
        <w:t xml:space="preserve"> </w:t>
      </w:r>
      <w:r w:rsidR="009460F9" w:rsidRPr="00BE339A">
        <w:rPr>
          <w:lang w:val="es-ES"/>
        </w:rPr>
        <w:t>La campaña canónica completa los 77 segmentos y mantiene las 130 preguntas. El ledger registra 133 revisiones. Al terminar, los estados son 73 HYPOTHESIS, 36 OPEN, 15 REVISED y seis UNKNOWN; todas las preguntas conservan la disposición UNRESOLVED_AT_END. Esta última disposición no es una puntuación de comprensión lectora: expresa que el contrato no ha concedido autoridad de cierre a ninguna de las 130 líneas epistémicas.</w:t>
      </w:r>
    </w:p>
    <w:p w14:paraId="15B8D863" w14:textId="77777777" w:rsidR="00BE339A" w:rsidRPr="00BE339A" w:rsidRDefault="00BE339A">
      <w:pPr>
        <w:pStyle w:val="MDPARThesisBody"/>
        <w:rPr>
          <w:lang w:val="es-ES"/>
        </w:rPr>
      </w:pPr>
    </w:p>
    <w:tbl>
      <w:tblPr>
        <w:tblStyle w:val="Tablanormal2"/>
        <w:tblW w:w="0" w:type="auto"/>
        <w:tblLayout w:type="fixed"/>
        <w:tblLook w:val="04A0" w:firstRow="1" w:lastRow="0" w:firstColumn="1" w:lastColumn="0" w:noHBand="0" w:noVBand="1"/>
      </w:tblPr>
      <w:tblGrid>
        <w:gridCol w:w="2835"/>
        <w:gridCol w:w="6123"/>
      </w:tblGrid>
      <w:tr w:rsidR="00605A46" w:rsidRPr="00E306B6" w14:paraId="62A89234"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F521B10" w14:textId="77777777" w:rsidR="00605A46" w:rsidRPr="00E306B6" w:rsidRDefault="009460F9" w:rsidP="00BE339A">
            <w:pPr>
              <w:spacing w:line="240" w:lineRule="auto"/>
              <w:rPr>
                <w:sz w:val="16"/>
              </w:rPr>
            </w:pPr>
            <w:r w:rsidRPr="00E306B6">
              <w:rPr>
                <w:sz w:val="16"/>
              </w:rPr>
              <w:t>Magnitud</w:t>
            </w:r>
          </w:p>
        </w:tc>
        <w:tc>
          <w:tcPr>
            <w:tcW w:w="6123" w:type="dxa"/>
          </w:tcPr>
          <w:p w14:paraId="3BE5317E" w14:textId="77777777" w:rsidR="00605A46" w:rsidRPr="00E306B6" w:rsidRDefault="009460F9" w:rsidP="00BE339A">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Resultado v2.3.0</w:t>
            </w:r>
          </w:p>
        </w:tc>
      </w:tr>
      <w:tr w:rsidR="00605A46" w:rsidRPr="00E306B6" w14:paraId="09C1A8B3"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7FDB026" w14:textId="77777777" w:rsidR="00605A46" w:rsidRPr="00E306B6" w:rsidRDefault="009460F9" w:rsidP="00BE339A">
            <w:pPr>
              <w:spacing w:line="240" w:lineRule="auto"/>
              <w:rPr>
                <w:sz w:val="16"/>
              </w:rPr>
            </w:pPr>
            <w:r w:rsidRPr="00E306B6">
              <w:rPr>
                <w:sz w:val="16"/>
              </w:rPr>
              <w:t>Protocolo</w:t>
            </w:r>
          </w:p>
        </w:tc>
        <w:tc>
          <w:tcPr>
            <w:tcW w:w="6123" w:type="dxa"/>
          </w:tcPr>
          <w:p w14:paraId="5A5BAB26"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C6_LONGITUDINAL_EPISTEMIC_TIMING_V3</w:t>
            </w:r>
          </w:p>
        </w:tc>
      </w:tr>
      <w:tr w:rsidR="00605A46" w:rsidRPr="00E306B6" w14:paraId="6085538D" w14:textId="77777777" w:rsidTr="00E306B6">
        <w:tc>
          <w:tcPr>
            <w:cnfStyle w:val="001000000000" w:firstRow="0" w:lastRow="0" w:firstColumn="1" w:lastColumn="0" w:oddVBand="0" w:evenVBand="0" w:oddHBand="0" w:evenHBand="0" w:firstRowFirstColumn="0" w:firstRowLastColumn="0" w:lastRowFirstColumn="0" w:lastRowLastColumn="0"/>
            <w:tcW w:w="2835" w:type="dxa"/>
          </w:tcPr>
          <w:p w14:paraId="657190F9" w14:textId="77777777" w:rsidR="00605A46" w:rsidRPr="00E306B6" w:rsidRDefault="009460F9" w:rsidP="00BE339A">
            <w:pPr>
              <w:spacing w:line="240" w:lineRule="auto"/>
              <w:rPr>
                <w:sz w:val="16"/>
              </w:rPr>
            </w:pPr>
            <w:r w:rsidRPr="00E306B6">
              <w:rPr>
                <w:sz w:val="16"/>
              </w:rPr>
              <w:t>Lectura primaria</w:t>
            </w:r>
          </w:p>
        </w:tc>
        <w:tc>
          <w:tcPr>
            <w:tcW w:w="6123" w:type="dxa"/>
          </w:tcPr>
          <w:p w14:paraId="50D39844"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Question-blind; 77/77 segmentos</w:t>
            </w:r>
          </w:p>
        </w:tc>
      </w:tr>
      <w:tr w:rsidR="00605A46" w:rsidRPr="00E306B6" w14:paraId="1E003E58"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E322CF" w14:textId="77777777" w:rsidR="00605A46" w:rsidRPr="00E306B6" w:rsidRDefault="009460F9" w:rsidP="00BE339A">
            <w:pPr>
              <w:spacing w:line="240" w:lineRule="auto"/>
              <w:rPr>
                <w:sz w:val="16"/>
              </w:rPr>
            </w:pPr>
            <w:r w:rsidRPr="00E306B6">
              <w:rPr>
                <w:sz w:val="16"/>
              </w:rPr>
              <w:t>Preguntas / revisiones</w:t>
            </w:r>
          </w:p>
        </w:tc>
        <w:tc>
          <w:tcPr>
            <w:tcW w:w="6123" w:type="dxa"/>
          </w:tcPr>
          <w:p w14:paraId="25BB5031"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130 / 133</w:t>
            </w:r>
          </w:p>
        </w:tc>
      </w:tr>
      <w:tr w:rsidR="00605A46" w:rsidRPr="00E306B6" w14:paraId="5884DAE1" w14:textId="77777777" w:rsidTr="00E306B6">
        <w:tc>
          <w:tcPr>
            <w:cnfStyle w:val="001000000000" w:firstRow="0" w:lastRow="0" w:firstColumn="1" w:lastColumn="0" w:oddVBand="0" w:evenVBand="0" w:oddHBand="0" w:evenHBand="0" w:firstRowFirstColumn="0" w:firstRowLastColumn="0" w:lastRowFirstColumn="0" w:lastRowLastColumn="0"/>
            <w:tcW w:w="2835" w:type="dxa"/>
          </w:tcPr>
          <w:p w14:paraId="0A6487F2" w14:textId="77777777" w:rsidR="00605A46" w:rsidRPr="00E306B6" w:rsidRDefault="009460F9" w:rsidP="00BE339A">
            <w:pPr>
              <w:spacing w:line="240" w:lineRule="auto"/>
              <w:rPr>
                <w:sz w:val="16"/>
              </w:rPr>
            </w:pPr>
            <w:r w:rsidRPr="00E306B6">
              <w:rPr>
                <w:sz w:val="16"/>
              </w:rPr>
              <w:t>Estado terminal</w:t>
            </w:r>
          </w:p>
        </w:tc>
        <w:tc>
          <w:tcPr>
            <w:tcW w:w="6123" w:type="dxa"/>
          </w:tcPr>
          <w:p w14:paraId="4DBFF773"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73 HYPOTHESIS; 36 OPEN; 15 REVISED; 6 UNKNOWN</w:t>
            </w:r>
          </w:p>
        </w:tc>
      </w:tr>
      <w:tr w:rsidR="00605A46" w:rsidRPr="00E306B6" w14:paraId="71D1AA9D"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BCDDD59" w14:textId="77777777" w:rsidR="00605A46" w:rsidRPr="00E306B6" w:rsidRDefault="009460F9" w:rsidP="00BE339A">
            <w:pPr>
              <w:spacing w:line="240" w:lineRule="auto"/>
              <w:rPr>
                <w:sz w:val="16"/>
              </w:rPr>
            </w:pPr>
            <w:r w:rsidRPr="00E306B6">
              <w:rPr>
                <w:sz w:val="16"/>
              </w:rPr>
              <w:t>Disposición terminal</w:t>
            </w:r>
          </w:p>
        </w:tc>
        <w:tc>
          <w:tcPr>
            <w:tcW w:w="6123" w:type="dxa"/>
          </w:tcPr>
          <w:p w14:paraId="23B1A9F4"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130/130 UNRESOLVED_AT_END</w:t>
            </w:r>
          </w:p>
        </w:tc>
      </w:tr>
      <w:tr w:rsidR="00605A46" w:rsidRPr="00E306B6" w14:paraId="691AFCFB" w14:textId="77777777" w:rsidTr="00E306B6">
        <w:tc>
          <w:tcPr>
            <w:cnfStyle w:val="001000000000" w:firstRow="0" w:lastRow="0" w:firstColumn="1" w:lastColumn="0" w:oddVBand="0" w:evenVBand="0" w:oddHBand="0" w:evenHBand="0" w:firstRowFirstColumn="0" w:firstRowLastColumn="0" w:lastRowFirstColumn="0" w:lastRowLastColumn="0"/>
            <w:tcW w:w="2835" w:type="dxa"/>
          </w:tcPr>
          <w:p w14:paraId="138B32FD" w14:textId="77777777" w:rsidR="00605A46" w:rsidRPr="00E306B6" w:rsidRDefault="009460F9" w:rsidP="00BE339A">
            <w:pPr>
              <w:spacing w:line="240" w:lineRule="auto"/>
              <w:rPr>
                <w:sz w:val="16"/>
              </w:rPr>
            </w:pPr>
            <w:r w:rsidRPr="00E306B6">
              <w:rPr>
                <w:sz w:val="16"/>
              </w:rPr>
              <w:t>Planos de autoridad</w:t>
            </w:r>
          </w:p>
        </w:tc>
        <w:tc>
          <w:tcPr>
            <w:tcW w:w="6123" w:type="dxa"/>
          </w:tcPr>
          <w:p w14:paraId="5E2FC164"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Ledger semántico / TRACK / CORE separados</w:t>
            </w:r>
          </w:p>
        </w:tc>
      </w:tr>
    </w:tbl>
    <w:p w14:paraId="4B68195A" w14:textId="77777777" w:rsidR="00605A46" w:rsidRDefault="00605A46">
      <w:pPr>
        <w:pStyle w:val="MDPARThesisBody"/>
      </w:pPr>
    </w:p>
    <w:p w14:paraId="73A1684F" w14:textId="77777777" w:rsidR="00605A46" w:rsidRPr="00BE339A" w:rsidRDefault="009460F9">
      <w:pPr>
        <w:pStyle w:val="MDPARThesisBody"/>
        <w:rPr>
          <w:lang w:val="es-ES"/>
        </w:rPr>
      </w:pPr>
      <w:r w:rsidRPr="00880D29">
        <w:rPr>
          <w:b/>
          <w:lang w:val="es-ES"/>
        </w:rPr>
        <w:t xml:space="preserve">Un resultado tardío no reescribe el pasado. </w:t>
      </w:r>
      <w:r w:rsidRPr="00880D29">
        <w:rPr>
          <w:lang w:val="es-ES"/>
        </w:rPr>
        <w:t>La respuesta de relectura de alta intensidad que llega al final queda registrada como tail_background_ignored con autoridad FUTURE_STATE_ONLY. Puede informar estados futuros, pero no justificar retrospectivamente una decisión anterior. De modo análogo, la disposición UNRESOLVED_AT_END de las 130 preguntas no constituye una tasa de error: indica que el contrato no concedió autoridad de cierre a esas líneas epistémicas.</w:t>
      </w:r>
    </w:p>
    <w:p w14:paraId="122B9E01" w14:textId="77777777" w:rsidR="00605A46" w:rsidRDefault="00BE339A">
      <w:pPr>
        <w:pStyle w:val="MDPARThesisBody"/>
        <w:rPr>
          <w:lang w:val="es-ES"/>
        </w:rPr>
      </w:pPr>
      <w:r w:rsidRPr="00880D29">
        <w:rPr>
          <w:b/>
          <w:lang w:val="es-ES"/>
        </w:rPr>
        <w:t xml:space="preserve">Identidad longitudinal, revisión y vigencia del conocimiento. </w:t>
      </w:r>
      <w:r w:rsidRPr="00880D29">
        <w:rPr>
          <w:lang w:val="es-ES"/>
        </w:rPr>
        <w:t xml:space="preserve">Ontológicamente, la unidad de C6 es una trayectoria ordenada de estados con identidad, procedencia y revisiones, no una bolsa de respuestas. Epistemológicamente, disponer de información, </w:t>
      </w:r>
      <w:r w:rsidRPr="00880D29">
        <w:rPr>
          <w:lang w:val="es-ES"/>
        </w:rPr>
        <w:lastRenderedPageBreak/>
        <w:t>mantener una hipótesis provisional y autorizar su cierre son situaciones distintas; la validez de una observación está además condicionada por el momento en que puede incorporarse. Los 77 segmentos completados y las 133 revisiones documentan el ejercicio de esta disciplina longitudinal. La campaña no certifica la corrección semántica de las 130 respuestas ni permite confundir telemetría de TRACK con invariancia de CORE.</w:t>
      </w:r>
    </w:p>
    <w:p w14:paraId="2E595738" w14:textId="77777777" w:rsidR="00BE339A" w:rsidRPr="00BE339A" w:rsidRDefault="00BE339A">
      <w:pPr>
        <w:pStyle w:val="MDPARThesisBody"/>
        <w:rPr>
          <w:lang w:val="es-ES"/>
        </w:rPr>
      </w:pPr>
    </w:p>
    <w:p w14:paraId="3473C46E" w14:textId="77777777" w:rsidR="00605A46" w:rsidRPr="00BE339A" w:rsidRDefault="009460F9" w:rsidP="00BE339A">
      <w:pPr>
        <w:pStyle w:val="MDPARProfileH1"/>
        <w:spacing w:before="0" w:after="0" w:line="360" w:lineRule="auto"/>
        <w:ind w:firstLine="709"/>
        <w:jc w:val="both"/>
        <w:outlineLvl w:val="1"/>
        <w:rPr>
          <w:sz w:val="24"/>
          <w:szCs w:val="20"/>
        </w:rPr>
      </w:pPr>
      <w:bookmarkStart w:id="135" w:name="_Toc242721971"/>
      <w:r w:rsidRPr="00BE339A">
        <w:rPr>
          <w:sz w:val="24"/>
          <w:szCs w:val="20"/>
        </w:rPr>
        <w:t>C7 — Bounded and Heterogeneous CLOSED Intelligence</w:t>
      </w:r>
      <w:bookmarkEnd w:id="135"/>
    </w:p>
    <w:p w14:paraId="58437591" w14:textId="77777777" w:rsidR="00605A46" w:rsidRPr="00BE339A" w:rsidRDefault="00BE339A">
      <w:pPr>
        <w:pStyle w:val="MDPARThesisBody"/>
        <w:rPr>
          <w:lang w:val="es-ES"/>
        </w:rPr>
      </w:pPr>
      <w:r w:rsidRPr="00880D29">
        <w:rPr>
          <w:b/>
          <w:lang w:val="es-ES"/>
        </w:rPr>
        <w:t xml:space="preserve">La competencia local sin inteligencia general obligatoria. </w:t>
      </w:r>
      <w:r w:rsidRPr="00880D29">
        <w:rPr>
          <w:lang w:val="es-ES"/>
        </w:rPr>
        <w:t>C7 examina si competencias CLOSED acotadas pueden compartir una infraestructura de representación, selección, ejecución y publicación sin requerir un modelo neuronal general. Su objeto no es una jerarquía de inteligencias, sino la relación entre competencia, elegibilidad y propietario normativo de una solicitud. La hipótesis se contrasta tanto con selecciones positivas como con rechazos y conflictos de precedencia.</w:t>
      </w:r>
    </w:p>
    <w:p w14:paraId="2F023210" w14:textId="77777777" w:rsidR="00DA02B3" w:rsidRPr="00880D29" w:rsidRDefault="00EC169F">
      <w:pPr>
        <w:pStyle w:val="MDPARThesisBody"/>
        <w:rPr>
          <w:lang w:val="es-ES"/>
        </w:rPr>
      </w:pPr>
      <w:r w:rsidRPr="00880D29">
        <w:rPr>
          <w:b/>
          <w:lang w:val="es-ES"/>
        </w:rPr>
        <w:t xml:space="preserve">Dos instrumentos, dos preguntas experimentales. </w:t>
      </w:r>
      <w:r w:rsidRPr="00880D29">
        <w:rPr>
          <w:lang w:val="es-ES"/>
        </w:rPr>
        <w:t>El instrumento heterogéneo combina entradas TEXT y TYPED, tres coordenadas especializadas y casos sin propietario; contrasta la ejecución completa del contrato. El instrumento léxico somete a estrés la política de selección y la corrección del informe. Sus porcentajes tienen denominadores y objetos diferentes: no deben promediarse ni utilizar la exactitud de los informes para ocultar errores de routing.</w:t>
      </w:r>
    </w:p>
    <w:p w14:paraId="0247695B" w14:textId="77777777" w:rsidR="00605A46" w:rsidRDefault="00BE339A">
      <w:pPr>
        <w:pStyle w:val="MDPARThesisBody"/>
        <w:rPr>
          <w:lang w:val="es-ES"/>
        </w:rPr>
      </w:pPr>
      <w:r w:rsidRPr="00D24788">
        <w:rPr>
          <w:b/>
          <w:bCs/>
          <w:lang w:val="es-ES"/>
        </w:rPr>
        <w:t xml:space="preserve">Evidencia </w:t>
      </w:r>
      <w:r w:rsidR="00081562">
        <w:rPr>
          <w:b/>
          <w:bCs/>
          <w:lang w:val="es-ES"/>
        </w:rPr>
        <w:t>FROZEN</w:t>
      </w:r>
      <w:r w:rsidRPr="00D24788">
        <w:rPr>
          <w:b/>
          <w:bCs/>
          <w:lang w:val="es-ES"/>
        </w:rPr>
        <w:t xml:space="preserve"> — MDPAR 2.3.0.</w:t>
      </w:r>
      <w:r w:rsidRPr="00D24788">
        <w:rPr>
          <w:lang w:val="es-ES"/>
        </w:rPr>
        <w:t xml:space="preserve"> </w:t>
      </w:r>
      <w:r w:rsidR="009460F9" w:rsidRPr="00BE339A">
        <w:rPr>
          <w:lang w:val="es-ES"/>
        </w:rPr>
        <w:t>El instrumento heterogéneo ejecuta nueve casos con diez repeticiones por caso: 90/90 contratos exactos y nueve casos reproducibles. Incluye las coordenadas mobile-servant-robot, tiago-pro y troubleshooting, además de cuatro casos sin propietario que conservan UNKNOWN. El conflicto lexical-conflict-precedence selecciona la coordenada esperada en sus diez repeticiones y conserva CONFLICT_RESOLVED. El instrumento léxico registra 80/100 decisiones de routing correctas y 100/100 informes correctos, sin llamadas neuronales.</w:t>
      </w:r>
    </w:p>
    <w:p w14:paraId="08A17DDC" w14:textId="77777777" w:rsidR="00BE339A" w:rsidRPr="00BE339A" w:rsidRDefault="00BE339A">
      <w:pPr>
        <w:pStyle w:val="MDPARThesisBody"/>
        <w:rPr>
          <w:lang w:val="es-ES"/>
        </w:rPr>
      </w:pPr>
    </w:p>
    <w:tbl>
      <w:tblPr>
        <w:tblStyle w:val="Tablanormal2"/>
        <w:tblW w:w="0" w:type="auto"/>
        <w:tblLayout w:type="fixed"/>
        <w:tblLook w:val="04A0" w:firstRow="1" w:lastRow="0" w:firstColumn="1" w:lastColumn="0" w:noHBand="0" w:noVBand="1"/>
      </w:tblPr>
      <w:tblGrid>
        <w:gridCol w:w="2381"/>
        <w:gridCol w:w="2494"/>
        <w:gridCol w:w="4082"/>
      </w:tblGrid>
      <w:tr w:rsidR="00605A46" w:rsidRPr="00E306B6" w14:paraId="309F783B"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3666246F" w14:textId="77777777" w:rsidR="00605A46" w:rsidRPr="00E306B6" w:rsidRDefault="009460F9" w:rsidP="00E306B6">
            <w:pPr>
              <w:spacing w:line="240" w:lineRule="auto"/>
              <w:rPr>
                <w:sz w:val="16"/>
              </w:rPr>
            </w:pPr>
            <w:r w:rsidRPr="00E306B6">
              <w:rPr>
                <w:sz w:val="16"/>
              </w:rPr>
              <w:t>Instrumento</w:t>
            </w:r>
          </w:p>
        </w:tc>
        <w:tc>
          <w:tcPr>
            <w:tcW w:w="2494" w:type="dxa"/>
          </w:tcPr>
          <w:p w14:paraId="07909A0C" w14:textId="77777777" w:rsidR="00605A46" w:rsidRPr="00E306B6" w:rsidRDefault="009460F9" w:rsidP="00E306B6">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Resultado</w:t>
            </w:r>
          </w:p>
        </w:tc>
        <w:tc>
          <w:tcPr>
            <w:tcW w:w="4082" w:type="dxa"/>
          </w:tcPr>
          <w:p w14:paraId="51727FD9" w14:textId="77777777" w:rsidR="00605A46" w:rsidRPr="00E306B6" w:rsidRDefault="009460F9" w:rsidP="00E306B6">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Alcance del resultado</w:t>
            </w:r>
          </w:p>
        </w:tc>
      </w:tr>
      <w:tr w:rsidR="00605A46" w:rsidRPr="002F4F30" w14:paraId="68123F7F"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70D44573" w14:textId="77777777" w:rsidR="00605A46" w:rsidRPr="00E306B6" w:rsidRDefault="009460F9" w:rsidP="00E306B6">
            <w:pPr>
              <w:spacing w:line="240" w:lineRule="auto"/>
              <w:rPr>
                <w:sz w:val="16"/>
              </w:rPr>
            </w:pPr>
            <w:r w:rsidRPr="00E306B6">
              <w:rPr>
                <w:sz w:val="16"/>
              </w:rPr>
              <w:t>Heterogeneous CLOSED</w:t>
            </w:r>
          </w:p>
        </w:tc>
        <w:tc>
          <w:tcPr>
            <w:tcW w:w="2494" w:type="dxa"/>
          </w:tcPr>
          <w:p w14:paraId="1A793AB3" w14:textId="77777777" w:rsidR="00605A46" w:rsidRPr="00E306B6" w:rsidRDefault="009460F9" w:rsidP="00E306B6">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90/90; 9/9 casos repetibles</w:t>
            </w:r>
          </w:p>
        </w:tc>
        <w:tc>
          <w:tcPr>
            <w:tcW w:w="4082" w:type="dxa"/>
          </w:tcPr>
          <w:p w14:paraId="37CDAA7D" w14:textId="77777777" w:rsidR="00605A46" w:rsidRPr="00E306B6" w:rsidRDefault="009460F9" w:rsidP="00E306B6">
            <w:pPr>
              <w:spacing w:line="240" w:lineRule="auto"/>
              <w:cnfStyle w:val="000000100000" w:firstRow="0" w:lastRow="0" w:firstColumn="0" w:lastColumn="0" w:oddVBand="0" w:evenVBand="0" w:oddHBand="1" w:evenHBand="0" w:firstRowFirstColumn="0" w:firstRowLastColumn="0" w:lastRowFirstColumn="0" w:lastRowLastColumn="0"/>
              <w:rPr>
                <w:sz w:val="16"/>
                <w:lang w:val="es-ES"/>
              </w:rPr>
            </w:pPr>
            <w:r w:rsidRPr="00E306B6">
              <w:rPr>
                <w:sz w:val="16"/>
                <w:lang w:val="es-ES"/>
              </w:rPr>
              <w:t>TEXT y TYPED; cuatro casos UNKNOWN</w:t>
            </w:r>
          </w:p>
        </w:tc>
      </w:tr>
      <w:tr w:rsidR="00605A46" w:rsidRPr="002F4F30" w14:paraId="4B3D99FA" w14:textId="77777777" w:rsidTr="00E306B6">
        <w:tc>
          <w:tcPr>
            <w:cnfStyle w:val="001000000000" w:firstRow="0" w:lastRow="0" w:firstColumn="1" w:lastColumn="0" w:oddVBand="0" w:evenVBand="0" w:oddHBand="0" w:evenHBand="0" w:firstRowFirstColumn="0" w:firstRowLastColumn="0" w:lastRowFirstColumn="0" w:lastRowLastColumn="0"/>
            <w:tcW w:w="2381" w:type="dxa"/>
          </w:tcPr>
          <w:p w14:paraId="1F1ACCEC" w14:textId="77777777" w:rsidR="00605A46" w:rsidRPr="00E306B6" w:rsidRDefault="009460F9" w:rsidP="00E306B6">
            <w:pPr>
              <w:spacing w:line="240" w:lineRule="auto"/>
              <w:rPr>
                <w:sz w:val="16"/>
              </w:rPr>
            </w:pPr>
            <w:r w:rsidRPr="00E306B6">
              <w:rPr>
                <w:sz w:val="16"/>
              </w:rPr>
              <w:t>Lexical CLOSED</w:t>
            </w:r>
          </w:p>
        </w:tc>
        <w:tc>
          <w:tcPr>
            <w:tcW w:w="2494" w:type="dxa"/>
          </w:tcPr>
          <w:p w14:paraId="62342EC8" w14:textId="77777777" w:rsidR="00605A46" w:rsidRPr="00E306B6" w:rsidRDefault="009460F9" w:rsidP="00E306B6">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80/100 routing; 100/100 informes</w:t>
            </w:r>
          </w:p>
        </w:tc>
        <w:tc>
          <w:tcPr>
            <w:tcW w:w="4082" w:type="dxa"/>
          </w:tcPr>
          <w:p w14:paraId="06F39F94" w14:textId="77777777" w:rsidR="00605A46" w:rsidRPr="00E306B6" w:rsidRDefault="009460F9" w:rsidP="00E306B6">
            <w:pPr>
              <w:spacing w:line="240" w:lineRule="auto"/>
              <w:cnfStyle w:val="000000000000" w:firstRow="0" w:lastRow="0" w:firstColumn="0" w:lastColumn="0" w:oddVBand="0" w:evenVBand="0" w:oddHBand="0" w:evenHBand="0" w:firstRowFirstColumn="0" w:firstRowLastColumn="0" w:lastRowFirstColumn="0" w:lastRowLastColumn="0"/>
              <w:rPr>
                <w:sz w:val="16"/>
                <w:lang w:val="es-ES"/>
              </w:rPr>
            </w:pPr>
            <w:r w:rsidRPr="00E306B6">
              <w:rPr>
                <w:sz w:val="16"/>
                <w:lang w:val="es-ES"/>
              </w:rPr>
              <w:t>Dos casos con discrepancia sistemática de routing</w:t>
            </w:r>
          </w:p>
        </w:tc>
      </w:tr>
      <w:tr w:rsidR="00605A46" w:rsidRPr="002F4F30" w14:paraId="456915C3"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1548E1EA" w14:textId="77777777" w:rsidR="00605A46" w:rsidRPr="00E306B6" w:rsidRDefault="009460F9" w:rsidP="00E306B6">
            <w:pPr>
              <w:spacing w:line="240" w:lineRule="auto"/>
              <w:rPr>
                <w:sz w:val="16"/>
              </w:rPr>
            </w:pPr>
            <w:r w:rsidRPr="00E306B6">
              <w:rPr>
                <w:sz w:val="16"/>
              </w:rPr>
              <w:t>Compute neuronal</w:t>
            </w:r>
          </w:p>
        </w:tc>
        <w:tc>
          <w:tcPr>
            <w:tcW w:w="2494" w:type="dxa"/>
          </w:tcPr>
          <w:p w14:paraId="280F9C89" w14:textId="77777777" w:rsidR="00605A46" w:rsidRPr="00E306B6" w:rsidRDefault="009460F9" w:rsidP="00E306B6">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0 llamadas</w:t>
            </w:r>
          </w:p>
        </w:tc>
        <w:tc>
          <w:tcPr>
            <w:tcW w:w="4082" w:type="dxa"/>
          </w:tcPr>
          <w:p w14:paraId="79F4F507" w14:textId="77777777" w:rsidR="00605A46" w:rsidRPr="00E306B6" w:rsidRDefault="009460F9" w:rsidP="00E306B6">
            <w:pPr>
              <w:spacing w:line="240" w:lineRule="auto"/>
              <w:cnfStyle w:val="000000100000" w:firstRow="0" w:lastRow="0" w:firstColumn="0" w:lastColumn="0" w:oddVBand="0" w:evenVBand="0" w:oddHBand="1" w:evenHBand="0" w:firstRowFirstColumn="0" w:firstRowLastColumn="0" w:lastRowFirstColumn="0" w:lastRowLastColumn="0"/>
              <w:rPr>
                <w:sz w:val="16"/>
                <w:lang w:val="es-ES"/>
              </w:rPr>
            </w:pPr>
            <w:r w:rsidRPr="00E306B6">
              <w:rPr>
                <w:sz w:val="16"/>
                <w:lang w:val="es-ES"/>
              </w:rPr>
              <w:t>Selección y ejecución contractual CLOSED</w:t>
            </w:r>
          </w:p>
        </w:tc>
      </w:tr>
    </w:tbl>
    <w:p w14:paraId="6B74BC5E" w14:textId="77777777" w:rsidR="00605A46" w:rsidRPr="00BE339A" w:rsidRDefault="00605A46">
      <w:pPr>
        <w:pStyle w:val="MDPARThesisBody"/>
        <w:rPr>
          <w:lang w:val="es-ES"/>
        </w:rPr>
      </w:pPr>
    </w:p>
    <w:p w14:paraId="786B5CE1" w14:textId="77777777" w:rsidR="00605A46" w:rsidRPr="00BE339A" w:rsidRDefault="009460F9">
      <w:pPr>
        <w:pStyle w:val="MDPARThesisBody"/>
        <w:rPr>
          <w:lang w:val="es-ES"/>
        </w:rPr>
      </w:pPr>
      <w:r w:rsidRPr="00880D29">
        <w:rPr>
          <w:b/>
          <w:lang w:val="es-ES"/>
        </w:rPr>
        <w:t xml:space="preserve">Discrepancias reproducibles de selección. </w:t>
      </w:r>
      <w:r w:rsidRPr="00880D29">
        <w:rPr>
          <w:lang w:val="es-ES"/>
        </w:rPr>
        <w:t xml:space="preserve">queue-backlog y returns-workflow presentan diez discrepancias léxicas de routing cada uno, aunque sus informes sean correctos. La repetición estable identifica un comportamiento de la política frente al gold; no lo convierte en acierto. Por contraste, lexical-conflict-precedence satisface las diez </w:t>
      </w:r>
      <w:r w:rsidRPr="00880D29">
        <w:rPr>
          <w:lang w:val="es-ES"/>
        </w:rPr>
        <w:lastRenderedPageBreak/>
        <w:t>repeticiones del instrumento heterogéneo. La mediana nativa agregada de 0,267 ms combina rechazos inmediatos y casos con procesamiento, por lo que no representa una latencia uniforme ni un rendimiento extremo a extremo.</w:t>
      </w:r>
    </w:p>
    <w:p w14:paraId="49D711F5" w14:textId="77777777" w:rsidR="00605A46" w:rsidRDefault="00BE339A">
      <w:pPr>
        <w:pStyle w:val="MDPARThesisBody"/>
        <w:rPr>
          <w:lang w:val="es-ES"/>
        </w:rPr>
      </w:pPr>
      <w:r w:rsidRPr="00880D29">
        <w:rPr>
          <w:b/>
          <w:lang w:val="es-ES"/>
        </w:rPr>
        <w:t xml:space="preserve">Competencia, jurisdicción y límites de intervención. </w:t>
      </w:r>
      <w:r w:rsidRPr="00880D29">
        <w:rPr>
          <w:lang w:val="es-ES"/>
        </w:rPr>
        <w:t>Ontológicamente, una competencia CLOSED tiene identidad y dominio operativo acotado; de ello no se sigue que sea propietaria de cualquier solicitud que pueda contestar. Arquitectónicamente, el routing determina elegibilidad y ownership, y puede conservar UNKNOWN cuando no existe propietario admisible. Epistemológicamente, una salida correcta y una asignación correcta son afirmaciones independientes, como muestran las discrepancias léxicas frente a los informes exactos. Los 90/90 contratos heterogéneos acreditan conformidad en el corpus congelado, no exactitud universal de toda política de selección.</w:t>
      </w:r>
    </w:p>
    <w:p w14:paraId="5AD8C556" w14:textId="77777777" w:rsidR="00BE339A" w:rsidRPr="00BE339A" w:rsidRDefault="00BE339A">
      <w:pPr>
        <w:pStyle w:val="MDPARThesisBody"/>
        <w:rPr>
          <w:lang w:val="es-ES"/>
        </w:rPr>
      </w:pPr>
    </w:p>
    <w:p w14:paraId="49174C35" w14:textId="77777777" w:rsidR="00605A46" w:rsidRPr="00BE339A" w:rsidRDefault="009460F9" w:rsidP="00BE339A">
      <w:pPr>
        <w:pStyle w:val="MDPARProfileH1"/>
        <w:spacing w:before="0" w:after="0" w:line="360" w:lineRule="auto"/>
        <w:ind w:firstLine="709"/>
        <w:outlineLvl w:val="1"/>
        <w:rPr>
          <w:sz w:val="24"/>
          <w:szCs w:val="20"/>
          <w:lang w:val="es-ES"/>
        </w:rPr>
      </w:pPr>
      <w:bookmarkStart w:id="136" w:name="_Toc242721972"/>
      <w:r w:rsidRPr="00BE339A">
        <w:rPr>
          <w:sz w:val="24"/>
          <w:szCs w:val="20"/>
          <w:lang w:val="es-ES"/>
        </w:rPr>
        <w:t>C8 — CLOSED/OPEN Cooperative Composition</w:t>
      </w:r>
      <w:bookmarkEnd w:id="136"/>
    </w:p>
    <w:p w14:paraId="1DD37089" w14:textId="77777777" w:rsidR="00605A46" w:rsidRPr="00BE339A" w:rsidRDefault="00353BB8">
      <w:pPr>
        <w:pStyle w:val="MDPARThesisBody"/>
        <w:rPr>
          <w:lang w:val="es-ES"/>
        </w:rPr>
      </w:pPr>
      <w:r w:rsidRPr="00880D29">
        <w:rPr>
          <w:b/>
          <w:lang w:val="es-ES"/>
        </w:rPr>
        <w:t xml:space="preserve">Cooperación de fuentes heterogéneas sin transferencia de gobierno. </w:t>
      </w:r>
      <w:r w:rsidRPr="00880D29">
        <w:rPr>
          <w:lang w:val="es-ES"/>
        </w:rPr>
        <w:t>C8 examina la composición de competencias CLOSED y adquisiciones OPEN dentro de una misma continuidad. La hipótesis exige que la incorporación de capacidad semántica no transfiera automáticamente ownership, autoridad de routing ni certificación estructural al componente que aporta la observación. La unidad experimental es una interacción compuesta con estados y fronteras verificables, no una colección de respuestas aisladas.</w:t>
      </w:r>
    </w:p>
    <w:p w14:paraId="53910518" w14:textId="77777777" w:rsidR="00DA02B3" w:rsidRPr="00880D29" w:rsidRDefault="00EC169F">
      <w:pPr>
        <w:pStyle w:val="MDPARThesisBody"/>
        <w:rPr>
          <w:lang w:val="es-ES"/>
        </w:rPr>
      </w:pPr>
      <w:r w:rsidRPr="00880D29">
        <w:rPr>
          <w:b/>
          <w:lang w:val="es-ES"/>
        </w:rPr>
        <w:t xml:space="preserve">Composición, propiedad del estado y frontera de autoridad. </w:t>
      </w:r>
      <w:r w:rsidRPr="00880D29">
        <w:rPr>
          <w:lang w:val="es-ES"/>
        </w:rPr>
        <w:t>El contrato comprueba por separado el propietario seleccionado, el estado producido y la frontera de autoridad. La decisión de adquirir OPEN permanece bajo routing MDPAR_ONLY; OPEN no puede autocertificar su propia validez estructural. El corpus incluye entradas TEXT y TYPED, un caso sin propietario, adquisiciones OPEN y un conflicto de precedencia. La conformidad de un eje no compensa el incumplimiento de otro.</w:t>
      </w:r>
    </w:p>
    <w:p w14:paraId="7D7D54F0" w14:textId="77777777" w:rsidR="00605A46" w:rsidRDefault="00353BB8">
      <w:pPr>
        <w:pStyle w:val="MDPARThesisBody"/>
        <w:rPr>
          <w:lang w:val="es-ES"/>
        </w:rPr>
      </w:pPr>
      <w:r w:rsidRPr="00D24788">
        <w:rPr>
          <w:b/>
          <w:bCs/>
          <w:lang w:val="es-ES"/>
        </w:rPr>
        <w:t xml:space="preserve">Evidencia </w:t>
      </w:r>
      <w:r w:rsidR="00081562">
        <w:rPr>
          <w:b/>
          <w:bCs/>
          <w:lang w:val="es-ES"/>
        </w:rPr>
        <w:t>FROZEN</w:t>
      </w:r>
      <w:r w:rsidRPr="00D24788">
        <w:rPr>
          <w:b/>
          <w:bCs/>
          <w:lang w:val="es-ES"/>
        </w:rPr>
        <w:t xml:space="preserve"> — MDPAR 2.3.0.</w:t>
      </w:r>
      <w:r w:rsidRPr="00D24788">
        <w:rPr>
          <w:lang w:val="es-ES"/>
        </w:rPr>
        <w:t xml:space="preserve"> </w:t>
      </w:r>
      <w:r w:rsidR="009460F9" w:rsidRPr="00BE339A">
        <w:rPr>
          <w:lang w:val="es-ES"/>
        </w:rPr>
        <w:t>La ejecución congelada contiene diez observaciones repartidas entre ocho entradas TEXT y dos TYPED: seis poseen propietario CLOSED, una carece de él y tres se encaminan a OPEN. Los diez resultados satisfacen tanto el contrato de ownership como el de estado y el de frontera de autoridad; las tres adquisiciones OPEN son válidas y no se registra ninguna inválida. El conflicto de precedencia incluido se resuelve conforme al contrato actual y la continuidad de interacción se conserva.</w:t>
      </w:r>
    </w:p>
    <w:p w14:paraId="4C30789E" w14:textId="77777777" w:rsidR="00BE339A" w:rsidRDefault="00BE339A">
      <w:pPr>
        <w:pStyle w:val="MDPARThesisBody"/>
        <w:rPr>
          <w:lang w:val="es-ES"/>
        </w:rPr>
      </w:pPr>
    </w:p>
    <w:p w14:paraId="7A9021EE" w14:textId="77777777" w:rsidR="00E306B6" w:rsidRPr="00BE339A" w:rsidRDefault="00E306B6">
      <w:pPr>
        <w:pStyle w:val="MDPARThesisBody"/>
        <w:rPr>
          <w:lang w:val="es-ES"/>
        </w:rPr>
      </w:pPr>
    </w:p>
    <w:tbl>
      <w:tblPr>
        <w:tblStyle w:val="Tablanormal2"/>
        <w:tblW w:w="0" w:type="auto"/>
        <w:tblLayout w:type="fixed"/>
        <w:tblLook w:val="04A0" w:firstRow="1" w:lastRow="0" w:firstColumn="1" w:lastColumn="0" w:noHBand="0" w:noVBand="1"/>
      </w:tblPr>
      <w:tblGrid>
        <w:gridCol w:w="3515"/>
        <w:gridCol w:w="5443"/>
      </w:tblGrid>
      <w:tr w:rsidR="00605A46" w:rsidRPr="00E306B6" w14:paraId="656D86D5"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0672B42E" w14:textId="77777777" w:rsidR="00605A46" w:rsidRPr="00E306B6" w:rsidRDefault="009460F9" w:rsidP="00BE339A">
            <w:pPr>
              <w:spacing w:line="240" w:lineRule="auto"/>
              <w:rPr>
                <w:sz w:val="16"/>
              </w:rPr>
            </w:pPr>
            <w:r w:rsidRPr="00E306B6">
              <w:rPr>
                <w:sz w:val="16"/>
              </w:rPr>
              <w:lastRenderedPageBreak/>
              <w:t>Propiedad contractual</w:t>
            </w:r>
          </w:p>
        </w:tc>
        <w:tc>
          <w:tcPr>
            <w:tcW w:w="5443" w:type="dxa"/>
          </w:tcPr>
          <w:p w14:paraId="797700FB" w14:textId="77777777" w:rsidR="00605A46" w:rsidRPr="00E306B6" w:rsidRDefault="009460F9" w:rsidP="00BE339A">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E306B6">
              <w:rPr>
                <w:sz w:val="16"/>
              </w:rPr>
              <w:t>Resultado v2.3.0</w:t>
            </w:r>
          </w:p>
        </w:tc>
      </w:tr>
      <w:tr w:rsidR="00605A46" w:rsidRPr="00E306B6" w14:paraId="4CB22D48"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35DA77B7" w14:textId="77777777" w:rsidR="00605A46" w:rsidRPr="00E306B6" w:rsidRDefault="009460F9" w:rsidP="00BE339A">
            <w:pPr>
              <w:spacing w:line="240" w:lineRule="auto"/>
              <w:rPr>
                <w:sz w:val="16"/>
              </w:rPr>
            </w:pPr>
            <w:r w:rsidRPr="00E306B6">
              <w:rPr>
                <w:sz w:val="16"/>
              </w:rPr>
              <w:t>Ownership exacto</w:t>
            </w:r>
          </w:p>
        </w:tc>
        <w:tc>
          <w:tcPr>
            <w:tcW w:w="5443" w:type="dxa"/>
          </w:tcPr>
          <w:p w14:paraId="192F7542"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10/10</w:t>
            </w:r>
          </w:p>
        </w:tc>
      </w:tr>
      <w:tr w:rsidR="00605A46" w:rsidRPr="00E306B6" w14:paraId="253D6E3D" w14:textId="77777777" w:rsidTr="00E306B6">
        <w:tc>
          <w:tcPr>
            <w:cnfStyle w:val="001000000000" w:firstRow="0" w:lastRow="0" w:firstColumn="1" w:lastColumn="0" w:oddVBand="0" w:evenVBand="0" w:oddHBand="0" w:evenHBand="0" w:firstRowFirstColumn="0" w:firstRowLastColumn="0" w:lastRowFirstColumn="0" w:lastRowLastColumn="0"/>
            <w:tcW w:w="3515" w:type="dxa"/>
          </w:tcPr>
          <w:p w14:paraId="6A8007DC" w14:textId="77777777" w:rsidR="00605A46" w:rsidRPr="00E306B6" w:rsidRDefault="009460F9" w:rsidP="00BE339A">
            <w:pPr>
              <w:spacing w:line="240" w:lineRule="auto"/>
              <w:rPr>
                <w:sz w:val="16"/>
              </w:rPr>
            </w:pPr>
            <w:r w:rsidRPr="00E306B6">
              <w:rPr>
                <w:sz w:val="16"/>
              </w:rPr>
              <w:t>Estado exacto</w:t>
            </w:r>
          </w:p>
        </w:tc>
        <w:tc>
          <w:tcPr>
            <w:tcW w:w="5443" w:type="dxa"/>
          </w:tcPr>
          <w:p w14:paraId="4CBA618E"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10/10</w:t>
            </w:r>
          </w:p>
        </w:tc>
      </w:tr>
      <w:tr w:rsidR="00605A46" w:rsidRPr="00E306B6" w14:paraId="29E25684"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40BAD1FB" w14:textId="77777777" w:rsidR="00605A46" w:rsidRPr="00E306B6" w:rsidRDefault="009460F9" w:rsidP="00BE339A">
            <w:pPr>
              <w:spacing w:line="240" w:lineRule="auto"/>
              <w:rPr>
                <w:sz w:val="16"/>
              </w:rPr>
            </w:pPr>
            <w:r w:rsidRPr="00E306B6">
              <w:rPr>
                <w:sz w:val="16"/>
              </w:rPr>
              <w:t>Frontera de autoridad exacta</w:t>
            </w:r>
          </w:p>
        </w:tc>
        <w:tc>
          <w:tcPr>
            <w:tcW w:w="5443" w:type="dxa"/>
          </w:tcPr>
          <w:p w14:paraId="5A167062"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10/10</w:t>
            </w:r>
          </w:p>
        </w:tc>
      </w:tr>
      <w:tr w:rsidR="00605A46" w:rsidRPr="00E306B6" w14:paraId="0845318F" w14:textId="77777777" w:rsidTr="00E306B6">
        <w:tc>
          <w:tcPr>
            <w:cnfStyle w:val="001000000000" w:firstRow="0" w:lastRow="0" w:firstColumn="1" w:lastColumn="0" w:oddVBand="0" w:evenVBand="0" w:oddHBand="0" w:evenHBand="0" w:firstRowFirstColumn="0" w:firstRowLastColumn="0" w:lastRowFirstColumn="0" w:lastRowLastColumn="0"/>
            <w:tcW w:w="3515" w:type="dxa"/>
          </w:tcPr>
          <w:p w14:paraId="6B1DC38B" w14:textId="77777777" w:rsidR="00605A46" w:rsidRPr="00E306B6" w:rsidRDefault="009460F9" w:rsidP="00BE339A">
            <w:pPr>
              <w:spacing w:line="240" w:lineRule="auto"/>
              <w:rPr>
                <w:sz w:val="16"/>
              </w:rPr>
            </w:pPr>
            <w:r w:rsidRPr="00E306B6">
              <w:rPr>
                <w:sz w:val="16"/>
              </w:rPr>
              <w:t>Adquisiciones OPEN</w:t>
            </w:r>
          </w:p>
        </w:tc>
        <w:tc>
          <w:tcPr>
            <w:tcW w:w="5443" w:type="dxa"/>
          </w:tcPr>
          <w:p w14:paraId="6FE3912C"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3/3 válidas; 0 inválidas</w:t>
            </w:r>
          </w:p>
        </w:tc>
      </w:tr>
      <w:tr w:rsidR="00605A46" w:rsidRPr="002F4F30" w14:paraId="72516A4D"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618AF611" w14:textId="77777777" w:rsidR="00605A46" w:rsidRPr="00E306B6" w:rsidRDefault="009460F9" w:rsidP="00BE339A">
            <w:pPr>
              <w:spacing w:line="240" w:lineRule="auto"/>
              <w:rPr>
                <w:sz w:val="16"/>
              </w:rPr>
            </w:pPr>
            <w:r w:rsidRPr="00E306B6">
              <w:rPr>
                <w:sz w:val="16"/>
              </w:rPr>
              <w:t>Distribución</w:t>
            </w:r>
          </w:p>
        </w:tc>
        <w:tc>
          <w:tcPr>
            <w:tcW w:w="5443" w:type="dxa"/>
          </w:tcPr>
          <w:p w14:paraId="2B0ED014"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lang w:val="es-ES"/>
              </w:rPr>
            </w:pPr>
            <w:r w:rsidRPr="00E306B6">
              <w:rPr>
                <w:sz w:val="16"/>
                <w:lang w:val="es-ES"/>
              </w:rPr>
              <w:t>6 CLOSED propios; 1 sin propietario; 3 OPEN</w:t>
            </w:r>
          </w:p>
        </w:tc>
      </w:tr>
      <w:tr w:rsidR="00605A46" w:rsidRPr="00E306B6" w14:paraId="45ED241D" w14:textId="77777777" w:rsidTr="00E306B6">
        <w:tc>
          <w:tcPr>
            <w:cnfStyle w:val="001000000000" w:firstRow="0" w:lastRow="0" w:firstColumn="1" w:lastColumn="0" w:oddVBand="0" w:evenVBand="0" w:oddHBand="0" w:evenHBand="0" w:firstRowFirstColumn="0" w:firstRowLastColumn="0" w:lastRowFirstColumn="0" w:lastRowLastColumn="0"/>
            <w:tcW w:w="3515" w:type="dxa"/>
          </w:tcPr>
          <w:p w14:paraId="38680069" w14:textId="77777777" w:rsidR="00605A46" w:rsidRPr="00E306B6" w:rsidRDefault="009460F9" w:rsidP="00BE339A">
            <w:pPr>
              <w:spacing w:line="240" w:lineRule="auto"/>
              <w:rPr>
                <w:sz w:val="16"/>
              </w:rPr>
            </w:pPr>
            <w:r w:rsidRPr="00E306B6">
              <w:rPr>
                <w:sz w:val="16"/>
              </w:rPr>
              <w:t>Autoridad de routing</w:t>
            </w:r>
          </w:p>
        </w:tc>
        <w:tc>
          <w:tcPr>
            <w:tcW w:w="5443" w:type="dxa"/>
          </w:tcPr>
          <w:p w14:paraId="08E4A07A"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MDPAR_ONLY</w:t>
            </w:r>
          </w:p>
        </w:tc>
      </w:tr>
      <w:tr w:rsidR="00605A46" w:rsidRPr="00E306B6" w14:paraId="58C0ED17"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358F446D" w14:textId="77777777" w:rsidR="00605A46" w:rsidRPr="00E306B6" w:rsidRDefault="009460F9" w:rsidP="00BE339A">
            <w:pPr>
              <w:spacing w:line="240" w:lineRule="auto"/>
              <w:rPr>
                <w:sz w:val="16"/>
              </w:rPr>
            </w:pPr>
            <w:r w:rsidRPr="00E306B6">
              <w:rPr>
                <w:sz w:val="16"/>
              </w:rPr>
              <w:t>Continuidad longitudinal</w:t>
            </w:r>
          </w:p>
        </w:tc>
        <w:tc>
          <w:tcPr>
            <w:tcW w:w="5443" w:type="dxa"/>
          </w:tcPr>
          <w:p w14:paraId="5440E5E9" w14:textId="77777777" w:rsidR="00605A46" w:rsidRPr="00E306B6" w:rsidRDefault="009460F9" w:rsidP="00BE339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E306B6">
              <w:rPr>
                <w:sz w:val="16"/>
              </w:rPr>
              <w:t>Conservada</w:t>
            </w:r>
          </w:p>
        </w:tc>
      </w:tr>
      <w:tr w:rsidR="00605A46" w:rsidRPr="00E306B6" w14:paraId="058BD064" w14:textId="77777777" w:rsidTr="00E306B6">
        <w:tc>
          <w:tcPr>
            <w:cnfStyle w:val="001000000000" w:firstRow="0" w:lastRow="0" w:firstColumn="1" w:lastColumn="0" w:oddVBand="0" w:evenVBand="0" w:oddHBand="0" w:evenHBand="0" w:firstRowFirstColumn="0" w:firstRowLastColumn="0" w:lastRowFirstColumn="0" w:lastRowLastColumn="0"/>
            <w:tcW w:w="3515" w:type="dxa"/>
          </w:tcPr>
          <w:p w14:paraId="7C547633" w14:textId="77777777" w:rsidR="00605A46" w:rsidRPr="00E306B6" w:rsidRDefault="009460F9" w:rsidP="00BE339A">
            <w:pPr>
              <w:spacing w:line="240" w:lineRule="auto"/>
              <w:rPr>
                <w:sz w:val="16"/>
              </w:rPr>
            </w:pPr>
            <w:r w:rsidRPr="00E306B6">
              <w:rPr>
                <w:sz w:val="16"/>
              </w:rPr>
              <w:t>Autocertificación estructural OPEN</w:t>
            </w:r>
          </w:p>
        </w:tc>
        <w:tc>
          <w:tcPr>
            <w:tcW w:w="5443" w:type="dxa"/>
          </w:tcPr>
          <w:p w14:paraId="4F47837A" w14:textId="77777777" w:rsidR="00605A46" w:rsidRPr="00E306B6" w:rsidRDefault="009460F9" w:rsidP="00BE339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E306B6">
              <w:rPr>
                <w:sz w:val="16"/>
              </w:rPr>
              <w:t>Prohibida</w:t>
            </w:r>
          </w:p>
        </w:tc>
      </w:tr>
    </w:tbl>
    <w:p w14:paraId="5FC64379" w14:textId="77777777" w:rsidR="00605A46" w:rsidRDefault="00605A46">
      <w:pPr>
        <w:pStyle w:val="MDPARThesisBody"/>
      </w:pPr>
    </w:p>
    <w:p w14:paraId="54176D2B" w14:textId="77777777" w:rsidR="00605A46" w:rsidRPr="00BE339A" w:rsidRDefault="009460F9">
      <w:pPr>
        <w:pStyle w:val="MDPARThesisBody"/>
        <w:rPr>
          <w:lang w:val="es-ES"/>
        </w:rPr>
      </w:pPr>
      <w:r w:rsidRPr="00880D29">
        <w:rPr>
          <w:b/>
          <w:lang w:val="es-ES"/>
        </w:rPr>
        <w:t xml:space="preserve">Coste observado y límites de la inferencia económica. </w:t>
      </w:r>
      <w:r w:rsidRPr="00880D29">
        <w:rPr>
          <w:lang w:val="es-ES"/>
        </w:rPr>
        <w:t>Las tres adquisiciones OPEN consumen tres solicitudes y 72.073 tokens totales. Esta metrología pertenece a las adquisiciones neuronales de esta ejecución; no es coste de CLOSED ni demuestra un ahorro general frente a otras arquitecturas. Del mismo modo, los diez contratos exactos muestran conformidad de composición bajo el corpus congelado, no idoneidad universal de cualquier política de routing.</w:t>
      </w:r>
    </w:p>
    <w:p w14:paraId="21C40043" w14:textId="77777777" w:rsidR="00605A46" w:rsidRDefault="00353BB8">
      <w:pPr>
        <w:pStyle w:val="MDPARThesisBody"/>
        <w:rPr>
          <w:lang w:val="es-ES"/>
        </w:rPr>
      </w:pPr>
      <w:r w:rsidRPr="00880D29">
        <w:rPr>
          <w:b/>
          <w:lang w:val="es-ES"/>
        </w:rPr>
        <w:t xml:space="preserve">La diferencia entre aportar inteligencia y poseer el proceso cognitivo. </w:t>
      </w:r>
      <w:r w:rsidRPr="00880D29">
        <w:rPr>
          <w:lang w:val="es-ES"/>
        </w:rPr>
        <w:t>Ontológicamente, CLOSED y OPEN son fuentes de capacidad que pueden conservar estados internos propios sin que estos constituyan automáticamente el estado longitudinal compartido. Arquitectónicamente, MDPAR conserva selección, incorporación, continuidad y límites de autoridad. Epistemológicamente, una respuesta semánticamente plausible no se certifica a sí misma: debe superar el contrato estructural pertinente. Los 10/10 resultados exactos de ownership, estado y autoridad, junto con las 3/3 adquisiciones OPEN válidas, documentan esa separación en el corpus evaluado. C7 estudia las competencias y su jurisdicción; C8 examina su coexistencia bajo una misma gobernanza.</w:t>
      </w:r>
    </w:p>
    <w:p w14:paraId="774AC48E" w14:textId="77777777" w:rsidR="00353BB8" w:rsidRPr="00BE339A" w:rsidRDefault="00353BB8">
      <w:pPr>
        <w:pStyle w:val="MDPARThesisBody"/>
        <w:rPr>
          <w:lang w:val="es-ES"/>
        </w:rPr>
      </w:pPr>
    </w:p>
    <w:p w14:paraId="0A6380F6" w14:textId="77777777" w:rsidR="006F2537" w:rsidRPr="008F094E" w:rsidRDefault="006B1A89" w:rsidP="008F094E">
      <w:pPr>
        <w:pStyle w:val="MDPARProfileH1"/>
        <w:spacing w:before="0" w:after="0" w:line="360" w:lineRule="auto"/>
        <w:ind w:firstLine="709"/>
        <w:jc w:val="both"/>
        <w:outlineLvl w:val="1"/>
        <w:rPr>
          <w:sz w:val="24"/>
          <w:szCs w:val="20"/>
          <w:lang w:val="es-ES"/>
        </w:rPr>
      </w:pPr>
      <w:bookmarkStart w:id="137" w:name="_Toc242721973"/>
      <w:r w:rsidRPr="008F094E">
        <w:rPr>
          <w:sz w:val="24"/>
          <w:szCs w:val="20"/>
          <w:lang w:val="es-ES"/>
        </w:rPr>
        <w:t>C9 — Adaptive and Concurrent Cognition</w:t>
      </w:r>
      <w:bookmarkEnd w:id="137"/>
    </w:p>
    <w:p w14:paraId="26571D22" w14:textId="77777777" w:rsidR="00DA02B3" w:rsidRPr="00880D29" w:rsidRDefault="00880D29">
      <w:pPr>
        <w:pStyle w:val="MDPARThesisBody"/>
        <w:rPr>
          <w:lang w:val="es-ES"/>
        </w:rPr>
      </w:pPr>
      <w:r>
        <w:rPr>
          <w:b/>
          <w:lang w:val="es-ES"/>
        </w:rPr>
        <w:t>La inteligencia no debe adquirirse antes de saber que se necesita</w:t>
      </w:r>
      <w:r w:rsidR="00EC169F" w:rsidRPr="00880D29">
        <w:rPr>
          <w:b/>
          <w:lang w:val="es-ES"/>
        </w:rPr>
        <w:t xml:space="preserve">. </w:t>
      </w:r>
      <w:r w:rsidR="00EC169F" w:rsidRPr="00880D29">
        <w:rPr>
          <w:lang w:val="es-ES"/>
        </w:rPr>
        <w:t>C9 estudia dos responsabilidades diferentes de la cognición adaptativa: decidir cuándo adquirir HIGH a partir de suficiencia estructural, y determinar cuándo solapar temporalmente ese trabajo con la corriente foreground. La hipótesis operacional no presupone ahorro: exige una política de adquisición que no utilice las etiquetas gold para escalar y una contabilidad que separe calidad, tokens, solicitudes, razonamiento y tiempo.</w:t>
      </w:r>
    </w:p>
    <w:p w14:paraId="77056AEE" w14:textId="77777777" w:rsidR="00DA02B3" w:rsidRPr="00880D29" w:rsidRDefault="00880D29">
      <w:pPr>
        <w:pStyle w:val="MDPARThesisBody"/>
        <w:rPr>
          <w:lang w:val="es-ES"/>
        </w:rPr>
      </w:pPr>
      <w:r w:rsidRPr="00880D29">
        <w:rPr>
          <w:b/>
          <w:lang w:val="es-ES"/>
        </w:rPr>
        <w:t>Adquirir capacidad por necesidad, no por defecto</w:t>
      </w:r>
      <w:r w:rsidR="00EC169F" w:rsidRPr="00880D29">
        <w:rPr>
          <w:b/>
          <w:lang w:val="es-ES"/>
        </w:rPr>
        <w:t xml:space="preserve">. </w:t>
      </w:r>
      <w:r w:rsidR="00EC169F" w:rsidRPr="00880D29">
        <w:rPr>
          <w:lang w:val="es-ES"/>
        </w:rPr>
        <w:t xml:space="preserve">El protocolo C9_PAIRED_ADAPTIVE_ECONOMICS_V3 empareja ADAPTIVE y ALWAYS_HIGH sobre los mismos veinte casos de cada familia, alternando el orden AB/BA mediante SHA-256. Es secuencial por diseño: no atribuye a la política de adquisición efectos propios de la </w:t>
      </w:r>
      <w:r w:rsidR="00EC169F" w:rsidRPr="00880D29">
        <w:rPr>
          <w:lang w:val="es-ES"/>
        </w:rPr>
        <w:lastRenderedPageBreak/>
        <w:t>concurrencia. El gold se consulta únicamente después para comparar vectores de capacidad.</w:t>
      </w:r>
    </w:p>
    <w:p w14:paraId="25E4148A" w14:textId="77777777" w:rsidR="00DA02B3" w:rsidRDefault="00EC169F">
      <w:pPr>
        <w:pStyle w:val="MDPARThesisBody"/>
        <w:rPr>
          <w:lang w:val="es-ES"/>
        </w:rPr>
      </w:pPr>
      <w:r w:rsidRPr="00880D29">
        <w:rPr>
          <w:b/>
          <w:lang w:val="es-ES"/>
        </w:rPr>
        <w:t xml:space="preserve">Evidencia </w:t>
      </w:r>
      <w:r w:rsidR="00081562">
        <w:rPr>
          <w:b/>
          <w:lang w:val="es-ES"/>
        </w:rPr>
        <w:t>FROZEN</w:t>
      </w:r>
      <w:r w:rsidRPr="00880D29">
        <w:rPr>
          <w:b/>
          <w:lang w:val="es-ES"/>
        </w:rPr>
        <w:t xml:space="preserve"> — </w:t>
      </w:r>
      <w:r w:rsidR="00880D29">
        <w:rPr>
          <w:b/>
          <w:lang w:val="es-ES"/>
        </w:rPr>
        <w:t xml:space="preserve">MDPAR 2.3.0 </w:t>
      </w:r>
      <w:r w:rsidR="00880D29" w:rsidRPr="00880D29">
        <w:rPr>
          <w:b/>
          <w:lang w:val="es-ES"/>
        </w:rPr>
        <w:t>—</w:t>
      </w:r>
      <w:r w:rsidR="00880D29">
        <w:rPr>
          <w:b/>
          <w:lang w:val="es-ES"/>
        </w:rPr>
        <w:t xml:space="preserve"> </w:t>
      </w:r>
      <w:r w:rsidR="00880D29" w:rsidRPr="00EB46BF">
        <w:rPr>
          <w:b/>
          <w:lang w:val="es-ES"/>
        </w:rPr>
        <w:t>Instrumento I — Paired Adaptive Economics</w:t>
      </w:r>
      <w:r w:rsidR="00880D29">
        <w:rPr>
          <w:b/>
          <w:lang w:val="es-ES"/>
        </w:rPr>
        <w:t xml:space="preserve"> </w:t>
      </w:r>
      <w:r w:rsidRPr="00880D29">
        <w:rPr>
          <w:b/>
          <w:lang w:val="es-ES"/>
        </w:rPr>
        <w:t xml:space="preserve">. </w:t>
      </w:r>
      <w:r w:rsidRPr="00880D29">
        <w:rPr>
          <w:lang w:val="es-ES"/>
        </w:rPr>
        <w:t>La tabla conserva los denominadores por familia y brazo. El coste en USD es una estimación derivada con tarifa estándar API de GPT-5.6 Sol a 26/09/2026: 4 USD por millón de tokens de entrada no cacheada, 0,40 USD por millón de entrada cacheada y 20 USD por millón de salida. Los tokens de razonamiento están incluidos en la salida facturable, por lo que no se suman por segunda vez. Se presupone contexto corto y ausencia de recargos, descuentos o costes externos; el coste no forma parte de la evidencia canónica.</w:t>
      </w:r>
    </w:p>
    <w:p w14:paraId="39F4B126" w14:textId="77777777" w:rsidR="00880D29" w:rsidRPr="00880D29" w:rsidRDefault="00880D29">
      <w:pPr>
        <w:pStyle w:val="MDPARThesisBody"/>
        <w:rPr>
          <w:lang w:val="es-ES"/>
        </w:rPr>
      </w:pPr>
    </w:p>
    <w:tbl>
      <w:tblPr>
        <w:tblStyle w:val="Tablanormal2"/>
        <w:tblW w:w="0" w:type="auto"/>
        <w:tblLayout w:type="fixed"/>
        <w:tblLook w:val="04A0" w:firstRow="1" w:lastRow="0" w:firstColumn="1" w:lastColumn="0" w:noHBand="0" w:noVBand="1"/>
      </w:tblPr>
      <w:tblGrid>
        <w:gridCol w:w="1361"/>
        <w:gridCol w:w="1587"/>
        <w:gridCol w:w="1247"/>
        <w:gridCol w:w="737"/>
        <w:gridCol w:w="1020"/>
        <w:gridCol w:w="1531"/>
        <w:gridCol w:w="1531"/>
      </w:tblGrid>
      <w:tr w:rsidR="00C066D8" w:rsidRPr="00E306B6" w14:paraId="226D7533"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7B3CCF6D" w14:textId="77777777" w:rsidR="00C066D8" w:rsidRPr="00E306B6" w:rsidRDefault="00C066D8" w:rsidP="00C066D8">
            <w:pPr>
              <w:spacing w:line="240" w:lineRule="auto"/>
              <w:jc w:val="both"/>
              <w:rPr>
                <w:sz w:val="16"/>
                <w:szCs w:val="20"/>
              </w:rPr>
            </w:pPr>
            <w:r w:rsidRPr="00E306B6">
              <w:rPr>
                <w:sz w:val="16"/>
                <w:szCs w:val="20"/>
              </w:rPr>
              <w:t>Familia</w:t>
            </w:r>
          </w:p>
        </w:tc>
        <w:tc>
          <w:tcPr>
            <w:tcW w:w="1587" w:type="dxa"/>
          </w:tcPr>
          <w:p w14:paraId="66EE7385" w14:textId="77777777" w:rsidR="00C066D8" w:rsidRPr="00E306B6" w:rsidRDefault="00C066D8" w:rsidP="00C066D8">
            <w:pPr>
              <w:spacing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Política</w:t>
            </w:r>
          </w:p>
        </w:tc>
        <w:tc>
          <w:tcPr>
            <w:tcW w:w="1247" w:type="dxa"/>
          </w:tcPr>
          <w:p w14:paraId="64D296F2" w14:textId="77777777" w:rsidR="00C066D8" w:rsidRPr="00E306B6" w:rsidRDefault="00C066D8" w:rsidP="00C066D8">
            <w:pPr>
              <w:spacing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Suficiencia</w:t>
            </w:r>
          </w:p>
        </w:tc>
        <w:tc>
          <w:tcPr>
            <w:tcW w:w="737" w:type="dxa"/>
          </w:tcPr>
          <w:p w14:paraId="7DF5B5C0" w14:textId="77777777" w:rsidR="00C066D8" w:rsidRPr="00E306B6" w:rsidRDefault="00C066D8" w:rsidP="00C066D8">
            <w:pPr>
              <w:spacing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HIGH</w:t>
            </w:r>
          </w:p>
        </w:tc>
        <w:tc>
          <w:tcPr>
            <w:tcW w:w="1020" w:type="dxa"/>
          </w:tcPr>
          <w:p w14:paraId="564A7FE8" w14:textId="77777777" w:rsidR="00C066D8" w:rsidRPr="00E306B6" w:rsidRDefault="00C066D8" w:rsidP="00C066D8">
            <w:pPr>
              <w:spacing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Peticiones</w:t>
            </w:r>
          </w:p>
        </w:tc>
        <w:tc>
          <w:tcPr>
            <w:tcW w:w="1531" w:type="dxa"/>
          </w:tcPr>
          <w:p w14:paraId="0319DC8C" w14:textId="77777777" w:rsidR="00C066D8" w:rsidRPr="00E306B6" w:rsidRDefault="00C066D8" w:rsidP="00C066D8">
            <w:pPr>
              <w:spacing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Tokens de entrada</w:t>
            </w:r>
          </w:p>
        </w:tc>
        <w:tc>
          <w:tcPr>
            <w:tcW w:w="1531" w:type="dxa"/>
          </w:tcPr>
          <w:p w14:paraId="122EA49A" w14:textId="77777777" w:rsidR="00C066D8" w:rsidRPr="00E306B6" w:rsidRDefault="00C066D8" w:rsidP="00C066D8">
            <w:pPr>
              <w:spacing w:line="240" w:lineRule="auto"/>
              <w:jc w:val="both"/>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Tokens de salida</w:t>
            </w:r>
          </w:p>
        </w:tc>
      </w:tr>
      <w:tr w:rsidR="00C066D8" w:rsidRPr="00E306B6" w14:paraId="77218D30"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5C35FA6B" w14:textId="77777777" w:rsidR="00C066D8" w:rsidRPr="00E306B6" w:rsidRDefault="00C066D8" w:rsidP="00C066D8">
            <w:pPr>
              <w:spacing w:line="240" w:lineRule="auto"/>
              <w:jc w:val="both"/>
              <w:rPr>
                <w:sz w:val="16"/>
                <w:szCs w:val="20"/>
              </w:rPr>
            </w:pPr>
            <w:r w:rsidRPr="00E306B6">
              <w:rPr>
                <w:sz w:val="16"/>
                <w:szCs w:val="20"/>
              </w:rPr>
              <w:t>Dirección</w:t>
            </w:r>
          </w:p>
        </w:tc>
        <w:tc>
          <w:tcPr>
            <w:tcW w:w="1587" w:type="dxa"/>
          </w:tcPr>
          <w:p w14:paraId="1DD4D35C"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ADAPTIVE</w:t>
            </w:r>
          </w:p>
        </w:tc>
        <w:tc>
          <w:tcPr>
            <w:tcW w:w="1247" w:type="dxa"/>
          </w:tcPr>
          <w:p w14:paraId="08BD26E6"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19/20</w:t>
            </w:r>
          </w:p>
        </w:tc>
        <w:tc>
          <w:tcPr>
            <w:tcW w:w="737" w:type="dxa"/>
          </w:tcPr>
          <w:p w14:paraId="5B89FB0D"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8</w:t>
            </w:r>
          </w:p>
        </w:tc>
        <w:tc>
          <w:tcPr>
            <w:tcW w:w="1020" w:type="dxa"/>
          </w:tcPr>
          <w:p w14:paraId="57711616"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95</w:t>
            </w:r>
          </w:p>
        </w:tc>
        <w:tc>
          <w:tcPr>
            <w:tcW w:w="1531" w:type="dxa"/>
          </w:tcPr>
          <w:p w14:paraId="28692734"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1.741.517</w:t>
            </w:r>
          </w:p>
        </w:tc>
        <w:tc>
          <w:tcPr>
            <w:tcW w:w="1531" w:type="dxa"/>
          </w:tcPr>
          <w:p w14:paraId="6511CE3B"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58.851</w:t>
            </w:r>
          </w:p>
        </w:tc>
      </w:tr>
      <w:tr w:rsidR="00C066D8" w:rsidRPr="00E306B6" w14:paraId="01E6656B" w14:textId="77777777" w:rsidTr="00E306B6">
        <w:tc>
          <w:tcPr>
            <w:cnfStyle w:val="001000000000" w:firstRow="0" w:lastRow="0" w:firstColumn="1" w:lastColumn="0" w:oddVBand="0" w:evenVBand="0" w:oddHBand="0" w:evenHBand="0" w:firstRowFirstColumn="0" w:firstRowLastColumn="0" w:lastRowFirstColumn="0" w:lastRowLastColumn="0"/>
            <w:tcW w:w="1361" w:type="dxa"/>
          </w:tcPr>
          <w:p w14:paraId="5D326FE2" w14:textId="77777777" w:rsidR="00C066D8" w:rsidRPr="00E306B6" w:rsidRDefault="00C066D8" w:rsidP="00C066D8">
            <w:pPr>
              <w:spacing w:line="240" w:lineRule="auto"/>
              <w:jc w:val="both"/>
              <w:rPr>
                <w:sz w:val="16"/>
                <w:szCs w:val="20"/>
              </w:rPr>
            </w:pPr>
            <w:r w:rsidRPr="00E306B6">
              <w:rPr>
                <w:sz w:val="16"/>
                <w:szCs w:val="20"/>
              </w:rPr>
              <w:t>Dirección</w:t>
            </w:r>
          </w:p>
        </w:tc>
        <w:tc>
          <w:tcPr>
            <w:tcW w:w="1587" w:type="dxa"/>
          </w:tcPr>
          <w:p w14:paraId="72FB1E45"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ALWAYS_HIGH</w:t>
            </w:r>
          </w:p>
        </w:tc>
        <w:tc>
          <w:tcPr>
            <w:tcW w:w="1247" w:type="dxa"/>
          </w:tcPr>
          <w:p w14:paraId="26C52FDC"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19/20</w:t>
            </w:r>
          </w:p>
        </w:tc>
        <w:tc>
          <w:tcPr>
            <w:tcW w:w="737" w:type="dxa"/>
          </w:tcPr>
          <w:p w14:paraId="75C9C8E2"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20</w:t>
            </w:r>
          </w:p>
        </w:tc>
        <w:tc>
          <w:tcPr>
            <w:tcW w:w="1020" w:type="dxa"/>
          </w:tcPr>
          <w:p w14:paraId="592C8E9F"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72</w:t>
            </w:r>
          </w:p>
        </w:tc>
        <w:tc>
          <w:tcPr>
            <w:tcW w:w="1531" w:type="dxa"/>
          </w:tcPr>
          <w:p w14:paraId="1D6841CE"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1.234.652</w:t>
            </w:r>
          </w:p>
        </w:tc>
        <w:tc>
          <w:tcPr>
            <w:tcW w:w="1531" w:type="dxa"/>
          </w:tcPr>
          <w:p w14:paraId="43B13FB9"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124.696</w:t>
            </w:r>
          </w:p>
        </w:tc>
      </w:tr>
      <w:tr w:rsidR="00C066D8" w:rsidRPr="00E306B6" w14:paraId="43D41721"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7ECD58BD" w14:textId="77777777" w:rsidR="00C066D8" w:rsidRPr="00E306B6" w:rsidRDefault="00C066D8" w:rsidP="00C066D8">
            <w:pPr>
              <w:spacing w:line="240" w:lineRule="auto"/>
              <w:jc w:val="both"/>
              <w:rPr>
                <w:sz w:val="16"/>
                <w:szCs w:val="20"/>
              </w:rPr>
            </w:pPr>
            <w:r w:rsidRPr="00E306B6">
              <w:rPr>
                <w:sz w:val="16"/>
                <w:szCs w:val="20"/>
              </w:rPr>
              <w:t>Adaptación</w:t>
            </w:r>
          </w:p>
        </w:tc>
        <w:tc>
          <w:tcPr>
            <w:tcW w:w="1587" w:type="dxa"/>
          </w:tcPr>
          <w:p w14:paraId="26D24493"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ADAPTIVE</w:t>
            </w:r>
          </w:p>
        </w:tc>
        <w:tc>
          <w:tcPr>
            <w:tcW w:w="1247" w:type="dxa"/>
          </w:tcPr>
          <w:p w14:paraId="6B9D73D2"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9/20</w:t>
            </w:r>
          </w:p>
        </w:tc>
        <w:tc>
          <w:tcPr>
            <w:tcW w:w="737" w:type="dxa"/>
          </w:tcPr>
          <w:p w14:paraId="127136E1"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16</w:t>
            </w:r>
          </w:p>
        </w:tc>
        <w:tc>
          <w:tcPr>
            <w:tcW w:w="1020" w:type="dxa"/>
          </w:tcPr>
          <w:p w14:paraId="1C530552"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195</w:t>
            </w:r>
          </w:p>
        </w:tc>
        <w:tc>
          <w:tcPr>
            <w:tcW w:w="1531" w:type="dxa"/>
          </w:tcPr>
          <w:p w14:paraId="37FFDB61"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3.129.830</w:t>
            </w:r>
          </w:p>
        </w:tc>
        <w:tc>
          <w:tcPr>
            <w:tcW w:w="1531" w:type="dxa"/>
          </w:tcPr>
          <w:p w14:paraId="6D8FE1BE" w14:textId="77777777" w:rsidR="00C066D8" w:rsidRPr="00E306B6" w:rsidRDefault="00C066D8" w:rsidP="00C066D8">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263.238</w:t>
            </w:r>
          </w:p>
        </w:tc>
      </w:tr>
      <w:tr w:rsidR="00C066D8" w:rsidRPr="00E306B6" w14:paraId="7419B2B1" w14:textId="77777777" w:rsidTr="00E306B6">
        <w:tc>
          <w:tcPr>
            <w:cnfStyle w:val="001000000000" w:firstRow="0" w:lastRow="0" w:firstColumn="1" w:lastColumn="0" w:oddVBand="0" w:evenVBand="0" w:oddHBand="0" w:evenHBand="0" w:firstRowFirstColumn="0" w:firstRowLastColumn="0" w:lastRowFirstColumn="0" w:lastRowLastColumn="0"/>
            <w:tcW w:w="1361" w:type="dxa"/>
          </w:tcPr>
          <w:p w14:paraId="3A88366A" w14:textId="77777777" w:rsidR="00C066D8" w:rsidRPr="00E306B6" w:rsidRDefault="00C066D8" w:rsidP="00C066D8">
            <w:pPr>
              <w:spacing w:line="240" w:lineRule="auto"/>
              <w:jc w:val="both"/>
              <w:rPr>
                <w:sz w:val="16"/>
                <w:szCs w:val="20"/>
              </w:rPr>
            </w:pPr>
            <w:r w:rsidRPr="00E306B6">
              <w:rPr>
                <w:sz w:val="16"/>
                <w:szCs w:val="20"/>
              </w:rPr>
              <w:t>Adaptación</w:t>
            </w:r>
          </w:p>
        </w:tc>
        <w:tc>
          <w:tcPr>
            <w:tcW w:w="1587" w:type="dxa"/>
          </w:tcPr>
          <w:p w14:paraId="169C49CA"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ALWAYS_HIGH</w:t>
            </w:r>
          </w:p>
        </w:tc>
        <w:tc>
          <w:tcPr>
            <w:tcW w:w="1247" w:type="dxa"/>
          </w:tcPr>
          <w:p w14:paraId="04C79697"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4/20</w:t>
            </w:r>
          </w:p>
        </w:tc>
        <w:tc>
          <w:tcPr>
            <w:tcW w:w="737" w:type="dxa"/>
          </w:tcPr>
          <w:p w14:paraId="77E8C7EA"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20</w:t>
            </w:r>
          </w:p>
        </w:tc>
        <w:tc>
          <w:tcPr>
            <w:tcW w:w="1020" w:type="dxa"/>
          </w:tcPr>
          <w:p w14:paraId="384A4A87"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113</w:t>
            </w:r>
          </w:p>
        </w:tc>
        <w:tc>
          <w:tcPr>
            <w:tcW w:w="1531" w:type="dxa"/>
          </w:tcPr>
          <w:p w14:paraId="1519F3E3"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1.776.749</w:t>
            </w:r>
          </w:p>
        </w:tc>
        <w:tc>
          <w:tcPr>
            <w:tcW w:w="1531" w:type="dxa"/>
          </w:tcPr>
          <w:p w14:paraId="1FAE12F3" w14:textId="77777777" w:rsidR="00C066D8" w:rsidRPr="00E306B6" w:rsidRDefault="00C066D8" w:rsidP="00C066D8">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259.456</w:t>
            </w:r>
          </w:p>
        </w:tc>
      </w:tr>
    </w:tbl>
    <w:p w14:paraId="18E915E8" w14:textId="77777777" w:rsidR="00C066D8" w:rsidRDefault="00C066D8" w:rsidP="00C066D8">
      <w:pPr>
        <w:pStyle w:val="MDPARThesisBody"/>
        <w:ind w:firstLine="0"/>
        <w:rPr>
          <w:b/>
          <w:lang w:val="es-ES"/>
        </w:rPr>
      </w:pPr>
    </w:p>
    <w:p w14:paraId="40FA2472" w14:textId="77777777" w:rsidR="00DA02B3" w:rsidRPr="00880D29" w:rsidRDefault="00880D29">
      <w:pPr>
        <w:pStyle w:val="MDPARThesisBody"/>
        <w:rPr>
          <w:lang w:val="es-ES"/>
        </w:rPr>
      </w:pPr>
      <w:r>
        <w:rPr>
          <w:b/>
          <w:lang w:val="es-ES"/>
        </w:rPr>
        <w:t>Pensar en segundo plano sin detener el pensamiento presente</w:t>
      </w:r>
      <w:r w:rsidR="00EC169F" w:rsidRPr="00880D29">
        <w:rPr>
          <w:b/>
          <w:lang w:val="es-ES"/>
        </w:rPr>
        <w:t xml:space="preserve">. </w:t>
      </w:r>
      <w:r w:rsidR="00EC169F" w:rsidRPr="00880D29">
        <w:rPr>
          <w:lang w:val="es-ES"/>
        </w:rPr>
        <w:t>El protocolo C9_ADAPTIVE_CONCURRENT_COGNITION_V3 compara ADAPTIVE_SEQUENTIAL con ADAPTIVE_CONCURRENT. Este último incorpora un trabajador HIGH en background y conserva la contabilidad same-run de tiempo neuronal serializable, tiempo ocultado y cola expuesta. La comparación de campañas independientes no identifica por sí sola un efecto causal puro de la concurrencia.</w:t>
      </w:r>
    </w:p>
    <w:p w14:paraId="575507F9" w14:textId="77777777" w:rsidR="00DA02B3" w:rsidRDefault="00EC169F">
      <w:pPr>
        <w:pStyle w:val="MDPARThesisBody"/>
        <w:rPr>
          <w:lang w:val="es-ES"/>
        </w:rPr>
      </w:pPr>
      <w:r w:rsidRPr="00880D29">
        <w:rPr>
          <w:b/>
          <w:lang w:val="es-ES"/>
        </w:rPr>
        <w:t xml:space="preserve">Evidencia </w:t>
      </w:r>
      <w:r w:rsidR="00081562">
        <w:rPr>
          <w:b/>
          <w:lang w:val="es-ES"/>
        </w:rPr>
        <w:t>FROZEN</w:t>
      </w:r>
      <w:r w:rsidRPr="00880D29">
        <w:rPr>
          <w:b/>
          <w:lang w:val="es-ES"/>
        </w:rPr>
        <w:t xml:space="preserve"> — </w:t>
      </w:r>
      <w:r w:rsidR="00880D29">
        <w:rPr>
          <w:b/>
          <w:lang w:val="es-ES"/>
        </w:rPr>
        <w:t xml:space="preserve">MDPAR 2.3.0 </w:t>
      </w:r>
      <w:r w:rsidR="00880D29" w:rsidRPr="00880D29">
        <w:rPr>
          <w:b/>
          <w:lang w:val="es-ES"/>
        </w:rPr>
        <w:t>—</w:t>
      </w:r>
      <w:r w:rsidR="00880D29">
        <w:rPr>
          <w:b/>
          <w:lang w:val="es-ES"/>
        </w:rPr>
        <w:t xml:space="preserve"> </w:t>
      </w:r>
      <w:r w:rsidR="00880D29" w:rsidRPr="00880D29">
        <w:rPr>
          <w:b/>
          <w:lang w:val="es-ES"/>
        </w:rPr>
        <w:t>Instrumento II — Concurrent Adaptive Cognition</w:t>
      </w:r>
      <w:r w:rsidRPr="00880D29">
        <w:rPr>
          <w:b/>
          <w:lang w:val="es-ES"/>
        </w:rPr>
        <w:t xml:space="preserve">. </w:t>
      </w:r>
      <w:r w:rsidRPr="00880D29">
        <w:rPr>
          <w:lang w:val="es-ES"/>
        </w:rPr>
        <w:t>Los tiempos corresponden a cada campaña; el tiempo ocultado solo está definido para el brazo concurrente y mide solapamiento dentro de esa ejecución. No se intercambian los resultados de este instrumento con los del emparejamiento económico.</w:t>
      </w:r>
    </w:p>
    <w:p w14:paraId="741FBE22" w14:textId="77777777" w:rsidR="00880D29" w:rsidRPr="00880D29" w:rsidRDefault="00880D29">
      <w:pPr>
        <w:pStyle w:val="MDPARThesisBody"/>
        <w:rPr>
          <w:lang w:val="es-ES"/>
        </w:rPr>
      </w:pPr>
    </w:p>
    <w:tbl>
      <w:tblPr>
        <w:tblStyle w:val="Tablanormal2"/>
        <w:tblW w:w="0" w:type="auto"/>
        <w:tblLook w:val="04A0" w:firstRow="1" w:lastRow="0" w:firstColumn="1" w:lastColumn="0" w:noHBand="0" w:noVBand="1"/>
      </w:tblPr>
      <w:tblGrid>
        <w:gridCol w:w="1318"/>
        <w:gridCol w:w="1318"/>
        <w:gridCol w:w="1306"/>
        <w:gridCol w:w="1223"/>
        <w:gridCol w:w="1285"/>
        <w:gridCol w:w="1276"/>
        <w:gridCol w:w="1278"/>
      </w:tblGrid>
      <w:tr w:rsidR="00072858" w:rsidRPr="00072858" w14:paraId="29F36431"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tcPr>
          <w:p w14:paraId="00CE2706" w14:textId="77777777" w:rsidR="00072858" w:rsidRPr="00072858" w:rsidRDefault="00072858" w:rsidP="00072858">
            <w:pPr>
              <w:spacing w:line="240" w:lineRule="auto"/>
              <w:rPr>
                <w:rFonts w:cs="Times New Roman"/>
                <w:sz w:val="16"/>
                <w:szCs w:val="16"/>
              </w:rPr>
            </w:pPr>
            <w:r w:rsidRPr="00072858">
              <w:rPr>
                <w:rFonts w:cs="Times New Roman"/>
                <w:sz w:val="16"/>
                <w:szCs w:val="16"/>
              </w:rPr>
              <w:t>Familia</w:t>
            </w:r>
          </w:p>
        </w:tc>
        <w:tc>
          <w:tcPr>
            <w:tcW w:w="1432" w:type="dxa"/>
          </w:tcPr>
          <w:p w14:paraId="7FBBD0A4"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Brazo</w:t>
            </w:r>
          </w:p>
        </w:tc>
        <w:tc>
          <w:tcPr>
            <w:tcW w:w="1432" w:type="dxa"/>
          </w:tcPr>
          <w:p w14:paraId="63401E03"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Suficiencia</w:t>
            </w:r>
          </w:p>
        </w:tc>
        <w:tc>
          <w:tcPr>
            <w:tcW w:w="1432" w:type="dxa"/>
          </w:tcPr>
          <w:p w14:paraId="2DCC36D4"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HIGH</w:t>
            </w:r>
          </w:p>
        </w:tc>
        <w:tc>
          <w:tcPr>
            <w:tcW w:w="1432" w:type="dxa"/>
          </w:tcPr>
          <w:p w14:paraId="0E601F69"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Campaña (s)</w:t>
            </w:r>
          </w:p>
        </w:tc>
        <w:tc>
          <w:tcPr>
            <w:tcW w:w="1432" w:type="dxa"/>
          </w:tcPr>
          <w:p w14:paraId="18A1C20F"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Ocultado (s)</w:t>
            </w:r>
          </w:p>
        </w:tc>
        <w:tc>
          <w:tcPr>
            <w:tcW w:w="1432" w:type="dxa"/>
          </w:tcPr>
          <w:p w14:paraId="109E74CC" w14:textId="77777777" w:rsidR="00072858" w:rsidRPr="00072858" w:rsidRDefault="00072858" w:rsidP="00072858">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Tokens totales</w:t>
            </w:r>
          </w:p>
        </w:tc>
      </w:tr>
      <w:tr w:rsidR="00E306B6" w:rsidRPr="00072858" w14:paraId="00AD85B1"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tcPr>
          <w:p w14:paraId="79577A79" w14:textId="77777777" w:rsidR="00072858" w:rsidRPr="00072858" w:rsidRDefault="00072858" w:rsidP="00072858">
            <w:pPr>
              <w:spacing w:line="240" w:lineRule="auto"/>
              <w:rPr>
                <w:rFonts w:cs="Times New Roman"/>
                <w:sz w:val="16"/>
                <w:szCs w:val="16"/>
              </w:rPr>
            </w:pPr>
            <w:r w:rsidRPr="00072858">
              <w:rPr>
                <w:rFonts w:cs="Times New Roman"/>
                <w:sz w:val="16"/>
                <w:szCs w:val="16"/>
              </w:rPr>
              <w:t>Dirección</w:t>
            </w:r>
          </w:p>
        </w:tc>
        <w:tc>
          <w:tcPr>
            <w:tcW w:w="1432" w:type="dxa"/>
          </w:tcPr>
          <w:p w14:paraId="2C026985"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Secuencial</w:t>
            </w:r>
          </w:p>
        </w:tc>
        <w:tc>
          <w:tcPr>
            <w:tcW w:w="1432" w:type="dxa"/>
          </w:tcPr>
          <w:p w14:paraId="7396ED01"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20/20 · 100 %</w:t>
            </w:r>
          </w:p>
        </w:tc>
        <w:tc>
          <w:tcPr>
            <w:tcW w:w="1432" w:type="dxa"/>
          </w:tcPr>
          <w:p w14:paraId="000F2977"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6/20 · 30 %</w:t>
            </w:r>
          </w:p>
        </w:tc>
        <w:tc>
          <w:tcPr>
            <w:tcW w:w="1432" w:type="dxa"/>
          </w:tcPr>
          <w:p w14:paraId="60B6757F"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780.5</w:t>
            </w:r>
          </w:p>
        </w:tc>
        <w:tc>
          <w:tcPr>
            <w:tcW w:w="1432" w:type="dxa"/>
          </w:tcPr>
          <w:p w14:paraId="52C67CFA"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No aplicable</w:t>
            </w:r>
          </w:p>
        </w:tc>
        <w:tc>
          <w:tcPr>
            <w:tcW w:w="1432" w:type="dxa"/>
          </w:tcPr>
          <w:p w14:paraId="23B56341"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1,670,625</w:t>
            </w:r>
          </w:p>
        </w:tc>
      </w:tr>
      <w:tr w:rsidR="00072858" w:rsidRPr="00072858" w14:paraId="62ED2B11" w14:textId="77777777" w:rsidTr="00E306B6">
        <w:tc>
          <w:tcPr>
            <w:cnfStyle w:val="001000000000" w:firstRow="0" w:lastRow="0" w:firstColumn="1" w:lastColumn="0" w:oddVBand="0" w:evenVBand="0" w:oddHBand="0" w:evenHBand="0" w:firstRowFirstColumn="0" w:firstRowLastColumn="0" w:lastRowFirstColumn="0" w:lastRowLastColumn="0"/>
            <w:tcW w:w="1432" w:type="dxa"/>
          </w:tcPr>
          <w:p w14:paraId="1BEE78F2" w14:textId="77777777" w:rsidR="00072858" w:rsidRPr="00072858" w:rsidRDefault="00072858" w:rsidP="00072858">
            <w:pPr>
              <w:spacing w:line="240" w:lineRule="auto"/>
              <w:rPr>
                <w:rFonts w:cs="Times New Roman"/>
                <w:sz w:val="16"/>
                <w:szCs w:val="16"/>
              </w:rPr>
            </w:pPr>
            <w:r w:rsidRPr="00072858">
              <w:rPr>
                <w:rFonts w:cs="Times New Roman"/>
                <w:sz w:val="16"/>
                <w:szCs w:val="16"/>
              </w:rPr>
              <w:t>Dirección</w:t>
            </w:r>
          </w:p>
        </w:tc>
        <w:tc>
          <w:tcPr>
            <w:tcW w:w="1432" w:type="dxa"/>
          </w:tcPr>
          <w:p w14:paraId="26A2A4BF"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Concurrente</w:t>
            </w:r>
          </w:p>
        </w:tc>
        <w:tc>
          <w:tcPr>
            <w:tcW w:w="1432" w:type="dxa"/>
          </w:tcPr>
          <w:p w14:paraId="489707A5"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19/20 · 95 %</w:t>
            </w:r>
          </w:p>
        </w:tc>
        <w:tc>
          <w:tcPr>
            <w:tcW w:w="1432" w:type="dxa"/>
          </w:tcPr>
          <w:p w14:paraId="650D1560"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8/20 · 40 %</w:t>
            </w:r>
          </w:p>
        </w:tc>
        <w:tc>
          <w:tcPr>
            <w:tcW w:w="1432" w:type="dxa"/>
          </w:tcPr>
          <w:p w14:paraId="41F9F085"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762.0</w:t>
            </w:r>
          </w:p>
        </w:tc>
        <w:tc>
          <w:tcPr>
            <w:tcW w:w="1432" w:type="dxa"/>
          </w:tcPr>
          <w:p w14:paraId="2C8D06B1"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189.5</w:t>
            </w:r>
          </w:p>
        </w:tc>
        <w:tc>
          <w:tcPr>
            <w:tcW w:w="1432" w:type="dxa"/>
          </w:tcPr>
          <w:p w14:paraId="39468F1D"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1,778,138</w:t>
            </w:r>
          </w:p>
        </w:tc>
      </w:tr>
      <w:tr w:rsidR="00E306B6" w:rsidRPr="00072858" w14:paraId="16AC7E70"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tcPr>
          <w:p w14:paraId="3F9A1BB8" w14:textId="77777777" w:rsidR="00072858" w:rsidRPr="00072858" w:rsidRDefault="00072858" w:rsidP="00072858">
            <w:pPr>
              <w:spacing w:line="240" w:lineRule="auto"/>
              <w:rPr>
                <w:rFonts w:cs="Times New Roman"/>
                <w:sz w:val="16"/>
                <w:szCs w:val="16"/>
              </w:rPr>
            </w:pPr>
            <w:r w:rsidRPr="00072858">
              <w:rPr>
                <w:rFonts w:cs="Times New Roman"/>
                <w:sz w:val="16"/>
                <w:szCs w:val="16"/>
              </w:rPr>
              <w:t>Adaptación</w:t>
            </w:r>
          </w:p>
        </w:tc>
        <w:tc>
          <w:tcPr>
            <w:tcW w:w="1432" w:type="dxa"/>
          </w:tcPr>
          <w:p w14:paraId="162634F1"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Secuencial</w:t>
            </w:r>
          </w:p>
        </w:tc>
        <w:tc>
          <w:tcPr>
            <w:tcW w:w="1432" w:type="dxa"/>
          </w:tcPr>
          <w:p w14:paraId="52C9C5E2"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8/20 · 40 %</w:t>
            </w:r>
          </w:p>
        </w:tc>
        <w:tc>
          <w:tcPr>
            <w:tcW w:w="1432" w:type="dxa"/>
          </w:tcPr>
          <w:p w14:paraId="21B9621E"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15/20 · 75 %</w:t>
            </w:r>
          </w:p>
        </w:tc>
        <w:tc>
          <w:tcPr>
            <w:tcW w:w="1432" w:type="dxa"/>
          </w:tcPr>
          <w:p w14:paraId="5FF5EBC4"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3,409.8</w:t>
            </w:r>
          </w:p>
        </w:tc>
        <w:tc>
          <w:tcPr>
            <w:tcW w:w="1432" w:type="dxa"/>
          </w:tcPr>
          <w:p w14:paraId="7862BA5B"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No aplicable</w:t>
            </w:r>
          </w:p>
        </w:tc>
        <w:tc>
          <w:tcPr>
            <w:tcW w:w="1432" w:type="dxa"/>
          </w:tcPr>
          <w:p w14:paraId="7E94346F" w14:textId="77777777" w:rsidR="00072858" w:rsidRPr="00072858" w:rsidRDefault="00072858" w:rsidP="00072858">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858">
              <w:rPr>
                <w:rFonts w:cs="Times New Roman"/>
                <w:sz w:val="16"/>
                <w:szCs w:val="16"/>
              </w:rPr>
              <w:t>3,222,825</w:t>
            </w:r>
          </w:p>
        </w:tc>
      </w:tr>
      <w:tr w:rsidR="00072858" w:rsidRPr="00072858" w14:paraId="7D019B60" w14:textId="77777777" w:rsidTr="00E306B6">
        <w:tc>
          <w:tcPr>
            <w:cnfStyle w:val="001000000000" w:firstRow="0" w:lastRow="0" w:firstColumn="1" w:lastColumn="0" w:oddVBand="0" w:evenVBand="0" w:oddHBand="0" w:evenHBand="0" w:firstRowFirstColumn="0" w:firstRowLastColumn="0" w:lastRowFirstColumn="0" w:lastRowLastColumn="0"/>
            <w:tcW w:w="1432" w:type="dxa"/>
          </w:tcPr>
          <w:p w14:paraId="727B48C1" w14:textId="77777777" w:rsidR="00072858" w:rsidRPr="00072858" w:rsidRDefault="00072858" w:rsidP="00072858">
            <w:pPr>
              <w:spacing w:line="240" w:lineRule="auto"/>
              <w:rPr>
                <w:rFonts w:cs="Times New Roman"/>
                <w:sz w:val="16"/>
                <w:szCs w:val="16"/>
              </w:rPr>
            </w:pPr>
            <w:r w:rsidRPr="00072858">
              <w:rPr>
                <w:rFonts w:cs="Times New Roman"/>
                <w:sz w:val="16"/>
                <w:szCs w:val="16"/>
              </w:rPr>
              <w:t>Adaptación</w:t>
            </w:r>
          </w:p>
        </w:tc>
        <w:tc>
          <w:tcPr>
            <w:tcW w:w="1432" w:type="dxa"/>
          </w:tcPr>
          <w:p w14:paraId="7EA30B8C"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Concurrente</w:t>
            </w:r>
          </w:p>
        </w:tc>
        <w:tc>
          <w:tcPr>
            <w:tcW w:w="1432" w:type="dxa"/>
          </w:tcPr>
          <w:p w14:paraId="4FFEE861"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6/20 · 30 %</w:t>
            </w:r>
          </w:p>
        </w:tc>
        <w:tc>
          <w:tcPr>
            <w:tcW w:w="1432" w:type="dxa"/>
          </w:tcPr>
          <w:p w14:paraId="0125A816"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17/20 · 85 %</w:t>
            </w:r>
          </w:p>
        </w:tc>
        <w:tc>
          <w:tcPr>
            <w:tcW w:w="1432" w:type="dxa"/>
          </w:tcPr>
          <w:p w14:paraId="1CADF51D"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3,597.8</w:t>
            </w:r>
          </w:p>
        </w:tc>
        <w:tc>
          <w:tcPr>
            <w:tcW w:w="1432" w:type="dxa"/>
          </w:tcPr>
          <w:p w14:paraId="58A117F3"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293.4</w:t>
            </w:r>
          </w:p>
        </w:tc>
        <w:tc>
          <w:tcPr>
            <w:tcW w:w="1432" w:type="dxa"/>
          </w:tcPr>
          <w:p w14:paraId="3720B662" w14:textId="77777777" w:rsidR="00072858" w:rsidRPr="00072858" w:rsidRDefault="00072858" w:rsidP="00072858">
            <w:pPr>
              <w:spacing w:line="240" w:lineRule="auto"/>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858">
              <w:rPr>
                <w:rFonts w:cs="Times New Roman"/>
                <w:sz w:val="16"/>
                <w:szCs w:val="16"/>
              </w:rPr>
              <w:t>3,410,060</w:t>
            </w:r>
          </w:p>
        </w:tc>
      </w:tr>
    </w:tbl>
    <w:p w14:paraId="41B2A08B" w14:textId="77777777" w:rsidR="00C066D8" w:rsidRDefault="00C066D8" w:rsidP="00C066D8">
      <w:pPr>
        <w:pStyle w:val="MDPARThesisBody"/>
        <w:ind w:firstLine="0"/>
        <w:rPr>
          <w:b/>
          <w:lang w:val="es-ES"/>
        </w:rPr>
      </w:pPr>
    </w:p>
    <w:p w14:paraId="7CC5D945" w14:textId="77777777" w:rsidR="00DA02B3" w:rsidRDefault="00880D29">
      <w:pPr>
        <w:pStyle w:val="MDPARThesisBody"/>
        <w:rPr>
          <w:lang w:val="es-ES"/>
        </w:rPr>
      </w:pPr>
      <w:r>
        <w:rPr>
          <w:b/>
          <w:lang w:val="es-ES"/>
        </w:rPr>
        <w:t>Más capacidad y más concurrencia no garantizan mejores resultados</w:t>
      </w:r>
      <w:r w:rsidR="00EC169F" w:rsidRPr="00880D29">
        <w:rPr>
          <w:b/>
          <w:lang w:val="es-ES"/>
        </w:rPr>
        <w:t xml:space="preserve">. </w:t>
      </w:r>
      <w:r w:rsidR="00EC169F" w:rsidRPr="00880D29">
        <w:rPr>
          <w:lang w:val="es-ES"/>
        </w:rPr>
        <w:t xml:space="preserve">La concurrencia no mejora uniformemente la suficiencia ni el tiempo total en las dos familias. ADAPTIVE tampoco reduce necesariamente tokens totales respecto de ALWAYS_HIGH: adquirir NONE antes de HIGH puede aumentar el coste de entrada. La suficiencia </w:t>
      </w:r>
      <w:r w:rsidR="00EC169F" w:rsidRPr="00880D29">
        <w:rPr>
          <w:lang w:val="es-ES"/>
        </w:rPr>
        <w:lastRenderedPageBreak/>
        <w:t>estructural no sustituye una evaluación general de calidad semántica, y las tarifas son un supuesto económico fechado, no una propiedad del SCC.</w:t>
      </w:r>
    </w:p>
    <w:p w14:paraId="4D2D3808" w14:textId="77777777" w:rsidR="00C066D8" w:rsidRDefault="00C066D8">
      <w:pPr>
        <w:pStyle w:val="MDPARThesisBody"/>
        <w:rPr>
          <w:lang w:val="es-ES"/>
        </w:rPr>
      </w:pPr>
    </w:p>
    <w:tbl>
      <w:tblPr>
        <w:tblStyle w:val="Tablanormal2"/>
        <w:tblW w:w="9071" w:type="dxa"/>
        <w:tblLayout w:type="fixed"/>
        <w:tblLook w:val="04A0" w:firstRow="1" w:lastRow="0" w:firstColumn="1" w:lastColumn="0" w:noHBand="0" w:noVBand="1"/>
      </w:tblPr>
      <w:tblGrid>
        <w:gridCol w:w="1417"/>
        <w:gridCol w:w="1474"/>
        <w:gridCol w:w="903"/>
        <w:gridCol w:w="685"/>
        <w:gridCol w:w="1361"/>
        <w:gridCol w:w="1474"/>
        <w:gridCol w:w="1757"/>
      </w:tblGrid>
      <w:tr w:rsidR="00C066D8" w:rsidRPr="00E306B6" w14:paraId="48391A3F"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ACB706F" w14:textId="77777777" w:rsidR="00C066D8" w:rsidRPr="00E306B6" w:rsidRDefault="00C066D8" w:rsidP="00C066D8">
            <w:pPr>
              <w:spacing w:line="240" w:lineRule="auto"/>
              <w:rPr>
                <w:sz w:val="16"/>
                <w:szCs w:val="20"/>
              </w:rPr>
            </w:pPr>
            <w:r w:rsidRPr="00E306B6">
              <w:rPr>
                <w:sz w:val="16"/>
                <w:szCs w:val="20"/>
              </w:rPr>
              <w:t>Familia</w:t>
            </w:r>
          </w:p>
        </w:tc>
        <w:tc>
          <w:tcPr>
            <w:tcW w:w="1474" w:type="dxa"/>
          </w:tcPr>
          <w:p w14:paraId="49A530E2"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Brazo</w:t>
            </w:r>
          </w:p>
        </w:tc>
        <w:tc>
          <w:tcPr>
            <w:tcW w:w="903" w:type="dxa"/>
          </w:tcPr>
          <w:p w14:paraId="615130C8"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Sufic.</w:t>
            </w:r>
          </w:p>
        </w:tc>
        <w:tc>
          <w:tcPr>
            <w:tcW w:w="685" w:type="dxa"/>
          </w:tcPr>
          <w:p w14:paraId="02C94AF7"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HIGH</w:t>
            </w:r>
          </w:p>
        </w:tc>
        <w:tc>
          <w:tcPr>
            <w:tcW w:w="1361" w:type="dxa"/>
          </w:tcPr>
          <w:p w14:paraId="7F4DA531"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Campaña (s)</w:t>
            </w:r>
          </w:p>
        </w:tc>
        <w:tc>
          <w:tcPr>
            <w:tcW w:w="1474" w:type="dxa"/>
          </w:tcPr>
          <w:p w14:paraId="60C7433C"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Ocultado (s)</w:t>
            </w:r>
          </w:p>
        </w:tc>
        <w:tc>
          <w:tcPr>
            <w:tcW w:w="1757" w:type="dxa"/>
          </w:tcPr>
          <w:p w14:paraId="576B3E12"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E306B6">
              <w:rPr>
                <w:sz w:val="16"/>
                <w:szCs w:val="20"/>
              </w:rPr>
              <w:t>Tokens totales</w:t>
            </w:r>
          </w:p>
        </w:tc>
      </w:tr>
      <w:tr w:rsidR="00C066D8" w:rsidRPr="00E306B6" w14:paraId="224A2C05"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1B0B755" w14:textId="77777777" w:rsidR="00C066D8" w:rsidRPr="00E306B6" w:rsidRDefault="00C066D8" w:rsidP="00C066D8">
            <w:pPr>
              <w:spacing w:line="240" w:lineRule="auto"/>
              <w:rPr>
                <w:sz w:val="16"/>
                <w:szCs w:val="20"/>
              </w:rPr>
            </w:pPr>
            <w:r w:rsidRPr="00E306B6">
              <w:rPr>
                <w:sz w:val="16"/>
                <w:szCs w:val="20"/>
              </w:rPr>
              <w:t>Dirección</w:t>
            </w:r>
          </w:p>
        </w:tc>
        <w:tc>
          <w:tcPr>
            <w:tcW w:w="1474" w:type="dxa"/>
          </w:tcPr>
          <w:p w14:paraId="0376068F"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Secuencial</w:t>
            </w:r>
          </w:p>
        </w:tc>
        <w:tc>
          <w:tcPr>
            <w:tcW w:w="903" w:type="dxa"/>
          </w:tcPr>
          <w:p w14:paraId="61E644C9"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20/20</w:t>
            </w:r>
          </w:p>
        </w:tc>
        <w:tc>
          <w:tcPr>
            <w:tcW w:w="685" w:type="dxa"/>
          </w:tcPr>
          <w:p w14:paraId="59E9ACA2"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6</w:t>
            </w:r>
          </w:p>
        </w:tc>
        <w:tc>
          <w:tcPr>
            <w:tcW w:w="1361" w:type="dxa"/>
          </w:tcPr>
          <w:p w14:paraId="7490A5FB"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780.5</w:t>
            </w:r>
          </w:p>
        </w:tc>
        <w:tc>
          <w:tcPr>
            <w:tcW w:w="1474" w:type="dxa"/>
          </w:tcPr>
          <w:p w14:paraId="6C3C73EF"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w:t>
            </w:r>
          </w:p>
        </w:tc>
        <w:tc>
          <w:tcPr>
            <w:tcW w:w="1757" w:type="dxa"/>
          </w:tcPr>
          <w:p w14:paraId="66388B70"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1.670.625</w:t>
            </w:r>
          </w:p>
        </w:tc>
      </w:tr>
      <w:tr w:rsidR="00C066D8" w:rsidRPr="00E306B6" w14:paraId="5EB06E05" w14:textId="77777777" w:rsidTr="00E306B6">
        <w:tc>
          <w:tcPr>
            <w:cnfStyle w:val="001000000000" w:firstRow="0" w:lastRow="0" w:firstColumn="1" w:lastColumn="0" w:oddVBand="0" w:evenVBand="0" w:oddHBand="0" w:evenHBand="0" w:firstRowFirstColumn="0" w:firstRowLastColumn="0" w:lastRowFirstColumn="0" w:lastRowLastColumn="0"/>
            <w:tcW w:w="1417" w:type="dxa"/>
          </w:tcPr>
          <w:p w14:paraId="1287779D" w14:textId="77777777" w:rsidR="00C066D8" w:rsidRPr="00E306B6" w:rsidRDefault="00C066D8" w:rsidP="00C066D8">
            <w:pPr>
              <w:spacing w:line="240" w:lineRule="auto"/>
              <w:rPr>
                <w:sz w:val="16"/>
                <w:szCs w:val="20"/>
              </w:rPr>
            </w:pPr>
            <w:r w:rsidRPr="00E306B6">
              <w:rPr>
                <w:sz w:val="16"/>
                <w:szCs w:val="20"/>
              </w:rPr>
              <w:t>Dirección</w:t>
            </w:r>
          </w:p>
        </w:tc>
        <w:tc>
          <w:tcPr>
            <w:tcW w:w="1474" w:type="dxa"/>
          </w:tcPr>
          <w:p w14:paraId="7204738F"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Concurrente</w:t>
            </w:r>
          </w:p>
        </w:tc>
        <w:tc>
          <w:tcPr>
            <w:tcW w:w="903" w:type="dxa"/>
          </w:tcPr>
          <w:p w14:paraId="2FD237A0"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19/20</w:t>
            </w:r>
          </w:p>
        </w:tc>
        <w:tc>
          <w:tcPr>
            <w:tcW w:w="685" w:type="dxa"/>
          </w:tcPr>
          <w:p w14:paraId="2EACC693"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8</w:t>
            </w:r>
          </w:p>
        </w:tc>
        <w:tc>
          <w:tcPr>
            <w:tcW w:w="1361" w:type="dxa"/>
          </w:tcPr>
          <w:p w14:paraId="354AB9E3"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762.0</w:t>
            </w:r>
          </w:p>
        </w:tc>
        <w:tc>
          <w:tcPr>
            <w:tcW w:w="1474" w:type="dxa"/>
          </w:tcPr>
          <w:p w14:paraId="0ECA140E"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189.5</w:t>
            </w:r>
          </w:p>
        </w:tc>
        <w:tc>
          <w:tcPr>
            <w:tcW w:w="1757" w:type="dxa"/>
          </w:tcPr>
          <w:p w14:paraId="797027B6"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1.778.138</w:t>
            </w:r>
          </w:p>
        </w:tc>
      </w:tr>
      <w:tr w:rsidR="00C066D8" w:rsidRPr="00E306B6" w14:paraId="493966D0"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179AE3A" w14:textId="77777777" w:rsidR="00C066D8" w:rsidRPr="00E306B6" w:rsidRDefault="00C066D8" w:rsidP="00C066D8">
            <w:pPr>
              <w:spacing w:line="240" w:lineRule="auto"/>
              <w:rPr>
                <w:sz w:val="16"/>
                <w:szCs w:val="20"/>
              </w:rPr>
            </w:pPr>
            <w:r w:rsidRPr="00E306B6">
              <w:rPr>
                <w:sz w:val="16"/>
                <w:szCs w:val="20"/>
              </w:rPr>
              <w:t>Adaptación</w:t>
            </w:r>
          </w:p>
        </w:tc>
        <w:tc>
          <w:tcPr>
            <w:tcW w:w="1474" w:type="dxa"/>
          </w:tcPr>
          <w:p w14:paraId="241DBCF1"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Secuencial</w:t>
            </w:r>
          </w:p>
        </w:tc>
        <w:tc>
          <w:tcPr>
            <w:tcW w:w="903" w:type="dxa"/>
          </w:tcPr>
          <w:p w14:paraId="23E6232C"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8/20</w:t>
            </w:r>
          </w:p>
        </w:tc>
        <w:tc>
          <w:tcPr>
            <w:tcW w:w="685" w:type="dxa"/>
          </w:tcPr>
          <w:p w14:paraId="4EE01C9C"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15</w:t>
            </w:r>
          </w:p>
        </w:tc>
        <w:tc>
          <w:tcPr>
            <w:tcW w:w="1361" w:type="dxa"/>
          </w:tcPr>
          <w:p w14:paraId="06B66D68"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3409.8</w:t>
            </w:r>
          </w:p>
        </w:tc>
        <w:tc>
          <w:tcPr>
            <w:tcW w:w="1474" w:type="dxa"/>
          </w:tcPr>
          <w:p w14:paraId="1F8FF55E"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w:t>
            </w:r>
          </w:p>
        </w:tc>
        <w:tc>
          <w:tcPr>
            <w:tcW w:w="1757" w:type="dxa"/>
          </w:tcPr>
          <w:p w14:paraId="70C4CEAB"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E306B6">
              <w:rPr>
                <w:sz w:val="16"/>
                <w:szCs w:val="20"/>
              </w:rPr>
              <w:t>3.222.825</w:t>
            </w:r>
          </w:p>
        </w:tc>
      </w:tr>
      <w:tr w:rsidR="00C066D8" w:rsidRPr="00E306B6" w14:paraId="7A623DD7" w14:textId="77777777" w:rsidTr="00E306B6">
        <w:tc>
          <w:tcPr>
            <w:cnfStyle w:val="001000000000" w:firstRow="0" w:lastRow="0" w:firstColumn="1" w:lastColumn="0" w:oddVBand="0" w:evenVBand="0" w:oddHBand="0" w:evenHBand="0" w:firstRowFirstColumn="0" w:firstRowLastColumn="0" w:lastRowFirstColumn="0" w:lastRowLastColumn="0"/>
            <w:tcW w:w="1417" w:type="dxa"/>
          </w:tcPr>
          <w:p w14:paraId="3A2A1A98" w14:textId="77777777" w:rsidR="00C066D8" w:rsidRPr="00E306B6" w:rsidRDefault="00C066D8" w:rsidP="00C066D8">
            <w:pPr>
              <w:spacing w:line="240" w:lineRule="auto"/>
              <w:rPr>
                <w:sz w:val="16"/>
                <w:szCs w:val="20"/>
              </w:rPr>
            </w:pPr>
            <w:r w:rsidRPr="00E306B6">
              <w:rPr>
                <w:sz w:val="16"/>
                <w:szCs w:val="20"/>
              </w:rPr>
              <w:t>Adaptación</w:t>
            </w:r>
          </w:p>
        </w:tc>
        <w:tc>
          <w:tcPr>
            <w:tcW w:w="1474" w:type="dxa"/>
          </w:tcPr>
          <w:p w14:paraId="7C4B1BAC"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Concurrente</w:t>
            </w:r>
          </w:p>
        </w:tc>
        <w:tc>
          <w:tcPr>
            <w:tcW w:w="903" w:type="dxa"/>
          </w:tcPr>
          <w:p w14:paraId="6871893F"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6/20</w:t>
            </w:r>
          </w:p>
        </w:tc>
        <w:tc>
          <w:tcPr>
            <w:tcW w:w="685" w:type="dxa"/>
          </w:tcPr>
          <w:p w14:paraId="66AB2826"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17</w:t>
            </w:r>
          </w:p>
        </w:tc>
        <w:tc>
          <w:tcPr>
            <w:tcW w:w="1361" w:type="dxa"/>
          </w:tcPr>
          <w:p w14:paraId="4F303A15"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3597.8</w:t>
            </w:r>
          </w:p>
        </w:tc>
        <w:tc>
          <w:tcPr>
            <w:tcW w:w="1474" w:type="dxa"/>
          </w:tcPr>
          <w:p w14:paraId="08311046"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293.4</w:t>
            </w:r>
          </w:p>
        </w:tc>
        <w:tc>
          <w:tcPr>
            <w:tcW w:w="1757" w:type="dxa"/>
          </w:tcPr>
          <w:p w14:paraId="5D49FC55"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E306B6">
              <w:rPr>
                <w:sz w:val="16"/>
                <w:szCs w:val="20"/>
              </w:rPr>
              <w:t>3.410.060</w:t>
            </w:r>
          </w:p>
        </w:tc>
      </w:tr>
    </w:tbl>
    <w:p w14:paraId="25EB4FB4" w14:textId="77777777" w:rsidR="00C066D8" w:rsidRPr="00880D29" w:rsidRDefault="00C066D8" w:rsidP="00C066D8">
      <w:pPr>
        <w:pStyle w:val="MDPARThesisBody"/>
        <w:ind w:firstLine="0"/>
        <w:rPr>
          <w:lang w:val="es-ES"/>
        </w:rPr>
      </w:pPr>
    </w:p>
    <w:p w14:paraId="4F5D63C3" w14:textId="77777777" w:rsidR="00DA02B3" w:rsidRDefault="00880D29">
      <w:pPr>
        <w:pStyle w:val="MDPARThesisBody"/>
        <w:rPr>
          <w:lang w:val="es-ES"/>
        </w:rPr>
      </w:pPr>
      <w:r>
        <w:rPr>
          <w:b/>
          <w:lang w:val="es-ES"/>
        </w:rPr>
        <w:t>La economía de la cognición comienza con el discernimiento estructural</w:t>
      </w:r>
      <w:r w:rsidR="00EC169F" w:rsidRPr="00880D29">
        <w:rPr>
          <w:b/>
          <w:lang w:val="es-ES"/>
        </w:rPr>
        <w:t xml:space="preserve">. </w:t>
      </w:r>
      <w:r w:rsidR="00EC169F" w:rsidRPr="00880D29">
        <w:rPr>
          <w:lang w:val="es-ES"/>
        </w:rPr>
        <w:t>C9 muestra que la necesidad de más capacidad puede formularse como una decisión gobernada por evidencia estructural, sin consultar las respuestas gold para elegir el esfuerzo. La adquisición y la colocación temporal del compute son operaciones distintas: la primera decide qué capacidad contratar y la segunda cuándo ejecutar el trabajo. Para el Capítulo 10, C9 proporciona el contrafactual experimental principal del eje C/T/Q; el ahorro monetario es una consecuencia condicional de la política, del tráfico y de las tarifas, no la definición científica de la capacidad.</w:t>
      </w:r>
    </w:p>
    <w:p w14:paraId="4CC91298" w14:textId="77777777" w:rsidR="00880D29" w:rsidRPr="00880D29" w:rsidRDefault="00880D29">
      <w:pPr>
        <w:pStyle w:val="MDPARThesisBody"/>
        <w:rPr>
          <w:lang w:val="es-ES"/>
        </w:rPr>
      </w:pPr>
    </w:p>
    <w:p w14:paraId="58DB3A7E" w14:textId="77777777" w:rsidR="00DA02B3" w:rsidRPr="00880D29" w:rsidRDefault="00EC169F" w:rsidP="00880D29">
      <w:pPr>
        <w:pStyle w:val="MDPARProfileH1"/>
        <w:spacing w:before="0" w:after="0" w:line="360" w:lineRule="auto"/>
        <w:ind w:firstLine="709"/>
        <w:jc w:val="both"/>
        <w:outlineLvl w:val="1"/>
        <w:rPr>
          <w:sz w:val="24"/>
          <w:szCs w:val="20"/>
          <w:lang w:val="es-ES"/>
        </w:rPr>
      </w:pPr>
      <w:bookmarkStart w:id="138" w:name="_Toc242721974"/>
      <w:r w:rsidRPr="00880D29">
        <w:rPr>
          <w:sz w:val="24"/>
          <w:szCs w:val="20"/>
          <w:lang w:val="es-ES"/>
        </w:rPr>
        <w:t>C10 — Temporal Authority and Embodiment</w:t>
      </w:r>
      <w:bookmarkEnd w:id="138"/>
    </w:p>
    <w:p w14:paraId="6D5FD57A" w14:textId="77777777" w:rsidR="00DA02B3" w:rsidRPr="00880D29" w:rsidRDefault="00880D29">
      <w:pPr>
        <w:pStyle w:val="MDPARThesisBody"/>
        <w:rPr>
          <w:lang w:val="es-ES"/>
        </w:rPr>
      </w:pPr>
      <w:r>
        <w:rPr>
          <w:b/>
          <w:lang w:val="es-ES"/>
        </w:rPr>
        <w:t>Una respuesta correcta puede llegar demasiado tarde para tener autoridad</w:t>
      </w:r>
      <w:r w:rsidR="00EC169F" w:rsidRPr="00880D29">
        <w:rPr>
          <w:b/>
          <w:lang w:val="es-ES"/>
        </w:rPr>
        <w:t xml:space="preserve">. </w:t>
      </w:r>
      <w:r w:rsidR="00EC169F" w:rsidRPr="00880D29">
        <w:rPr>
          <w:lang w:val="es-ES"/>
        </w:rPr>
        <w:t>C10 distingue corrección de una observación, vigencia de su autorización y posibilidad de comprometer una acción. La hipótesis exige que un resultado posterior o fuera de su ventana temporal no reescriba decisiones ya comprometidas, aunque pueda conservar valor informativo para estados futuros.</w:t>
      </w:r>
    </w:p>
    <w:p w14:paraId="108DA422" w14:textId="77777777" w:rsidR="00DA02B3" w:rsidRPr="00880D29" w:rsidRDefault="00C066D8">
      <w:pPr>
        <w:pStyle w:val="MDPARThesisBody"/>
        <w:rPr>
          <w:lang w:val="es-ES"/>
        </w:rPr>
      </w:pPr>
      <w:r>
        <w:rPr>
          <w:b/>
          <w:lang w:val="es-ES"/>
        </w:rPr>
        <w:t>La autoridad pertenece al estado para el que fue concedida</w:t>
      </w:r>
      <w:r w:rsidR="00EC169F" w:rsidRPr="00880D29">
        <w:rPr>
          <w:b/>
          <w:lang w:val="es-ES"/>
        </w:rPr>
        <w:t xml:space="preserve">. </w:t>
      </w:r>
      <w:r w:rsidR="00EC169F" w:rsidRPr="00880D29">
        <w:rPr>
          <w:lang w:val="es-ES"/>
        </w:rPr>
        <w:t>El contrato determinista examina once asignaciones temporales, disponibilidad frontier y local, autorización, denegación y continuación background. Cada resultado debe respetar el snapshot y su ventana de vigencia. La ausencia de certificación estructural local impide promover automáticamente un recurso físicamente disponible.</w:t>
      </w:r>
    </w:p>
    <w:p w14:paraId="24DE54BD" w14:textId="77777777" w:rsidR="00DA02B3" w:rsidRPr="00880D29" w:rsidRDefault="00EC169F">
      <w:pPr>
        <w:pStyle w:val="MDPARThesisBody"/>
        <w:rPr>
          <w:lang w:val="es-ES"/>
        </w:rPr>
      </w:pPr>
      <w:r w:rsidRPr="00880D29">
        <w:rPr>
          <w:b/>
          <w:lang w:val="es-ES"/>
        </w:rPr>
        <w:t xml:space="preserve">Evidencia </w:t>
      </w:r>
      <w:r w:rsidR="00081562">
        <w:rPr>
          <w:b/>
          <w:lang w:val="es-ES"/>
        </w:rPr>
        <w:t>FROZEN</w:t>
      </w:r>
      <w:r w:rsidRPr="00880D29">
        <w:rPr>
          <w:b/>
          <w:lang w:val="es-ES"/>
        </w:rPr>
        <w:t xml:space="preserve"> — </w:t>
      </w:r>
      <w:r w:rsidR="00C066D8">
        <w:rPr>
          <w:b/>
          <w:lang w:val="es-ES"/>
        </w:rPr>
        <w:t xml:space="preserve">MDPAR 2.3.0 </w:t>
      </w:r>
      <w:r w:rsidR="00C066D8" w:rsidRPr="00880D29">
        <w:rPr>
          <w:b/>
          <w:lang w:val="es-ES"/>
        </w:rPr>
        <w:t>—</w:t>
      </w:r>
      <w:r w:rsidR="00C066D8">
        <w:rPr>
          <w:b/>
          <w:lang w:val="es-ES"/>
        </w:rPr>
        <w:t xml:space="preserve"> </w:t>
      </w:r>
      <w:r w:rsidR="00C066D8" w:rsidRPr="00880D29">
        <w:rPr>
          <w:b/>
          <w:lang w:val="es-ES"/>
        </w:rPr>
        <w:t>Instrumento I — Temporal Authority</w:t>
      </w:r>
      <w:r w:rsidRPr="00880D29">
        <w:rPr>
          <w:b/>
          <w:lang w:val="es-ES"/>
        </w:rPr>
        <w:t xml:space="preserve">. </w:t>
      </w:r>
      <w:r w:rsidRPr="00880D29">
        <w:rPr>
          <w:lang w:val="es-ES"/>
        </w:rPr>
        <w:t>La campaña de 2.3.0 obtiene once contratos exactos de once; cuatro asignaciones de autoridad frontier, ninguna de autoridad local y siete denegaciones o abstenciones. Tres casos incluyen continuación background. Estas cifras son de conformidad contractual, no de exactitud semántica universal.</w:t>
      </w:r>
    </w:p>
    <w:p w14:paraId="0065ACD5" w14:textId="77777777" w:rsidR="00DA02B3" w:rsidRPr="00880D29" w:rsidRDefault="00C066D8">
      <w:pPr>
        <w:pStyle w:val="MDPARThesisBody"/>
        <w:rPr>
          <w:lang w:val="es-ES"/>
        </w:rPr>
      </w:pPr>
      <w:r w:rsidRPr="00880D29">
        <w:rPr>
          <w:b/>
          <w:lang w:val="es-ES"/>
        </w:rPr>
        <w:t xml:space="preserve">Evidencia </w:t>
      </w:r>
      <w:r w:rsidR="00081562">
        <w:rPr>
          <w:b/>
          <w:lang w:val="es-ES"/>
        </w:rPr>
        <w:t>FROZEN</w:t>
      </w:r>
      <w:r w:rsidRPr="00880D29">
        <w:rPr>
          <w:b/>
          <w:lang w:val="es-ES"/>
        </w:rPr>
        <w:t xml:space="preserve"> — </w:t>
      </w:r>
      <w:r>
        <w:rPr>
          <w:b/>
          <w:lang w:val="es-ES"/>
        </w:rPr>
        <w:t xml:space="preserve">MDPAR 2.3.0 </w:t>
      </w:r>
      <w:r w:rsidRPr="00880D29">
        <w:rPr>
          <w:b/>
          <w:lang w:val="es-ES"/>
        </w:rPr>
        <w:t>—</w:t>
      </w:r>
      <w:r>
        <w:rPr>
          <w:b/>
          <w:lang w:val="es-ES"/>
        </w:rPr>
        <w:t xml:space="preserve"> </w:t>
      </w:r>
      <w:r w:rsidR="00EC169F" w:rsidRPr="00880D29">
        <w:rPr>
          <w:b/>
          <w:lang w:val="es-ES"/>
        </w:rPr>
        <w:t xml:space="preserve">Instrumento II — Natural Online: examen. </w:t>
      </w:r>
      <w:r w:rsidR="00EC169F" w:rsidRPr="00880D29">
        <w:rPr>
          <w:lang w:val="es-ES"/>
        </w:rPr>
        <w:t xml:space="preserve">El episodio natural del examen conserva ocho respuestas comprometidas. Se </w:t>
      </w:r>
      <w:r w:rsidR="00EC169F" w:rsidRPr="00880D29">
        <w:rPr>
          <w:lang w:val="es-ES"/>
        </w:rPr>
        <w:lastRenderedPageBreak/>
        <w:t>adquiere una respuesta HIGH tardía con autoridad FUTURE_STATE_ONLY y no se permite que modifique retrospectivamente lo comprometido. La ejecución registra un fallo OPEN_NEURAL_CLAIM_INVALID, que debe permanecer visible junto al éxito de la frontera temporal.</w:t>
      </w:r>
    </w:p>
    <w:p w14:paraId="57A41682" w14:textId="77777777" w:rsidR="00DA02B3" w:rsidRDefault="00C066D8">
      <w:pPr>
        <w:pStyle w:val="MDPARThesisBody"/>
        <w:rPr>
          <w:lang w:val="es-ES"/>
        </w:rPr>
      </w:pPr>
      <w:r w:rsidRPr="00880D29">
        <w:rPr>
          <w:b/>
          <w:lang w:val="es-ES"/>
        </w:rPr>
        <w:t xml:space="preserve">Evidencia </w:t>
      </w:r>
      <w:r w:rsidR="00081562">
        <w:rPr>
          <w:b/>
          <w:lang w:val="es-ES"/>
        </w:rPr>
        <w:t>FROZEN</w:t>
      </w:r>
      <w:r w:rsidRPr="00880D29">
        <w:rPr>
          <w:b/>
          <w:lang w:val="es-ES"/>
        </w:rPr>
        <w:t xml:space="preserve"> — </w:t>
      </w:r>
      <w:r>
        <w:rPr>
          <w:b/>
          <w:lang w:val="es-ES"/>
        </w:rPr>
        <w:t xml:space="preserve">MDPAR 2.3.0 </w:t>
      </w:r>
      <w:r w:rsidRPr="00880D29">
        <w:rPr>
          <w:b/>
          <w:lang w:val="es-ES"/>
        </w:rPr>
        <w:t>—</w:t>
      </w:r>
      <w:r>
        <w:rPr>
          <w:b/>
          <w:lang w:val="es-ES"/>
        </w:rPr>
        <w:t xml:space="preserve"> </w:t>
      </w:r>
      <w:r w:rsidR="00EC169F" w:rsidRPr="00880D29">
        <w:rPr>
          <w:b/>
          <w:lang w:val="es-ES"/>
        </w:rPr>
        <w:t xml:space="preserve">Instrumento III — Natural Online: feria. </w:t>
      </w:r>
      <w:r w:rsidR="00EC169F" w:rsidRPr="00880D29">
        <w:rPr>
          <w:lang w:val="es-ES"/>
        </w:rPr>
        <w:t>El episodio de feria recorre diez eventos decisionales durante 600 segundos simulados (aproximadamente 71,68 segundos de reloj), con dos acciones comprometidas, cero reescrituras y ninguna adquisición HIGH. Los estados ACT y WAIT del supervisor no equivalen por sí mismos a acciones efectivamente comprometidas.</w:t>
      </w:r>
    </w:p>
    <w:p w14:paraId="4D005CBB" w14:textId="77777777" w:rsidR="00C066D8" w:rsidRPr="00880D29" w:rsidRDefault="00C066D8">
      <w:pPr>
        <w:pStyle w:val="MDPARThesisBody"/>
        <w:rPr>
          <w:lang w:val="es-ES"/>
        </w:rPr>
      </w:pPr>
    </w:p>
    <w:tbl>
      <w:tblPr>
        <w:tblStyle w:val="Tablanormal2"/>
        <w:tblW w:w="9071" w:type="dxa"/>
        <w:tblLayout w:type="fixed"/>
        <w:tblLook w:val="04A0" w:firstRow="1" w:lastRow="0" w:firstColumn="1" w:lastColumn="0" w:noHBand="0" w:noVBand="1"/>
      </w:tblPr>
      <w:tblGrid>
        <w:gridCol w:w="1701"/>
        <w:gridCol w:w="1474"/>
        <w:gridCol w:w="3312"/>
        <w:gridCol w:w="2584"/>
      </w:tblGrid>
      <w:tr w:rsidR="00C066D8" w:rsidRPr="00E306B6" w14:paraId="1E609586"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F2628E" w14:textId="77777777" w:rsidR="00C066D8" w:rsidRPr="00E306B6" w:rsidRDefault="00C066D8" w:rsidP="00C066D8">
            <w:pPr>
              <w:spacing w:line="240" w:lineRule="auto"/>
              <w:rPr>
                <w:sz w:val="16"/>
                <w:szCs w:val="18"/>
              </w:rPr>
            </w:pPr>
            <w:r w:rsidRPr="00E306B6">
              <w:rPr>
                <w:sz w:val="16"/>
                <w:szCs w:val="18"/>
              </w:rPr>
              <w:t>Instrumento</w:t>
            </w:r>
          </w:p>
        </w:tc>
        <w:tc>
          <w:tcPr>
            <w:tcW w:w="1474" w:type="dxa"/>
          </w:tcPr>
          <w:p w14:paraId="6ABB9549"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18"/>
              </w:rPr>
            </w:pPr>
            <w:r w:rsidRPr="00E306B6">
              <w:rPr>
                <w:sz w:val="16"/>
                <w:szCs w:val="18"/>
              </w:rPr>
              <w:t>Unidad</w:t>
            </w:r>
          </w:p>
        </w:tc>
        <w:tc>
          <w:tcPr>
            <w:tcW w:w="3312" w:type="dxa"/>
          </w:tcPr>
          <w:p w14:paraId="395AF819"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18"/>
              </w:rPr>
            </w:pPr>
            <w:r w:rsidRPr="00E306B6">
              <w:rPr>
                <w:sz w:val="16"/>
                <w:szCs w:val="18"/>
              </w:rPr>
              <w:t>Resultado principal</w:t>
            </w:r>
          </w:p>
        </w:tc>
        <w:tc>
          <w:tcPr>
            <w:tcW w:w="2584" w:type="dxa"/>
          </w:tcPr>
          <w:p w14:paraId="71ECA41B"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18"/>
              </w:rPr>
            </w:pPr>
            <w:r w:rsidRPr="00E306B6">
              <w:rPr>
                <w:sz w:val="16"/>
                <w:szCs w:val="18"/>
              </w:rPr>
              <w:t>Límite</w:t>
            </w:r>
          </w:p>
        </w:tc>
      </w:tr>
      <w:tr w:rsidR="00C066D8" w:rsidRPr="00E306B6" w14:paraId="429D6008"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A54F6F0" w14:textId="77777777" w:rsidR="00C066D8" w:rsidRPr="00E306B6" w:rsidRDefault="00C066D8" w:rsidP="00C066D8">
            <w:pPr>
              <w:spacing w:line="240" w:lineRule="auto"/>
              <w:rPr>
                <w:sz w:val="16"/>
                <w:szCs w:val="18"/>
              </w:rPr>
            </w:pPr>
            <w:r w:rsidRPr="00E306B6">
              <w:rPr>
                <w:sz w:val="16"/>
                <w:szCs w:val="18"/>
              </w:rPr>
              <w:t>Temporal Authority</w:t>
            </w:r>
          </w:p>
        </w:tc>
        <w:tc>
          <w:tcPr>
            <w:tcW w:w="1474" w:type="dxa"/>
          </w:tcPr>
          <w:p w14:paraId="28925D69"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18"/>
              </w:rPr>
            </w:pPr>
            <w:r w:rsidRPr="00E306B6">
              <w:rPr>
                <w:sz w:val="16"/>
                <w:szCs w:val="18"/>
              </w:rPr>
              <w:t>11 casos</w:t>
            </w:r>
          </w:p>
        </w:tc>
        <w:tc>
          <w:tcPr>
            <w:tcW w:w="3312" w:type="dxa"/>
          </w:tcPr>
          <w:p w14:paraId="12164151"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18"/>
              </w:rPr>
            </w:pPr>
            <w:r w:rsidRPr="00E306B6">
              <w:rPr>
                <w:sz w:val="16"/>
                <w:szCs w:val="18"/>
              </w:rPr>
              <w:t>11/11 exactos; 4 frontier; 0 local</w:t>
            </w:r>
          </w:p>
        </w:tc>
        <w:tc>
          <w:tcPr>
            <w:tcW w:w="2584" w:type="dxa"/>
          </w:tcPr>
          <w:p w14:paraId="7AD46E6E"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18"/>
              </w:rPr>
            </w:pPr>
            <w:r w:rsidRPr="00E306B6">
              <w:rPr>
                <w:sz w:val="16"/>
                <w:szCs w:val="18"/>
              </w:rPr>
              <w:t>Conformidad contractual</w:t>
            </w:r>
          </w:p>
        </w:tc>
      </w:tr>
      <w:tr w:rsidR="00C066D8" w:rsidRPr="00E306B6" w14:paraId="017715E7" w14:textId="77777777" w:rsidTr="00E306B6">
        <w:tc>
          <w:tcPr>
            <w:cnfStyle w:val="001000000000" w:firstRow="0" w:lastRow="0" w:firstColumn="1" w:lastColumn="0" w:oddVBand="0" w:evenVBand="0" w:oddHBand="0" w:evenHBand="0" w:firstRowFirstColumn="0" w:firstRowLastColumn="0" w:lastRowFirstColumn="0" w:lastRowLastColumn="0"/>
            <w:tcW w:w="1701" w:type="dxa"/>
          </w:tcPr>
          <w:p w14:paraId="2A79E64E" w14:textId="77777777" w:rsidR="00C066D8" w:rsidRPr="00E306B6" w:rsidRDefault="00C066D8" w:rsidP="00C066D8">
            <w:pPr>
              <w:spacing w:line="240" w:lineRule="auto"/>
              <w:rPr>
                <w:sz w:val="16"/>
                <w:szCs w:val="18"/>
              </w:rPr>
            </w:pPr>
            <w:r w:rsidRPr="00E306B6">
              <w:rPr>
                <w:sz w:val="16"/>
                <w:szCs w:val="18"/>
              </w:rPr>
              <w:t>Examen</w:t>
            </w:r>
          </w:p>
        </w:tc>
        <w:tc>
          <w:tcPr>
            <w:tcW w:w="1474" w:type="dxa"/>
          </w:tcPr>
          <w:p w14:paraId="2184F82F"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18"/>
              </w:rPr>
            </w:pPr>
            <w:r w:rsidRPr="00E306B6">
              <w:rPr>
                <w:sz w:val="16"/>
                <w:szCs w:val="18"/>
              </w:rPr>
              <w:t>8 respuestas</w:t>
            </w:r>
          </w:p>
        </w:tc>
        <w:tc>
          <w:tcPr>
            <w:tcW w:w="3312" w:type="dxa"/>
          </w:tcPr>
          <w:p w14:paraId="0531DF3F"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18"/>
              </w:rPr>
            </w:pPr>
            <w:r w:rsidRPr="00E306B6">
              <w:rPr>
                <w:sz w:val="16"/>
                <w:szCs w:val="18"/>
              </w:rPr>
              <w:t>8 comprometidas; 0 reescrituras; 1 HIGH tardío</w:t>
            </w:r>
          </w:p>
        </w:tc>
        <w:tc>
          <w:tcPr>
            <w:tcW w:w="2584" w:type="dxa"/>
          </w:tcPr>
          <w:p w14:paraId="654E21E4"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18"/>
              </w:rPr>
            </w:pPr>
            <w:r w:rsidRPr="00E306B6">
              <w:rPr>
                <w:sz w:val="16"/>
                <w:szCs w:val="18"/>
              </w:rPr>
              <w:t>1 OPEN_NEURAL_CLAIM_INVALID</w:t>
            </w:r>
          </w:p>
        </w:tc>
      </w:tr>
      <w:tr w:rsidR="00C066D8" w:rsidRPr="002F4F30" w14:paraId="6EEBEE52"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08FEBE0" w14:textId="77777777" w:rsidR="00C066D8" w:rsidRPr="00E306B6" w:rsidRDefault="00C066D8" w:rsidP="00C066D8">
            <w:pPr>
              <w:spacing w:line="240" w:lineRule="auto"/>
              <w:rPr>
                <w:sz w:val="16"/>
                <w:szCs w:val="18"/>
              </w:rPr>
            </w:pPr>
            <w:r w:rsidRPr="00E306B6">
              <w:rPr>
                <w:sz w:val="16"/>
                <w:szCs w:val="18"/>
              </w:rPr>
              <w:t>Feria</w:t>
            </w:r>
          </w:p>
        </w:tc>
        <w:tc>
          <w:tcPr>
            <w:tcW w:w="1474" w:type="dxa"/>
          </w:tcPr>
          <w:p w14:paraId="3C58C99E"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18"/>
              </w:rPr>
            </w:pPr>
            <w:r w:rsidRPr="00E306B6">
              <w:rPr>
                <w:sz w:val="16"/>
                <w:szCs w:val="18"/>
              </w:rPr>
              <w:t>10 eventos; 600 s simulados</w:t>
            </w:r>
          </w:p>
        </w:tc>
        <w:tc>
          <w:tcPr>
            <w:tcW w:w="3312" w:type="dxa"/>
          </w:tcPr>
          <w:p w14:paraId="353B7E27"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18"/>
              </w:rPr>
            </w:pPr>
            <w:r w:rsidRPr="00E306B6">
              <w:rPr>
                <w:sz w:val="16"/>
                <w:szCs w:val="18"/>
              </w:rPr>
              <w:t>2 acciones comprometidas; 0 HIGH</w:t>
            </w:r>
          </w:p>
        </w:tc>
        <w:tc>
          <w:tcPr>
            <w:tcW w:w="2584" w:type="dxa"/>
          </w:tcPr>
          <w:p w14:paraId="46636A25"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18"/>
                <w:lang w:val="es-ES"/>
              </w:rPr>
            </w:pPr>
            <w:r w:rsidRPr="00E306B6">
              <w:rPr>
                <w:sz w:val="16"/>
                <w:szCs w:val="18"/>
                <w:lang w:val="es-ES"/>
              </w:rPr>
              <w:t>No son 600 s de embodiment físico</w:t>
            </w:r>
          </w:p>
        </w:tc>
      </w:tr>
    </w:tbl>
    <w:p w14:paraId="6C22BAAB" w14:textId="77777777" w:rsidR="00C066D8" w:rsidRDefault="00C066D8" w:rsidP="00C066D8">
      <w:pPr>
        <w:pStyle w:val="MDPARThesisBody"/>
        <w:ind w:firstLine="0"/>
        <w:rPr>
          <w:b/>
          <w:lang w:val="es-ES"/>
        </w:rPr>
      </w:pPr>
    </w:p>
    <w:p w14:paraId="0B602E22" w14:textId="77777777" w:rsidR="00DA02B3" w:rsidRDefault="00C066D8">
      <w:pPr>
        <w:pStyle w:val="MDPARThesisBody"/>
        <w:rPr>
          <w:lang w:val="es-ES"/>
        </w:rPr>
      </w:pPr>
      <w:r>
        <w:rPr>
          <w:b/>
          <w:lang w:val="es-ES"/>
        </w:rPr>
        <w:t>El conocimiento conserva su historia, pero no necesariamente su vigencia</w:t>
      </w:r>
      <w:r w:rsidR="00EC169F" w:rsidRPr="00880D29">
        <w:rPr>
          <w:b/>
          <w:lang w:val="es-ES"/>
        </w:rPr>
        <w:t xml:space="preserve">. </w:t>
      </w:r>
      <w:r w:rsidR="00EC169F" w:rsidRPr="00880D29">
        <w:rPr>
          <w:lang w:val="es-ES"/>
        </w:rPr>
        <w:t>Una observación puede seguir perteneciendo a la historia del proceso y haber perdido autoridad para actuar sobre su presente. El examen somete a prueba esa asimetría frente a una adquisición tardía; la feria la examina en un episodio de decisiones y compromisos de acción; el contrato temporal delimita las condiciones de admisibilidad. C10 no demuestra un robot físico ni confunde utilidad, validez y autorización.</w:t>
      </w:r>
    </w:p>
    <w:p w14:paraId="03D67325" w14:textId="77777777" w:rsidR="00880D29" w:rsidRPr="00880D29" w:rsidRDefault="00880D29">
      <w:pPr>
        <w:pStyle w:val="MDPARThesisBody"/>
        <w:rPr>
          <w:lang w:val="es-ES"/>
        </w:rPr>
      </w:pPr>
    </w:p>
    <w:p w14:paraId="550C0D09" w14:textId="77777777" w:rsidR="00DA02B3" w:rsidRPr="00880D29" w:rsidRDefault="00EC169F" w:rsidP="00880D29">
      <w:pPr>
        <w:pStyle w:val="MDPARProfileH1"/>
        <w:spacing w:before="0" w:after="0" w:line="360" w:lineRule="auto"/>
        <w:ind w:firstLine="709"/>
        <w:jc w:val="both"/>
        <w:outlineLvl w:val="1"/>
        <w:rPr>
          <w:sz w:val="24"/>
          <w:szCs w:val="20"/>
          <w:lang w:val="es-ES"/>
        </w:rPr>
      </w:pPr>
      <w:bookmarkStart w:id="139" w:name="_Toc242721975"/>
      <w:r w:rsidRPr="00880D29">
        <w:rPr>
          <w:sz w:val="24"/>
          <w:szCs w:val="20"/>
          <w:lang w:val="es-ES"/>
        </w:rPr>
        <w:t>C11 — Degradation, Continuity and Recovery</w:t>
      </w:r>
      <w:bookmarkEnd w:id="139"/>
    </w:p>
    <w:p w14:paraId="4A5CEDC2" w14:textId="77777777" w:rsidR="00DA02B3" w:rsidRPr="00880D29" w:rsidRDefault="00C066D8">
      <w:pPr>
        <w:pStyle w:val="MDPARThesisBody"/>
        <w:rPr>
          <w:lang w:val="es-ES"/>
        </w:rPr>
      </w:pPr>
      <w:r>
        <w:rPr>
          <w:b/>
          <w:lang w:val="es-ES"/>
        </w:rPr>
        <w:t>La continuidad del pensamiento no puede depender de la permanencia de quien lo interpreta</w:t>
      </w:r>
      <w:r w:rsidR="00EC169F" w:rsidRPr="00880D29">
        <w:rPr>
          <w:b/>
          <w:lang w:val="es-ES"/>
        </w:rPr>
        <w:t xml:space="preserve">. </w:t>
      </w:r>
      <w:r w:rsidR="00EC169F" w:rsidRPr="00880D29">
        <w:rPr>
          <w:lang w:val="es-ES"/>
        </w:rPr>
        <w:t>C11 examina si un proceso conserva identidad, procedencia y autoridad cuando frontier pasa de AVAILABLE a UNAVAILABLE y después vuelve a estar disponible. La hipótesis no exige migrar el estado oculto de un modelo: exige distinguir continuidad del proceso, elegibilidad del recurso, deuda pendiente y recuperación verificable.</w:t>
      </w:r>
    </w:p>
    <w:p w14:paraId="6A19FCFF" w14:textId="77777777" w:rsidR="00C066D8" w:rsidRPr="00EB46BF" w:rsidRDefault="00C066D8" w:rsidP="00C066D8">
      <w:pPr>
        <w:pStyle w:val="MDPARThesisBody"/>
        <w:rPr>
          <w:lang w:val="es-ES"/>
        </w:rPr>
      </w:pPr>
      <w:r w:rsidRPr="00880D29">
        <w:rPr>
          <w:b/>
          <w:lang w:val="es-ES"/>
        </w:rPr>
        <w:t xml:space="preserve">Evidencia </w:t>
      </w:r>
      <w:r w:rsidR="00081562">
        <w:rPr>
          <w:b/>
          <w:lang w:val="es-ES"/>
        </w:rPr>
        <w:t>FROZEN</w:t>
      </w:r>
      <w:r w:rsidRPr="00880D29">
        <w:rPr>
          <w:b/>
          <w:lang w:val="es-ES"/>
        </w:rPr>
        <w:t xml:space="preserve"> — </w:t>
      </w:r>
      <w:r>
        <w:rPr>
          <w:b/>
          <w:lang w:val="es-ES"/>
        </w:rPr>
        <w:t xml:space="preserve">MDPAR 2.3.0 </w:t>
      </w:r>
      <w:r w:rsidRPr="00880D29">
        <w:rPr>
          <w:b/>
          <w:lang w:val="es-ES"/>
        </w:rPr>
        <w:t>—</w:t>
      </w:r>
      <w:r>
        <w:rPr>
          <w:b/>
          <w:lang w:val="es-ES"/>
        </w:rPr>
        <w:t xml:space="preserve"> </w:t>
      </w:r>
      <w:r w:rsidR="00EC169F" w:rsidRPr="00880D29">
        <w:rPr>
          <w:b/>
          <w:lang w:val="es-ES"/>
        </w:rPr>
        <w:t xml:space="preserve">Instrumento I — Handoff Contract. </w:t>
      </w:r>
      <w:r w:rsidR="00EC169F" w:rsidRPr="00880D29">
        <w:rPr>
          <w:lang w:val="es-ES"/>
        </w:rPr>
        <w:t xml:space="preserve">El contrato determinista comprende seis casos exactos de seis, sin llamadas neuronales. Distingue elegibilidad foreground, autorización background y mera disponibilidad física local. </w:t>
      </w:r>
      <w:r w:rsidR="00EC169F" w:rsidRPr="00EB46BF">
        <w:rPr>
          <w:lang w:val="es-ES"/>
        </w:rPr>
        <w:t>Declara expresamente hidden_model_state_migration_claimed=false.</w:t>
      </w:r>
    </w:p>
    <w:p w14:paraId="020BB475" w14:textId="77777777" w:rsidR="00DA02B3" w:rsidRDefault="00C066D8">
      <w:pPr>
        <w:pStyle w:val="MDPARThesisBody"/>
        <w:rPr>
          <w:lang w:val="es-ES"/>
        </w:rPr>
      </w:pPr>
      <w:r w:rsidRPr="00880D29">
        <w:rPr>
          <w:b/>
          <w:lang w:val="es-ES"/>
        </w:rPr>
        <w:lastRenderedPageBreak/>
        <w:t xml:space="preserve">Evidencia </w:t>
      </w:r>
      <w:r w:rsidR="00081562">
        <w:rPr>
          <w:b/>
          <w:lang w:val="es-ES"/>
        </w:rPr>
        <w:t>FROZEN</w:t>
      </w:r>
      <w:r w:rsidRPr="00880D29">
        <w:rPr>
          <w:b/>
          <w:lang w:val="es-ES"/>
        </w:rPr>
        <w:t xml:space="preserve"> — </w:t>
      </w:r>
      <w:r>
        <w:rPr>
          <w:b/>
          <w:lang w:val="es-ES"/>
        </w:rPr>
        <w:t xml:space="preserve">MDPAR 2.3.0 </w:t>
      </w:r>
      <w:r w:rsidRPr="00880D29">
        <w:rPr>
          <w:b/>
          <w:lang w:val="es-ES"/>
        </w:rPr>
        <w:t>—</w:t>
      </w:r>
      <w:r>
        <w:rPr>
          <w:b/>
          <w:lang w:val="es-ES"/>
        </w:rPr>
        <w:t xml:space="preserve"> </w:t>
      </w:r>
      <w:r w:rsidR="00EC169F" w:rsidRPr="00EB46BF">
        <w:rPr>
          <w:b/>
          <w:lang w:val="es-ES"/>
        </w:rPr>
        <w:t xml:space="preserve">Instrumento II — Frontier Recovery. </w:t>
      </w:r>
      <w:r w:rsidR="00EC169F" w:rsidRPr="00880D29">
        <w:rPr>
          <w:lang w:val="es-ES"/>
        </w:rPr>
        <w:t>La ejecución 2.3.0 recorre AVAILABLE (0 s), UNAVAILABLE (60 s) y RESTORED (180 s). Crea cuatro deudas cognitivas y recupera las cuatro; cada historia es PENDING → REISSUED_TO_FRONTIER → RECOVERED. No hay reescrituras retrospectivas ni autorizaciones caducadas. La recuperación no se reduce a preservar pasivamente un registro.</w:t>
      </w:r>
    </w:p>
    <w:p w14:paraId="16169C9C" w14:textId="77777777" w:rsidR="00C066D8" w:rsidRPr="00880D29" w:rsidRDefault="00C066D8">
      <w:pPr>
        <w:pStyle w:val="MDPARThesisBody"/>
        <w:rPr>
          <w:lang w:val="es-ES"/>
        </w:rPr>
      </w:pPr>
    </w:p>
    <w:tbl>
      <w:tblPr>
        <w:tblStyle w:val="Tablanormal2"/>
        <w:tblW w:w="0" w:type="auto"/>
        <w:tblLayout w:type="fixed"/>
        <w:tblLook w:val="04A0" w:firstRow="1" w:lastRow="0" w:firstColumn="1" w:lastColumn="0" w:noHBand="0" w:noVBand="1"/>
      </w:tblPr>
      <w:tblGrid>
        <w:gridCol w:w="4365"/>
        <w:gridCol w:w="4706"/>
      </w:tblGrid>
      <w:tr w:rsidR="00C066D8" w:rsidRPr="00E306B6" w14:paraId="0083D2C1"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5" w:type="dxa"/>
          </w:tcPr>
          <w:p w14:paraId="7C82D7AD" w14:textId="77777777" w:rsidR="00C066D8" w:rsidRPr="00E306B6" w:rsidRDefault="00C066D8" w:rsidP="00C066D8">
            <w:pPr>
              <w:spacing w:line="240" w:lineRule="auto"/>
              <w:rPr>
                <w:sz w:val="16"/>
                <w:szCs w:val="18"/>
              </w:rPr>
            </w:pPr>
            <w:r w:rsidRPr="00E306B6">
              <w:rPr>
                <w:sz w:val="16"/>
                <w:szCs w:val="18"/>
              </w:rPr>
              <w:t>Propiedad</w:t>
            </w:r>
          </w:p>
        </w:tc>
        <w:tc>
          <w:tcPr>
            <w:tcW w:w="4706" w:type="dxa"/>
          </w:tcPr>
          <w:p w14:paraId="4298F1DF" w14:textId="77777777" w:rsidR="00C066D8" w:rsidRPr="00E306B6" w:rsidRDefault="00C066D8" w:rsidP="00C066D8">
            <w:pPr>
              <w:spacing w:line="240" w:lineRule="auto"/>
              <w:cnfStyle w:val="100000000000" w:firstRow="1" w:lastRow="0" w:firstColumn="0" w:lastColumn="0" w:oddVBand="0" w:evenVBand="0" w:oddHBand="0" w:evenHBand="0" w:firstRowFirstColumn="0" w:firstRowLastColumn="0" w:lastRowFirstColumn="0" w:lastRowLastColumn="0"/>
              <w:rPr>
                <w:sz w:val="16"/>
                <w:szCs w:val="18"/>
              </w:rPr>
            </w:pPr>
            <w:r w:rsidRPr="00E306B6">
              <w:rPr>
                <w:sz w:val="16"/>
                <w:szCs w:val="18"/>
              </w:rPr>
              <w:t>Resultado 2.3.0</w:t>
            </w:r>
          </w:p>
        </w:tc>
      </w:tr>
      <w:tr w:rsidR="00C066D8" w:rsidRPr="00E306B6" w14:paraId="2AF472C2"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5" w:type="dxa"/>
          </w:tcPr>
          <w:p w14:paraId="5C38E850" w14:textId="77777777" w:rsidR="00C066D8" w:rsidRPr="00E306B6" w:rsidRDefault="00C066D8" w:rsidP="00C066D8">
            <w:pPr>
              <w:spacing w:line="240" w:lineRule="auto"/>
              <w:rPr>
                <w:sz w:val="16"/>
                <w:szCs w:val="18"/>
              </w:rPr>
            </w:pPr>
            <w:r w:rsidRPr="00E306B6">
              <w:rPr>
                <w:sz w:val="16"/>
                <w:szCs w:val="18"/>
              </w:rPr>
              <w:t>Handoff exacto</w:t>
            </w:r>
          </w:p>
        </w:tc>
        <w:tc>
          <w:tcPr>
            <w:tcW w:w="4706" w:type="dxa"/>
          </w:tcPr>
          <w:p w14:paraId="0E3539BB"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18"/>
              </w:rPr>
            </w:pPr>
            <w:r w:rsidRPr="00E306B6">
              <w:rPr>
                <w:sz w:val="16"/>
                <w:szCs w:val="18"/>
              </w:rPr>
              <w:t>6/6</w:t>
            </w:r>
          </w:p>
        </w:tc>
      </w:tr>
      <w:tr w:rsidR="00C066D8" w:rsidRPr="00E306B6" w14:paraId="4F0A977C" w14:textId="77777777" w:rsidTr="00E306B6">
        <w:tc>
          <w:tcPr>
            <w:cnfStyle w:val="001000000000" w:firstRow="0" w:lastRow="0" w:firstColumn="1" w:lastColumn="0" w:oddVBand="0" w:evenVBand="0" w:oddHBand="0" w:evenHBand="0" w:firstRowFirstColumn="0" w:firstRowLastColumn="0" w:lastRowFirstColumn="0" w:lastRowLastColumn="0"/>
            <w:tcW w:w="4365" w:type="dxa"/>
          </w:tcPr>
          <w:p w14:paraId="7EE33C50" w14:textId="77777777" w:rsidR="00C066D8" w:rsidRPr="00E306B6" w:rsidRDefault="00C066D8" w:rsidP="00C066D8">
            <w:pPr>
              <w:spacing w:line="240" w:lineRule="auto"/>
              <w:rPr>
                <w:sz w:val="16"/>
                <w:szCs w:val="18"/>
              </w:rPr>
            </w:pPr>
            <w:r w:rsidRPr="00E306B6">
              <w:rPr>
                <w:sz w:val="16"/>
                <w:szCs w:val="18"/>
              </w:rPr>
              <w:t>Deudas creadas / recuperadas</w:t>
            </w:r>
          </w:p>
        </w:tc>
        <w:tc>
          <w:tcPr>
            <w:tcW w:w="4706" w:type="dxa"/>
          </w:tcPr>
          <w:p w14:paraId="6E8DBFF9"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18"/>
              </w:rPr>
            </w:pPr>
            <w:r w:rsidRPr="00E306B6">
              <w:rPr>
                <w:sz w:val="16"/>
                <w:szCs w:val="18"/>
              </w:rPr>
              <w:t>4 / 4</w:t>
            </w:r>
          </w:p>
        </w:tc>
      </w:tr>
      <w:tr w:rsidR="00C066D8" w:rsidRPr="00E306B6" w14:paraId="543A638D"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5" w:type="dxa"/>
          </w:tcPr>
          <w:p w14:paraId="64625CC4" w14:textId="77777777" w:rsidR="00C066D8" w:rsidRPr="00E306B6" w:rsidRDefault="00C066D8" w:rsidP="00C066D8">
            <w:pPr>
              <w:spacing w:line="240" w:lineRule="auto"/>
              <w:rPr>
                <w:sz w:val="16"/>
                <w:szCs w:val="18"/>
              </w:rPr>
            </w:pPr>
            <w:r w:rsidRPr="00E306B6">
              <w:rPr>
                <w:sz w:val="16"/>
                <w:szCs w:val="18"/>
              </w:rPr>
              <w:t>Intentos OPEN locales</w:t>
            </w:r>
          </w:p>
        </w:tc>
        <w:tc>
          <w:tcPr>
            <w:tcW w:w="4706" w:type="dxa"/>
          </w:tcPr>
          <w:p w14:paraId="2C8DBA8C"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18"/>
              </w:rPr>
            </w:pPr>
            <w:r w:rsidRPr="00E306B6">
              <w:rPr>
                <w:sz w:val="16"/>
                <w:szCs w:val="18"/>
              </w:rPr>
              <w:t>0</w:t>
            </w:r>
          </w:p>
        </w:tc>
      </w:tr>
      <w:tr w:rsidR="00C066D8" w:rsidRPr="00E306B6" w14:paraId="1A90EC95" w14:textId="77777777" w:rsidTr="00E306B6">
        <w:tc>
          <w:tcPr>
            <w:cnfStyle w:val="001000000000" w:firstRow="0" w:lastRow="0" w:firstColumn="1" w:lastColumn="0" w:oddVBand="0" w:evenVBand="0" w:oddHBand="0" w:evenHBand="0" w:firstRowFirstColumn="0" w:firstRowLastColumn="0" w:lastRowFirstColumn="0" w:lastRowLastColumn="0"/>
            <w:tcW w:w="4365" w:type="dxa"/>
          </w:tcPr>
          <w:p w14:paraId="5F09F821" w14:textId="77777777" w:rsidR="00C066D8" w:rsidRPr="00E306B6" w:rsidRDefault="00C066D8" w:rsidP="00C066D8">
            <w:pPr>
              <w:spacing w:line="240" w:lineRule="auto"/>
              <w:rPr>
                <w:sz w:val="16"/>
                <w:szCs w:val="18"/>
                <w:lang w:val="es-ES"/>
              </w:rPr>
            </w:pPr>
            <w:r w:rsidRPr="00E306B6">
              <w:rPr>
                <w:sz w:val="16"/>
                <w:szCs w:val="18"/>
                <w:lang w:val="es-ES"/>
              </w:rPr>
              <w:t>Eventos locales sin contrato vigente</w:t>
            </w:r>
          </w:p>
        </w:tc>
        <w:tc>
          <w:tcPr>
            <w:tcW w:w="4706" w:type="dxa"/>
          </w:tcPr>
          <w:p w14:paraId="1C80F703"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18"/>
              </w:rPr>
            </w:pPr>
            <w:r w:rsidRPr="00E306B6">
              <w:rPr>
                <w:sz w:val="16"/>
                <w:szCs w:val="18"/>
              </w:rPr>
              <w:t>2</w:t>
            </w:r>
          </w:p>
        </w:tc>
      </w:tr>
      <w:tr w:rsidR="00C066D8" w:rsidRPr="00E306B6" w14:paraId="268FF93E"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5" w:type="dxa"/>
          </w:tcPr>
          <w:p w14:paraId="44D0D656" w14:textId="77777777" w:rsidR="00C066D8" w:rsidRPr="00E306B6" w:rsidRDefault="00C066D8" w:rsidP="00C066D8">
            <w:pPr>
              <w:spacing w:line="240" w:lineRule="auto"/>
              <w:rPr>
                <w:sz w:val="16"/>
                <w:szCs w:val="18"/>
              </w:rPr>
            </w:pPr>
            <w:r w:rsidRPr="00E306B6">
              <w:rPr>
                <w:sz w:val="16"/>
                <w:szCs w:val="18"/>
              </w:rPr>
              <w:t>Reescrituras / autorizaciones caducadas</w:t>
            </w:r>
          </w:p>
        </w:tc>
        <w:tc>
          <w:tcPr>
            <w:tcW w:w="4706" w:type="dxa"/>
          </w:tcPr>
          <w:p w14:paraId="1ABB82A7" w14:textId="77777777" w:rsidR="00C066D8" w:rsidRPr="00E306B6" w:rsidRDefault="00C066D8" w:rsidP="00C066D8">
            <w:pPr>
              <w:spacing w:line="240" w:lineRule="auto"/>
              <w:cnfStyle w:val="000000100000" w:firstRow="0" w:lastRow="0" w:firstColumn="0" w:lastColumn="0" w:oddVBand="0" w:evenVBand="0" w:oddHBand="1" w:evenHBand="0" w:firstRowFirstColumn="0" w:firstRowLastColumn="0" w:lastRowFirstColumn="0" w:lastRowLastColumn="0"/>
              <w:rPr>
                <w:sz w:val="16"/>
                <w:szCs w:val="18"/>
              </w:rPr>
            </w:pPr>
            <w:r w:rsidRPr="00E306B6">
              <w:rPr>
                <w:sz w:val="16"/>
                <w:szCs w:val="18"/>
              </w:rPr>
              <w:t>0 / 0</w:t>
            </w:r>
          </w:p>
        </w:tc>
      </w:tr>
      <w:tr w:rsidR="00C066D8" w:rsidRPr="00E306B6" w14:paraId="647E362F" w14:textId="77777777" w:rsidTr="00E306B6">
        <w:tc>
          <w:tcPr>
            <w:cnfStyle w:val="001000000000" w:firstRow="0" w:lastRow="0" w:firstColumn="1" w:lastColumn="0" w:oddVBand="0" w:evenVBand="0" w:oddHBand="0" w:evenHBand="0" w:firstRowFirstColumn="0" w:firstRowLastColumn="0" w:lastRowFirstColumn="0" w:lastRowLastColumn="0"/>
            <w:tcW w:w="4365" w:type="dxa"/>
          </w:tcPr>
          <w:p w14:paraId="7C597851" w14:textId="77777777" w:rsidR="00C066D8" w:rsidRPr="00E306B6" w:rsidRDefault="00C066D8" w:rsidP="00C066D8">
            <w:pPr>
              <w:spacing w:line="240" w:lineRule="auto"/>
              <w:rPr>
                <w:sz w:val="16"/>
                <w:szCs w:val="18"/>
                <w:lang w:val="es-ES"/>
              </w:rPr>
            </w:pPr>
            <w:r w:rsidRPr="00E306B6">
              <w:rPr>
                <w:sz w:val="16"/>
                <w:szCs w:val="18"/>
                <w:lang w:val="es-ES"/>
              </w:rPr>
              <w:t>Migración de estado neuronal oculto</w:t>
            </w:r>
          </w:p>
        </w:tc>
        <w:tc>
          <w:tcPr>
            <w:tcW w:w="4706" w:type="dxa"/>
          </w:tcPr>
          <w:p w14:paraId="0F69AF7E" w14:textId="77777777" w:rsidR="00C066D8" w:rsidRPr="00E306B6" w:rsidRDefault="00C066D8" w:rsidP="00C066D8">
            <w:pPr>
              <w:spacing w:line="240" w:lineRule="auto"/>
              <w:cnfStyle w:val="000000000000" w:firstRow="0" w:lastRow="0" w:firstColumn="0" w:lastColumn="0" w:oddVBand="0" w:evenVBand="0" w:oddHBand="0" w:evenHBand="0" w:firstRowFirstColumn="0" w:firstRowLastColumn="0" w:lastRowFirstColumn="0" w:lastRowLastColumn="0"/>
              <w:rPr>
                <w:sz w:val="16"/>
                <w:szCs w:val="18"/>
              </w:rPr>
            </w:pPr>
            <w:r w:rsidRPr="00E306B6">
              <w:rPr>
                <w:sz w:val="16"/>
                <w:szCs w:val="18"/>
              </w:rPr>
              <w:t>No reivindicada</w:t>
            </w:r>
          </w:p>
        </w:tc>
      </w:tr>
    </w:tbl>
    <w:p w14:paraId="58F198DE" w14:textId="77777777" w:rsidR="00C066D8" w:rsidRDefault="00C066D8" w:rsidP="00C066D8">
      <w:pPr>
        <w:pStyle w:val="MDPARThesisBody"/>
        <w:ind w:firstLine="0"/>
        <w:rPr>
          <w:b/>
          <w:lang w:val="es-ES"/>
        </w:rPr>
      </w:pPr>
    </w:p>
    <w:p w14:paraId="478256C9" w14:textId="77777777" w:rsidR="00DA02B3" w:rsidRPr="00880D29" w:rsidRDefault="00EC169F">
      <w:pPr>
        <w:pStyle w:val="MDPARThesisBody"/>
        <w:rPr>
          <w:lang w:val="es-ES"/>
        </w:rPr>
      </w:pPr>
      <w:r w:rsidRPr="00880D29">
        <w:rPr>
          <w:b/>
          <w:lang w:val="es-ES"/>
        </w:rPr>
        <w:t>Contraste histórico controlado — Qwen3 4B</w:t>
      </w:r>
      <w:r w:rsidR="00C066D8">
        <w:rPr>
          <w:b/>
          <w:lang w:val="es-ES"/>
        </w:rPr>
        <w:t xml:space="preserve"> </w:t>
      </w:r>
      <w:r w:rsidR="00C066D8" w:rsidRPr="00880D29">
        <w:rPr>
          <w:b/>
          <w:lang w:val="es-ES"/>
        </w:rPr>
        <w:t>—</w:t>
      </w:r>
      <w:r w:rsidR="00C066D8">
        <w:rPr>
          <w:b/>
          <w:lang w:val="es-ES"/>
        </w:rPr>
        <w:t xml:space="preserve"> Sustitución certificada vs. Abstención estructural</w:t>
      </w:r>
      <w:r w:rsidRPr="00880D29">
        <w:rPr>
          <w:b/>
          <w:lang w:val="es-ES"/>
        </w:rPr>
        <w:t xml:space="preserve">. </w:t>
      </w:r>
      <w:r w:rsidRPr="00880D29">
        <w:rPr>
          <w:lang w:val="es-ES"/>
        </w:rPr>
        <w:t>La ejecución 2.0.0 documenta dos intentos OPEN locales válidos durante la indisponibilidad frontier, uno foreground y otro background, bajo el perfil contractual entonces vigente. El resultado foreground no equivale a una acción comprometida sin reservas: la validez del claim y su autoridad temporal deben examinarse por separado. Desde 2.2.0, el contrato estructural vigente ya no certifica ese perfil para asumir autoridad local; en 2.3.0 la campaña registra cero intentos OPEN locales y dos eventos sin certificación local. Se trata de dos realizaciones contractuales de la misma disciplina de autoridad, no de tasas directamente comparables entre versiones.</w:t>
      </w:r>
    </w:p>
    <w:p w14:paraId="6E484A90" w14:textId="77777777" w:rsidR="00DA02B3" w:rsidRDefault="00C066D8">
      <w:pPr>
        <w:pStyle w:val="MDPARThesisBody"/>
        <w:rPr>
          <w:lang w:val="es-ES"/>
        </w:rPr>
      </w:pPr>
      <w:r>
        <w:rPr>
          <w:b/>
          <w:lang w:val="es-ES"/>
        </w:rPr>
        <w:t>La identidad del proceso permanece cuando la capacidad desaparece</w:t>
      </w:r>
      <w:r w:rsidR="00EC169F" w:rsidRPr="00880D29">
        <w:rPr>
          <w:b/>
          <w:lang w:val="es-ES"/>
        </w:rPr>
        <w:t xml:space="preserve">. </w:t>
      </w:r>
      <w:r w:rsidR="00EC169F" w:rsidRPr="00880D29">
        <w:rPr>
          <w:lang w:val="es-ES"/>
        </w:rPr>
        <w:t>AVAILABLE, ELIGIBLE, VALID y AUTHORITATIVE son predicados diferentes. Si el recurso local satisface el contrato vigente, puede aportar capacidad acotada; si no lo satisface, su latencia favorable para foreground no le confiere autoridad estructural. La deuda cognitiva representa trabajo todavía no autorizable y permite conservar la identidad de su reemisión y recuperación. C11 acredita estas transiciones bajo el corpus evaluado, sin generalizarlas a cualquier interrupción, proveedor o robot físico.</w:t>
      </w:r>
    </w:p>
    <w:p w14:paraId="66616594" w14:textId="77777777" w:rsidR="00880D29" w:rsidRPr="00880D29" w:rsidRDefault="00880D29">
      <w:pPr>
        <w:pStyle w:val="MDPARThesisBody"/>
        <w:rPr>
          <w:lang w:val="es-ES"/>
        </w:rPr>
      </w:pPr>
    </w:p>
    <w:p w14:paraId="4182D4EE" w14:textId="77777777" w:rsidR="006F2537" w:rsidRPr="00EB46BF" w:rsidRDefault="006B1A89" w:rsidP="00D26847">
      <w:pPr>
        <w:pStyle w:val="MDPARProfileH1"/>
        <w:spacing w:before="0" w:after="0" w:line="360" w:lineRule="auto"/>
        <w:ind w:firstLine="709"/>
        <w:jc w:val="both"/>
        <w:outlineLvl w:val="1"/>
        <w:rPr>
          <w:sz w:val="24"/>
          <w:szCs w:val="20"/>
          <w:lang w:val="es-ES"/>
        </w:rPr>
      </w:pPr>
      <w:bookmarkStart w:id="140" w:name="_Toc242721976"/>
      <w:r w:rsidRPr="00EB46BF">
        <w:rPr>
          <w:sz w:val="24"/>
          <w:szCs w:val="20"/>
          <w:lang w:val="es-ES"/>
        </w:rPr>
        <w:t>C12 — Sustained System Cooperation Capstone</w:t>
      </w:r>
      <w:bookmarkEnd w:id="140"/>
    </w:p>
    <w:p w14:paraId="532F7318" w14:textId="77777777" w:rsidR="00EB46BF" w:rsidRDefault="000E327C" w:rsidP="00EB46BF">
      <w:pPr>
        <w:pStyle w:val="MDPARProfileH2"/>
        <w:spacing w:before="0" w:after="0" w:line="360" w:lineRule="auto"/>
        <w:ind w:firstLine="709"/>
        <w:jc w:val="both"/>
        <w:rPr>
          <w:lang w:val="es-ES"/>
        </w:rPr>
      </w:pPr>
      <w:r w:rsidRPr="00EB46BF">
        <w:rPr>
          <w:lang w:val="es-ES"/>
        </w:rPr>
        <w:t>Una arquitectura puede perder capacidad sin perder el proceso.</w:t>
      </w:r>
      <w:r w:rsidRPr="00EB46BF">
        <w:rPr>
          <w:b w:val="0"/>
          <w:bCs/>
          <w:lang w:val="es-ES"/>
        </w:rPr>
        <w:t xml:space="preserve"> C12 integra, en un mismo episodio longitudinal, tres competencias CLOSED, trabajo OPEN, eventos MIXED, pérdida y restauración de frontier, autoridad temporal y recuperación de deuda. El </w:t>
      </w:r>
      <w:r w:rsidRPr="00EB46BF">
        <w:rPr>
          <w:b w:val="0"/>
          <w:bCs/>
          <w:lang w:val="es-ES"/>
        </w:rPr>
        <w:lastRenderedPageBreak/>
        <w:t>objeto experimental es la conservación de identidad, continuidad y autoridad mientras cambian las capacidades disponibles.</w:t>
      </w:r>
    </w:p>
    <w:p w14:paraId="5E5F483E" w14:textId="77777777" w:rsidR="00A54B16" w:rsidRPr="00EB46BF" w:rsidRDefault="000E327C" w:rsidP="00EB46BF">
      <w:pPr>
        <w:pStyle w:val="MDPARProfileH2"/>
        <w:spacing w:before="0" w:after="0" w:line="360" w:lineRule="auto"/>
        <w:ind w:firstLine="709"/>
        <w:jc w:val="both"/>
        <w:rPr>
          <w:lang w:val="es-ES"/>
        </w:rPr>
      </w:pPr>
      <w:r w:rsidRPr="00EB46BF">
        <w:rPr>
          <w:lang w:val="es-ES"/>
        </w:rPr>
        <w:t xml:space="preserve">Evidencia </w:t>
      </w:r>
      <w:r w:rsidR="00081562">
        <w:rPr>
          <w:lang w:val="es-ES"/>
        </w:rPr>
        <w:t>FROZEN</w:t>
      </w:r>
      <w:r w:rsidRPr="00EB46BF">
        <w:rPr>
          <w:lang w:val="es-ES"/>
        </w:rPr>
        <w:t xml:space="preserve"> — MDPAR 2.3.0: cinco minutos de cooperación con autoridad preservada.</w:t>
      </w:r>
    </w:p>
    <w:p w14:paraId="08635B47" w14:textId="77777777" w:rsidR="00A54B16" w:rsidRPr="00EB46BF" w:rsidRDefault="000E327C">
      <w:pPr>
        <w:pStyle w:val="MDPARThesisBody"/>
        <w:rPr>
          <w:lang w:val="es-ES"/>
        </w:rPr>
      </w:pPr>
      <w:r w:rsidRPr="00EB46BF">
        <w:rPr>
          <w:b/>
          <w:lang w:val="es-ES"/>
        </w:rPr>
        <w:t>Un episodio completo, ejecutado en tiempo real.</w:t>
      </w:r>
      <w:r w:rsidRPr="00EB46BF">
        <w:rPr>
          <w:lang w:val="es-ES"/>
        </w:rPr>
        <w:t xml:space="preserve"> El protocolo C12_SERVANT_ROBOT_SUSTAINED_COOPERATION_V3 completó doce eventos en un episodio de 300,0 s de tiempo del mundo y 313,57 s de reloj. La ejecución solicitó y confirmó el régimen realtime.</w:t>
      </w:r>
    </w:p>
    <w:p w14:paraId="66B163B8" w14:textId="77777777" w:rsidR="00A54B16" w:rsidRPr="00EB46BF" w:rsidRDefault="000E327C">
      <w:pPr>
        <w:pStyle w:val="MDPARThesisBody"/>
        <w:rPr>
          <w:lang w:val="es-ES"/>
        </w:rPr>
      </w:pPr>
      <w:r w:rsidRPr="00EB46BF">
        <w:rPr>
          <w:b/>
          <w:lang w:val="es-ES"/>
        </w:rPr>
        <w:t>Las tres competencias CLOSED permanecen diferenciadas de la autorización física.</w:t>
      </w:r>
      <w:r w:rsidRPr="00EB46BF">
        <w:rPr>
          <w:lang w:val="es-ES"/>
        </w:rPr>
        <w:t xml:space="preserve"> </w:t>
      </w:r>
      <w:r>
        <w:t xml:space="preserve">Se observaron troubleshooting:english, mobile-servant-robot:english y tiago-pro:dual-arm-pal-parallel-gripper. </w:t>
      </w:r>
      <w:r w:rsidRPr="00EB46BF">
        <w:rPr>
          <w:lang w:val="es-ES"/>
        </w:rPr>
        <w:t>Los dos eventos MIXED preservaron el componente CLOSED y contabilizaron el trabajo OPEN; uno ejecutó ambos componentes. En E02, la identificación TYPED de TIAGo-Pro fue correcta, mientras que la ejecutabilidad de una maniobra permaneció INDETERMINATE porque los estados READY, NOMINAL y SUFFICIENT no bastan para certificar sus condiciones físicas.</w:t>
      </w:r>
    </w:p>
    <w:p w14:paraId="3E4B7B23" w14:textId="77777777" w:rsidR="00A54B16" w:rsidRPr="00EB46BF" w:rsidRDefault="000E327C">
      <w:pPr>
        <w:pStyle w:val="MDPARThesisBody"/>
        <w:rPr>
          <w:lang w:val="es-ES"/>
        </w:rPr>
      </w:pPr>
      <w:r w:rsidRPr="00EB46BF">
        <w:rPr>
          <w:b/>
          <w:lang w:val="es-ES"/>
        </w:rPr>
        <w:t>La continuidad sobrevive a la indisponibilidad del proveedor.</w:t>
      </w:r>
      <w:r w:rsidRPr="00EB46BF">
        <w:rPr>
          <w:lang w:val="es-ES"/>
        </w:rPr>
        <w:t xml:space="preserve"> Durante la pérdida de frontier se crearon las deudas c12-open-E03 y c12-open-E05. Tras la restauración, ambas conservaron su identidad y recorrieron PENDING → REISSUED_TO_FRONTIER → RECOVERED, con un máximo de una reemisión. Se registraron cuatro intentos OPEN, dos válidos, un compromiso foreground y un resultado retenido exclusivamente para estado futuro.</w:t>
      </w:r>
    </w:p>
    <w:p w14:paraId="70BFB9C4" w14:textId="77777777" w:rsidR="00EB46BF" w:rsidRDefault="000E327C" w:rsidP="00EB46BF">
      <w:pPr>
        <w:pStyle w:val="MDPARThesisBody"/>
        <w:rPr>
          <w:lang w:val="es-ES"/>
        </w:rPr>
      </w:pPr>
      <w:r w:rsidRPr="00EB46BF">
        <w:rPr>
          <w:b/>
          <w:lang w:val="es-ES"/>
        </w:rPr>
        <w:t>La disponibilidad local no sustituye la certificación vigente.</w:t>
      </w:r>
      <w:r w:rsidRPr="00EB46BF">
        <w:rPr>
          <w:lang w:val="es-ES"/>
        </w:rPr>
        <w:t xml:space="preserve"> Qwen3 4B estaba configurado como recurso local, pero su perfil histórico no acreditaba el contrato OPEN actual. Se observaron dos eventos de falta de certificación y ninguna solicitud local. MDPAR mantuvo las superficies CLOSED y la deuda recuperable sin promover el perfil histórico a autoridad actual.</w:t>
      </w:r>
    </w:p>
    <w:p w14:paraId="06467C0F" w14:textId="77777777" w:rsidR="00A54B16" w:rsidRPr="00EB46BF" w:rsidRDefault="000E327C" w:rsidP="00EB46BF">
      <w:pPr>
        <w:pStyle w:val="MDPARThesisBody"/>
        <w:rPr>
          <w:b/>
          <w:bCs/>
          <w:lang w:val="es-ES"/>
        </w:rPr>
      </w:pPr>
      <w:r w:rsidRPr="00EB46BF">
        <w:rPr>
          <w:b/>
          <w:bCs/>
          <w:lang w:val="es-ES"/>
        </w:rPr>
        <w:t>Resultados canónicos de la cooperación sostenida.</w:t>
      </w:r>
    </w:p>
    <w:tbl>
      <w:tblPr>
        <w:tblStyle w:val="Tablanormal2"/>
        <w:tblW w:w="9071" w:type="dxa"/>
        <w:tblLayout w:type="fixed"/>
        <w:tblLook w:val="04A0" w:firstRow="1" w:lastRow="0" w:firstColumn="1" w:lastColumn="0" w:noHBand="0" w:noVBand="1"/>
      </w:tblPr>
      <w:tblGrid>
        <w:gridCol w:w="1951"/>
        <w:gridCol w:w="7120"/>
      </w:tblGrid>
      <w:tr w:rsidR="00EB46BF" w:rsidRPr="00E306B6" w14:paraId="77E26383" w14:textId="77777777" w:rsidTr="00E3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911F5A2" w14:textId="77777777" w:rsidR="00EB46BF" w:rsidRPr="00E306B6" w:rsidRDefault="00EB46BF" w:rsidP="00EB46BF">
            <w:pPr>
              <w:spacing w:line="240" w:lineRule="auto"/>
              <w:rPr>
                <w:sz w:val="16"/>
                <w:szCs w:val="18"/>
              </w:rPr>
            </w:pPr>
            <w:r w:rsidRPr="00E306B6">
              <w:rPr>
                <w:sz w:val="16"/>
                <w:szCs w:val="18"/>
              </w:rPr>
              <w:t>Dimensión</w:t>
            </w:r>
          </w:p>
        </w:tc>
        <w:tc>
          <w:tcPr>
            <w:tcW w:w="7120" w:type="dxa"/>
          </w:tcPr>
          <w:p w14:paraId="21092BCF" w14:textId="77777777" w:rsidR="00EB46BF" w:rsidRPr="00E306B6" w:rsidRDefault="00EB46BF" w:rsidP="00EB46BF">
            <w:pPr>
              <w:spacing w:line="240" w:lineRule="auto"/>
              <w:cnfStyle w:val="100000000000" w:firstRow="1" w:lastRow="0" w:firstColumn="0" w:lastColumn="0" w:oddVBand="0" w:evenVBand="0" w:oddHBand="0" w:evenHBand="0" w:firstRowFirstColumn="0" w:firstRowLastColumn="0" w:lastRowFirstColumn="0" w:lastRowLastColumn="0"/>
              <w:rPr>
                <w:sz w:val="16"/>
                <w:szCs w:val="18"/>
              </w:rPr>
            </w:pPr>
            <w:r w:rsidRPr="00E306B6">
              <w:rPr>
                <w:sz w:val="16"/>
                <w:szCs w:val="18"/>
              </w:rPr>
              <w:t>Resultado de C12 — MDPAR 2.3.0</w:t>
            </w:r>
          </w:p>
        </w:tc>
      </w:tr>
      <w:tr w:rsidR="00EB46BF" w:rsidRPr="002F4F30" w14:paraId="6AC89A04"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3108516" w14:textId="77777777" w:rsidR="00EB46BF" w:rsidRPr="00E306B6" w:rsidRDefault="00EB46BF" w:rsidP="00EB46BF">
            <w:pPr>
              <w:spacing w:line="240" w:lineRule="auto"/>
              <w:rPr>
                <w:sz w:val="16"/>
                <w:szCs w:val="18"/>
              </w:rPr>
            </w:pPr>
            <w:r w:rsidRPr="00E306B6">
              <w:rPr>
                <w:sz w:val="16"/>
                <w:szCs w:val="18"/>
              </w:rPr>
              <w:t>Identidad y duración</w:t>
            </w:r>
          </w:p>
        </w:tc>
        <w:tc>
          <w:tcPr>
            <w:tcW w:w="7120" w:type="dxa"/>
          </w:tcPr>
          <w:p w14:paraId="6BCE776E" w14:textId="77777777" w:rsidR="00EB46BF" w:rsidRPr="00E306B6" w:rsidRDefault="00EB46BF" w:rsidP="00EB46BF">
            <w:pPr>
              <w:spacing w:line="240" w:lineRule="auto"/>
              <w:cnfStyle w:val="000000100000" w:firstRow="0" w:lastRow="0" w:firstColumn="0" w:lastColumn="0" w:oddVBand="0" w:evenVBand="0" w:oddHBand="1" w:evenHBand="0" w:firstRowFirstColumn="0" w:firstRowLastColumn="0" w:lastRowFirstColumn="0" w:lastRowLastColumn="0"/>
              <w:rPr>
                <w:sz w:val="16"/>
                <w:szCs w:val="18"/>
                <w:lang w:val="es-ES"/>
              </w:rPr>
            </w:pPr>
            <w:r w:rsidRPr="00E306B6">
              <w:rPr>
                <w:sz w:val="16"/>
                <w:szCs w:val="18"/>
                <w:lang w:val="es-ES"/>
              </w:rPr>
              <w:t>1 episodio; 12 eventos; 300,0 s de mundo; 313,57 s reales</w:t>
            </w:r>
          </w:p>
        </w:tc>
      </w:tr>
      <w:tr w:rsidR="00EB46BF" w:rsidRPr="002F4F30" w14:paraId="04697433" w14:textId="77777777" w:rsidTr="00E306B6">
        <w:tc>
          <w:tcPr>
            <w:cnfStyle w:val="001000000000" w:firstRow="0" w:lastRow="0" w:firstColumn="1" w:lastColumn="0" w:oddVBand="0" w:evenVBand="0" w:oddHBand="0" w:evenHBand="0" w:firstRowFirstColumn="0" w:firstRowLastColumn="0" w:lastRowFirstColumn="0" w:lastRowLastColumn="0"/>
            <w:tcW w:w="1951" w:type="dxa"/>
          </w:tcPr>
          <w:p w14:paraId="2CC96A64" w14:textId="77777777" w:rsidR="00EB46BF" w:rsidRPr="00E306B6" w:rsidRDefault="00EB46BF" w:rsidP="00EB46BF">
            <w:pPr>
              <w:spacing w:line="240" w:lineRule="auto"/>
              <w:rPr>
                <w:sz w:val="16"/>
                <w:szCs w:val="18"/>
              </w:rPr>
            </w:pPr>
            <w:r w:rsidRPr="00E306B6">
              <w:rPr>
                <w:sz w:val="16"/>
                <w:szCs w:val="18"/>
              </w:rPr>
              <w:t>CLOSED y MIXED</w:t>
            </w:r>
          </w:p>
        </w:tc>
        <w:tc>
          <w:tcPr>
            <w:tcW w:w="7120" w:type="dxa"/>
          </w:tcPr>
          <w:p w14:paraId="46033733" w14:textId="77777777" w:rsidR="00EB46BF" w:rsidRPr="00E306B6" w:rsidRDefault="00EB46BF" w:rsidP="00EB46BF">
            <w:pPr>
              <w:spacing w:line="240" w:lineRule="auto"/>
              <w:cnfStyle w:val="000000000000" w:firstRow="0" w:lastRow="0" w:firstColumn="0" w:lastColumn="0" w:oddVBand="0" w:evenVBand="0" w:oddHBand="0" w:evenHBand="0" w:firstRowFirstColumn="0" w:firstRowLastColumn="0" w:lastRowFirstColumn="0" w:lastRowLastColumn="0"/>
              <w:rPr>
                <w:sz w:val="16"/>
                <w:szCs w:val="18"/>
                <w:lang w:val="es-ES"/>
              </w:rPr>
            </w:pPr>
            <w:r w:rsidRPr="00E306B6">
              <w:rPr>
                <w:sz w:val="16"/>
                <w:szCs w:val="18"/>
                <w:lang w:val="es-ES"/>
              </w:rPr>
              <w:t>3/3 coordenadas CLOSED; 2 eventos MIXED; 1 ejecución conjunta</w:t>
            </w:r>
          </w:p>
        </w:tc>
      </w:tr>
      <w:tr w:rsidR="00EB46BF" w:rsidRPr="00E306B6" w14:paraId="5FF66C72"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C9B85BE" w14:textId="77777777" w:rsidR="00EB46BF" w:rsidRPr="00E306B6" w:rsidRDefault="00EB46BF" w:rsidP="00EB46BF">
            <w:pPr>
              <w:spacing w:line="240" w:lineRule="auto"/>
              <w:rPr>
                <w:sz w:val="16"/>
                <w:szCs w:val="18"/>
              </w:rPr>
            </w:pPr>
            <w:r w:rsidRPr="00E306B6">
              <w:rPr>
                <w:sz w:val="16"/>
                <w:szCs w:val="18"/>
              </w:rPr>
              <w:t>OPEN</w:t>
            </w:r>
          </w:p>
        </w:tc>
        <w:tc>
          <w:tcPr>
            <w:tcW w:w="7120" w:type="dxa"/>
          </w:tcPr>
          <w:p w14:paraId="5566B339" w14:textId="77777777" w:rsidR="00EB46BF" w:rsidRPr="00E306B6" w:rsidRDefault="00EB46BF" w:rsidP="00EB46BF">
            <w:pPr>
              <w:spacing w:line="240" w:lineRule="auto"/>
              <w:cnfStyle w:val="000000100000" w:firstRow="0" w:lastRow="0" w:firstColumn="0" w:lastColumn="0" w:oddVBand="0" w:evenVBand="0" w:oddHBand="1" w:evenHBand="0" w:firstRowFirstColumn="0" w:firstRowLastColumn="0" w:lastRowFirstColumn="0" w:lastRowLastColumn="0"/>
              <w:rPr>
                <w:sz w:val="16"/>
                <w:szCs w:val="18"/>
              </w:rPr>
            </w:pPr>
            <w:r w:rsidRPr="00E306B6">
              <w:rPr>
                <w:sz w:val="16"/>
                <w:szCs w:val="18"/>
              </w:rPr>
              <w:t>4 intentos; 2 válidos; 1 foreground; 1 FUTURE_STATE_ONLY</w:t>
            </w:r>
          </w:p>
        </w:tc>
      </w:tr>
      <w:tr w:rsidR="00EB46BF" w:rsidRPr="002F4F30" w14:paraId="15FA77C5" w14:textId="77777777" w:rsidTr="00E306B6">
        <w:tc>
          <w:tcPr>
            <w:cnfStyle w:val="001000000000" w:firstRow="0" w:lastRow="0" w:firstColumn="1" w:lastColumn="0" w:oddVBand="0" w:evenVBand="0" w:oddHBand="0" w:evenHBand="0" w:firstRowFirstColumn="0" w:firstRowLastColumn="0" w:lastRowFirstColumn="0" w:lastRowLastColumn="0"/>
            <w:tcW w:w="1951" w:type="dxa"/>
          </w:tcPr>
          <w:p w14:paraId="0BAB29FC" w14:textId="77777777" w:rsidR="00EB46BF" w:rsidRPr="00E306B6" w:rsidRDefault="00EB46BF" w:rsidP="00EB46BF">
            <w:pPr>
              <w:spacing w:line="240" w:lineRule="auto"/>
              <w:rPr>
                <w:sz w:val="16"/>
                <w:szCs w:val="18"/>
              </w:rPr>
            </w:pPr>
            <w:r w:rsidRPr="00E306B6">
              <w:rPr>
                <w:sz w:val="16"/>
                <w:szCs w:val="18"/>
              </w:rPr>
              <w:t>Deuda y recuperación</w:t>
            </w:r>
          </w:p>
        </w:tc>
        <w:tc>
          <w:tcPr>
            <w:tcW w:w="7120" w:type="dxa"/>
          </w:tcPr>
          <w:p w14:paraId="4076507C" w14:textId="77777777" w:rsidR="00EB46BF" w:rsidRPr="00E306B6" w:rsidRDefault="00EB46BF" w:rsidP="00EB46BF">
            <w:pPr>
              <w:spacing w:line="240" w:lineRule="auto"/>
              <w:cnfStyle w:val="000000000000" w:firstRow="0" w:lastRow="0" w:firstColumn="0" w:lastColumn="0" w:oddVBand="0" w:evenVBand="0" w:oddHBand="0" w:evenHBand="0" w:firstRowFirstColumn="0" w:firstRowLastColumn="0" w:lastRowFirstColumn="0" w:lastRowLastColumn="0"/>
              <w:rPr>
                <w:sz w:val="16"/>
                <w:szCs w:val="18"/>
                <w:lang w:val="es-ES"/>
              </w:rPr>
            </w:pPr>
            <w:r w:rsidRPr="00E306B6">
              <w:rPr>
                <w:sz w:val="16"/>
                <w:szCs w:val="18"/>
                <w:lang w:val="es-ES"/>
              </w:rPr>
              <w:t>2 creadas; 2 recuperadas; 0 pendientes; identidad preservada</w:t>
            </w:r>
          </w:p>
        </w:tc>
      </w:tr>
      <w:tr w:rsidR="00EB46BF" w:rsidRPr="002F4F30" w14:paraId="76FA4AC5"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4D1886C" w14:textId="77777777" w:rsidR="00EB46BF" w:rsidRPr="00E306B6" w:rsidRDefault="00EB46BF" w:rsidP="00EB46BF">
            <w:pPr>
              <w:spacing w:line="240" w:lineRule="auto"/>
              <w:rPr>
                <w:sz w:val="16"/>
                <w:szCs w:val="18"/>
              </w:rPr>
            </w:pPr>
            <w:r w:rsidRPr="00E306B6">
              <w:rPr>
                <w:sz w:val="16"/>
                <w:szCs w:val="18"/>
              </w:rPr>
              <w:t>Autoridad</w:t>
            </w:r>
          </w:p>
        </w:tc>
        <w:tc>
          <w:tcPr>
            <w:tcW w:w="7120" w:type="dxa"/>
          </w:tcPr>
          <w:p w14:paraId="356B787E" w14:textId="77777777" w:rsidR="00EB46BF" w:rsidRPr="00E306B6" w:rsidRDefault="00EB46BF" w:rsidP="00EB46BF">
            <w:pPr>
              <w:spacing w:line="240" w:lineRule="auto"/>
              <w:cnfStyle w:val="000000100000" w:firstRow="0" w:lastRow="0" w:firstColumn="0" w:lastColumn="0" w:oddVBand="0" w:evenVBand="0" w:oddHBand="1" w:evenHBand="0" w:firstRowFirstColumn="0" w:firstRowLastColumn="0" w:lastRowFirstColumn="0" w:lastRowLastColumn="0"/>
              <w:rPr>
                <w:sz w:val="16"/>
                <w:szCs w:val="18"/>
                <w:lang w:val="es-ES"/>
              </w:rPr>
            </w:pPr>
            <w:r w:rsidRPr="00E306B6">
              <w:rPr>
                <w:sz w:val="16"/>
                <w:szCs w:val="18"/>
                <w:lang w:val="es-ES"/>
              </w:rPr>
              <w:t>0 reescrituras; 0 autorizaciones caducadas; 0 claims neuronales inválidos</w:t>
            </w:r>
          </w:p>
        </w:tc>
      </w:tr>
      <w:tr w:rsidR="00EB46BF" w:rsidRPr="002F4F30" w14:paraId="7B9D8DD0" w14:textId="77777777" w:rsidTr="00E306B6">
        <w:tc>
          <w:tcPr>
            <w:cnfStyle w:val="001000000000" w:firstRow="0" w:lastRow="0" w:firstColumn="1" w:lastColumn="0" w:oddVBand="0" w:evenVBand="0" w:oddHBand="0" w:evenHBand="0" w:firstRowFirstColumn="0" w:firstRowLastColumn="0" w:lastRowFirstColumn="0" w:lastRowLastColumn="0"/>
            <w:tcW w:w="1951" w:type="dxa"/>
          </w:tcPr>
          <w:p w14:paraId="7B134EF7" w14:textId="77777777" w:rsidR="00EB46BF" w:rsidRPr="00E306B6" w:rsidRDefault="00EB46BF" w:rsidP="00EB46BF">
            <w:pPr>
              <w:spacing w:line="240" w:lineRule="auto"/>
              <w:rPr>
                <w:sz w:val="16"/>
                <w:szCs w:val="18"/>
              </w:rPr>
            </w:pPr>
            <w:r w:rsidRPr="00E306B6">
              <w:rPr>
                <w:sz w:val="16"/>
                <w:szCs w:val="18"/>
              </w:rPr>
              <w:t>Capacidad local</w:t>
            </w:r>
          </w:p>
        </w:tc>
        <w:tc>
          <w:tcPr>
            <w:tcW w:w="7120" w:type="dxa"/>
          </w:tcPr>
          <w:p w14:paraId="2EC94D0C" w14:textId="77777777" w:rsidR="00EB46BF" w:rsidRPr="00E306B6" w:rsidRDefault="00EB46BF" w:rsidP="00EB46BF">
            <w:pPr>
              <w:spacing w:line="240" w:lineRule="auto"/>
              <w:cnfStyle w:val="000000000000" w:firstRow="0" w:lastRow="0" w:firstColumn="0" w:lastColumn="0" w:oddVBand="0" w:evenVBand="0" w:oddHBand="0" w:evenHBand="0" w:firstRowFirstColumn="0" w:firstRowLastColumn="0" w:lastRowFirstColumn="0" w:lastRowLastColumn="0"/>
              <w:rPr>
                <w:sz w:val="16"/>
                <w:szCs w:val="18"/>
                <w:lang w:val="es-ES"/>
              </w:rPr>
            </w:pPr>
            <w:r w:rsidRPr="00E306B6">
              <w:rPr>
                <w:sz w:val="16"/>
                <w:szCs w:val="18"/>
                <w:lang w:val="es-ES"/>
              </w:rPr>
              <w:t>2 eventos sin certificación vigente; 0 solicitudes Qwen3 4B</w:t>
            </w:r>
          </w:p>
        </w:tc>
      </w:tr>
      <w:tr w:rsidR="00EB46BF" w:rsidRPr="002F4F30" w14:paraId="0287404D" w14:textId="77777777" w:rsidTr="00E3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6565733" w14:textId="77777777" w:rsidR="00EB46BF" w:rsidRPr="00E306B6" w:rsidRDefault="00EB46BF" w:rsidP="00EB46BF">
            <w:pPr>
              <w:spacing w:line="240" w:lineRule="auto"/>
              <w:rPr>
                <w:sz w:val="16"/>
                <w:szCs w:val="18"/>
              </w:rPr>
            </w:pPr>
            <w:r w:rsidRPr="00E306B6">
              <w:rPr>
                <w:sz w:val="16"/>
                <w:szCs w:val="18"/>
              </w:rPr>
              <w:t>Consumo frontier</w:t>
            </w:r>
          </w:p>
        </w:tc>
        <w:tc>
          <w:tcPr>
            <w:tcW w:w="7120" w:type="dxa"/>
          </w:tcPr>
          <w:p w14:paraId="195C3C6F" w14:textId="77777777" w:rsidR="00EB46BF" w:rsidRPr="00E306B6" w:rsidRDefault="00EB46BF" w:rsidP="00EB46BF">
            <w:pPr>
              <w:spacing w:line="240" w:lineRule="auto"/>
              <w:cnfStyle w:val="000000100000" w:firstRow="0" w:lastRow="0" w:firstColumn="0" w:lastColumn="0" w:oddVBand="0" w:evenVBand="0" w:oddHBand="1" w:evenHBand="0" w:firstRowFirstColumn="0" w:firstRowLastColumn="0" w:lastRowFirstColumn="0" w:lastRowLastColumn="0"/>
              <w:rPr>
                <w:sz w:val="16"/>
                <w:szCs w:val="18"/>
                <w:lang w:val="es-ES"/>
              </w:rPr>
            </w:pPr>
            <w:r w:rsidRPr="00E306B6">
              <w:rPr>
                <w:sz w:val="16"/>
                <w:szCs w:val="18"/>
                <w:lang w:val="es-ES"/>
              </w:rPr>
              <w:t>4 solicitudes; 95.453 entrada; 693 salida; 96.146 tokens totales</w:t>
            </w:r>
          </w:p>
        </w:tc>
      </w:tr>
      <w:tr w:rsidR="00EB46BF" w:rsidRPr="002F4F30" w14:paraId="2B83A622" w14:textId="77777777" w:rsidTr="00E306B6">
        <w:tc>
          <w:tcPr>
            <w:cnfStyle w:val="001000000000" w:firstRow="0" w:lastRow="0" w:firstColumn="1" w:lastColumn="0" w:oddVBand="0" w:evenVBand="0" w:oddHBand="0" w:evenHBand="0" w:firstRowFirstColumn="0" w:firstRowLastColumn="0" w:lastRowFirstColumn="0" w:lastRowLastColumn="0"/>
            <w:tcW w:w="1951" w:type="dxa"/>
          </w:tcPr>
          <w:p w14:paraId="19BA7283" w14:textId="77777777" w:rsidR="00EB46BF" w:rsidRPr="00E306B6" w:rsidRDefault="00EB46BF" w:rsidP="00EB46BF">
            <w:pPr>
              <w:spacing w:line="240" w:lineRule="auto"/>
              <w:rPr>
                <w:sz w:val="16"/>
                <w:szCs w:val="18"/>
              </w:rPr>
            </w:pPr>
            <w:r w:rsidRPr="00E306B6">
              <w:rPr>
                <w:sz w:val="16"/>
                <w:szCs w:val="18"/>
              </w:rPr>
              <w:t>Cierre</w:t>
            </w:r>
          </w:p>
        </w:tc>
        <w:tc>
          <w:tcPr>
            <w:tcW w:w="7120" w:type="dxa"/>
          </w:tcPr>
          <w:p w14:paraId="20C7C956" w14:textId="77777777" w:rsidR="00EB46BF" w:rsidRPr="00E306B6" w:rsidRDefault="00EB46BF" w:rsidP="00EB46BF">
            <w:pPr>
              <w:spacing w:line="240" w:lineRule="auto"/>
              <w:cnfStyle w:val="000000000000" w:firstRow="0" w:lastRow="0" w:firstColumn="0" w:lastColumn="0" w:oddVBand="0" w:evenVBand="0" w:oddHBand="0" w:evenHBand="0" w:firstRowFirstColumn="0" w:firstRowLastColumn="0" w:lastRowFirstColumn="0" w:lastRowLastColumn="0"/>
              <w:rPr>
                <w:sz w:val="16"/>
                <w:szCs w:val="18"/>
                <w:lang w:val="es-ES"/>
              </w:rPr>
            </w:pPr>
            <w:r w:rsidRPr="00E306B6">
              <w:rPr>
                <w:sz w:val="16"/>
                <w:szCs w:val="18"/>
                <w:lang w:val="es-ES"/>
              </w:rPr>
              <w:t>Todas las invariantes requeridas; realtime confirmado; capstone_pass=true</w:t>
            </w:r>
          </w:p>
        </w:tc>
      </w:tr>
    </w:tbl>
    <w:p w14:paraId="74894189" w14:textId="77777777" w:rsidR="00EB46BF" w:rsidRDefault="00EB46BF" w:rsidP="00EB46BF">
      <w:pPr>
        <w:pStyle w:val="MDPARThesisBody"/>
        <w:ind w:firstLine="0"/>
        <w:rPr>
          <w:b/>
          <w:lang w:val="es-ES"/>
        </w:rPr>
      </w:pPr>
    </w:p>
    <w:p w14:paraId="50A42725" w14:textId="77777777" w:rsidR="00A54B16" w:rsidRPr="00EB46BF" w:rsidRDefault="000E327C">
      <w:pPr>
        <w:pStyle w:val="MDPARThesisBody"/>
        <w:rPr>
          <w:lang w:val="es-ES"/>
        </w:rPr>
      </w:pPr>
      <w:r w:rsidRPr="00EB46BF">
        <w:rPr>
          <w:b/>
          <w:lang w:val="es-ES"/>
        </w:rPr>
        <w:lastRenderedPageBreak/>
        <w:t>La metrología del fallo temporal pertenece a la frontera de observación, no a la competencia TIAGo-Pro.</w:t>
      </w:r>
      <w:r w:rsidRPr="00EB46BF">
        <w:rPr>
          <w:lang w:val="es-ES"/>
        </w:rPr>
        <w:t xml:space="preserve"> E08 devolvió PROBE_FAILED pese a presentar el mismo esquema y los mismos valores operativos que E02. Una comprobación aislada posterior, realizada con el JAR congelado y sin modificar src, resolvió 40/40 llamadas con el estímulo original y reprodujo el estado PROBE_FAILED en 20/20 observaciones fechadas en el futuro (+1 ms y +1 s), frente a 10/10 resoluciones con la hora UTC actual. Esto reproduce experimentalmente el mecanismo de rechazo de procedencia temporal; como la ejecución original no conservó las dos marcas internas, la atribución causal específica de E08 permanece inferencial. No se requiere alterar el plugin, los contratos ni el corpus para sostener el resultado del capstone.</w:t>
      </w:r>
    </w:p>
    <w:p w14:paraId="447E9261" w14:textId="77777777" w:rsidR="00A54B16" w:rsidRPr="00EB46BF" w:rsidRDefault="000E327C">
      <w:pPr>
        <w:pStyle w:val="MDPARThesisBody"/>
        <w:rPr>
          <w:lang w:val="es-ES"/>
        </w:rPr>
      </w:pPr>
      <w:r w:rsidRPr="00EB46BF">
        <w:rPr>
          <w:b/>
          <w:lang w:val="es-ES"/>
        </w:rPr>
        <w:t>El resultado integrado: propiedad del proceso sin propiedad de todas sus inteligencias.</w:t>
      </w:r>
      <w:r w:rsidRPr="00EB46BF">
        <w:rPr>
          <w:lang w:val="es-ES"/>
        </w:rPr>
        <w:t xml:space="preserve"> C12 satisface todas las invariantes requeridas, observa las tres coordenadas CLOSED y confirma la duración íntegra en tiempo real (capstone_pass=true). La pérdida y restauración de frontier, la abstención local por contrato y la recuperación de deuda coexisten en una trayectoria auditable sin reescribir acciones ni transferir autoridad indebidamente. El alcance demostrado corresponde al protocolo y a su entorno experimental de embodiment; no equivale a certificar una maniobra de robot físico ni a demostrar transferencia de estado neuronal oculto.</w:t>
      </w:r>
    </w:p>
    <w:p w14:paraId="46C26835" w14:textId="77777777" w:rsidR="00FA297C" w:rsidRPr="00706CFA" w:rsidRDefault="00DA12E4" w:rsidP="00706CFA">
      <w:pPr>
        <w:pStyle w:val="MDPARProfileH1"/>
        <w:pageBreakBefore/>
        <w:spacing w:line="360" w:lineRule="auto"/>
        <w:jc w:val="both"/>
        <w:outlineLvl w:val="0"/>
        <w:rPr>
          <w:sz w:val="24"/>
          <w:szCs w:val="20"/>
          <w:lang w:val="es-ES"/>
        </w:rPr>
      </w:pPr>
      <w:bookmarkStart w:id="141" w:name="_Toc242721977"/>
      <w:r w:rsidRPr="00706CFA">
        <w:rPr>
          <w:sz w:val="24"/>
          <w:szCs w:val="20"/>
          <w:lang w:val="es-ES"/>
        </w:rPr>
        <w:lastRenderedPageBreak/>
        <w:t>ANEXO B — Especificación técnica, operación experimental y reproducibilidad</w:t>
      </w:r>
      <w:bookmarkEnd w:id="141"/>
    </w:p>
    <w:p w14:paraId="2B249258" w14:textId="77777777" w:rsidR="00706CFA" w:rsidRDefault="00706CFA">
      <w:pPr>
        <w:pStyle w:val="MDPARThesisBody"/>
        <w:rPr>
          <w:lang w:val="es-ES"/>
        </w:rPr>
      </w:pPr>
    </w:p>
    <w:p w14:paraId="350F12AF" w14:textId="77777777" w:rsidR="00FA297C" w:rsidRDefault="00DA12E4">
      <w:pPr>
        <w:pStyle w:val="MDPARThesisBody"/>
        <w:rPr>
          <w:lang w:val="es-ES"/>
        </w:rPr>
      </w:pPr>
      <w:r w:rsidRPr="009E2FF4">
        <w:rPr>
          <w:lang w:val="es-ES"/>
        </w:rPr>
        <w:t>Este anexo reúne la documentación técnica necesaria para reconstruir el entorno experimental de MDPAR 2.</w:t>
      </w:r>
      <w:r w:rsidR="00CE0E4B">
        <w:rPr>
          <w:lang w:val="es-ES"/>
        </w:rPr>
        <w:t>3</w:t>
      </w:r>
      <w:r w:rsidRPr="009E2FF4">
        <w:rPr>
          <w:lang w:val="es-ES"/>
        </w:rPr>
        <w:t>.0 sin convertir el cuerpo de la tesis en un manual de repositorio.</w:t>
      </w:r>
    </w:p>
    <w:p w14:paraId="1E4C9FD0" w14:textId="77777777" w:rsidR="00706CFA" w:rsidRPr="009E2FF4" w:rsidRDefault="00706CFA">
      <w:pPr>
        <w:pStyle w:val="MDPARThesisBody"/>
        <w:rPr>
          <w:lang w:val="es-ES"/>
        </w:rPr>
      </w:pPr>
    </w:p>
    <w:p w14:paraId="7C9BB90A" w14:textId="77777777" w:rsidR="00FA297C" w:rsidRPr="00706CFA" w:rsidRDefault="00DA12E4" w:rsidP="00706CFA">
      <w:pPr>
        <w:pStyle w:val="MDPARProfileH1"/>
        <w:spacing w:before="0" w:after="0" w:line="360" w:lineRule="auto"/>
        <w:ind w:firstLine="709"/>
        <w:jc w:val="both"/>
        <w:outlineLvl w:val="1"/>
        <w:rPr>
          <w:sz w:val="24"/>
          <w:szCs w:val="20"/>
          <w:lang w:val="es-ES"/>
        </w:rPr>
      </w:pPr>
      <w:bookmarkStart w:id="142" w:name="_Toc242721978"/>
      <w:r w:rsidRPr="00706CFA">
        <w:rPr>
          <w:sz w:val="24"/>
          <w:szCs w:val="20"/>
          <w:lang w:val="es-ES"/>
        </w:rPr>
        <w:t>B.1. Identidad del entorno reproducible</w:t>
      </w:r>
      <w:bookmarkEnd w:id="142"/>
    </w:p>
    <w:p w14:paraId="7D16A399" w14:textId="77777777" w:rsidR="00FA297C" w:rsidRDefault="00DA12E4">
      <w:pPr>
        <w:pStyle w:val="MDPARThesisBody"/>
        <w:rPr>
          <w:lang w:val="es-ES"/>
        </w:rPr>
      </w:pPr>
      <w:r w:rsidRPr="009E2FF4">
        <w:rPr>
          <w:lang w:val="es-ES"/>
        </w:rPr>
        <w:t>Runtime Java: MDPAR 2.3.0. Adapter Python: 0.13.0. Toolchain declarada: Java 21, Maven 3.x y Python compatible con el requirements.txt auditado. La instantánea de dependencias fue auditada contra Python 3.14.7.</w:t>
      </w:r>
    </w:p>
    <w:p w14:paraId="688F253B" w14:textId="77777777" w:rsidR="00706CFA" w:rsidRPr="009E2FF4" w:rsidRDefault="00706CFA">
      <w:pPr>
        <w:pStyle w:val="MDPARThesisBody"/>
        <w:rPr>
          <w:lang w:val="es-ES"/>
        </w:rPr>
      </w:pPr>
    </w:p>
    <w:p w14:paraId="569443FD" w14:textId="77777777" w:rsidR="00FA297C" w:rsidRPr="00706CFA" w:rsidRDefault="00DA12E4" w:rsidP="00706CFA">
      <w:pPr>
        <w:pStyle w:val="MDPARProfileCallout"/>
        <w:spacing w:before="0" w:after="0" w:line="360" w:lineRule="auto"/>
        <w:jc w:val="both"/>
        <w:rPr>
          <w:sz w:val="20"/>
          <w:szCs w:val="18"/>
          <w:lang w:val="es-ES"/>
        </w:rPr>
      </w:pPr>
      <w:r w:rsidRPr="00706CFA">
        <w:rPr>
          <w:sz w:val="20"/>
          <w:szCs w:val="18"/>
          <w:lang w:val="es-ES"/>
        </w:rPr>
        <w:t>Principio de reproducción: una run solo puede atribuirse a una release cuando software, protocolo, corpus y payload normativo satisfacen conjuntamente el contrato de evidencia de esa release.</w:t>
      </w:r>
    </w:p>
    <w:p w14:paraId="11012EE8" w14:textId="77777777" w:rsidR="00706CFA" w:rsidRPr="00706CFA" w:rsidRDefault="00706CFA" w:rsidP="00706CFA">
      <w:pPr>
        <w:pStyle w:val="MDPARProfileH1"/>
        <w:spacing w:before="0" w:after="0" w:line="360" w:lineRule="auto"/>
        <w:jc w:val="both"/>
        <w:rPr>
          <w:sz w:val="24"/>
          <w:szCs w:val="20"/>
          <w:lang w:val="es-ES"/>
        </w:rPr>
      </w:pPr>
    </w:p>
    <w:p w14:paraId="757146A1" w14:textId="77777777" w:rsidR="00FA297C" w:rsidRPr="00706CFA" w:rsidRDefault="00DA12E4" w:rsidP="00706CFA">
      <w:pPr>
        <w:pStyle w:val="MDPARProfileH1"/>
        <w:spacing w:before="0" w:after="0" w:line="360" w:lineRule="auto"/>
        <w:ind w:firstLine="709"/>
        <w:jc w:val="both"/>
        <w:outlineLvl w:val="1"/>
        <w:rPr>
          <w:sz w:val="24"/>
          <w:szCs w:val="20"/>
          <w:lang w:val="es-ES"/>
        </w:rPr>
      </w:pPr>
      <w:bookmarkStart w:id="143" w:name="_Toc242721979"/>
      <w:r w:rsidRPr="00706CFA">
        <w:rPr>
          <w:sz w:val="24"/>
          <w:szCs w:val="20"/>
          <w:lang w:val="es-ES"/>
        </w:rPr>
        <w:t>B.2. requirements.txt — dependencias directas reproducibles</w:t>
      </w:r>
      <w:bookmarkEnd w:id="143"/>
    </w:p>
    <w:p w14:paraId="15AF9237" w14:textId="77777777" w:rsidR="00FA297C" w:rsidRDefault="00DA12E4" w:rsidP="00706CFA">
      <w:pPr>
        <w:pStyle w:val="MDPARThesisBody"/>
        <w:shd w:val="clear" w:color="auto" w:fill="F2F2F2"/>
        <w:ind w:left="340" w:right="170" w:firstLine="0"/>
        <w:jc w:val="left"/>
      </w:pPr>
      <w:r w:rsidRPr="00706CFA">
        <w:rPr>
          <w:rFonts w:ascii="Consolas" w:hAnsi="Consolas"/>
          <w:sz w:val="16"/>
        </w:rPr>
        <w:t># MDPAR AI Adapter — reproducible direct dependencies</w:t>
      </w:r>
      <w:r w:rsidRPr="00706CFA">
        <w:rPr>
          <w:rFonts w:ascii="Consolas" w:hAnsi="Consolas"/>
          <w:sz w:val="16"/>
        </w:rPr>
        <w:br/>
        <w:t># Baseline audited against Python 3.14.7 on 2026-09-01.</w:t>
      </w:r>
      <w:r w:rsidRPr="00706CFA">
        <w:rPr>
          <w:rFonts w:ascii="Consolas" w:hAnsi="Consolas"/>
          <w:sz w:val="16"/>
        </w:rPr>
        <w:br/>
      </w:r>
      <w:r w:rsidRPr="00706CFA">
        <w:rPr>
          <w:rFonts w:ascii="Consolas" w:hAnsi="Consolas"/>
          <w:sz w:val="16"/>
        </w:rPr>
        <w:br/>
        <w:t># API runtime</w:t>
      </w:r>
      <w:r w:rsidRPr="00706CFA">
        <w:rPr>
          <w:rFonts w:ascii="Consolas" w:hAnsi="Consolas"/>
          <w:sz w:val="16"/>
        </w:rPr>
        <w:br/>
        <w:t>fastapi==0.141.1</w:t>
      </w:r>
      <w:r w:rsidRPr="00706CFA">
        <w:rPr>
          <w:rFonts w:ascii="Consolas" w:hAnsi="Consolas"/>
          <w:sz w:val="16"/>
        </w:rPr>
        <w:br/>
        <w:t>uvicorn[standard]==0.52.4</w:t>
      </w:r>
      <w:r w:rsidRPr="00706CFA">
        <w:rPr>
          <w:rFonts w:ascii="Consolas" w:hAnsi="Consolas"/>
          <w:sz w:val="16"/>
        </w:rPr>
        <w:br/>
        <w:t>pydantic==2.13.5</w:t>
      </w:r>
      <w:r w:rsidRPr="00706CFA">
        <w:rPr>
          <w:rFonts w:ascii="Consolas" w:hAnsi="Consolas"/>
          <w:sz w:val="16"/>
        </w:rPr>
        <w:br/>
        <w:t>httpx==0.28.1</w:t>
      </w:r>
      <w:r w:rsidRPr="00706CFA">
        <w:rPr>
          <w:rFonts w:ascii="Consolas" w:hAnsi="Consolas"/>
          <w:sz w:val="16"/>
        </w:rPr>
        <w:br/>
        <w:t>python-multipart==0.0.32</w:t>
      </w:r>
      <w:r w:rsidRPr="00706CFA">
        <w:rPr>
          <w:rFonts w:ascii="Consolas" w:hAnsi="Consolas"/>
          <w:sz w:val="16"/>
        </w:rPr>
        <w:br/>
      </w:r>
      <w:r w:rsidRPr="00706CFA">
        <w:rPr>
          <w:rFonts w:ascii="Consolas" w:hAnsi="Consolas"/>
          <w:sz w:val="16"/>
        </w:rPr>
        <w:br/>
        <w:t># MDPAR Java bridge</w:t>
      </w:r>
      <w:r w:rsidRPr="00706CFA">
        <w:rPr>
          <w:rFonts w:ascii="Consolas" w:hAnsi="Consolas"/>
          <w:sz w:val="16"/>
        </w:rPr>
        <w:br/>
        <w:t>JPype1==1.7.1</w:t>
      </w:r>
      <w:r w:rsidRPr="00706CFA">
        <w:rPr>
          <w:rFonts w:ascii="Consolas" w:hAnsi="Consolas"/>
          <w:sz w:val="16"/>
        </w:rPr>
        <w:br/>
      </w:r>
      <w:r w:rsidRPr="00706CFA">
        <w:rPr>
          <w:rFonts w:ascii="Consolas" w:hAnsi="Consolas"/>
          <w:sz w:val="16"/>
        </w:rPr>
        <w:br/>
        <w:t># Manual document ingress</w:t>
      </w:r>
      <w:r w:rsidRPr="00706CFA">
        <w:rPr>
          <w:rFonts w:ascii="Consolas" w:hAnsi="Consolas"/>
          <w:sz w:val="16"/>
        </w:rPr>
        <w:br/>
        <w:t>python-docx==1.2.0</w:t>
      </w:r>
      <w:r w:rsidRPr="00706CFA">
        <w:rPr>
          <w:rFonts w:ascii="Consolas" w:hAnsi="Consolas"/>
          <w:sz w:val="16"/>
        </w:rPr>
        <w:br/>
        <w:t>pypdf==6.16.2</w:t>
      </w:r>
      <w:r w:rsidRPr="00706CFA">
        <w:rPr>
          <w:rFonts w:ascii="Consolas" w:hAnsi="Consolas"/>
          <w:sz w:val="16"/>
        </w:rPr>
        <w:br/>
      </w:r>
      <w:r w:rsidRPr="00706CFA">
        <w:rPr>
          <w:rFonts w:ascii="Consolas" w:hAnsi="Consolas"/>
          <w:sz w:val="16"/>
        </w:rPr>
        <w:br/>
        <w:t># Test tooling</w:t>
      </w:r>
      <w:r w:rsidRPr="00706CFA">
        <w:rPr>
          <w:rFonts w:ascii="Consolas" w:hAnsi="Consolas"/>
          <w:sz w:val="16"/>
        </w:rPr>
        <w:br/>
        <w:t>pytest==9.1.1</w:t>
      </w:r>
      <w:r>
        <w:rPr>
          <w:rFonts w:ascii="Consolas" w:hAnsi="Consolas"/>
          <w:sz w:val="16"/>
        </w:rPr>
        <w:br/>
      </w:r>
    </w:p>
    <w:p w14:paraId="0B89080C" w14:textId="77777777" w:rsidR="00FA297C" w:rsidRPr="00706CFA" w:rsidRDefault="00DA12E4" w:rsidP="00706CFA">
      <w:pPr>
        <w:pStyle w:val="MDPARProfileH1"/>
        <w:spacing w:before="0" w:after="0" w:line="360" w:lineRule="auto"/>
        <w:ind w:firstLine="709"/>
        <w:jc w:val="both"/>
        <w:outlineLvl w:val="1"/>
        <w:rPr>
          <w:sz w:val="24"/>
          <w:szCs w:val="20"/>
          <w:lang w:val="es-ES"/>
        </w:rPr>
      </w:pPr>
      <w:bookmarkStart w:id="144" w:name="_Toc242721980"/>
      <w:r w:rsidRPr="00706CFA">
        <w:rPr>
          <w:sz w:val="24"/>
          <w:szCs w:val="20"/>
          <w:lang w:val="es-ES"/>
        </w:rPr>
        <w:t>B.3. Maven, pom.xml y QA arquitectónico</w:t>
      </w:r>
      <w:bookmarkEnd w:id="144"/>
    </w:p>
    <w:p w14:paraId="23067373" w14:textId="77777777" w:rsidR="00FA297C" w:rsidRDefault="00DA12E4">
      <w:pPr>
        <w:pStyle w:val="MDPARThesisBody"/>
        <w:rPr>
          <w:lang w:val="es-ES"/>
        </w:rPr>
      </w:pPr>
      <w:r w:rsidRPr="009E2FF4">
        <w:rPr>
          <w:lang w:val="es-ES"/>
        </w:rPr>
        <w:t xml:space="preserve">El pom.xml raíz fija io.mdpar:mdpar:2.3.0, packaging JAR, Java 21, UTF-8, src como árbol Java canónico y la inclusión de open/**/*.md como conocimiento normativo </w:t>
      </w:r>
      <w:r w:rsidRPr="009E2FF4">
        <w:rPr>
          <w:lang w:val="es-ES"/>
        </w:rPr>
        <w:lastRenderedPageBreak/>
        <w:t>de runtime. La fase verify ejecuta mdpar_qa.VerificationSuite sobre el artefacto construido y comprueba las verificaciones arquitectónicas registradas por el propio árbol compilado.</w:t>
      </w:r>
    </w:p>
    <w:p w14:paraId="4987DA5E" w14:textId="77777777" w:rsidR="00706CFA" w:rsidRPr="009E2FF4" w:rsidRDefault="00706CFA">
      <w:pPr>
        <w:pStyle w:val="MDPARThesisBody"/>
        <w:rPr>
          <w:lang w:val="es-ES"/>
        </w:rPr>
      </w:pPr>
    </w:p>
    <w:p w14:paraId="7BD12EF2" w14:textId="77777777" w:rsidR="00FA297C" w:rsidRDefault="00DA12E4" w:rsidP="00706CFA">
      <w:pPr>
        <w:pStyle w:val="MDPARThesisBody"/>
        <w:shd w:val="clear" w:color="auto" w:fill="F2F2F2"/>
        <w:ind w:left="340" w:right="170" w:firstLine="0"/>
        <w:jc w:val="left"/>
      </w:pPr>
      <w:r>
        <w:rPr>
          <w:rFonts w:ascii="Consolas" w:hAnsi="Consolas"/>
          <w:sz w:val="16"/>
        </w:rPr>
        <w:t>mvn clean verify</w:t>
      </w:r>
      <w:r>
        <w:rPr>
          <w:rFonts w:ascii="Consolas" w:hAnsi="Consolas"/>
          <w:sz w:val="16"/>
        </w:rPr>
        <w:br/>
        <w:t>mvn clean package</w:t>
      </w:r>
    </w:p>
    <w:p w14:paraId="23030236" w14:textId="77777777" w:rsidR="00706CFA" w:rsidRPr="000604AC" w:rsidRDefault="00706CFA">
      <w:pPr>
        <w:pStyle w:val="MDPARThesisBody"/>
      </w:pPr>
    </w:p>
    <w:p w14:paraId="457894AE" w14:textId="77777777" w:rsidR="00FA297C" w:rsidRDefault="00DA12E4">
      <w:pPr>
        <w:pStyle w:val="MDPARThesisBody"/>
        <w:rPr>
          <w:lang w:val="es-ES"/>
        </w:rPr>
      </w:pPr>
      <w:r w:rsidRPr="009E2FF4">
        <w:rPr>
          <w:lang w:val="es-ES"/>
        </w:rPr>
        <w:t>Tras cualquier cambio Java debe reconstruirse el JAR antes de ejecutar el adapter. La autodetección rechaza un artefacto anterior al árbol src. Para fijar un artefacto concreto puede utilizarse MDPAR_JAR.</w:t>
      </w:r>
    </w:p>
    <w:p w14:paraId="3DECA07E" w14:textId="77777777" w:rsidR="00706CFA" w:rsidRPr="009E2FF4" w:rsidRDefault="00706CFA">
      <w:pPr>
        <w:pStyle w:val="MDPARThesisBody"/>
        <w:rPr>
          <w:lang w:val="es-ES"/>
        </w:rPr>
      </w:pPr>
    </w:p>
    <w:p w14:paraId="39D5CDFA" w14:textId="77777777" w:rsidR="00FA297C" w:rsidRDefault="00DA12E4" w:rsidP="00706CFA">
      <w:pPr>
        <w:pStyle w:val="MDPARThesisBody"/>
        <w:shd w:val="clear" w:color="auto" w:fill="F2F2F2"/>
        <w:ind w:left="340" w:right="170" w:firstLine="0"/>
        <w:jc w:val="left"/>
      </w:pPr>
      <w:r>
        <w:rPr>
          <w:rFonts w:ascii="Consolas" w:hAnsi="Consolas"/>
          <w:sz w:val="16"/>
        </w:rPr>
        <w:t>$env:MDPAR_JAR = "C:\path\to\mdpar-2.</w:t>
      </w:r>
      <w:r w:rsidR="00CE0E4B">
        <w:rPr>
          <w:rFonts w:ascii="Consolas" w:hAnsi="Consolas"/>
          <w:sz w:val="16"/>
        </w:rPr>
        <w:t>3</w:t>
      </w:r>
      <w:r>
        <w:rPr>
          <w:rFonts w:ascii="Consolas" w:hAnsi="Consolas"/>
          <w:sz w:val="16"/>
        </w:rPr>
        <w:t>.0.jar"</w:t>
      </w:r>
    </w:p>
    <w:p w14:paraId="5A4BBF3E" w14:textId="77777777" w:rsidR="00706CFA" w:rsidRDefault="00706CFA">
      <w:pPr>
        <w:pStyle w:val="MDPARProfileH1"/>
      </w:pPr>
    </w:p>
    <w:p w14:paraId="26F49C0B" w14:textId="77777777" w:rsidR="00FA297C" w:rsidRPr="000604AC" w:rsidRDefault="00DA12E4" w:rsidP="00706CFA">
      <w:pPr>
        <w:pStyle w:val="MDPARProfileH1"/>
        <w:spacing w:before="0" w:after="0" w:line="360" w:lineRule="auto"/>
        <w:ind w:firstLine="709"/>
        <w:jc w:val="both"/>
        <w:outlineLvl w:val="1"/>
        <w:rPr>
          <w:sz w:val="24"/>
          <w:szCs w:val="20"/>
        </w:rPr>
      </w:pPr>
      <w:bookmarkStart w:id="145" w:name="_Toc242721981"/>
      <w:r w:rsidRPr="000604AC">
        <w:rPr>
          <w:sz w:val="24"/>
          <w:szCs w:val="20"/>
        </w:rPr>
        <w:t>B.4. Entorno Python y pytest</w:t>
      </w:r>
      <w:bookmarkEnd w:id="145"/>
    </w:p>
    <w:p w14:paraId="111328C4" w14:textId="77777777" w:rsidR="00FA297C" w:rsidRDefault="00DA12E4" w:rsidP="00706CFA">
      <w:pPr>
        <w:pStyle w:val="MDPARThesisBody"/>
        <w:shd w:val="clear" w:color="auto" w:fill="F2F2F2"/>
        <w:ind w:left="340" w:right="170" w:firstLine="0"/>
        <w:jc w:val="left"/>
      </w:pPr>
      <w:r>
        <w:rPr>
          <w:rFonts w:ascii="Consolas" w:hAnsi="Consolas"/>
          <w:sz w:val="16"/>
        </w:rPr>
        <w:t>cd mdpar-ai-adapter</w:t>
      </w:r>
      <w:r>
        <w:rPr>
          <w:rFonts w:ascii="Consolas" w:hAnsi="Consolas"/>
          <w:sz w:val="16"/>
        </w:rPr>
        <w:br/>
        <w:t>python -m venv .venv</w:t>
      </w:r>
      <w:r>
        <w:rPr>
          <w:rFonts w:ascii="Consolas" w:hAnsi="Consolas"/>
          <w:sz w:val="16"/>
        </w:rPr>
        <w:br/>
        <w:t>.\.venv\Scripts\Activate.ps1</w:t>
      </w:r>
      <w:r>
        <w:rPr>
          <w:rFonts w:ascii="Consolas" w:hAnsi="Consolas"/>
          <w:sz w:val="16"/>
        </w:rPr>
        <w:br/>
        <w:t>python -m pip install --upgrade pip</w:t>
      </w:r>
      <w:r>
        <w:rPr>
          <w:rFonts w:ascii="Consolas" w:hAnsi="Consolas"/>
          <w:sz w:val="16"/>
        </w:rPr>
        <w:br/>
        <w:t>python -m pip install -r requirements.txt</w:t>
      </w:r>
      <w:r>
        <w:rPr>
          <w:rFonts w:ascii="Consolas" w:hAnsi="Consolas"/>
          <w:sz w:val="16"/>
        </w:rPr>
        <w:br/>
        <w:t>python -m pytest tests -v</w:t>
      </w:r>
    </w:p>
    <w:p w14:paraId="270FA7B8" w14:textId="77777777" w:rsidR="00706CFA" w:rsidRPr="000604AC" w:rsidRDefault="00706CFA">
      <w:pPr>
        <w:pStyle w:val="MDPARThesisBody"/>
      </w:pPr>
    </w:p>
    <w:p w14:paraId="1EA20062" w14:textId="77777777" w:rsidR="00FA297C" w:rsidRDefault="00DA12E4">
      <w:pPr>
        <w:pStyle w:val="MDPARThesisBody"/>
        <w:rPr>
          <w:lang w:val="es-ES"/>
        </w:rPr>
      </w:pPr>
      <w:r w:rsidRPr="009E2FF4">
        <w:rPr>
          <w:lang w:val="es-ES"/>
        </w:rPr>
        <w:t>En Linux/macOS, la activación equivalente es source .venv/bin/activate. pytest verifica contratos del adapter; no sustituye el QA Maven del runtime Java ni la verificación de evidencia histórica.</w:t>
      </w:r>
    </w:p>
    <w:p w14:paraId="47F56E77" w14:textId="77777777" w:rsidR="00706CFA" w:rsidRPr="009E2FF4" w:rsidRDefault="00706CFA">
      <w:pPr>
        <w:pStyle w:val="MDPARThesisBody"/>
        <w:rPr>
          <w:lang w:val="es-ES"/>
        </w:rPr>
      </w:pPr>
    </w:p>
    <w:p w14:paraId="2D9BB448" w14:textId="77777777" w:rsidR="00FA297C" w:rsidRPr="00706CFA" w:rsidRDefault="00DA12E4" w:rsidP="00706CFA">
      <w:pPr>
        <w:pStyle w:val="MDPARProfileH1"/>
        <w:spacing w:before="0" w:after="0" w:line="360" w:lineRule="auto"/>
        <w:ind w:firstLine="709"/>
        <w:jc w:val="both"/>
        <w:outlineLvl w:val="1"/>
        <w:rPr>
          <w:sz w:val="24"/>
          <w:szCs w:val="20"/>
          <w:lang w:val="es-ES"/>
        </w:rPr>
      </w:pPr>
      <w:bookmarkStart w:id="146" w:name="_Toc242721982"/>
      <w:r w:rsidRPr="00706CFA">
        <w:rPr>
          <w:sz w:val="24"/>
          <w:szCs w:val="20"/>
          <w:lang w:val="es-ES"/>
        </w:rPr>
        <w:t>B.5. Contrato estructural del adapter</w:t>
      </w:r>
      <w:bookmarkEnd w:id="146"/>
    </w:p>
    <w:p w14:paraId="495FFAF5" w14:textId="77777777" w:rsidR="00FA297C" w:rsidRPr="009E2FF4" w:rsidRDefault="00DA12E4">
      <w:pPr>
        <w:pStyle w:val="MDPARThesisBody"/>
        <w:rPr>
          <w:lang w:val="es-ES"/>
        </w:rPr>
      </w:pPr>
      <w:r w:rsidRPr="009E2FF4">
        <w:rPr>
          <w:lang w:val="es-ES"/>
        </w:rPr>
        <w:t>El adapter es una capa Python delgada de integración, API y evidencia para el runtime Java. Sus responsabilidades son mantener un único runtime JVM longitudinal mediante JPype, preservar la autoridad de mdpar_routing para ownership CLOSED y delegar únicamente trabajo semántico OPEN autorizado, y ejecutar protocolos reproducibles C0–C1</w:t>
      </w:r>
      <w:r w:rsidR="00CE0E4B">
        <w:rPr>
          <w:lang w:val="es-ES"/>
        </w:rPr>
        <w:t>3</w:t>
      </w:r>
      <w:r w:rsidRPr="009E2FF4">
        <w:rPr>
          <w:lang w:val="es-ES"/>
        </w:rPr>
        <w:t xml:space="preserve"> sin redefinir la semántica de MDPAR.</w:t>
      </w:r>
    </w:p>
    <w:p w14:paraId="022B69D1" w14:textId="77777777" w:rsidR="00FA297C" w:rsidRPr="009E2FF4" w:rsidRDefault="00DA12E4">
      <w:pPr>
        <w:pStyle w:val="MDPARThesisBody"/>
        <w:rPr>
          <w:lang w:val="es-ES"/>
        </w:rPr>
      </w:pPr>
      <w:r w:rsidRPr="009E2FF4">
        <w:rPr>
          <w:lang w:val="es-ES"/>
        </w:rPr>
        <w:t>StructuralMark se publica como (indexedOccurrenceAgreement, stability, stateLegibility) y no es ordinal; la incertidumbre residual permanece como observable separado del ENGINE. structuralStability es el observable leave-one-trajectory-out; weakestStateLegibility es el escalar de legibilidad del estado; cognitiveRemembrance corresponde a recurrencia de endpoint en TRACK; AffectiveTension expresa heterogeneidad interpretativa exacta de criterios efectivos de cierre.</w:t>
      </w:r>
    </w:p>
    <w:p w14:paraId="56871E1D" w14:textId="77777777" w:rsidR="00FA297C" w:rsidRDefault="00DA12E4">
      <w:pPr>
        <w:pStyle w:val="MDPARThesisBody"/>
        <w:rPr>
          <w:lang w:val="es-ES"/>
        </w:rPr>
      </w:pPr>
      <w:r w:rsidRPr="009E2FF4">
        <w:rPr>
          <w:lang w:val="es-ES"/>
        </w:rPr>
        <w:lastRenderedPageBreak/>
        <w:t>Los documentos normativos OPEN están gate-scoped y son suministrados desde Java. La ejecución OPEN local requiere identidad exacta de contrato y certificación explícita para el neural gate solicitado. La presencia física de un modelo local no equivale a autoridad.</w:t>
      </w:r>
    </w:p>
    <w:p w14:paraId="189B184E" w14:textId="77777777" w:rsidR="00706CFA" w:rsidRPr="009E2FF4" w:rsidRDefault="00706CFA">
      <w:pPr>
        <w:pStyle w:val="MDPARThesisBody"/>
        <w:rPr>
          <w:lang w:val="es-ES"/>
        </w:rPr>
      </w:pPr>
    </w:p>
    <w:p w14:paraId="110023AF" w14:textId="77777777" w:rsidR="00FA297C" w:rsidRPr="00706CFA" w:rsidRDefault="00DA12E4" w:rsidP="00706CFA">
      <w:pPr>
        <w:pStyle w:val="MDPARProfileH1"/>
        <w:spacing w:before="0" w:after="0" w:line="360" w:lineRule="auto"/>
        <w:ind w:firstLine="709"/>
        <w:jc w:val="both"/>
        <w:outlineLvl w:val="1"/>
        <w:rPr>
          <w:sz w:val="24"/>
          <w:szCs w:val="20"/>
          <w:lang w:val="es-ES"/>
        </w:rPr>
      </w:pPr>
      <w:bookmarkStart w:id="147" w:name="_Toc242721983"/>
      <w:r w:rsidRPr="00706CFA">
        <w:rPr>
          <w:sz w:val="24"/>
          <w:szCs w:val="20"/>
          <w:lang w:val="es-ES"/>
        </w:rPr>
        <w:t>B.6. Estándar cooperativo de benchmarking</w:t>
      </w:r>
      <w:bookmarkEnd w:id="147"/>
    </w:p>
    <w:p w14:paraId="4D659EA8" w14:textId="77777777" w:rsidR="00FA297C" w:rsidRDefault="00CD2633">
      <w:pPr>
        <w:pStyle w:val="MDPARThesisBody"/>
        <w:rPr>
          <w:lang w:val="es-ES"/>
        </w:rPr>
      </w:pPr>
      <w:r>
        <w:rPr>
          <w:lang w:val="es-ES"/>
        </w:rPr>
        <w:t>‘</w:t>
      </w:r>
      <w:r w:rsidR="00DA12E4" w:rsidRPr="009E2FF4">
        <w:rPr>
          <w:lang w:val="es-ES"/>
        </w:rPr>
        <w:t>C</w:t>
      </w:r>
      <w:r>
        <w:rPr>
          <w:lang w:val="es-ES"/>
        </w:rPr>
        <w:t>’</w:t>
      </w:r>
      <w:r w:rsidR="00DA12E4" w:rsidRPr="009E2FF4">
        <w:rPr>
          <w:lang w:val="es-ES"/>
        </w:rPr>
        <w:t xml:space="preserve"> significa Capability: C0–C1</w:t>
      </w:r>
      <w:r>
        <w:rPr>
          <w:lang w:val="es-ES"/>
        </w:rPr>
        <w:t>3</w:t>
      </w:r>
      <w:r w:rsidR="00DA12E4" w:rsidRPr="009E2FF4">
        <w:rPr>
          <w:lang w:val="es-ES"/>
        </w:rPr>
        <w:t xml:space="preserve"> son capacidades distintas, no niveles ni puntuaciones. El estándar separa régimen OFFLINE_CAPABILITY de ONLINE_EMBODIMENT, define tres planos científicos P/A/G y mantiene el ledger económico C/T/I/M/Q como plano ortogonal.</w:t>
      </w:r>
    </w:p>
    <w:p w14:paraId="4E8461B5" w14:textId="77777777" w:rsidR="009A6EA2" w:rsidRPr="009E2FF4" w:rsidRDefault="009A6EA2">
      <w:pPr>
        <w:pStyle w:val="MDPARThesisBody"/>
        <w:rPr>
          <w:lang w:val="es-ES"/>
        </w:rPr>
      </w:pPr>
    </w:p>
    <w:tbl>
      <w:tblPr>
        <w:tblStyle w:val="Tablanormal2"/>
        <w:tblW w:w="0" w:type="auto"/>
        <w:tblLook w:val="04A0" w:firstRow="1" w:lastRow="0" w:firstColumn="1" w:lastColumn="0" w:noHBand="0" w:noVBand="1"/>
      </w:tblPr>
      <w:tblGrid>
        <w:gridCol w:w="1526"/>
        <w:gridCol w:w="7260"/>
      </w:tblGrid>
      <w:tr w:rsidR="00FA297C" w:rsidRPr="00CD2633" w14:paraId="1833E5BF" w14:textId="77777777" w:rsidTr="00CD26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7A52BF4" w14:textId="77777777" w:rsidR="00FA297C" w:rsidRPr="00CD2633" w:rsidRDefault="00DA12E4" w:rsidP="00706CFA">
            <w:pPr>
              <w:spacing w:line="240" w:lineRule="auto"/>
              <w:rPr>
                <w:sz w:val="16"/>
              </w:rPr>
            </w:pPr>
            <w:r w:rsidRPr="00CD2633">
              <w:rPr>
                <w:sz w:val="16"/>
              </w:rPr>
              <w:t>Capacidad</w:t>
            </w:r>
          </w:p>
        </w:tc>
        <w:tc>
          <w:tcPr>
            <w:tcW w:w="7260" w:type="dxa"/>
          </w:tcPr>
          <w:p w14:paraId="26940942" w14:textId="77777777" w:rsidR="00FA297C" w:rsidRPr="00CD2633" w:rsidRDefault="00DA12E4" w:rsidP="00706CFA">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CD2633">
              <w:rPr>
                <w:sz w:val="16"/>
              </w:rPr>
              <w:t>Foco canónico</w:t>
            </w:r>
          </w:p>
        </w:tc>
      </w:tr>
      <w:tr w:rsidR="00FA297C" w:rsidRPr="00CD2633" w14:paraId="0FFE0303" w14:textId="77777777" w:rsidTr="00CD2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A018FC7" w14:textId="77777777" w:rsidR="00FA297C" w:rsidRPr="00CD2633" w:rsidRDefault="00DA12E4" w:rsidP="00706CFA">
            <w:pPr>
              <w:spacing w:line="240" w:lineRule="auto"/>
              <w:rPr>
                <w:sz w:val="16"/>
              </w:rPr>
            </w:pPr>
            <w:r w:rsidRPr="00CD2633">
              <w:rPr>
                <w:sz w:val="16"/>
              </w:rPr>
              <w:t>C0</w:t>
            </w:r>
          </w:p>
        </w:tc>
        <w:tc>
          <w:tcPr>
            <w:tcW w:w="7260" w:type="dxa"/>
          </w:tcPr>
          <w:p w14:paraId="48F59265" w14:textId="77777777" w:rsidR="00FA297C" w:rsidRPr="00CD2633" w:rsidRDefault="00DA12E4" w:rsidP="00706CF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CD2633">
              <w:rPr>
                <w:sz w:val="16"/>
              </w:rPr>
              <w:t>Contractual reproducibility</w:t>
            </w:r>
          </w:p>
        </w:tc>
      </w:tr>
      <w:tr w:rsidR="00FA297C" w:rsidRPr="00CD2633" w14:paraId="4252E2BA" w14:textId="77777777" w:rsidTr="00CD2633">
        <w:tc>
          <w:tcPr>
            <w:cnfStyle w:val="001000000000" w:firstRow="0" w:lastRow="0" w:firstColumn="1" w:lastColumn="0" w:oddVBand="0" w:evenVBand="0" w:oddHBand="0" w:evenHBand="0" w:firstRowFirstColumn="0" w:firstRowLastColumn="0" w:lastRowFirstColumn="0" w:lastRowLastColumn="0"/>
            <w:tcW w:w="1526" w:type="dxa"/>
          </w:tcPr>
          <w:p w14:paraId="1EC64729" w14:textId="77777777" w:rsidR="00FA297C" w:rsidRPr="00CD2633" w:rsidRDefault="00DA12E4" w:rsidP="00706CFA">
            <w:pPr>
              <w:spacing w:line="240" w:lineRule="auto"/>
              <w:rPr>
                <w:sz w:val="16"/>
              </w:rPr>
            </w:pPr>
            <w:r w:rsidRPr="00CD2633">
              <w:rPr>
                <w:sz w:val="16"/>
              </w:rPr>
              <w:t>C1</w:t>
            </w:r>
          </w:p>
        </w:tc>
        <w:tc>
          <w:tcPr>
            <w:tcW w:w="7260" w:type="dxa"/>
          </w:tcPr>
          <w:p w14:paraId="37A4A4CB" w14:textId="77777777" w:rsidR="00FA297C" w:rsidRPr="00CD2633" w:rsidRDefault="00DA12E4" w:rsidP="00706CF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CD2633">
              <w:rPr>
                <w:sz w:val="16"/>
              </w:rPr>
              <w:t>Structural identification</w:t>
            </w:r>
          </w:p>
        </w:tc>
      </w:tr>
      <w:tr w:rsidR="00FA297C" w:rsidRPr="00CD2633" w14:paraId="4CC8E445" w14:textId="77777777" w:rsidTr="00CD2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D0D164" w14:textId="77777777" w:rsidR="00FA297C" w:rsidRPr="00CD2633" w:rsidRDefault="00DA12E4" w:rsidP="00706CFA">
            <w:pPr>
              <w:spacing w:line="240" w:lineRule="auto"/>
              <w:rPr>
                <w:sz w:val="16"/>
              </w:rPr>
            </w:pPr>
            <w:r w:rsidRPr="00CD2633">
              <w:rPr>
                <w:sz w:val="16"/>
              </w:rPr>
              <w:t>C2</w:t>
            </w:r>
          </w:p>
        </w:tc>
        <w:tc>
          <w:tcPr>
            <w:tcW w:w="7260" w:type="dxa"/>
          </w:tcPr>
          <w:p w14:paraId="65FD984E" w14:textId="77777777" w:rsidR="00FA297C" w:rsidRPr="00CD2633" w:rsidRDefault="00DA12E4" w:rsidP="00706CF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CD2633">
              <w:rPr>
                <w:sz w:val="16"/>
              </w:rPr>
              <w:t>Structural metrology</w:t>
            </w:r>
          </w:p>
        </w:tc>
      </w:tr>
      <w:tr w:rsidR="00FA297C" w:rsidRPr="00CD2633" w14:paraId="199B0403" w14:textId="77777777" w:rsidTr="00CD2633">
        <w:tc>
          <w:tcPr>
            <w:cnfStyle w:val="001000000000" w:firstRow="0" w:lastRow="0" w:firstColumn="1" w:lastColumn="0" w:oddVBand="0" w:evenVBand="0" w:oddHBand="0" w:evenHBand="0" w:firstRowFirstColumn="0" w:firstRowLastColumn="0" w:lastRowFirstColumn="0" w:lastRowLastColumn="0"/>
            <w:tcW w:w="1526" w:type="dxa"/>
          </w:tcPr>
          <w:p w14:paraId="51E9FAA4" w14:textId="77777777" w:rsidR="00FA297C" w:rsidRPr="00CD2633" w:rsidRDefault="00DA12E4" w:rsidP="00706CFA">
            <w:pPr>
              <w:spacing w:line="240" w:lineRule="auto"/>
              <w:rPr>
                <w:sz w:val="16"/>
              </w:rPr>
            </w:pPr>
            <w:r w:rsidRPr="00CD2633">
              <w:rPr>
                <w:sz w:val="16"/>
              </w:rPr>
              <w:t>C3</w:t>
            </w:r>
          </w:p>
        </w:tc>
        <w:tc>
          <w:tcPr>
            <w:tcW w:w="7260" w:type="dxa"/>
          </w:tcPr>
          <w:p w14:paraId="18413BAC" w14:textId="77777777" w:rsidR="00FA297C" w:rsidRPr="00CD2633" w:rsidRDefault="00DA12E4" w:rsidP="00706CF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CD2633">
              <w:rPr>
                <w:sz w:val="16"/>
              </w:rPr>
              <w:t>Structural calculus and directional continuity</w:t>
            </w:r>
          </w:p>
        </w:tc>
      </w:tr>
      <w:tr w:rsidR="00FA297C" w:rsidRPr="00CD2633" w14:paraId="0D9311C2" w14:textId="77777777" w:rsidTr="00CD2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AF5A85A" w14:textId="77777777" w:rsidR="00FA297C" w:rsidRPr="00CD2633" w:rsidRDefault="00DA12E4" w:rsidP="00706CFA">
            <w:pPr>
              <w:spacing w:line="240" w:lineRule="auto"/>
              <w:rPr>
                <w:sz w:val="16"/>
              </w:rPr>
            </w:pPr>
            <w:r w:rsidRPr="00CD2633">
              <w:rPr>
                <w:sz w:val="16"/>
              </w:rPr>
              <w:t>C4</w:t>
            </w:r>
          </w:p>
        </w:tc>
        <w:tc>
          <w:tcPr>
            <w:tcW w:w="7260" w:type="dxa"/>
          </w:tcPr>
          <w:p w14:paraId="6D48668D" w14:textId="77777777" w:rsidR="00FA297C" w:rsidRPr="00CD2633" w:rsidRDefault="00DA12E4" w:rsidP="00706CF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CD2633">
              <w:rPr>
                <w:sz w:val="16"/>
              </w:rPr>
              <w:t>Structural transformation and invariance</w:t>
            </w:r>
          </w:p>
        </w:tc>
      </w:tr>
      <w:tr w:rsidR="00FA297C" w:rsidRPr="00CD2633" w14:paraId="1E2BAA54" w14:textId="77777777" w:rsidTr="00CD2633">
        <w:tc>
          <w:tcPr>
            <w:cnfStyle w:val="001000000000" w:firstRow="0" w:lastRow="0" w:firstColumn="1" w:lastColumn="0" w:oddVBand="0" w:evenVBand="0" w:oddHBand="0" w:evenHBand="0" w:firstRowFirstColumn="0" w:firstRowLastColumn="0" w:lastRowFirstColumn="0" w:lastRowLastColumn="0"/>
            <w:tcW w:w="1526" w:type="dxa"/>
          </w:tcPr>
          <w:p w14:paraId="5E1CED8E" w14:textId="77777777" w:rsidR="00FA297C" w:rsidRPr="00CD2633" w:rsidRDefault="00DA12E4" w:rsidP="00706CFA">
            <w:pPr>
              <w:spacing w:line="240" w:lineRule="auto"/>
              <w:rPr>
                <w:sz w:val="16"/>
              </w:rPr>
            </w:pPr>
            <w:r w:rsidRPr="00CD2633">
              <w:rPr>
                <w:sz w:val="16"/>
              </w:rPr>
              <w:t>C5</w:t>
            </w:r>
          </w:p>
        </w:tc>
        <w:tc>
          <w:tcPr>
            <w:tcW w:w="7260" w:type="dxa"/>
          </w:tcPr>
          <w:p w14:paraId="16D255A0" w14:textId="77777777" w:rsidR="00FA297C" w:rsidRPr="00CD2633" w:rsidRDefault="00DA12E4" w:rsidP="00706CF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CD2633">
              <w:rPr>
                <w:sz w:val="16"/>
              </w:rPr>
              <w:t>Contextual cooperation</w:t>
            </w:r>
          </w:p>
        </w:tc>
      </w:tr>
      <w:tr w:rsidR="00FA297C" w:rsidRPr="00CD2633" w14:paraId="79A93FA1" w14:textId="77777777" w:rsidTr="00CD2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C320BC5" w14:textId="77777777" w:rsidR="00FA297C" w:rsidRPr="00CD2633" w:rsidRDefault="00DA12E4" w:rsidP="00706CFA">
            <w:pPr>
              <w:spacing w:line="240" w:lineRule="auto"/>
              <w:rPr>
                <w:sz w:val="16"/>
              </w:rPr>
            </w:pPr>
            <w:r w:rsidRPr="00CD2633">
              <w:rPr>
                <w:sz w:val="16"/>
              </w:rPr>
              <w:t>C6</w:t>
            </w:r>
          </w:p>
        </w:tc>
        <w:tc>
          <w:tcPr>
            <w:tcW w:w="7260" w:type="dxa"/>
          </w:tcPr>
          <w:p w14:paraId="76FA4155" w14:textId="77777777" w:rsidR="00FA297C" w:rsidRPr="00CD2633" w:rsidRDefault="00DA12E4" w:rsidP="00706CF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CD2633">
              <w:rPr>
                <w:sz w:val="16"/>
              </w:rPr>
              <w:t>Longitudinal cognition and epistemic timing</w:t>
            </w:r>
          </w:p>
        </w:tc>
      </w:tr>
      <w:tr w:rsidR="00FA297C" w:rsidRPr="00CD2633" w14:paraId="1080822A" w14:textId="77777777" w:rsidTr="00CD2633">
        <w:tc>
          <w:tcPr>
            <w:cnfStyle w:val="001000000000" w:firstRow="0" w:lastRow="0" w:firstColumn="1" w:lastColumn="0" w:oddVBand="0" w:evenVBand="0" w:oddHBand="0" w:evenHBand="0" w:firstRowFirstColumn="0" w:firstRowLastColumn="0" w:lastRowFirstColumn="0" w:lastRowLastColumn="0"/>
            <w:tcW w:w="1526" w:type="dxa"/>
          </w:tcPr>
          <w:p w14:paraId="6CFAF71A" w14:textId="77777777" w:rsidR="00FA297C" w:rsidRPr="00CD2633" w:rsidRDefault="00DA12E4" w:rsidP="00706CFA">
            <w:pPr>
              <w:spacing w:line="240" w:lineRule="auto"/>
              <w:rPr>
                <w:sz w:val="16"/>
              </w:rPr>
            </w:pPr>
            <w:r w:rsidRPr="00CD2633">
              <w:rPr>
                <w:sz w:val="16"/>
              </w:rPr>
              <w:t>C7</w:t>
            </w:r>
          </w:p>
        </w:tc>
        <w:tc>
          <w:tcPr>
            <w:tcW w:w="7260" w:type="dxa"/>
          </w:tcPr>
          <w:p w14:paraId="72E684C6" w14:textId="77777777" w:rsidR="00FA297C" w:rsidRPr="00CD2633" w:rsidRDefault="00DA12E4" w:rsidP="00706CF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CD2633">
              <w:rPr>
                <w:sz w:val="16"/>
              </w:rPr>
              <w:t>Bounded and heterogeneous CLOSED intelligence</w:t>
            </w:r>
          </w:p>
        </w:tc>
      </w:tr>
      <w:tr w:rsidR="00FA297C" w:rsidRPr="00CD2633" w14:paraId="00DA050D" w14:textId="77777777" w:rsidTr="00CD2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0E3DD5" w14:textId="77777777" w:rsidR="00FA297C" w:rsidRPr="00CD2633" w:rsidRDefault="00DA12E4" w:rsidP="00706CFA">
            <w:pPr>
              <w:spacing w:line="240" w:lineRule="auto"/>
              <w:rPr>
                <w:sz w:val="16"/>
              </w:rPr>
            </w:pPr>
            <w:r w:rsidRPr="00CD2633">
              <w:rPr>
                <w:sz w:val="16"/>
              </w:rPr>
              <w:t>C8</w:t>
            </w:r>
          </w:p>
        </w:tc>
        <w:tc>
          <w:tcPr>
            <w:tcW w:w="7260" w:type="dxa"/>
          </w:tcPr>
          <w:p w14:paraId="1666CD2D" w14:textId="77777777" w:rsidR="00FA297C" w:rsidRPr="00CD2633" w:rsidRDefault="00DA12E4" w:rsidP="00706CF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CD2633">
              <w:rPr>
                <w:sz w:val="16"/>
              </w:rPr>
              <w:t>CLOSED/OPEN cooperative composition</w:t>
            </w:r>
          </w:p>
        </w:tc>
      </w:tr>
      <w:tr w:rsidR="00FA297C" w:rsidRPr="00CD2633" w14:paraId="0C225C28" w14:textId="77777777" w:rsidTr="00CD2633">
        <w:tc>
          <w:tcPr>
            <w:cnfStyle w:val="001000000000" w:firstRow="0" w:lastRow="0" w:firstColumn="1" w:lastColumn="0" w:oddVBand="0" w:evenVBand="0" w:oddHBand="0" w:evenHBand="0" w:firstRowFirstColumn="0" w:firstRowLastColumn="0" w:lastRowFirstColumn="0" w:lastRowLastColumn="0"/>
            <w:tcW w:w="1526" w:type="dxa"/>
          </w:tcPr>
          <w:p w14:paraId="4700850F" w14:textId="77777777" w:rsidR="00FA297C" w:rsidRPr="00CD2633" w:rsidRDefault="00DA12E4" w:rsidP="00706CFA">
            <w:pPr>
              <w:spacing w:line="240" w:lineRule="auto"/>
              <w:rPr>
                <w:sz w:val="16"/>
              </w:rPr>
            </w:pPr>
            <w:r w:rsidRPr="00CD2633">
              <w:rPr>
                <w:sz w:val="16"/>
              </w:rPr>
              <w:t>C9</w:t>
            </w:r>
          </w:p>
        </w:tc>
        <w:tc>
          <w:tcPr>
            <w:tcW w:w="7260" w:type="dxa"/>
          </w:tcPr>
          <w:p w14:paraId="79FD7946" w14:textId="77777777" w:rsidR="00FA297C" w:rsidRPr="00CD2633" w:rsidRDefault="00DA12E4" w:rsidP="00706CF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CD2633">
              <w:rPr>
                <w:sz w:val="16"/>
              </w:rPr>
              <w:t>Adaptive and concurrent cognition</w:t>
            </w:r>
          </w:p>
        </w:tc>
      </w:tr>
      <w:tr w:rsidR="00FA297C" w:rsidRPr="00CD2633" w14:paraId="20C675D4" w14:textId="77777777" w:rsidTr="00CD2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D362966" w14:textId="77777777" w:rsidR="00FA297C" w:rsidRPr="00CD2633" w:rsidRDefault="00DA12E4" w:rsidP="00706CFA">
            <w:pPr>
              <w:spacing w:line="240" w:lineRule="auto"/>
              <w:rPr>
                <w:sz w:val="16"/>
              </w:rPr>
            </w:pPr>
            <w:r w:rsidRPr="00CD2633">
              <w:rPr>
                <w:sz w:val="16"/>
              </w:rPr>
              <w:t>C10</w:t>
            </w:r>
          </w:p>
        </w:tc>
        <w:tc>
          <w:tcPr>
            <w:tcW w:w="7260" w:type="dxa"/>
          </w:tcPr>
          <w:p w14:paraId="41DEF0BE" w14:textId="77777777" w:rsidR="00FA297C" w:rsidRPr="00CD2633" w:rsidRDefault="00DA12E4" w:rsidP="00706CF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CD2633">
              <w:rPr>
                <w:sz w:val="16"/>
              </w:rPr>
              <w:t>Temporal authority and embodiment</w:t>
            </w:r>
          </w:p>
        </w:tc>
      </w:tr>
      <w:tr w:rsidR="00FA297C" w:rsidRPr="00CD2633" w14:paraId="0A92EEB7" w14:textId="77777777" w:rsidTr="00CD2633">
        <w:tc>
          <w:tcPr>
            <w:cnfStyle w:val="001000000000" w:firstRow="0" w:lastRow="0" w:firstColumn="1" w:lastColumn="0" w:oddVBand="0" w:evenVBand="0" w:oddHBand="0" w:evenHBand="0" w:firstRowFirstColumn="0" w:firstRowLastColumn="0" w:lastRowFirstColumn="0" w:lastRowLastColumn="0"/>
            <w:tcW w:w="1526" w:type="dxa"/>
          </w:tcPr>
          <w:p w14:paraId="78A30075" w14:textId="77777777" w:rsidR="00FA297C" w:rsidRPr="00CD2633" w:rsidRDefault="00DA12E4" w:rsidP="00706CFA">
            <w:pPr>
              <w:spacing w:line="240" w:lineRule="auto"/>
              <w:rPr>
                <w:sz w:val="16"/>
              </w:rPr>
            </w:pPr>
            <w:r w:rsidRPr="00CD2633">
              <w:rPr>
                <w:sz w:val="16"/>
              </w:rPr>
              <w:t>C11</w:t>
            </w:r>
          </w:p>
        </w:tc>
        <w:tc>
          <w:tcPr>
            <w:tcW w:w="7260" w:type="dxa"/>
          </w:tcPr>
          <w:p w14:paraId="20557C6C" w14:textId="77777777" w:rsidR="00FA297C" w:rsidRPr="00CD2633" w:rsidRDefault="00DA12E4" w:rsidP="00706CFA">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CD2633">
              <w:rPr>
                <w:sz w:val="16"/>
              </w:rPr>
              <w:t>Degradation, continuity and recovery</w:t>
            </w:r>
          </w:p>
        </w:tc>
      </w:tr>
      <w:tr w:rsidR="00FA297C" w:rsidRPr="00CD2633" w14:paraId="1D8C1528" w14:textId="77777777" w:rsidTr="00CD2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DC8DCA" w14:textId="77777777" w:rsidR="00FA297C" w:rsidRPr="00CD2633" w:rsidRDefault="00DA12E4" w:rsidP="00706CFA">
            <w:pPr>
              <w:spacing w:line="240" w:lineRule="auto"/>
              <w:rPr>
                <w:sz w:val="16"/>
              </w:rPr>
            </w:pPr>
            <w:r w:rsidRPr="00CD2633">
              <w:rPr>
                <w:sz w:val="16"/>
              </w:rPr>
              <w:t>C12</w:t>
            </w:r>
          </w:p>
        </w:tc>
        <w:tc>
          <w:tcPr>
            <w:tcW w:w="7260" w:type="dxa"/>
          </w:tcPr>
          <w:p w14:paraId="453857C6" w14:textId="77777777" w:rsidR="00FA297C" w:rsidRPr="00CD2633" w:rsidRDefault="00DA12E4" w:rsidP="00706CFA">
            <w:pPr>
              <w:spacing w:line="240" w:lineRule="auto"/>
              <w:cnfStyle w:val="000000100000" w:firstRow="0" w:lastRow="0" w:firstColumn="0" w:lastColumn="0" w:oddVBand="0" w:evenVBand="0" w:oddHBand="1" w:evenHBand="0" w:firstRowFirstColumn="0" w:firstRowLastColumn="0" w:lastRowFirstColumn="0" w:lastRowLastColumn="0"/>
              <w:rPr>
                <w:sz w:val="16"/>
              </w:rPr>
            </w:pPr>
            <w:r w:rsidRPr="00CD2633">
              <w:rPr>
                <w:sz w:val="16"/>
              </w:rPr>
              <w:t>Sustained system cooperation</w:t>
            </w:r>
          </w:p>
        </w:tc>
      </w:tr>
      <w:tr w:rsidR="00F94A0E" w14:paraId="22AE3805" w14:textId="77777777" w:rsidTr="00F94A0E">
        <w:tc>
          <w:tcPr>
            <w:cnfStyle w:val="001000000000" w:firstRow="0" w:lastRow="0" w:firstColumn="1" w:lastColumn="0" w:oddVBand="0" w:evenVBand="0" w:oddHBand="0" w:evenHBand="0" w:firstRowFirstColumn="0" w:firstRowLastColumn="0" w:lastRowFirstColumn="0" w:lastRowLastColumn="0"/>
            <w:tcW w:w="1526" w:type="dxa"/>
          </w:tcPr>
          <w:p w14:paraId="22146B49" w14:textId="77777777" w:rsidR="00F94A0E" w:rsidRDefault="00CD21A7">
            <w:pPr>
              <w:spacing w:line="240" w:lineRule="auto"/>
              <w:rPr>
                <w:sz w:val="16"/>
              </w:rPr>
            </w:pPr>
            <w:r>
              <w:rPr>
                <w:sz w:val="16"/>
              </w:rPr>
              <w:t>C13</w:t>
            </w:r>
          </w:p>
        </w:tc>
        <w:tc>
          <w:tcPr>
            <w:tcW w:w="7260" w:type="dxa"/>
          </w:tcPr>
          <w:p w14:paraId="04649B80" w14:textId="77777777" w:rsidR="00F94A0E" w:rsidRDefault="00CD21A7">
            <w:pPr>
              <w:spacing w:line="240" w:lineRule="auto"/>
              <w:cnfStyle w:val="000000000000" w:firstRow="0" w:lastRow="0" w:firstColumn="0" w:lastColumn="0" w:oddVBand="0" w:evenVBand="0" w:oddHBand="0" w:evenHBand="0" w:firstRowFirstColumn="0" w:firstRowLastColumn="0" w:lastRowFirstColumn="0" w:lastRowLastColumn="0"/>
              <w:rPr>
                <w:sz w:val="16"/>
              </w:rPr>
            </w:pPr>
            <w:r>
              <w:rPr>
                <w:sz w:val="16"/>
              </w:rPr>
              <w:t>Canonical Navigation</w:t>
            </w:r>
          </w:p>
        </w:tc>
      </w:tr>
    </w:tbl>
    <w:p w14:paraId="10A7EC57" w14:textId="77777777" w:rsidR="00FA297C" w:rsidRPr="00706CFA" w:rsidRDefault="00DA12E4" w:rsidP="00706CFA">
      <w:pPr>
        <w:pStyle w:val="MDPARProfileCallout"/>
        <w:spacing w:line="360" w:lineRule="auto"/>
        <w:jc w:val="both"/>
        <w:rPr>
          <w:sz w:val="20"/>
          <w:szCs w:val="18"/>
          <w:lang w:val="es-ES"/>
        </w:rPr>
      </w:pPr>
      <w:r w:rsidRPr="00706CFA">
        <w:rPr>
          <w:sz w:val="20"/>
          <w:szCs w:val="18"/>
          <w:lang w:val="es-ES"/>
        </w:rPr>
        <w:t>Regla de medición: no construir una puntuación única que mezcle P, A, G y C/T/I/M/Q. Una mejora en una dimensión no compensa silenciosamente una pérdida en otra.</w:t>
      </w:r>
    </w:p>
    <w:p w14:paraId="152274E3" w14:textId="77777777" w:rsidR="00706CFA" w:rsidRDefault="00706CFA">
      <w:pPr>
        <w:pStyle w:val="MDPARProfileH1"/>
        <w:rPr>
          <w:lang w:val="es-ES"/>
        </w:rPr>
      </w:pPr>
    </w:p>
    <w:p w14:paraId="65EAF38A" w14:textId="77777777" w:rsidR="00FA297C" w:rsidRPr="00706CFA" w:rsidRDefault="00DA12E4" w:rsidP="00706CFA">
      <w:pPr>
        <w:pStyle w:val="MDPARProfileH1"/>
        <w:ind w:firstLine="709"/>
        <w:outlineLvl w:val="1"/>
        <w:rPr>
          <w:sz w:val="24"/>
          <w:szCs w:val="20"/>
          <w:lang w:val="es-ES"/>
        </w:rPr>
      </w:pPr>
      <w:bookmarkStart w:id="148" w:name="_Toc242721984"/>
      <w:r w:rsidRPr="00706CFA">
        <w:rPr>
          <w:sz w:val="24"/>
          <w:szCs w:val="20"/>
          <w:lang w:val="es-ES"/>
        </w:rPr>
        <w:t>B.7. Estándar transversal de medición</w:t>
      </w:r>
      <w:bookmarkEnd w:id="148"/>
    </w:p>
    <w:p w14:paraId="018DF57D" w14:textId="77777777" w:rsidR="00FA297C" w:rsidRPr="009E2FF4" w:rsidRDefault="00CD2633" w:rsidP="00CD2633">
      <w:pPr>
        <w:pStyle w:val="MDPARThesisBody"/>
        <w:rPr>
          <w:lang w:val="es-ES"/>
        </w:rPr>
      </w:pPr>
      <w:r>
        <w:rPr>
          <w:lang w:val="es-ES"/>
        </w:rPr>
        <w:t>El modelo se fija en</w:t>
      </w:r>
      <w:r w:rsidR="00DA12E4" w:rsidRPr="009E2FF4">
        <w:rPr>
          <w:lang w:val="es-ES"/>
        </w:rPr>
        <w:t xml:space="preserve"> tres planos científicos: P — Performance; A — Attribution; G — Generalization. El ledger económico E_MDPAR=(C,T,I,M,Q) se registra por separado. La procedencia económica distingue magnitudes medidas, derivadas, escenarios y afirmaciones comerciales, y prohíbe el double counting entre dimensiones.</w:t>
      </w:r>
    </w:p>
    <w:p w14:paraId="3E0F75A8" w14:textId="77777777" w:rsidR="00FA297C" w:rsidRDefault="00DA12E4">
      <w:pPr>
        <w:pStyle w:val="MDPARThesisBody"/>
        <w:rPr>
          <w:lang w:val="es-ES"/>
        </w:rPr>
      </w:pPr>
      <w:r w:rsidRPr="009E2FF4">
        <w:rPr>
          <w:lang w:val="es-ES"/>
        </w:rPr>
        <w:t>El estándar vincula además pricing y hardware a snapshots o perfiles explícitos. Una cifra de coste o rendimiento local no puede generalizarse sin conservar el proveedor, el modelo, la configuración y el hardware que participaron en ella.</w:t>
      </w:r>
    </w:p>
    <w:p w14:paraId="72217F2D" w14:textId="77777777" w:rsidR="00E446B9" w:rsidRPr="009E2FF4" w:rsidRDefault="00E446B9">
      <w:pPr>
        <w:pStyle w:val="MDPARThesisBody"/>
        <w:rPr>
          <w:lang w:val="es-ES"/>
        </w:rPr>
      </w:pPr>
    </w:p>
    <w:p w14:paraId="0A18E227" w14:textId="77777777" w:rsidR="00FA297C" w:rsidRPr="00E446B9" w:rsidRDefault="00DA12E4" w:rsidP="00E446B9">
      <w:pPr>
        <w:pStyle w:val="MDPARProfileH1"/>
        <w:spacing w:before="0" w:after="0" w:line="360" w:lineRule="auto"/>
        <w:ind w:firstLine="709"/>
        <w:jc w:val="both"/>
        <w:outlineLvl w:val="1"/>
        <w:rPr>
          <w:sz w:val="24"/>
          <w:szCs w:val="20"/>
        </w:rPr>
      </w:pPr>
      <w:bookmarkStart w:id="149" w:name="_Toc242721985"/>
      <w:r w:rsidRPr="00E446B9">
        <w:rPr>
          <w:sz w:val="24"/>
          <w:szCs w:val="20"/>
        </w:rPr>
        <w:t>B.8. Hardware profile</w:t>
      </w:r>
      <w:bookmarkEnd w:id="149"/>
    </w:p>
    <w:p w14:paraId="77A8AEEF" w14:textId="77777777" w:rsidR="00FA297C" w:rsidRPr="009E2FF4" w:rsidRDefault="00DA12E4" w:rsidP="00E446B9">
      <w:pPr>
        <w:pStyle w:val="MDPARThesisBody"/>
        <w:shd w:val="clear" w:color="auto" w:fill="F2F2F2"/>
        <w:ind w:left="340" w:right="170" w:firstLine="0"/>
        <w:jc w:val="left"/>
        <w:rPr>
          <w:lang w:val="es-ES"/>
        </w:rPr>
      </w:pPr>
      <w:r>
        <w:rPr>
          <w:rFonts w:ascii="Consolas" w:hAnsi="Consolas"/>
          <w:sz w:val="16"/>
        </w:rPr>
        <w:t>{</w:t>
      </w:r>
      <w:r>
        <w:rPr>
          <w:rFonts w:ascii="Consolas" w:hAnsi="Consolas"/>
          <w:sz w:val="16"/>
        </w:rPr>
        <w:br/>
        <w:t xml:space="preserve">  "schema": "MDPAR-HARDWARE-PROFILES-V1",</w:t>
      </w:r>
      <w:r>
        <w:rPr>
          <w:rFonts w:ascii="Consolas" w:hAnsi="Consolas"/>
          <w:sz w:val="16"/>
        </w:rPr>
        <w:br/>
        <w:t xml:space="preserve">  "profiles": [</w:t>
      </w:r>
      <w:r>
        <w:rPr>
          <w:rFonts w:ascii="Consolas" w:hAnsi="Consolas"/>
          <w:sz w:val="16"/>
        </w:rPr>
        <w:br/>
      </w:r>
      <w:r>
        <w:rPr>
          <w:rFonts w:ascii="Consolas" w:hAnsi="Consolas"/>
          <w:sz w:val="16"/>
        </w:rPr>
        <w:lastRenderedPageBreak/>
        <w:t xml:space="preserve">    {</w:t>
      </w:r>
      <w:r>
        <w:rPr>
          <w:rFonts w:ascii="Consolas" w:hAnsi="Consolas"/>
          <w:sz w:val="16"/>
        </w:rPr>
        <w:br/>
        <w:t xml:space="preserve">      "profile_id": "andres-reference-laptop-2026",</w:t>
      </w:r>
      <w:r>
        <w:rPr>
          <w:rFonts w:ascii="Consolas" w:hAnsi="Consolas"/>
          <w:sz w:val="16"/>
        </w:rPr>
        <w:br/>
        <w:t xml:space="preserve">      "role": "LOCAL_REFERENCE_BASELINE",</w:t>
      </w:r>
      <w:r>
        <w:rPr>
          <w:rFonts w:ascii="Consolas" w:hAnsi="Consolas"/>
          <w:sz w:val="16"/>
        </w:rPr>
        <w:br/>
        <w:t xml:space="preserve">      "machine": "ASUS TUF Gaming A15 FA507RR",</w:t>
      </w:r>
      <w:r>
        <w:rPr>
          <w:rFonts w:ascii="Consolas" w:hAnsi="Consolas"/>
          <w:sz w:val="16"/>
        </w:rPr>
        <w:br/>
        <w:t xml:space="preserve">      "cpu": "AMD Ryzen 7 6800H",</w:t>
      </w:r>
      <w:r>
        <w:rPr>
          <w:rFonts w:ascii="Consolas" w:hAnsi="Consolas"/>
          <w:sz w:val="16"/>
        </w:rPr>
        <w:br/>
        <w:t xml:space="preserve">      "system_memory": "16 GB nominal DDR5",</w:t>
      </w:r>
      <w:r>
        <w:rPr>
          <w:rFonts w:ascii="Consolas" w:hAnsi="Consolas"/>
          <w:sz w:val="16"/>
        </w:rPr>
        <w:br/>
        <w:t xml:space="preserve">      "gpu": "NVIDIA GeForce RTX 3070 Laptop GPU",</w:t>
      </w:r>
      <w:r>
        <w:rPr>
          <w:rFonts w:ascii="Consolas" w:hAnsi="Consolas"/>
          <w:sz w:val="16"/>
        </w:rPr>
        <w:br/>
        <w:t xml:space="preserve">      "physical_vram": "8 GB GDDR6",</w:t>
      </w:r>
      <w:r>
        <w:rPr>
          <w:rFonts w:ascii="Consolas" w:hAnsi="Consolas"/>
          <w:sz w:val="16"/>
        </w:rPr>
        <w:br/>
        <w:t xml:space="preserve">      "measurement_note": "The machine profile records 8 GB physical GDDR6 VRAM for the RTX 3070 Laptop GPU.",</w:t>
      </w:r>
      <w:r>
        <w:rPr>
          <w:rFonts w:ascii="Consolas" w:hAnsi="Consolas"/>
          <w:sz w:val="16"/>
        </w:rPr>
        <w:br/>
        <w:t xml:space="preserve">      "local_open_constraints": {</w:t>
      </w:r>
      <w:r>
        <w:rPr>
          <w:rFonts w:ascii="Consolas" w:hAnsi="Consolas"/>
          <w:sz w:val="16"/>
        </w:rPr>
        <w:br/>
        <w:t xml:space="preserve">        "ollama_num_ctx_reference_default": 8192,</w:t>
      </w:r>
      <w:r>
        <w:rPr>
          <w:rFonts w:ascii="Consolas" w:hAnsi="Consolas"/>
          <w:sz w:val="16"/>
        </w:rPr>
        <w:br/>
        <w:t xml:space="preserve">        "validated_minimum_model": "Qwen3 4B",</w:t>
      </w:r>
      <w:r>
        <w:rPr>
          <w:rFonts w:ascii="Consolas" w:hAnsi="Consolas"/>
          <w:sz w:val="16"/>
        </w:rPr>
        <w:br/>
        <w:t xml:space="preserve">        "minimum_model_scope": "Qwen3 4B is the certified local model for the STRUCTURAL_IDENTIFICATION gate on this profile; it is not a universal intelligence or embodiment threshold.",</w:t>
      </w:r>
      <w:r>
        <w:rPr>
          <w:rFonts w:ascii="Consolas" w:hAnsi="Consolas"/>
          <w:sz w:val="16"/>
        </w:rPr>
        <w:br/>
        <w:t xml:space="preserve">        "realtime_limitation": "Foreground authority remains gate- and lease-bounded; a valid local completion that misses its deadline does not acquire action authority."</w:t>
      </w:r>
      <w:r>
        <w:rPr>
          <w:rFonts w:ascii="Consolas" w:hAnsi="Consolas"/>
          <w:sz w:val="16"/>
        </w:rPr>
        <w:br/>
        <w:t xml:space="preserve">      },</w:t>
      </w:r>
      <w:r>
        <w:rPr>
          <w:rFonts w:ascii="Consolas" w:hAnsi="Consolas"/>
          <w:sz w:val="16"/>
        </w:rPr>
        <w:br/>
        <w:t xml:space="preserve">      "claim_policy": "Any local-model P/E result must bind this profile_id or a newly measured hardware profile. Hardware-specific failure or success must not be generalized to MDPAR itself."</w:t>
      </w:r>
      <w:r>
        <w:rPr>
          <w:rFonts w:ascii="Consolas" w:hAnsi="Consolas"/>
          <w:sz w:val="16"/>
        </w:rPr>
        <w:br/>
        <w:t xml:space="preserve">    </w:t>
      </w:r>
      <w:r w:rsidRPr="009E2FF4">
        <w:rPr>
          <w:rFonts w:ascii="Consolas" w:hAnsi="Consolas"/>
          <w:sz w:val="16"/>
          <w:lang w:val="es-ES"/>
        </w:rPr>
        <w:t>}</w:t>
      </w:r>
      <w:r w:rsidRPr="009E2FF4">
        <w:rPr>
          <w:rFonts w:ascii="Consolas" w:hAnsi="Consolas"/>
          <w:sz w:val="16"/>
          <w:lang w:val="es-ES"/>
        </w:rPr>
        <w:br/>
        <w:t xml:space="preserve">  ]</w:t>
      </w:r>
      <w:r w:rsidRPr="009E2FF4">
        <w:rPr>
          <w:rFonts w:ascii="Consolas" w:hAnsi="Consolas"/>
          <w:sz w:val="16"/>
          <w:lang w:val="es-ES"/>
        </w:rPr>
        <w:br/>
        <w:t>}</w:t>
      </w:r>
    </w:p>
    <w:p w14:paraId="1D4BEC94" w14:textId="77777777" w:rsidR="00E446B9" w:rsidRDefault="00E446B9" w:rsidP="00E446B9">
      <w:pPr>
        <w:pStyle w:val="MDPARProfileH1"/>
        <w:spacing w:before="0" w:after="0" w:line="360" w:lineRule="auto"/>
        <w:jc w:val="both"/>
        <w:rPr>
          <w:sz w:val="24"/>
          <w:szCs w:val="20"/>
          <w:lang w:val="es-ES"/>
        </w:rPr>
      </w:pPr>
    </w:p>
    <w:p w14:paraId="04BFB705" w14:textId="77777777" w:rsidR="00FA297C" w:rsidRPr="00E446B9" w:rsidRDefault="00DA12E4" w:rsidP="00E446B9">
      <w:pPr>
        <w:pStyle w:val="MDPARProfileH1"/>
        <w:spacing w:before="0" w:after="0" w:line="360" w:lineRule="auto"/>
        <w:ind w:firstLine="709"/>
        <w:jc w:val="both"/>
        <w:outlineLvl w:val="1"/>
        <w:rPr>
          <w:sz w:val="24"/>
          <w:szCs w:val="20"/>
          <w:lang w:val="es-ES"/>
        </w:rPr>
      </w:pPr>
      <w:bookmarkStart w:id="150" w:name="_Toc242721986"/>
      <w:r w:rsidRPr="00E446B9">
        <w:rPr>
          <w:sz w:val="24"/>
          <w:szCs w:val="20"/>
          <w:lang w:val="es-ES"/>
        </w:rPr>
        <w:t>B.9. Evidence store, inmutabilidad e índice SHA-256</w:t>
      </w:r>
      <w:bookmarkEnd w:id="150"/>
    </w:p>
    <w:p w14:paraId="49DCF8B5" w14:textId="77777777" w:rsidR="00FA297C" w:rsidRPr="009E2FF4" w:rsidRDefault="00DA12E4">
      <w:pPr>
        <w:pStyle w:val="MDPARThesisBody"/>
        <w:rPr>
          <w:lang w:val="es-ES"/>
        </w:rPr>
      </w:pPr>
      <w:r w:rsidRPr="009E2FF4">
        <w:rPr>
          <w:lang w:val="es-ES"/>
        </w:rPr>
        <w:t>La evidencia se organiza por Capacidad, release, instrumento y, cuando procede, régimen neural. Los artefactos históricos no se reescriben para ajustarlos a contratos posteriores. index.json registra ruta, Capacidad, release, instrumento, tamaño y SHA-256 de cada objeto retenido.</w:t>
      </w:r>
    </w:p>
    <w:p w14:paraId="3D3E12F1" w14:textId="77777777" w:rsidR="00FA297C" w:rsidRDefault="00DA12E4">
      <w:pPr>
        <w:pStyle w:val="MDPARThesisBody"/>
        <w:rPr>
          <w:lang w:val="es-ES"/>
        </w:rPr>
      </w:pPr>
      <w:r w:rsidRPr="009E2FF4">
        <w:rPr>
          <w:lang w:val="es-ES"/>
        </w:rPr>
        <w:t>La taxonomía de carpetas es metadato descriptivo. Cambiar nombres organizativos no autoriza a modificar provenance interna, timestamps, run IDs, protocolos ni hashes. Cuando se añade evidencia nueva e inmutable, el índice puede regenerarse; las runs antiguas no se promueven retroactivamente.</w:t>
      </w:r>
    </w:p>
    <w:p w14:paraId="11698391" w14:textId="77777777" w:rsidR="00E446B9" w:rsidRPr="009E2FF4" w:rsidRDefault="00E446B9">
      <w:pPr>
        <w:pStyle w:val="MDPARThesisBody"/>
        <w:rPr>
          <w:lang w:val="es-ES"/>
        </w:rPr>
      </w:pPr>
    </w:p>
    <w:p w14:paraId="17E90741" w14:textId="77777777" w:rsidR="00FA297C" w:rsidRDefault="00DA12E4" w:rsidP="00E446B9">
      <w:pPr>
        <w:pStyle w:val="MDPARThesisBody"/>
        <w:shd w:val="clear" w:color="auto" w:fill="F2F2F2"/>
        <w:ind w:left="340" w:right="170" w:firstLine="0"/>
        <w:jc w:val="left"/>
      </w:pPr>
      <w:r>
        <w:rPr>
          <w:rFonts w:ascii="Consolas" w:hAnsi="Consolas"/>
          <w:sz w:val="16"/>
        </w:rPr>
        <w:t>python -m verification.index_benchmark_evidence</w:t>
      </w:r>
      <w:r>
        <w:rPr>
          <w:rFonts w:ascii="Consolas" w:hAnsi="Consolas"/>
          <w:sz w:val="16"/>
        </w:rPr>
        <w:br/>
        <w:t>python -m verification.verify_benchmark_evidence</w:t>
      </w:r>
      <w:r>
        <w:rPr>
          <w:rFonts w:ascii="Consolas" w:hAnsi="Consolas"/>
          <w:sz w:val="16"/>
        </w:rPr>
        <w:br/>
        <w:t>python -m scripts.validate_release_evidence</w:t>
      </w:r>
    </w:p>
    <w:p w14:paraId="61C7F738" w14:textId="77777777" w:rsidR="00FA297C" w:rsidRPr="00E446B9" w:rsidRDefault="00DA12E4" w:rsidP="00E446B9">
      <w:pPr>
        <w:pStyle w:val="MDPARProfileCallout"/>
        <w:spacing w:line="360" w:lineRule="auto"/>
        <w:jc w:val="both"/>
        <w:rPr>
          <w:sz w:val="20"/>
          <w:szCs w:val="18"/>
          <w:lang w:val="es-ES"/>
        </w:rPr>
      </w:pPr>
      <w:r w:rsidRPr="00E446B9">
        <w:rPr>
          <w:sz w:val="20"/>
          <w:szCs w:val="18"/>
          <w:lang w:val="es-ES"/>
        </w:rPr>
        <w:t>release_evidence_complete: false no debe ocultarse ni coercionarse a PASS. Significa que el gate de release configurado no está satisfecho por las identidades de versión/etapa de la evidencia retenida.</w:t>
      </w:r>
    </w:p>
    <w:p w14:paraId="4F63F86F" w14:textId="77777777" w:rsidR="00E446B9" w:rsidRDefault="00E446B9">
      <w:pPr>
        <w:pStyle w:val="MDPARProfileH1"/>
        <w:rPr>
          <w:lang w:val="es-ES"/>
        </w:rPr>
      </w:pPr>
    </w:p>
    <w:p w14:paraId="493E930A" w14:textId="77777777" w:rsidR="00FA297C" w:rsidRPr="00E446B9" w:rsidRDefault="00DA12E4" w:rsidP="00E446B9">
      <w:pPr>
        <w:pStyle w:val="MDPARProfileH1"/>
        <w:spacing w:before="0" w:after="0"/>
        <w:ind w:firstLine="709"/>
        <w:jc w:val="both"/>
        <w:outlineLvl w:val="1"/>
        <w:rPr>
          <w:sz w:val="24"/>
          <w:szCs w:val="20"/>
          <w:lang w:val="es-ES"/>
        </w:rPr>
      </w:pPr>
      <w:bookmarkStart w:id="151" w:name="_Toc242721987"/>
      <w:r w:rsidRPr="00E446B9">
        <w:rPr>
          <w:sz w:val="24"/>
          <w:szCs w:val="20"/>
          <w:lang w:val="es-ES"/>
        </w:rPr>
        <w:t>B.10. Configuración de proveedores no ligada a Swagger</w:t>
      </w:r>
      <w:bookmarkEnd w:id="151"/>
    </w:p>
    <w:p w14:paraId="009BC2E0" w14:textId="77777777" w:rsidR="00FA297C" w:rsidRPr="009E2FF4" w:rsidRDefault="00DA12E4" w:rsidP="00E446B9">
      <w:pPr>
        <w:pStyle w:val="MDPARProfileH2"/>
        <w:ind w:firstLine="709"/>
        <w:rPr>
          <w:lang w:val="es-ES"/>
        </w:rPr>
      </w:pPr>
      <w:r w:rsidRPr="009E2FF4">
        <w:rPr>
          <w:lang w:val="es-ES"/>
        </w:rPr>
        <w:t>Qwen3 4B local — ámbito C1–C4</w:t>
      </w:r>
      <w:r w:rsidR="00E446B9">
        <w:rPr>
          <w:lang w:val="es-ES"/>
        </w:rPr>
        <w:t>.</w:t>
      </w:r>
    </w:p>
    <w:p w14:paraId="728FAF7D" w14:textId="77777777" w:rsidR="00FA297C" w:rsidRPr="009E2FF4" w:rsidRDefault="00DA12E4" w:rsidP="00E446B9">
      <w:pPr>
        <w:pStyle w:val="MDPARThesisBody"/>
        <w:shd w:val="clear" w:color="auto" w:fill="F2F2F2"/>
        <w:ind w:left="340" w:right="170" w:firstLine="0"/>
        <w:jc w:val="left"/>
        <w:rPr>
          <w:lang w:val="es-ES"/>
        </w:rPr>
      </w:pPr>
      <w:r w:rsidRPr="009E2FF4">
        <w:rPr>
          <w:rFonts w:ascii="Consolas" w:hAnsi="Consolas"/>
          <w:sz w:val="16"/>
          <w:lang w:val="es-ES"/>
        </w:rPr>
        <w:t>$env:OLLAMA_MODEL = "qwen3:4b"</w:t>
      </w:r>
      <w:r w:rsidRPr="009E2FF4">
        <w:rPr>
          <w:rFonts w:ascii="Consolas" w:hAnsi="Consolas"/>
          <w:sz w:val="16"/>
          <w:lang w:val="es-ES"/>
        </w:rPr>
        <w:br/>
        <w:t>$env:OLLAMA_BASE_URL = "http://127.0.0.1:11434"</w:t>
      </w:r>
      <w:r w:rsidRPr="009E2FF4">
        <w:rPr>
          <w:rFonts w:ascii="Consolas" w:hAnsi="Consolas"/>
          <w:sz w:val="16"/>
          <w:lang w:val="es-ES"/>
        </w:rPr>
        <w:br/>
        <w:t>$env:OLLAMA_TIMEOUT_SECONDS = "1800"</w:t>
      </w:r>
      <w:r w:rsidRPr="009E2FF4">
        <w:rPr>
          <w:rFonts w:ascii="Consolas" w:hAnsi="Consolas"/>
          <w:sz w:val="16"/>
          <w:lang w:val="es-ES"/>
        </w:rPr>
        <w:br/>
        <w:t>$env:OLLAMA_NUM_CTX = "8192"</w:t>
      </w:r>
      <w:r w:rsidRPr="009E2FF4">
        <w:rPr>
          <w:rFonts w:ascii="Consolas" w:hAnsi="Consolas"/>
          <w:sz w:val="16"/>
          <w:lang w:val="es-ES"/>
        </w:rPr>
        <w:br/>
        <w:t>$env:OLLAMA_THINK = "false"</w:t>
      </w:r>
      <w:r w:rsidRPr="009E2FF4">
        <w:rPr>
          <w:rFonts w:ascii="Consolas" w:hAnsi="Consolas"/>
          <w:sz w:val="16"/>
          <w:lang w:val="es-ES"/>
        </w:rPr>
        <w:br/>
        <w:t>python -m scripts.check_ollama --models qwen3:4b</w:t>
      </w:r>
    </w:p>
    <w:p w14:paraId="0D4C3D62" w14:textId="77777777" w:rsidR="00FA297C" w:rsidRPr="009E2FF4" w:rsidRDefault="00DA12E4" w:rsidP="00E446B9">
      <w:pPr>
        <w:pStyle w:val="MDPARProfileH2"/>
        <w:ind w:firstLine="709"/>
        <w:rPr>
          <w:lang w:val="es-ES"/>
        </w:rPr>
      </w:pPr>
      <w:r w:rsidRPr="009E2FF4">
        <w:rPr>
          <w:lang w:val="es-ES"/>
        </w:rPr>
        <w:t>OpenAI / Sol</w:t>
      </w:r>
      <w:r w:rsidR="00E446B9">
        <w:rPr>
          <w:lang w:val="es-ES"/>
        </w:rPr>
        <w:t>.</w:t>
      </w:r>
    </w:p>
    <w:p w14:paraId="40DB9811" w14:textId="77777777" w:rsidR="00FA297C" w:rsidRPr="009E2FF4" w:rsidRDefault="00DA12E4" w:rsidP="00E446B9">
      <w:pPr>
        <w:pStyle w:val="MDPARThesisBody"/>
        <w:shd w:val="clear" w:color="auto" w:fill="F2F2F2"/>
        <w:ind w:left="340" w:right="170" w:firstLine="0"/>
        <w:jc w:val="left"/>
        <w:rPr>
          <w:lang w:val="es-ES"/>
        </w:rPr>
      </w:pPr>
      <w:r w:rsidRPr="009E2FF4">
        <w:rPr>
          <w:rFonts w:ascii="Consolas" w:hAnsi="Consolas"/>
          <w:sz w:val="16"/>
          <w:lang w:val="es-ES"/>
        </w:rPr>
        <w:t>$env:OPENAI_API_KEY = "&lt;TU_API_KEY&gt;"</w:t>
      </w:r>
      <w:r w:rsidRPr="009E2FF4">
        <w:rPr>
          <w:rFonts w:ascii="Consolas" w:hAnsi="Consolas"/>
          <w:sz w:val="16"/>
          <w:lang w:val="es-ES"/>
        </w:rPr>
        <w:br/>
        <w:t xml:space="preserve">$env:OPENAI_MODEL = "gpt-5.6-sol" </w:t>
      </w:r>
    </w:p>
    <w:p w14:paraId="4365983F" w14:textId="77777777" w:rsidR="00E446B9" w:rsidRDefault="00E446B9">
      <w:pPr>
        <w:pStyle w:val="MDPARThesisBody"/>
        <w:rPr>
          <w:lang w:val="es-ES"/>
        </w:rPr>
      </w:pPr>
    </w:p>
    <w:p w14:paraId="2B8E7B16" w14:textId="77777777" w:rsidR="00FA297C" w:rsidRDefault="00DA12E4">
      <w:pPr>
        <w:pStyle w:val="MDPARThesisBody"/>
        <w:rPr>
          <w:lang w:val="es-ES"/>
        </w:rPr>
      </w:pPr>
      <w:r w:rsidRPr="009E2FF4">
        <w:rPr>
          <w:lang w:val="es-ES"/>
        </w:rPr>
        <w:t>Los instrumentos que aceptan reasoning-effort deben ejecutarse por separado con none y high cuando el protocolo requiera comparar ambos perfiles. C6, C9 y determinados instrumentos tardíos gestionan internamente sus políticas y no deben duplicarse manualmente.</w:t>
      </w:r>
    </w:p>
    <w:p w14:paraId="1414B870" w14:textId="77777777" w:rsidR="00FA297C" w:rsidRPr="00581444" w:rsidRDefault="00DA12E4" w:rsidP="00581444">
      <w:pPr>
        <w:pStyle w:val="MDPARProfileH1"/>
        <w:spacing w:line="360" w:lineRule="auto"/>
        <w:ind w:firstLine="709"/>
        <w:outlineLvl w:val="1"/>
        <w:rPr>
          <w:sz w:val="24"/>
          <w:szCs w:val="20"/>
          <w:lang w:val="es-ES"/>
        </w:rPr>
      </w:pPr>
      <w:bookmarkStart w:id="152" w:name="_Toc242721988"/>
      <w:r w:rsidRPr="00581444">
        <w:rPr>
          <w:sz w:val="24"/>
          <w:szCs w:val="20"/>
          <w:lang w:val="es-ES"/>
        </w:rPr>
        <w:t>B.1</w:t>
      </w:r>
      <w:r w:rsidR="00CD2633">
        <w:rPr>
          <w:sz w:val="24"/>
          <w:szCs w:val="20"/>
          <w:lang w:val="es-ES"/>
        </w:rPr>
        <w:t>1</w:t>
      </w:r>
      <w:r w:rsidRPr="00581444">
        <w:rPr>
          <w:sz w:val="24"/>
          <w:szCs w:val="20"/>
          <w:lang w:val="es-ES"/>
        </w:rPr>
        <w:t>. Reproducibilidad, auditoría y falsabilidad</w:t>
      </w:r>
      <w:bookmarkEnd w:id="152"/>
    </w:p>
    <w:p w14:paraId="79F45210" w14:textId="77777777" w:rsidR="00FA297C" w:rsidRDefault="00DA12E4">
      <w:pPr>
        <w:pStyle w:val="MDPARThesisBody"/>
        <w:rPr>
          <w:lang w:val="es-ES"/>
        </w:rPr>
      </w:pPr>
      <w:r w:rsidRPr="009E2FF4">
        <w:rPr>
          <w:lang w:val="es-ES"/>
        </w:rPr>
        <w:t>MDPAR distingue cuatro afirmaciones que no deben colapsarse: reproducibilidad del build; reproducibilidad de contratos del adapter; integridad de evidencia; y falsabilidad científica. El PASS de una capa no autoriza a inferir el PASS de las demás.</w:t>
      </w:r>
    </w:p>
    <w:p w14:paraId="2CFD248D" w14:textId="77777777" w:rsidR="00CD2633" w:rsidRPr="009E2FF4" w:rsidRDefault="00CD2633">
      <w:pPr>
        <w:pStyle w:val="MDPARThesisBody"/>
        <w:rPr>
          <w:lang w:val="es-ES"/>
        </w:rPr>
      </w:pPr>
    </w:p>
    <w:tbl>
      <w:tblPr>
        <w:tblStyle w:val="Tablanormal2"/>
        <w:tblW w:w="0" w:type="auto"/>
        <w:tblLook w:val="04A0" w:firstRow="1" w:lastRow="0" w:firstColumn="1" w:lastColumn="0" w:noHBand="0" w:noVBand="1"/>
      </w:tblPr>
      <w:tblGrid>
        <w:gridCol w:w="2835"/>
        <w:gridCol w:w="5951"/>
      </w:tblGrid>
      <w:tr w:rsidR="00FA297C" w:rsidRPr="00CD2633" w14:paraId="2BDF3070" w14:textId="77777777" w:rsidTr="00CD26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6700F11" w14:textId="77777777" w:rsidR="00FA297C" w:rsidRPr="00CD2633" w:rsidRDefault="00DA12E4" w:rsidP="00581444">
            <w:pPr>
              <w:spacing w:line="240" w:lineRule="auto"/>
              <w:rPr>
                <w:sz w:val="16"/>
              </w:rPr>
            </w:pPr>
            <w:r w:rsidRPr="00CD2633">
              <w:rPr>
                <w:sz w:val="16"/>
              </w:rPr>
              <w:t>Plano</w:t>
            </w:r>
          </w:p>
        </w:tc>
        <w:tc>
          <w:tcPr>
            <w:tcW w:w="5951" w:type="dxa"/>
          </w:tcPr>
          <w:p w14:paraId="13FEAA7D" w14:textId="77777777" w:rsidR="00FA297C" w:rsidRPr="00CD2633" w:rsidRDefault="00DA12E4" w:rsidP="00581444">
            <w:pPr>
              <w:spacing w:line="240" w:lineRule="auto"/>
              <w:cnfStyle w:val="100000000000" w:firstRow="1" w:lastRow="0" w:firstColumn="0" w:lastColumn="0" w:oddVBand="0" w:evenVBand="0" w:oddHBand="0" w:evenHBand="0" w:firstRowFirstColumn="0" w:firstRowLastColumn="0" w:lastRowFirstColumn="0" w:lastRowLastColumn="0"/>
              <w:rPr>
                <w:sz w:val="16"/>
              </w:rPr>
            </w:pPr>
            <w:r w:rsidRPr="00CD2633">
              <w:rPr>
                <w:sz w:val="16"/>
              </w:rPr>
              <w:t>Criterio</w:t>
            </w:r>
          </w:p>
        </w:tc>
      </w:tr>
      <w:tr w:rsidR="00FA297C" w:rsidRPr="002F4F30" w14:paraId="6B09A6D1" w14:textId="77777777" w:rsidTr="00CD2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C5206EA" w14:textId="77777777" w:rsidR="00FA297C" w:rsidRPr="00CD2633" w:rsidRDefault="00DA12E4" w:rsidP="00581444">
            <w:pPr>
              <w:spacing w:line="240" w:lineRule="auto"/>
              <w:rPr>
                <w:sz w:val="16"/>
              </w:rPr>
            </w:pPr>
            <w:r w:rsidRPr="00CD2633">
              <w:rPr>
                <w:sz w:val="16"/>
              </w:rPr>
              <w:t>Build reproducibility</w:t>
            </w:r>
          </w:p>
        </w:tc>
        <w:tc>
          <w:tcPr>
            <w:tcW w:w="5951" w:type="dxa"/>
          </w:tcPr>
          <w:p w14:paraId="61E00AC2" w14:textId="77777777" w:rsidR="00FA297C" w:rsidRPr="00CD2633" w:rsidRDefault="00DA12E4" w:rsidP="00581444">
            <w:pPr>
              <w:spacing w:line="240" w:lineRule="auto"/>
              <w:cnfStyle w:val="000000100000" w:firstRow="0" w:lastRow="0" w:firstColumn="0" w:lastColumn="0" w:oddVBand="0" w:evenVBand="0" w:oddHBand="1" w:evenHBand="0" w:firstRowFirstColumn="0" w:firstRowLastColumn="0" w:lastRowFirstColumn="0" w:lastRowLastColumn="0"/>
              <w:rPr>
                <w:sz w:val="16"/>
                <w:lang w:val="es-ES"/>
              </w:rPr>
            </w:pPr>
            <w:r w:rsidRPr="00CD2633">
              <w:rPr>
                <w:sz w:val="16"/>
                <w:lang w:val="es-ES"/>
              </w:rPr>
              <w:t>mvn clean verify compila y supera VerificationSuite sobre la toolchain declarada.</w:t>
            </w:r>
          </w:p>
        </w:tc>
      </w:tr>
      <w:tr w:rsidR="00FA297C" w:rsidRPr="00CD2633" w14:paraId="33CC9D6F" w14:textId="77777777" w:rsidTr="00CD2633">
        <w:tc>
          <w:tcPr>
            <w:cnfStyle w:val="001000000000" w:firstRow="0" w:lastRow="0" w:firstColumn="1" w:lastColumn="0" w:oddVBand="0" w:evenVBand="0" w:oddHBand="0" w:evenHBand="0" w:firstRowFirstColumn="0" w:firstRowLastColumn="0" w:lastRowFirstColumn="0" w:lastRowLastColumn="0"/>
            <w:tcW w:w="2835" w:type="dxa"/>
          </w:tcPr>
          <w:p w14:paraId="6C5180CE" w14:textId="77777777" w:rsidR="00FA297C" w:rsidRPr="00CD2633" w:rsidRDefault="00DA12E4" w:rsidP="00581444">
            <w:pPr>
              <w:spacing w:line="240" w:lineRule="auto"/>
              <w:rPr>
                <w:sz w:val="16"/>
              </w:rPr>
            </w:pPr>
            <w:r w:rsidRPr="00CD2633">
              <w:rPr>
                <w:sz w:val="16"/>
              </w:rPr>
              <w:t>Adapter contract reproducibility</w:t>
            </w:r>
          </w:p>
        </w:tc>
        <w:tc>
          <w:tcPr>
            <w:tcW w:w="5951" w:type="dxa"/>
          </w:tcPr>
          <w:p w14:paraId="0DC759CC" w14:textId="77777777" w:rsidR="00FA297C" w:rsidRPr="00CD2633" w:rsidRDefault="00DA12E4" w:rsidP="00581444">
            <w:pPr>
              <w:spacing w:line="240" w:lineRule="auto"/>
              <w:cnfStyle w:val="000000000000" w:firstRow="0" w:lastRow="0" w:firstColumn="0" w:lastColumn="0" w:oddVBand="0" w:evenVBand="0" w:oddHBand="0" w:evenHBand="0" w:firstRowFirstColumn="0" w:firstRowLastColumn="0" w:lastRowFirstColumn="0" w:lastRowLastColumn="0"/>
              <w:rPr>
                <w:sz w:val="16"/>
              </w:rPr>
            </w:pPr>
            <w:r w:rsidRPr="00CD2633">
              <w:rPr>
                <w:sz w:val="16"/>
              </w:rPr>
              <w:t>python -m pytest tests -v supera los tests contractuales Python vigentes.</w:t>
            </w:r>
          </w:p>
        </w:tc>
      </w:tr>
      <w:tr w:rsidR="00FA297C" w:rsidRPr="002F4F30" w14:paraId="20E7583D" w14:textId="77777777" w:rsidTr="00CD2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BC07940" w14:textId="77777777" w:rsidR="00FA297C" w:rsidRPr="00CD2633" w:rsidRDefault="00DA12E4" w:rsidP="00581444">
            <w:pPr>
              <w:spacing w:line="240" w:lineRule="auto"/>
              <w:rPr>
                <w:sz w:val="16"/>
              </w:rPr>
            </w:pPr>
            <w:r w:rsidRPr="00CD2633">
              <w:rPr>
                <w:sz w:val="16"/>
              </w:rPr>
              <w:t>Evidence integrity</w:t>
            </w:r>
          </w:p>
        </w:tc>
        <w:tc>
          <w:tcPr>
            <w:tcW w:w="5951" w:type="dxa"/>
          </w:tcPr>
          <w:p w14:paraId="31F8627E" w14:textId="77777777" w:rsidR="00FA297C" w:rsidRPr="00CD2633" w:rsidRDefault="00DA12E4" w:rsidP="00581444">
            <w:pPr>
              <w:spacing w:line="240" w:lineRule="auto"/>
              <w:cnfStyle w:val="000000100000" w:firstRow="0" w:lastRow="0" w:firstColumn="0" w:lastColumn="0" w:oddVBand="0" w:evenVBand="0" w:oddHBand="1" w:evenHBand="0" w:firstRowFirstColumn="0" w:firstRowLastColumn="0" w:lastRowFirstColumn="0" w:lastRowLastColumn="0"/>
              <w:rPr>
                <w:sz w:val="16"/>
                <w:lang w:val="es-ES"/>
              </w:rPr>
            </w:pPr>
            <w:r w:rsidRPr="00CD2633">
              <w:rPr>
                <w:sz w:val="16"/>
                <w:lang w:val="es-ES"/>
              </w:rPr>
              <w:t>Los artefactos publicados reproducen las identidades SHA-256 indexadas.</w:t>
            </w:r>
          </w:p>
        </w:tc>
      </w:tr>
      <w:tr w:rsidR="00FA297C" w:rsidRPr="002F4F30" w14:paraId="156A86C4" w14:textId="77777777" w:rsidTr="00CD2633">
        <w:tc>
          <w:tcPr>
            <w:cnfStyle w:val="001000000000" w:firstRow="0" w:lastRow="0" w:firstColumn="1" w:lastColumn="0" w:oddVBand="0" w:evenVBand="0" w:oddHBand="0" w:evenHBand="0" w:firstRowFirstColumn="0" w:firstRowLastColumn="0" w:lastRowFirstColumn="0" w:lastRowLastColumn="0"/>
            <w:tcW w:w="2835" w:type="dxa"/>
          </w:tcPr>
          <w:p w14:paraId="6630D52E" w14:textId="77777777" w:rsidR="00FA297C" w:rsidRPr="00CD2633" w:rsidRDefault="00DA12E4" w:rsidP="00581444">
            <w:pPr>
              <w:spacing w:line="240" w:lineRule="auto"/>
              <w:rPr>
                <w:sz w:val="16"/>
              </w:rPr>
            </w:pPr>
            <w:r w:rsidRPr="00CD2633">
              <w:rPr>
                <w:sz w:val="16"/>
              </w:rPr>
              <w:t>Scientific falsifiability</w:t>
            </w:r>
          </w:p>
        </w:tc>
        <w:tc>
          <w:tcPr>
            <w:tcW w:w="5951" w:type="dxa"/>
          </w:tcPr>
          <w:p w14:paraId="7A6F2850" w14:textId="77777777" w:rsidR="00FA297C" w:rsidRPr="00CD2633" w:rsidRDefault="00DA12E4" w:rsidP="00581444">
            <w:pPr>
              <w:spacing w:line="240" w:lineRule="auto"/>
              <w:cnfStyle w:val="000000000000" w:firstRow="0" w:lastRow="0" w:firstColumn="0" w:lastColumn="0" w:oddVBand="0" w:evenVBand="0" w:oddHBand="0" w:evenHBand="0" w:firstRowFirstColumn="0" w:firstRowLastColumn="0" w:lastRowFirstColumn="0" w:lastRowLastColumn="0"/>
              <w:rPr>
                <w:sz w:val="16"/>
                <w:lang w:val="es-ES"/>
              </w:rPr>
            </w:pPr>
            <w:r w:rsidRPr="00CD2633">
              <w:rPr>
                <w:sz w:val="16"/>
                <w:lang w:val="es-ES"/>
              </w:rPr>
              <w:t>Una afirmación más fuerte que los records, contratos y reruns debe falsarse o degradarse.</w:t>
            </w:r>
          </w:p>
        </w:tc>
      </w:tr>
    </w:tbl>
    <w:p w14:paraId="32C0D0DD" w14:textId="77777777" w:rsidR="00581444" w:rsidRDefault="00581444" w:rsidP="00581444">
      <w:pPr>
        <w:pStyle w:val="MDPARThesisBody"/>
        <w:shd w:val="clear" w:color="auto" w:fill="F2F2F2"/>
        <w:ind w:left="340" w:right="170" w:firstLine="0"/>
        <w:jc w:val="left"/>
      </w:pPr>
      <w:r>
        <w:rPr>
          <w:rFonts w:ascii="Consolas" w:hAnsi="Consolas"/>
          <w:sz w:val="16"/>
        </w:rPr>
        <w:t xml:space="preserve">python -m </w:t>
      </w:r>
      <w:r w:rsidR="007D6E44">
        <w:rPr>
          <w:rFonts w:ascii="Consolas" w:hAnsi="Consolas"/>
          <w:sz w:val="16"/>
        </w:rPr>
        <w:t>verification</w:t>
      </w:r>
      <w:r>
        <w:rPr>
          <w:rFonts w:ascii="Consolas" w:hAnsi="Consolas"/>
          <w:sz w:val="16"/>
        </w:rPr>
        <w:t>.verify_benchmark_evidence</w:t>
      </w:r>
    </w:p>
    <w:p w14:paraId="2A1988F3" w14:textId="77777777" w:rsidR="00581444" w:rsidRDefault="00581444" w:rsidP="00581444">
      <w:pPr>
        <w:pStyle w:val="MDPARThesisBody"/>
        <w:shd w:val="clear" w:color="auto" w:fill="F2F2F2"/>
        <w:ind w:left="340" w:right="170" w:firstLine="0"/>
        <w:jc w:val="left"/>
        <w:rPr>
          <w:rFonts w:ascii="Consolas" w:hAnsi="Consolas"/>
          <w:sz w:val="16"/>
        </w:rPr>
      </w:pPr>
      <w:r>
        <w:rPr>
          <w:rFonts w:ascii="Consolas" w:hAnsi="Consolas"/>
          <w:sz w:val="16"/>
        </w:rPr>
        <w:t>python -m scripts.validate_release_evidence</w:t>
      </w:r>
    </w:p>
    <w:p w14:paraId="30A7A3E0" w14:textId="77777777" w:rsidR="00581444" w:rsidRDefault="00581444" w:rsidP="00581444">
      <w:pPr>
        <w:pStyle w:val="MDPARThesisBody"/>
        <w:shd w:val="clear" w:color="auto" w:fill="F2F2F2"/>
        <w:ind w:left="340" w:right="170" w:firstLine="0"/>
        <w:jc w:val="left"/>
      </w:pPr>
      <w:r>
        <w:rPr>
          <w:rFonts w:ascii="Consolas" w:hAnsi="Consolas"/>
          <w:sz w:val="16"/>
        </w:rPr>
        <w:t xml:space="preserve">python -m </w:t>
      </w:r>
      <w:r w:rsidR="007D6E44">
        <w:rPr>
          <w:rFonts w:ascii="Consolas" w:hAnsi="Consolas"/>
          <w:sz w:val="16"/>
        </w:rPr>
        <w:t>verification</w:t>
      </w:r>
      <w:r>
        <w:rPr>
          <w:rFonts w:ascii="Consolas" w:hAnsi="Consolas"/>
          <w:sz w:val="16"/>
        </w:rPr>
        <w:t>.index_benchmark_evidence</w:t>
      </w:r>
    </w:p>
    <w:p w14:paraId="2A469ACC" w14:textId="77777777" w:rsidR="00FA297C" w:rsidRPr="00581444" w:rsidRDefault="00DA12E4" w:rsidP="00581444">
      <w:pPr>
        <w:pStyle w:val="MDPARProfileH1"/>
        <w:spacing w:line="360" w:lineRule="auto"/>
        <w:ind w:firstLine="709"/>
        <w:jc w:val="both"/>
        <w:outlineLvl w:val="1"/>
        <w:rPr>
          <w:sz w:val="24"/>
          <w:szCs w:val="20"/>
          <w:lang w:val="es-ES"/>
        </w:rPr>
      </w:pPr>
      <w:bookmarkStart w:id="153" w:name="_Toc242721989"/>
      <w:r w:rsidRPr="00CD2633">
        <w:rPr>
          <w:sz w:val="24"/>
          <w:szCs w:val="20"/>
          <w:lang w:val="es-ES"/>
        </w:rPr>
        <w:t>B.1</w:t>
      </w:r>
      <w:r w:rsidR="00CD2633" w:rsidRPr="00CD2633">
        <w:rPr>
          <w:sz w:val="24"/>
          <w:szCs w:val="20"/>
          <w:lang w:val="es-ES"/>
        </w:rPr>
        <w:t>2</w:t>
      </w:r>
      <w:r w:rsidRPr="00CD2633">
        <w:rPr>
          <w:sz w:val="24"/>
          <w:szCs w:val="20"/>
          <w:lang w:val="es-ES"/>
        </w:rPr>
        <w:t xml:space="preserve">. </w:t>
      </w:r>
      <w:r w:rsidRPr="00581444">
        <w:rPr>
          <w:sz w:val="24"/>
          <w:szCs w:val="20"/>
          <w:lang w:val="es-ES"/>
        </w:rPr>
        <w:t>Procedimiento mínimo de falsación</w:t>
      </w:r>
      <w:bookmarkEnd w:id="153"/>
    </w:p>
    <w:p w14:paraId="71AD5674" w14:textId="77777777" w:rsidR="00FA297C" w:rsidRPr="009E2FF4" w:rsidRDefault="00DA12E4" w:rsidP="00581444">
      <w:pPr>
        <w:pStyle w:val="MDPARThesisBody"/>
        <w:numPr>
          <w:ilvl w:val="0"/>
          <w:numId w:val="17"/>
        </w:numPr>
        <w:rPr>
          <w:lang w:val="es-ES"/>
        </w:rPr>
      </w:pPr>
      <w:r w:rsidRPr="009E2FF4">
        <w:rPr>
          <w:lang w:val="es-ES"/>
        </w:rPr>
        <w:t>Identificar la Capacidad C0–C13, el protocolo y la release exactos reclamados.</w:t>
      </w:r>
    </w:p>
    <w:p w14:paraId="21DA91E2" w14:textId="77777777" w:rsidR="00581444" w:rsidRDefault="00DA12E4" w:rsidP="00581444">
      <w:pPr>
        <w:pStyle w:val="MDPARThesisBody"/>
        <w:numPr>
          <w:ilvl w:val="0"/>
          <w:numId w:val="17"/>
        </w:numPr>
        <w:rPr>
          <w:lang w:val="es-ES"/>
        </w:rPr>
      </w:pPr>
      <w:r w:rsidRPr="009E2FF4">
        <w:rPr>
          <w:lang w:val="es-ES"/>
        </w:rPr>
        <w:t>Inspeccionar corpus, manifest, records y contrato normativo de evaluación correspondientes.</w:t>
      </w:r>
    </w:p>
    <w:p w14:paraId="591B5AC0" w14:textId="77777777" w:rsidR="00FA297C" w:rsidRPr="009E2FF4" w:rsidRDefault="00DA12E4" w:rsidP="00581444">
      <w:pPr>
        <w:pStyle w:val="MDPARThesisBody"/>
        <w:numPr>
          <w:ilvl w:val="0"/>
          <w:numId w:val="17"/>
        </w:numPr>
        <w:rPr>
          <w:lang w:val="es-ES"/>
        </w:rPr>
      </w:pPr>
      <w:r w:rsidRPr="009E2FF4">
        <w:rPr>
          <w:lang w:val="es-ES"/>
        </w:rPr>
        <w:t>Verificar los hashes publicados antes de recalcular.</w:t>
      </w:r>
    </w:p>
    <w:p w14:paraId="097554D1" w14:textId="77777777" w:rsidR="00FA297C" w:rsidRPr="009E2FF4" w:rsidRDefault="00DA12E4" w:rsidP="00581444">
      <w:pPr>
        <w:pStyle w:val="MDPARThesisBody"/>
        <w:numPr>
          <w:ilvl w:val="0"/>
          <w:numId w:val="17"/>
        </w:numPr>
        <w:rPr>
          <w:lang w:val="es-ES"/>
        </w:rPr>
      </w:pPr>
      <w:r w:rsidRPr="009E2FF4">
        <w:rPr>
          <w:lang w:val="es-ES"/>
        </w:rPr>
        <w:t>Re</w:t>
      </w:r>
      <w:r w:rsidR="00581444">
        <w:rPr>
          <w:lang w:val="es-ES"/>
        </w:rPr>
        <w:t>-</w:t>
      </w:r>
      <w:r w:rsidRPr="009E2FF4">
        <w:rPr>
          <w:lang w:val="es-ES"/>
        </w:rPr>
        <w:t>ejecutar el comando canónico bajo proveedor, modelo y hardware declarados cuando runtime y credenciales estén disponibles.</w:t>
      </w:r>
    </w:p>
    <w:p w14:paraId="754379F7" w14:textId="77777777" w:rsidR="00FA297C" w:rsidRPr="009E2FF4" w:rsidRDefault="00DA12E4" w:rsidP="00581444">
      <w:pPr>
        <w:pStyle w:val="MDPARThesisBody"/>
        <w:numPr>
          <w:ilvl w:val="0"/>
          <w:numId w:val="17"/>
        </w:numPr>
        <w:rPr>
          <w:lang w:val="es-ES"/>
        </w:rPr>
      </w:pPr>
      <w:r w:rsidRPr="009E2FF4">
        <w:rPr>
          <w:lang w:val="es-ES"/>
        </w:rPr>
        <w:lastRenderedPageBreak/>
        <w:t>Comparar outputs estructurales y la propiedad concreta reclamada, no únicamente similitud de prosa.</w:t>
      </w:r>
    </w:p>
    <w:p w14:paraId="38AAE0BB" w14:textId="77777777" w:rsidR="00FA297C" w:rsidRPr="009E2FF4" w:rsidRDefault="00DA12E4" w:rsidP="00581444">
      <w:pPr>
        <w:pStyle w:val="MDPARThesisBody"/>
        <w:numPr>
          <w:ilvl w:val="0"/>
          <w:numId w:val="17"/>
        </w:numPr>
        <w:rPr>
          <w:lang w:val="es-ES"/>
        </w:rPr>
      </w:pPr>
      <w:r w:rsidRPr="009E2FF4">
        <w:rPr>
          <w:lang w:val="es-ES"/>
        </w:rPr>
        <w:t>Conservar resultados negativos, UNEVALUABLE, fallos de isomorfismo exacto, variación de proveedor y fallos de setup.</w:t>
      </w:r>
    </w:p>
    <w:p w14:paraId="0E7C4446" w14:textId="77777777" w:rsidR="00FA297C" w:rsidRPr="009E2FF4" w:rsidRDefault="00DA12E4" w:rsidP="00581444">
      <w:pPr>
        <w:pStyle w:val="MDPARThesisBody"/>
        <w:numPr>
          <w:ilvl w:val="0"/>
          <w:numId w:val="17"/>
        </w:numPr>
        <w:rPr>
          <w:lang w:val="es-ES"/>
        </w:rPr>
      </w:pPr>
      <w:r w:rsidRPr="009E2FF4">
        <w:rPr>
          <w:lang w:val="es-ES"/>
        </w:rPr>
        <w:t>Reportar cualquier incompatibilidad entre claim y evidencia retenida como contraejemplo.</w:t>
      </w:r>
    </w:p>
    <w:p w14:paraId="5053D8D7" w14:textId="77777777" w:rsidR="00FA297C" w:rsidRPr="00581444" w:rsidRDefault="00DA12E4" w:rsidP="00581444">
      <w:pPr>
        <w:pStyle w:val="MDPARProfileCallout"/>
        <w:spacing w:line="360" w:lineRule="auto"/>
        <w:jc w:val="both"/>
        <w:rPr>
          <w:sz w:val="20"/>
          <w:szCs w:val="18"/>
          <w:lang w:val="es-ES"/>
        </w:rPr>
      </w:pPr>
      <w:r w:rsidRPr="00581444">
        <w:rPr>
          <w:sz w:val="20"/>
          <w:szCs w:val="18"/>
          <w:lang w:val="es-ES"/>
        </w:rPr>
        <w:t>Superar C0–C1</w:t>
      </w:r>
      <w:r w:rsidR="00CD2633">
        <w:rPr>
          <w:sz w:val="20"/>
          <w:szCs w:val="18"/>
          <w:lang w:val="es-ES"/>
        </w:rPr>
        <w:t>3</w:t>
      </w:r>
      <w:r w:rsidRPr="00581444">
        <w:rPr>
          <w:sz w:val="20"/>
          <w:szCs w:val="18"/>
          <w:lang w:val="es-ES"/>
        </w:rPr>
        <w:t xml:space="preserve"> no demuestra </w:t>
      </w:r>
      <w:r w:rsidR="00CD2633">
        <w:rPr>
          <w:sz w:val="20"/>
          <w:szCs w:val="18"/>
          <w:lang w:val="es-ES"/>
        </w:rPr>
        <w:t xml:space="preserve">necesariamente </w:t>
      </w:r>
      <w:r w:rsidRPr="00581444">
        <w:rPr>
          <w:sz w:val="20"/>
          <w:szCs w:val="18"/>
          <w:lang w:val="es-ES"/>
        </w:rPr>
        <w:t>universalidad. Un contraejemplo válido a las condiciones estructurales declaradas, la imposibilidad reproducible de transportar una propiedad reclamada o una contradicción entre claim público y evidencia retenida constituye evidencia negativa científicamente relevante.</w:t>
      </w:r>
    </w:p>
    <w:p w14:paraId="3BB29EC6" w14:textId="77777777" w:rsidR="00FA297C" w:rsidRPr="00581444" w:rsidRDefault="00DA12E4" w:rsidP="00581444">
      <w:pPr>
        <w:pStyle w:val="MDPARProfileH1"/>
        <w:ind w:firstLine="709"/>
        <w:jc w:val="both"/>
        <w:outlineLvl w:val="1"/>
        <w:rPr>
          <w:sz w:val="24"/>
          <w:szCs w:val="20"/>
          <w:lang w:val="es-ES"/>
        </w:rPr>
      </w:pPr>
      <w:bookmarkStart w:id="154" w:name="_Toc242721990"/>
      <w:r w:rsidRPr="00581444">
        <w:rPr>
          <w:sz w:val="24"/>
          <w:szCs w:val="20"/>
          <w:lang w:val="es-ES"/>
        </w:rPr>
        <w:t>B.1</w:t>
      </w:r>
      <w:r w:rsidR="00CD2633">
        <w:rPr>
          <w:sz w:val="24"/>
          <w:szCs w:val="20"/>
          <w:lang w:val="es-ES"/>
        </w:rPr>
        <w:t>3</w:t>
      </w:r>
      <w:r w:rsidRPr="00581444">
        <w:rPr>
          <w:sz w:val="24"/>
          <w:szCs w:val="20"/>
          <w:lang w:val="es-ES"/>
        </w:rPr>
        <w:t>. Regla de evidencia y madurez</w:t>
      </w:r>
      <w:bookmarkEnd w:id="154"/>
    </w:p>
    <w:p w14:paraId="4E81F6A2" w14:textId="77777777" w:rsidR="00FA297C" w:rsidRPr="009E2FF4" w:rsidRDefault="00DA12E4">
      <w:pPr>
        <w:pStyle w:val="MDPARThesisBody"/>
        <w:rPr>
          <w:lang w:val="es-ES"/>
        </w:rPr>
      </w:pPr>
      <w:r w:rsidRPr="009E2FF4">
        <w:rPr>
          <w:lang w:val="es-ES"/>
        </w:rPr>
        <w:t>No se sobrescriben ni reinterpretan runs históricas. Una nueva identidad de software, protocolo, proveedor, corpus o contrato requiere nuevos artefactos. evidence-stage DEVELOPMENT|CONFIRMATORY|FROZEN registra madurez experimental; no promueve retrospectivamente evidencia antigua ni altera la identidad del protocolo.</w:t>
      </w:r>
    </w:p>
    <w:p w14:paraId="6ADF837C" w14:textId="77777777" w:rsidR="00FA297C" w:rsidRDefault="00DA12E4">
      <w:pPr>
        <w:pStyle w:val="MDPARThesisBody"/>
        <w:rPr>
          <w:lang w:val="es-ES"/>
        </w:rPr>
      </w:pPr>
      <w:r w:rsidRPr="009E2FF4">
        <w:rPr>
          <w:lang w:val="es-ES"/>
        </w:rPr>
        <w:t>Los fallos de proveedor, grounding o gate neural se conservan como tales. UNEVALUABLE no se convierte en cero ni en PASS. La ausencia de evidencia permanece ausencia de evidencia.</w:t>
      </w:r>
    </w:p>
    <w:p w14:paraId="1BC415B3" w14:textId="77777777" w:rsidR="000604AC" w:rsidRPr="009E2FF4" w:rsidRDefault="000604AC">
      <w:pPr>
        <w:pStyle w:val="MDPARThesisBody"/>
        <w:rPr>
          <w:lang w:val="es-ES"/>
        </w:rPr>
      </w:pPr>
    </w:p>
    <w:p w14:paraId="4C812C00" w14:textId="77777777" w:rsidR="00FA297C" w:rsidRPr="00581444" w:rsidRDefault="00DA12E4" w:rsidP="000604AC">
      <w:pPr>
        <w:pStyle w:val="MDPARProfileH1"/>
        <w:spacing w:before="0" w:after="0" w:line="360" w:lineRule="auto"/>
        <w:ind w:firstLine="709"/>
        <w:outlineLvl w:val="1"/>
        <w:rPr>
          <w:sz w:val="24"/>
          <w:szCs w:val="20"/>
          <w:lang w:val="es-ES"/>
        </w:rPr>
      </w:pPr>
      <w:bookmarkStart w:id="155" w:name="_Toc242721991"/>
      <w:r w:rsidRPr="00581444">
        <w:rPr>
          <w:sz w:val="24"/>
          <w:szCs w:val="20"/>
          <w:lang w:val="es-ES"/>
        </w:rPr>
        <w:t>B.1</w:t>
      </w:r>
      <w:r w:rsidR="00CD2633">
        <w:rPr>
          <w:sz w:val="24"/>
          <w:szCs w:val="20"/>
          <w:lang w:val="es-ES"/>
        </w:rPr>
        <w:t>4</w:t>
      </w:r>
      <w:r w:rsidRPr="00581444">
        <w:rPr>
          <w:sz w:val="24"/>
          <w:szCs w:val="20"/>
          <w:lang w:val="es-ES"/>
        </w:rPr>
        <w:t>. Frontera de ownership de la evidencia</w:t>
      </w:r>
      <w:bookmarkEnd w:id="155"/>
    </w:p>
    <w:p w14:paraId="1281C9C7" w14:textId="77777777" w:rsidR="00081562" w:rsidRDefault="00DA12E4" w:rsidP="00D40FA2">
      <w:pPr>
        <w:pStyle w:val="MDPARThesisBody"/>
        <w:rPr>
          <w:lang w:val="es-ES"/>
        </w:rPr>
      </w:pPr>
      <w:r w:rsidRPr="009E2FF4">
        <w:rPr>
          <w:lang w:val="es-ES"/>
        </w:rPr>
        <w:t>Los LLM externos o locales proporcionan observación/realización semántica autorizada en gates OPEN. MDPAR conserva autoridad de routing, representación estructural canónica, operaciones estructurales, continuidad, provenance y fronteras de autoridad. El proveedor que aporta capacidad semántica no adquiere automáticamente el estado cognitivo ni la decisión de solicitar cognición adicional.</w:t>
      </w:r>
    </w:p>
    <w:p w14:paraId="18269F9A" w14:textId="77777777" w:rsidR="005504BC" w:rsidRPr="000A2D71" w:rsidRDefault="00081562" w:rsidP="00081562">
      <w:pPr>
        <w:spacing w:after="200" w:line="276" w:lineRule="auto"/>
        <w:rPr>
          <w:lang w:val="es-ES"/>
        </w:rPr>
      </w:pPr>
      <w:r>
        <w:rPr>
          <w:lang w:val="es-ES"/>
        </w:rPr>
        <w:br w:type="page"/>
      </w:r>
    </w:p>
    <w:p w14:paraId="1CC5954A" w14:textId="77777777" w:rsidR="005504BC" w:rsidRPr="00D40FA2" w:rsidRDefault="00F75757" w:rsidP="00D40FA2">
      <w:pPr>
        <w:pStyle w:val="MDPARProfileH1"/>
        <w:spacing w:before="0" w:after="0" w:line="360" w:lineRule="auto"/>
        <w:jc w:val="both"/>
        <w:outlineLvl w:val="0"/>
        <w:rPr>
          <w:sz w:val="24"/>
          <w:szCs w:val="20"/>
          <w:lang w:val="es-ES"/>
        </w:rPr>
      </w:pPr>
      <w:bookmarkStart w:id="156" w:name="_Toc242721992"/>
      <w:r w:rsidRPr="00D40FA2">
        <w:rPr>
          <w:sz w:val="24"/>
          <w:szCs w:val="20"/>
          <w:lang w:val="es-ES"/>
        </w:rPr>
        <w:lastRenderedPageBreak/>
        <w:t>ANEXO C — Superficie operacional Swagger, plantilla canónica y exposición controlada</w:t>
      </w:r>
      <w:bookmarkEnd w:id="156"/>
    </w:p>
    <w:p w14:paraId="62FCF027" w14:textId="77777777" w:rsidR="00D40FA2" w:rsidRDefault="00D40FA2">
      <w:pPr>
        <w:pStyle w:val="MDPARThesisBody"/>
        <w:rPr>
          <w:lang w:val="es-ES"/>
        </w:rPr>
      </w:pPr>
    </w:p>
    <w:p w14:paraId="1C95F1D2" w14:textId="77777777" w:rsidR="005504BC" w:rsidRDefault="00F75757">
      <w:pPr>
        <w:pStyle w:val="MDPARThesisBody"/>
        <w:rPr>
          <w:lang w:val="es-ES"/>
        </w:rPr>
      </w:pPr>
      <w:r w:rsidRPr="000A2D71">
        <w:rPr>
          <w:lang w:val="es-ES"/>
        </w:rPr>
        <w:t>Este anexo documenta la superficie operacional de MDPAR 2.3.0 y mdpar-ai-adapter 0.13.0, separada del bloque de reproducción experimental del Anexo B. Expone el contrato público comprobado en el código del servicio, la entrega de evidencia, la derivación de informes, la procedencia, los límites de autoridad y la publicación controlada. La ejecución documental de referencia (denuncia-probe-03) se presenta exclusivamente como prueba de funcionamiento sobre una superficie textual; no certifica autenticidad documental, veracidad de las alegaciones ni responsabilidad jurídica.</w:t>
      </w:r>
    </w:p>
    <w:p w14:paraId="3F6ABD1C" w14:textId="77777777" w:rsidR="00D40FA2" w:rsidRPr="00D40FA2" w:rsidRDefault="00D40FA2">
      <w:pPr>
        <w:pStyle w:val="MDPARThesisBody"/>
        <w:rPr>
          <w:lang w:val="es-ES"/>
        </w:rPr>
      </w:pPr>
    </w:p>
    <w:tbl>
      <w:tblPr>
        <w:tblW w:w="0" w:type="auto"/>
        <w:jc w:val="center"/>
        <w:tblLook w:val="04A0" w:firstRow="1" w:lastRow="0" w:firstColumn="1" w:lastColumn="0" w:noHBand="0" w:noVBand="1"/>
      </w:tblPr>
      <w:tblGrid>
        <w:gridCol w:w="8787"/>
      </w:tblGrid>
      <w:tr w:rsidR="005504BC" w:rsidRPr="002F4F30" w14:paraId="1538506D" w14:textId="77777777">
        <w:trPr>
          <w:cantSplit/>
          <w:jc w:val="center"/>
        </w:trPr>
        <w:tc>
          <w:tcPr>
            <w:tcW w:w="8787" w:type="dxa"/>
            <w:tcBorders>
              <w:top w:val="single" w:sz="5" w:space="0" w:color="9AAAB8"/>
              <w:bottom w:val="single" w:sz="5" w:space="0" w:color="9AAAB8"/>
            </w:tcBorders>
            <w:shd w:val="clear" w:color="auto" w:fill="FFFFFF"/>
            <w:vAlign w:val="center"/>
          </w:tcPr>
          <w:p w14:paraId="7CE5C15F" w14:textId="77777777" w:rsidR="005504BC" w:rsidRPr="000A2D71" w:rsidRDefault="00F75757" w:rsidP="00D40FA2">
            <w:pPr>
              <w:pStyle w:val="MDPARProfileCallout"/>
              <w:spacing w:before="60" w:after="60" w:line="360" w:lineRule="auto"/>
              <w:jc w:val="both"/>
              <w:rPr>
                <w:lang w:val="es-ES"/>
              </w:rPr>
            </w:pPr>
            <w:r w:rsidRPr="00D40FA2">
              <w:rPr>
                <w:sz w:val="20"/>
                <w:szCs w:val="18"/>
                <w:lang w:val="es-ES"/>
              </w:rPr>
              <w:t>La plantilla demuestra el procedimiento; no publica el expediente. La auditabilidad se preserva mediante estructura, hashes, versiones, contratos y campos controlados, mientras la evidencia sensible y los resultados completos permanecen en el entorno autorizado.</w:t>
            </w:r>
          </w:p>
        </w:tc>
      </w:tr>
    </w:tbl>
    <w:p w14:paraId="2C722344" w14:textId="77777777" w:rsidR="00D40FA2" w:rsidRPr="003E4238" w:rsidRDefault="00D40FA2">
      <w:pPr>
        <w:pStyle w:val="MDPARProfileH2"/>
        <w:rPr>
          <w:lang w:val="es-ES"/>
        </w:rPr>
      </w:pPr>
    </w:p>
    <w:p w14:paraId="31BFADFD" w14:textId="77777777" w:rsidR="005504BC" w:rsidRDefault="00F75757" w:rsidP="00D40FA2">
      <w:pPr>
        <w:pStyle w:val="MDPARProfileH2"/>
        <w:spacing w:before="0" w:after="0" w:line="360" w:lineRule="auto"/>
        <w:ind w:firstLine="709"/>
        <w:jc w:val="both"/>
        <w:outlineLvl w:val="1"/>
      </w:pPr>
      <w:bookmarkStart w:id="157" w:name="_Toc242721993"/>
      <w:r>
        <w:t>C.1. Identidad operacional</w:t>
      </w:r>
      <w:bookmarkEnd w:id="157"/>
    </w:p>
    <w:tbl>
      <w:tblPr>
        <w:tblStyle w:val="Tablanormal2"/>
        <w:tblW w:w="0" w:type="auto"/>
        <w:tblLook w:val="04A0" w:firstRow="1" w:lastRow="0" w:firstColumn="1" w:lastColumn="0" w:noHBand="0" w:noVBand="1"/>
      </w:tblPr>
      <w:tblGrid>
        <w:gridCol w:w="4393"/>
        <w:gridCol w:w="4393"/>
      </w:tblGrid>
      <w:tr w:rsidR="005504BC" w:rsidRPr="00081562" w14:paraId="4AE3D665"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218284ED" w14:textId="77777777" w:rsidR="005504BC" w:rsidRPr="00081562" w:rsidRDefault="00F75757" w:rsidP="00081562">
            <w:pPr>
              <w:pStyle w:val="MDPARProfileSmall"/>
              <w:spacing w:after="0" w:line="240" w:lineRule="auto"/>
              <w:rPr>
                <w:sz w:val="16"/>
                <w:szCs w:val="16"/>
              </w:rPr>
            </w:pPr>
            <w:r w:rsidRPr="00081562">
              <w:rPr>
                <w:sz w:val="16"/>
                <w:szCs w:val="16"/>
              </w:rPr>
              <w:t>Elemento</w:t>
            </w:r>
          </w:p>
        </w:tc>
        <w:tc>
          <w:tcPr>
            <w:tcW w:w="4393" w:type="dxa"/>
          </w:tcPr>
          <w:p w14:paraId="27322C8D" w14:textId="77777777" w:rsidR="00163017" w:rsidRPr="00081562" w:rsidRDefault="00522F42" w:rsidP="00081562">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081562">
              <w:rPr>
                <w:sz w:val="16"/>
                <w:szCs w:val="16"/>
              </w:rPr>
              <w:t>Contrato MDPAR 2.3.0</w:t>
            </w:r>
          </w:p>
        </w:tc>
      </w:tr>
      <w:tr w:rsidR="005504BC" w:rsidRPr="00081562" w14:paraId="29DCF682"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21A4AADF" w14:textId="77777777" w:rsidR="005504BC" w:rsidRPr="00081562" w:rsidRDefault="00F75757" w:rsidP="00081562">
            <w:pPr>
              <w:pStyle w:val="MDPARProfileSmall"/>
              <w:spacing w:after="0" w:line="240" w:lineRule="auto"/>
              <w:rPr>
                <w:sz w:val="16"/>
                <w:szCs w:val="16"/>
              </w:rPr>
            </w:pPr>
            <w:r w:rsidRPr="00081562">
              <w:rPr>
                <w:sz w:val="16"/>
                <w:szCs w:val="16"/>
              </w:rPr>
              <w:t>Propósito</w:t>
            </w:r>
          </w:p>
        </w:tc>
        <w:tc>
          <w:tcPr>
            <w:tcW w:w="4393" w:type="dxa"/>
          </w:tcPr>
          <w:p w14:paraId="453C001B"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081562">
              <w:rPr>
                <w:sz w:val="16"/>
                <w:szCs w:val="16"/>
              </w:rPr>
              <w:t>EXHAUSTIVE_STRUCTURAL_EVIDENCE_ASSESSMENT</w:t>
            </w:r>
          </w:p>
        </w:tc>
      </w:tr>
      <w:tr w:rsidR="005504BC" w:rsidRPr="00081562" w14:paraId="30CBE577"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1CE9A5E1" w14:textId="77777777" w:rsidR="005504BC" w:rsidRPr="00081562" w:rsidRDefault="00F75757" w:rsidP="00081562">
            <w:pPr>
              <w:pStyle w:val="MDPARProfileSmall"/>
              <w:spacing w:after="0" w:line="240" w:lineRule="auto"/>
              <w:rPr>
                <w:sz w:val="16"/>
                <w:szCs w:val="16"/>
              </w:rPr>
            </w:pPr>
            <w:r w:rsidRPr="00081562">
              <w:rPr>
                <w:sz w:val="16"/>
                <w:szCs w:val="16"/>
              </w:rPr>
              <w:t>Ruta principal</w:t>
            </w:r>
          </w:p>
        </w:tc>
        <w:tc>
          <w:tcPr>
            <w:tcW w:w="4393" w:type="dxa"/>
          </w:tcPr>
          <w:p w14:paraId="4A8D7B9C"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081562">
              <w:rPr>
                <w:sz w:val="16"/>
                <w:szCs w:val="16"/>
              </w:rPr>
              <w:t>POST /assessment</w:t>
            </w:r>
          </w:p>
        </w:tc>
      </w:tr>
      <w:tr w:rsidR="005504BC" w:rsidRPr="002F4F30" w14:paraId="01773837"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192EDF3F" w14:textId="77777777" w:rsidR="005504BC" w:rsidRPr="00081562" w:rsidRDefault="00F75757" w:rsidP="00081562">
            <w:pPr>
              <w:pStyle w:val="MDPARProfileSmall"/>
              <w:spacing w:after="0" w:line="240" w:lineRule="auto"/>
              <w:rPr>
                <w:sz w:val="16"/>
                <w:szCs w:val="16"/>
              </w:rPr>
            </w:pPr>
            <w:r w:rsidRPr="00081562">
              <w:rPr>
                <w:sz w:val="16"/>
                <w:szCs w:val="16"/>
              </w:rPr>
              <w:t>Entrada mínima</w:t>
            </w:r>
          </w:p>
        </w:tc>
        <w:tc>
          <w:tcPr>
            <w:tcW w:w="4393" w:type="dxa"/>
          </w:tcPr>
          <w:p w14:paraId="363745A2"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081562">
              <w:rPr>
                <w:sz w:val="16"/>
                <w:szCs w:val="16"/>
                <w:lang w:val="es-ES"/>
              </w:rPr>
              <w:t>1 archivo + idioma fuente + idioma del informe de operador</w:t>
            </w:r>
          </w:p>
        </w:tc>
      </w:tr>
      <w:tr w:rsidR="005504BC" w:rsidRPr="002F4F30" w14:paraId="5C25C929"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55B439B8" w14:textId="77777777" w:rsidR="005504BC" w:rsidRPr="00081562" w:rsidRDefault="00F75757" w:rsidP="00081562">
            <w:pPr>
              <w:pStyle w:val="MDPARProfileSmall"/>
              <w:spacing w:after="0" w:line="240" w:lineRule="auto"/>
              <w:rPr>
                <w:sz w:val="16"/>
                <w:szCs w:val="16"/>
              </w:rPr>
            </w:pPr>
            <w:r w:rsidRPr="00081562">
              <w:rPr>
                <w:sz w:val="16"/>
                <w:szCs w:val="16"/>
              </w:rPr>
              <w:t>Dominio</w:t>
            </w:r>
          </w:p>
        </w:tc>
        <w:tc>
          <w:tcPr>
            <w:tcW w:w="4393" w:type="dxa"/>
          </w:tcPr>
          <w:p w14:paraId="7E173A55"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081562">
              <w:rPr>
                <w:sz w:val="16"/>
                <w:szCs w:val="16"/>
                <w:lang w:val="es-ES"/>
              </w:rPr>
              <w:t>Inferido; no existe selector público</w:t>
            </w:r>
          </w:p>
        </w:tc>
      </w:tr>
      <w:tr w:rsidR="005504BC" w:rsidRPr="00081562" w14:paraId="5274EEFE"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30A31485" w14:textId="77777777" w:rsidR="005504BC" w:rsidRPr="00081562" w:rsidRDefault="00F75757" w:rsidP="00081562">
            <w:pPr>
              <w:pStyle w:val="MDPARProfileSmall"/>
              <w:spacing w:after="0" w:line="240" w:lineRule="auto"/>
              <w:rPr>
                <w:sz w:val="16"/>
                <w:szCs w:val="16"/>
              </w:rPr>
            </w:pPr>
            <w:r w:rsidRPr="00081562">
              <w:rPr>
                <w:sz w:val="16"/>
                <w:szCs w:val="16"/>
              </w:rPr>
              <w:t>Objetivo libre</w:t>
            </w:r>
          </w:p>
        </w:tc>
        <w:tc>
          <w:tcPr>
            <w:tcW w:w="4393" w:type="dxa"/>
          </w:tcPr>
          <w:p w14:paraId="7B56F7FF"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081562">
              <w:rPr>
                <w:sz w:val="16"/>
                <w:szCs w:val="16"/>
              </w:rPr>
              <w:t>No existe</w:t>
            </w:r>
          </w:p>
        </w:tc>
      </w:tr>
      <w:tr w:rsidR="005504BC" w:rsidRPr="002F4F30" w14:paraId="288D6EFD"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6B015BC4" w14:textId="77777777" w:rsidR="005504BC" w:rsidRPr="00081562" w:rsidRDefault="00F75757" w:rsidP="00081562">
            <w:pPr>
              <w:pStyle w:val="MDPARProfileSmall"/>
              <w:spacing w:after="0" w:line="240" w:lineRule="auto"/>
              <w:rPr>
                <w:sz w:val="16"/>
                <w:szCs w:val="16"/>
              </w:rPr>
            </w:pPr>
            <w:r w:rsidRPr="00081562">
              <w:rPr>
                <w:sz w:val="16"/>
                <w:szCs w:val="16"/>
              </w:rPr>
              <w:t>Versión MDPAR</w:t>
            </w:r>
          </w:p>
        </w:tc>
        <w:tc>
          <w:tcPr>
            <w:tcW w:w="4393" w:type="dxa"/>
          </w:tcPr>
          <w:p w14:paraId="2E2A51B6"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081562">
              <w:rPr>
                <w:sz w:val="16"/>
                <w:szCs w:val="16"/>
                <w:lang w:val="es-ES"/>
              </w:rPr>
              <w:t>Observada desde el runtime; no declarada por el operador</w:t>
            </w:r>
          </w:p>
        </w:tc>
      </w:tr>
      <w:tr w:rsidR="005504BC" w:rsidRPr="00081562" w14:paraId="39C21348"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54E79868" w14:textId="77777777" w:rsidR="005504BC" w:rsidRPr="00081562" w:rsidRDefault="00F75757" w:rsidP="00081562">
            <w:pPr>
              <w:pStyle w:val="MDPARProfileSmall"/>
              <w:spacing w:after="0" w:line="240" w:lineRule="auto"/>
              <w:rPr>
                <w:sz w:val="16"/>
                <w:szCs w:val="16"/>
              </w:rPr>
            </w:pPr>
            <w:r w:rsidRPr="00081562">
              <w:rPr>
                <w:sz w:val="16"/>
                <w:szCs w:val="16"/>
              </w:rPr>
              <w:t>Fuente de verdad</w:t>
            </w:r>
          </w:p>
        </w:tc>
        <w:tc>
          <w:tcPr>
            <w:tcW w:w="4393" w:type="dxa"/>
          </w:tcPr>
          <w:p w14:paraId="53CEA5F9"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081562">
              <w:rPr>
                <w:sz w:val="16"/>
                <w:szCs w:val="16"/>
              </w:rPr>
              <w:t>JSON canónico</w:t>
            </w:r>
          </w:p>
        </w:tc>
      </w:tr>
      <w:tr w:rsidR="005504BC" w:rsidRPr="002F4F30" w14:paraId="4B099E63"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656A721E" w14:textId="77777777" w:rsidR="005504BC" w:rsidRPr="00081562" w:rsidRDefault="00F75757" w:rsidP="00081562">
            <w:pPr>
              <w:pStyle w:val="MDPARProfileSmall"/>
              <w:spacing w:after="0" w:line="240" w:lineRule="auto"/>
              <w:rPr>
                <w:sz w:val="16"/>
                <w:szCs w:val="16"/>
              </w:rPr>
            </w:pPr>
            <w:r w:rsidRPr="00081562">
              <w:rPr>
                <w:sz w:val="16"/>
                <w:szCs w:val="16"/>
              </w:rPr>
              <w:t>Publicación</w:t>
            </w:r>
          </w:p>
        </w:tc>
        <w:tc>
          <w:tcPr>
            <w:tcW w:w="4393" w:type="dxa"/>
          </w:tcPr>
          <w:p w14:paraId="3FA8D53F"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081562">
              <w:rPr>
                <w:sz w:val="16"/>
                <w:szCs w:val="16"/>
                <w:lang w:val="es-ES"/>
              </w:rPr>
              <w:t>DOCX derivado; una o dos realizaciones lingüísticas</w:t>
            </w:r>
          </w:p>
        </w:tc>
      </w:tr>
    </w:tbl>
    <w:p w14:paraId="4B0E2743" w14:textId="77777777" w:rsidR="00D40FA2" w:rsidRDefault="00D40FA2">
      <w:pPr>
        <w:pStyle w:val="MDPARThesisBody"/>
        <w:rPr>
          <w:lang w:val="es-ES"/>
        </w:rPr>
      </w:pPr>
    </w:p>
    <w:p w14:paraId="7905135F" w14:textId="77777777" w:rsidR="005504BC" w:rsidRDefault="00F75757">
      <w:pPr>
        <w:pStyle w:val="MDPARThesisBody"/>
        <w:rPr>
          <w:lang w:val="es-ES"/>
        </w:rPr>
      </w:pPr>
      <w:r w:rsidRPr="000A2D71">
        <w:rPr>
          <w:lang w:val="es-ES"/>
        </w:rPr>
        <w:t>Swagger/OpenAPI es aquí el contrato de servicio y la superficie de inspección. OpenAPI 3.1.0 identifica el dialecto de la especificación HTTP; mdpar-ai-adapter 0.13.0 identifica el servicio Python; MDPAR 2.3.0 identifica el runtime Java observado. Las tres versiones cumplen funciones diferentes. El servicio FastAPI se titula «MDPAR Expert Assessment Service» y normaliza los campos de carga multipart como binarios en el esquema público para que Swagger UI presente selectores de archivos, sin alterar su tipado UploadFile.</w:t>
      </w:r>
    </w:p>
    <w:p w14:paraId="52C52224" w14:textId="77777777" w:rsidR="00D40FA2" w:rsidRPr="000A2D71" w:rsidRDefault="00D40FA2">
      <w:pPr>
        <w:pStyle w:val="MDPARThesisBody"/>
        <w:rPr>
          <w:lang w:val="es-ES"/>
        </w:rPr>
      </w:pPr>
    </w:p>
    <w:p w14:paraId="6FBB9804" w14:textId="77777777" w:rsidR="005504BC" w:rsidRPr="000A2D71" w:rsidRDefault="00F75757" w:rsidP="00D40FA2">
      <w:pPr>
        <w:pStyle w:val="MDPARProfileH2"/>
        <w:spacing w:before="0" w:after="0" w:line="360" w:lineRule="auto"/>
        <w:ind w:firstLine="709"/>
        <w:jc w:val="both"/>
        <w:outlineLvl w:val="1"/>
        <w:rPr>
          <w:lang w:val="es-ES"/>
        </w:rPr>
      </w:pPr>
      <w:bookmarkStart w:id="158" w:name="_Toc242721994"/>
      <w:r w:rsidRPr="000A2D71">
        <w:rPr>
          <w:lang w:val="es-ES"/>
        </w:rPr>
        <w:t>C.2. Rutas públicas y separación de ingeniería</w:t>
      </w:r>
      <w:bookmarkEnd w:id="158"/>
    </w:p>
    <w:tbl>
      <w:tblPr>
        <w:tblStyle w:val="Tablanormal2"/>
        <w:tblW w:w="0" w:type="auto"/>
        <w:tblLook w:val="04A0" w:firstRow="1" w:lastRow="0" w:firstColumn="1" w:lastColumn="0" w:noHBand="0" w:noVBand="1"/>
      </w:tblPr>
      <w:tblGrid>
        <w:gridCol w:w="1526"/>
        <w:gridCol w:w="3260"/>
        <w:gridCol w:w="4001"/>
      </w:tblGrid>
      <w:tr w:rsidR="005504BC" w:rsidRPr="00081562" w14:paraId="7AE56EE7"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AC3C299" w14:textId="77777777" w:rsidR="005504BC" w:rsidRPr="00081562" w:rsidRDefault="00F75757" w:rsidP="00081562">
            <w:pPr>
              <w:pStyle w:val="MDPARProfileSmall"/>
              <w:spacing w:after="0" w:line="240" w:lineRule="auto"/>
              <w:rPr>
                <w:sz w:val="16"/>
                <w:szCs w:val="20"/>
              </w:rPr>
            </w:pPr>
            <w:r w:rsidRPr="00081562">
              <w:rPr>
                <w:sz w:val="16"/>
                <w:szCs w:val="20"/>
              </w:rPr>
              <w:t>Método</w:t>
            </w:r>
          </w:p>
        </w:tc>
        <w:tc>
          <w:tcPr>
            <w:tcW w:w="3260" w:type="dxa"/>
          </w:tcPr>
          <w:p w14:paraId="130D25DA"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Ruta</w:t>
            </w:r>
          </w:p>
        </w:tc>
        <w:tc>
          <w:tcPr>
            <w:tcW w:w="4001" w:type="dxa"/>
          </w:tcPr>
          <w:p w14:paraId="7A71CD7F"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Finalidad</w:t>
            </w:r>
          </w:p>
        </w:tc>
      </w:tr>
      <w:tr w:rsidR="005504BC" w:rsidRPr="002F4F30" w14:paraId="5E20AD0B"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EDC982A" w14:textId="77777777" w:rsidR="005504BC" w:rsidRPr="00081562" w:rsidRDefault="00F75757" w:rsidP="00081562">
            <w:pPr>
              <w:pStyle w:val="MDPARProfileSmall"/>
              <w:spacing w:after="0" w:line="240" w:lineRule="auto"/>
              <w:rPr>
                <w:sz w:val="16"/>
                <w:szCs w:val="20"/>
              </w:rPr>
            </w:pPr>
            <w:r w:rsidRPr="00081562">
              <w:rPr>
                <w:sz w:val="16"/>
                <w:szCs w:val="20"/>
              </w:rPr>
              <w:t>GET</w:t>
            </w:r>
          </w:p>
        </w:tc>
        <w:tc>
          <w:tcPr>
            <w:tcW w:w="3260" w:type="dxa"/>
          </w:tcPr>
          <w:p w14:paraId="7FC67405"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/health</w:t>
            </w:r>
          </w:p>
        </w:tc>
        <w:tc>
          <w:tcPr>
            <w:tcW w:w="4001" w:type="dxa"/>
          </w:tcPr>
          <w:p w14:paraId="7B5DF22D"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comprobar que el servicio HTTP responde</w:t>
            </w:r>
          </w:p>
        </w:tc>
      </w:tr>
      <w:tr w:rsidR="005504BC" w:rsidRPr="002F4F30" w14:paraId="3DED6F27" w14:textId="77777777" w:rsidTr="00081562">
        <w:tc>
          <w:tcPr>
            <w:cnfStyle w:val="001000000000" w:firstRow="0" w:lastRow="0" w:firstColumn="1" w:lastColumn="0" w:oddVBand="0" w:evenVBand="0" w:oddHBand="0" w:evenHBand="0" w:firstRowFirstColumn="0" w:firstRowLastColumn="0" w:lastRowFirstColumn="0" w:lastRowLastColumn="0"/>
            <w:tcW w:w="1526" w:type="dxa"/>
          </w:tcPr>
          <w:p w14:paraId="269B7336" w14:textId="77777777" w:rsidR="005504BC" w:rsidRPr="00081562" w:rsidRDefault="00F75757" w:rsidP="00081562">
            <w:pPr>
              <w:pStyle w:val="MDPARProfileSmall"/>
              <w:spacing w:after="0" w:line="240" w:lineRule="auto"/>
              <w:rPr>
                <w:sz w:val="16"/>
                <w:szCs w:val="20"/>
              </w:rPr>
            </w:pPr>
            <w:r w:rsidRPr="00081562">
              <w:rPr>
                <w:sz w:val="16"/>
                <w:szCs w:val="20"/>
              </w:rPr>
              <w:t>GET</w:t>
            </w:r>
          </w:p>
        </w:tc>
        <w:tc>
          <w:tcPr>
            <w:tcW w:w="3260" w:type="dxa"/>
          </w:tcPr>
          <w:p w14:paraId="349FADE4"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/runtime</w:t>
            </w:r>
          </w:p>
        </w:tc>
        <w:tc>
          <w:tcPr>
            <w:tcW w:w="4001" w:type="dxa"/>
          </w:tcPr>
          <w:p w14:paraId="6CDEE469"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observar identidad y readiness del runtime realmente cargado</w:t>
            </w:r>
          </w:p>
        </w:tc>
      </w:tr>
      <w:tr w:rsidR="005504BC" w:rsidRPr="002F4F30" w14:paraId="5BA645F7"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CE114B" w14:textId="77777777" w:rsidR="005504BC" w:rsidRPr="00081562" w:rsidRDefault="00F75757" w:rsidP="00081562">
            <w:pPr>
              <w:pStyle w:val="MDPARProfileSmall"/>
              <w:spacing w:after="0" w:line="240" w:lineRule="auto"/>
              <w:rPr>
                <w:sz w:val="16"/>
                <w:szCs w:val="20"/>
              </w:rPr>
            </w:pPr>
            <w:r w:rsidRPr="00081562">
              <w:rPr>
                <w:sz w:val="16"/>
                <w:szCs w:val="20"/>
              </w:rPr>
              <w:t>POST</w:t>
            </w:r>
          </w:p>
        </w:tc>
        <w:tc>
          <w:tcPr>
            <w:tcW w:w="3260" w:type="dxa"/>
          </w:tcPr>
          <w:p w14:paraId="747A5A30"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/assessment</w:t>
            </w:r>
          </w:p>
        </w:tc>
        <w:tc>
          <w:tcPr>
            <w:tcW w:w="4001" w:type="dxa"/>
          </w:tcPr>
          <w:p w14:paraId="14E2CB84"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ejecutar la evaluación estructural exhaustiva</w:t>
            </w:r>
          </w:p>
        </w:tc>
      </w:tr>
      <w:tr w:rsidR="005504BC" w:rsidRPr="002F4F30" w14:paraId="260DD354" w14:textId="77777777" w:rsidTr="00081562">
        <w:tc>
          <w:tcPr>
            <w:cnfStyle w:val="001000000000" w:firstRow="0" w:lastRow="0" w:firstColumn="1" w:lastColumn="0" w:oddVBand="0" w:evenVBand="0" w:oddHBand="0" w:evenHBand="0" w:firstRowFirstColumn="0" w:firstRowLastColumn="0" w:lastRowFirstColumn="0" w:lastRowLastColumn="0"/>
            <w:tcW w:w="1526" w:type="dxa"/>
          </w:tcPr>
          <w:p w14:paraId="14D70BB8" w14:textId="77777777" w:rsidR="005504BC" w:rsidRPr="00081562" w:rsidRDefault="00F75757" w:rsidP="00081562">
            <w:pPr>
              <w:pStyle w:val="MDPARProfileSmall"/>
              <w:spacing w:after="0" w:line="240" w:lineRule="auto"/>
              <w:rPr>
                <w:sz w:val="16"/>
                <w:szCs w:val="20"/>
              </w:rPr>
            </w:pPr>
            <w:r w:rsidRPr="00081562">
              <w:rPr>
                <w:sz w:val="16"/>
                <w:szCs w:val="20"/>
              </w:rPr>
              <w:t>GET</w:t>
            </w:r>
          </w:p>
        </w:tc>
        <w:tc>
          <w:tcPr>
            <w:tcW w:w="3260" w:type="dxa"/>
          </w:tcPr>
          <w:p w14:paraId="18E95668"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/reports/{interaction_id}/{filename}</w:t>
            </w:r>
          </w:p>
        </w:tc>
        <w:tc>
          <w:tcPr>
            <w:tcW w:w="4001" w:type="dxa"/>
          </w:tcPr>
          <w:p w14:paraId="4AA48EF9"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descargar un informe DOCX generado</w:t>
            </w:r>
          </w:p>
        </w:tc>
      </w:tr>
    </w:tbl>
    <w:p w14:paraId="7B71146E" w14:textId="77777777" w:rsidR="00D40FA2" w:rsidRDefault="00D40FA2">
      <w:pPr>
        <w:pStyle w:val="MDPARThesisBody"/>
        <w:rPr>
          <w:lang w:val="es-ES"/>
        </w:rPr>
      </w:pPr>
    </w:p>
    <w:p w14:paraId="3C29B4C6" w14:textId="77777777" w:rsidR="005504BC" w:rsidRDefault="00F75757">
      <w:pPr>
        <w:pStyle w:val="MDPARThesisBody"/>
        <w:rPr>
          <w:lang w:val="es-ES"/>
        </w:rPr>
      </w:pPr>
      <w:r w:rsidRPr="000A2D71">
        <w:rPr>
          <w:lang w:val="es-ES"/>
        </w:rPr>
        <w:lastRenderedPageBreak/>
        <w:t>El contrato operacional expone exactamente cuatro rutas de negocio: GET /health, GET /runtime, POST /assessment y GET /reports/{interaction_id}/{filename}. /docs y /openapi.json son superficies documentales de FastAPI, no operaciones cognitivas. /closed, /open y /reason pertenecen a la aplicación de ingeniería separada y no a esta API pública. «Público» designa pertenencia al contrato, no acceso anónimo a Internet: autenticación, TLS, aislamiento de red y políticas de acceso corresponden al despliegue.</w:t>
      </w:r>
    </w:p>
    <w:p w14:paraId="2708F0AA" w14:textId="77777777" w:rsidR="00D40FA2" w:rsidRPr="000A2D71" w:rsidRDefault="00D40FA2">
      <w:pPr>
        <w:pStyle w:val="MDPARThesisBody"/>
        <w:rPr>
          <w:lang w:val="es-ES"/>
        </w:rPr>
      </w:pPr>
    </w:p>
    <w:p w14:paraId="1D057058" w14:textId="77777777" w:rsidR="005504BC" w:rsidRPr="000A2D71" w:rsidRDefault="00F75757" w:rsidP="00D40FA2">
      <w:pPr>
        <w:pStyle w:val="MDPARProfileH2"/>
        <w:spacing w:before="0" w:after="0" w:line="360" w:lineRule="auto"/>
        <w:ind w:firstLine="709"/>
        <w:jc w:val="both"/>
        <w:outlineLvl w:val="1"/>
        <w:rPr>
          <w:lang w:val="es-ES"/>
        </w:rPr>
      </w:pPr>
      <w:bookmarkStart w:id="159" w:name="_Toc242721995"/>
      <w:r w:rsidRPr="000A2D71">
        <w:rPr>
          <w:lang w:val="es-ES"/>
        </w:rPr>
        <w:t>C.3. /health y /runtime: vida del servicio frente a identidad estructural</w:t>
      </w:r>
      <w:bookmarkEnd w:id="159"/>
    </w:p>
    <w:p w14:paraId="74B3977D" w14:textId="77777777" w:rsidR="005504BC" w:rsidRPr="000A2D71" w:rsidRDefault="00F75757">
      <w:pPr>
        <w:pStyle w:val="MDPARThesisBody"/>
        <w:rPr>
          <w:lang w:val="es-ES"/>
        </w:rPr>
      </w:pPr>
      <w:r w:rsidRPr="000A2D71">
        <w:rPr>
          <w:lang w:val="es-ES"/>
        </w:rPr>
        <w:t>GET /health devuelve el indicador mínimo de vida del proceso HTTP: {"status":"ok"}. Su respuesta no verifica el JAR ni la conexión con el proveedor semántico. GET /runtime consulta el bridge y publica la identidad observada del runtime, la versión del adapter y las capacidades anunciadas. La readiness de OPEN describe el contrato de conocimiento del lado Java y no constituye una prueba de conectividad en vivo con el proveedor frontier.</w:t>
      </w:r>
    </w:p>
    <w:p w14:paraId="28C7871B" w14:textId="77777777" w:rsidR="005504BC" w:rsidRDefault="00F75757">
      <w:pPr>
        <w:pStyle w:val="MDPARThesisBody"/>
        <w:rPr>
          <w:lang w:val="es-ES"/>
        </w:rPr>
      </w:pPr>
      <w:r w:rsidRPr="000A2D71">
        <w:rPr>
          <w:lang w:val="es-ES"/>
        </w:rPr>
        <w:t>La identidad del runtime debe conservarse con versión MDPAR observada, nombre y SHA-256 del JAR, versión y huella del adapter, capacidades, coordenadas CLOSED instaladas y contrato OPEN. En la ejecución de referencia se registraron MDPAR 2.3.0, adapter 0.13.0 y el hash del JAR sha256:acd6f2d0fd370e9ec6dc3266be37f3cd8fa54f7494a283165096cd1a5d625587. Se trata de identidad de artefactos ejecutados, no de una versión elegida por el operador.</w:t>
      </w:r>
    </w:p>
    <w:p w14:paraId="0996D17B" w14:textId="77777777" w:rsidR="00D40FA2" w:rsidRPr="000A2D71" w:rsidRDefault="00D40FA2">
      <w:pPr>
        <w:pStyle w:val="MDPARThesisBody"/>
        <w:rPr>
          <w:lang w:val="es-ES"/>
        </w:rPr>
      </w:pPr>
    </w:p>
    <w:p w14:paraId="79EF17C6" w14:textId="77777777" w:rsidR="005504BC" w:rsidRDefault="00F75757" w:rsidP="00D40FA2">
      <w:pPr>
        <w:pStyle w:val="MDPARProfileH2"/>
        <w:spacing w:before="0" w:after="0" w:line="360" w:lineRule="auto"/>
        <w:ind w:firstLine="709"/>
        <w:jc w:val="both"/>
        <w:outlineLvl w:val="1"/>
      </w:pPr>
      <w:bookmarkStart w:id="160" w:name="_Toc242721996"/>
      <w:r>
        <w:t>C.4. POST /assessment: campos del contrato</w:t>
      </w:r>
      <w:bookmarkEnd w:id="160"/>
    </w:p>
    <w:tbl>
      <w:tblPr>
        <w:tblStyle w:val="Tablanormal2"/>
        <w:tblW w:w="0" w:type="auto"/>
        <w:tblLook w:val="04A0" w:firstRow="1" w:lastRow="0" w:firstColumn="1" w:lastColumn="0" w:noHBand="0" w:noVBand="1"/>
      </w:tblPr>
      <w:tblGrid>
        <w:gridCol w:w="2802"/>
        <w:gridCol w:w="1275"/>
        <w:gridCol w:w="4710"/>
      </w:tblGrid>
      <w:tr w:rsidR="005504BC" w:rsidRPr="00081562" w14:paraId="15C05780"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46FFAB1" w14:textId="77777777" w:rsidR="005504BC" w:rsidRPr="00081562" w:rsidRDefault="00F75757" w:rsidP="00081562">
            <w:pPr>
              <w:pStyle w:val="MDPARProfileSmall"/>
              <w:spacing w:after="0" w:line="240" w:lineRule="auto"/>
              <w:rPr>
                <w:sz w:val="16"/>
                <w:szCs w:val="20"/>
              </w:rPr>
            </w:pPr>
            <w:r w:rsidRPr="00081562">
              <w:rPr>
                <w:sz w:val="16"/>
                <w:szCs w:val="20"/>
              </w:rPr>
              <w:t>Campo</w:t>
            </w:r>
          </w:p>
        </w:tc>
        <w:tc>
          <w:tcPr>
            <w:tcW w:w="1275" w:type="dxa"/>
          </w:tcPr>
          <w:p w14:paraId="36F14A91"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Tipo</w:t>
            </w:r>
          </w:p>
        </w:tc>
        <w:tc>
          <w:tcPr>
            <w:tcW w:w="4710" w:type="dxa"/>
          </w:tcPr>
          <w:p w14:paraId="61C67697"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Condición / significado</w:t>
            </w:r>
          </w:p>
        </w:tc>
      </w:tr>
      <w:tr w:rsidR="005504BC" w:rsidRPr="002F4F30" w14:paraId="7B3EE01C"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EE97869" w14:textId="77777777" w:rsidR="005504BC" w:rsidRPr="00081562" w:rsidRDefault="00F75757" w:rsidP="00081562">
            <w:pPr>
              <w:pStyle w:val="MDPARProfileSmall"/>
              <w:spacing w:after="0" w:line="240" w:lineRule="auto"/>
              <w:rPr>
                <w:sz w:val="16"/>
                <w:szCs w:val="20"/>
              </w:rPr>
            </w:pPr>
            <w:r w:rsidRPr="00081562">
              <w:rPr>
                <w:sz w:val="16"/>
                <w:szCs w:val="20"/>
              </w:rPr>
              <w:t>file</w:t>
            </w:r>
          </w:p>
        </w:tc>
        <w:tc>
          <w:tcPr>
            <w:tcW w:w="1275" w:type="dxa"/>
          </w:tcPr>
          <w:p w14:paraId="2DBCFC62"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archivo</w:t>
            </w:r>
          </w:p>
        </w:tc>
        <w:tc>
          <w:tcPr>
            <w:tcW w:w="4710" w:type="dxa"/>
          </w:tcPr>
          <w:p w14:paraId="462B03D5"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obligatorio; evidencia principal; máximo 25 MiB</w:t>
            </w:r>
          </w:p>
        </w:tc>
      </w:tr>
      <w:tr w:rsidR="005504BC" w:rsidRPr="002F4F30" w14:paraId="21793363" w14:textId="77777777" w:rsidTr="00081562">
        <w:tc>
          <w:tcPr>
            <w:cnfStyle w:val="001000000000" w:firstRow="0" w:lastRow="0" w:firstColumn="1" w:lastColumn="0" w:oddVBand="0" w:evenVBand="0" w:oddHBand="0" w:evenHBand="0" w:firstRowFirstColumn="0" w:firstRowLastColumn="0" w:lastRowFirstColumn="0" w:lastRowLastColumn="0"/>
            <w:tcW w:w="2802" w:type="dxa"/>
          </w:tcPr>
          <w:p w14:paraId="36289B4B" w14:textId="77777777" w:rsidR="005504BC" w:rsidRPr="00081562" w:rsidRDefault="00F75757" w:rsidP="00081562">
            <w:pPr>
              <w:pStyle w:val="MDPARProfileSmall"/>
              <w:spacing w:after="0" w:line="240" w:lineRule="auto"/>
              <w:rPr>
                <w:sz w:val="16"/>
                <w:szCs w:val="20"/>
              </w:rPr>
            </w:pPr>
            <w:r w:rsidRPr="00081562">
              <w:rPr>
                <w:sz w:val="16"/>
                <w:szCs w:val="20"/>
              </w:rPr>
              <w:t>source_language</w:t>
            </w:r>
          </w:p>
        </w:tc>
        <w:tc>
          <w:tcPr>
            <w:tcW w:w="1275" w:type="dxa"/>
          </w:tcPr>
          <w:p w14:paraId="4EDA4F4E"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language tag</w:t>
            </w:r>
          </w:p>
        </w:tc>
        <w:tc>
          <w:tcPr>
            <w:tcW w:w="4710" w:type="dxa"/>
          </w:tcPr>
          <w:p w14:paraId="282152FB"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obligatorio; idioma por defecto de la evidencia</w:t>
            </w:r>
          </w:p>
        </w:tc>
      </w:tr>
      <w:tr w:rsidR="005504BC" w:rsidRPr="002F4F30" w14:paraId="3AE2B171"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41B52C64" w14:textId="77777777" w:rsidR="005504BC" w:rsidRPr="00081562" w:rsidRDefault="00F75757" w:rsidP="00081562">
            <w:pPr>
              <w:pStyle w:val="MDPARProfileSmall"/>
              <w:spacing w:after="0" w:line="240" w:lineRule="auto"/>
              <w:rPr>
                <w:sz w:val="16"/>
                <w:szCs w:val="20"/>
              </w:rPr>
            </w:pPr>
            <w:r w:rsidRPr="00081562">
              <w:rPr>
                <w:sz w:val="16"/>
                <w:szCs w:val="20"/>
              </w:rPr>
              <w:t>operator_report_language</w:t>
            </w:r>
          </w:p>
        </w:tc>
        <w:tc>
          <w:tcPr>
            <w:tcW w:w="1275" w:type="dxa"/>
          </w:tcPr>
          <w:p w14:paraId="5E74C07C"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language tag</w:t>
            </w:r>
          </w:p>
        </w:tc>
        <w:tc>
          <w:tcPr>
            <w:tcW w:w="4710" w:type="dxa"/>
          </w:tcPr>
          <w:p w14:paraId="40092BD0"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obligatorio; idioma del informe de operador</w:t>
            </w:r>
          </w:p>
        </w:tc>
      </w:tr>
      <w:tr w:rsidR="005504BC" w:rsidRPr="00081562" w14:paraId="4D3459FE" w14:textId="77777777" w:rsidTr="00081562">
        <w:tc>
          <w:tcPr>
            <w:cnfStyle w:val="001000000000" w:firstRow="0" w:lastRow="0" w:firstColumn="1" w:lastColumn="0" w:oddVBand="0" w:evenVBand="0" w:oddHBand="0" w:evenHBand="0" w:firstRowFirstColumn="0" w:firstRowLastColumn="0" w:lastRowFirstColumn="0" w:lastRowLastColumn="0"/>
            <w:tcW w:w="2802" w:type="dxa"/>
          </w:tcPr>
          <w:p w14:paraId="25BDFE97" w14:textId="77777777" w:rsidR="005504BC" w:rsidRPr="00081562" w:rsidRDefault="00F75757" w:rsidP="00081562">
            <w:pPr>
              <w:pStyle w:val="MDPARProfileSmall"/>
              <w:spacing w:after="0" w:line="240" w:lineRule="auto"/>
              <w:rPr>
                <w:sz w:val="16"/>
                <w:szCs w:val="20"/>
              </w:rPr>
            </w:pPr>
            <w:r w:rsidRPr="00081562">
              <w:rPr>
                <w:sz w:val="16"/>
                <w:szCs w:val="20"/>
              </w:rPr>
              <w:t>client_report_language</w:t>
            </w:r>
          </w:p>
        </w:tc>
        <w:tc>
          <w:tcPr>
            <w:tcW w:w="1275" w:type="dxa"/>
          </w:tcPr>
          <w:p w14:paraId="04DCA5B9"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language tag</w:t>
            </w:r>
          </w:p>
        </w:tc>
        <w:tc>
          <w:tcPr>
            <w:tcW w:w="4710" w:type="dxa"/>
          </w:tcPr>
          <w:p w14:paraId="1FCE6CE5"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opcional; segunda realización lingüística</w:t>
            </w:r>
          </w:p>
        </w:tc>
      </w:tr>
      <w:tr w:rsidR="005504BC" w:rsidRPr="002F4F30" w14:paraId="614121E5"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C6D4614" w14:textId="77777777" w:rsidR="005504BC" w:rsidRPr="00081562" w:rsidRDefault="00F75757" w:rsidP="00081562">
            <w:pPr>
              <w:pStyle w:val="MDPARProfileSmall"/>
              <w:spacing w:after="0" w:line="240" w:lineRule="auto"/>
              <w:rPr>
                <w:sz w:val="16"/>
                <w:szCs w:val="20"/>
              </w:rPr>
            </w:pPr>
            <w:r w:rsidRPr="00081562">
              <w:rPr>
                <w:sz w:val="16"/>
                <w:szCs w:val="20"/>
              </w:rPr>
              <w:t>interaction_id</w:t>
            </w:r>
          </w:p>
        </w:tc>
        <w:tc>
          <w:tcPr>
            <w:tcW w:w="1275" w:type="dxa"/>
          </w:tcPr>
          <w:p w14:paraId="3726612E"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string</w:t>
            </w:r>
          </w:p>
        </w:tc>
        <w:tc>
          <w:tcPr>
            <w:tcW w:w="4710" w:type="dxa"/>
          </w:tcPr>
          <w:p w14:paraId="566AFB8D"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opcional; continúa deliberadamente un caso longitudinal</w:t>
            </w:r>
          </w:p>
        </w:tc>
      </w:tr>
      <w:tr w:rsidR="005504BC" w:rsidRPr="002F4F30" w14:paraId="35F8628A" w14:textId="77777777" w:rsidTr="00081562">
        <w:tc>
          <w:tcPr>
            <w:cnfStyle w:val="001000000000" w:firstRow="0" w:lastRow="0" w:firstColumn="1" w:lastColumn="0" w:oddVBand="0" w:evenVBand="0" w:oddHBand="0" w:evenHBand="0" w:firstRowFirstColumn="0" w:firstRowLastColumn="0" w:lastRowFirstColumn="0" w:lastRowLastColumn="0"/>
            <w:tcW w:w="2802" w:type="dxa"/>
          </w:tcPr>
          <w:p w14:paraId="1ABE2795" w14:textId="77777777" w:rsidR="005504BC" w:rsidRPr="00081562" w:rsidRDefault="00F75757" w:rsidP="00081562">
            <w:pPr>
              <w:pStyle w:val="MDPARProfileSmall"/>
              <w:spacing w:after="0" w:line="240" w:lineRule="auto"/>
              <w:rPr>
                <w:sz w:val="16"/>
                <w:szCs w:val="20"/>
              </w:rPr>
            </w:pPr>
            <w:r w:rsidRPr="00081562">
              <w:rPr>
                <w:sz w:val="16"/>
                <w:szCs w:val="20"/>
              </w:rPr>
              <w:t>evidence_metadata</w:t>
            </w:r>
          </w:p>
        </w:tc>
        <w:tc>
          <w:tcPr>
            <w:tcW w:w="1275" w:type="dxa"/>
          </w:tcPr>
          <w:p w14:paraId="0C014D5C"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JSON UTF-8</w:t>
            </w:r>
          </w:p>
        </w:tc>
        <w:tc>
          <w:tcPr>
            <w:tcW w:w="4710" w:type="dxa"/>
          </w:tcPr>
          <w:p w14:paraId="290167D0"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opcional; máximo 1 MiB; alineado con las piezas aportadas</w:t>
            </w:r>
          </w:p>
        </w:tc>
      </w:tr>
      <w:tr w:rsidR="005504BC" w:rsidRPr="002F4F30" w14:paraId="4385E086"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14E92905" w14:textId="77777777" w:rsidR="005504BC" w:rsidRPr="00081562" w:rsidRDefault="00F75757" w:rsidP="00081562">
            <w:pPr>
              <w:pStyle w:val="MDPARProfileSmall"/>
              <w:spacing w:after="0" w:line="240" w:lineRule="auto"/>
              <w:rPr>
                <w:sz w:val="16"/>
                <w:szCs w:val="20"/>
              </w:rPr>
            </w:pPr>
            <w:r w:rsidRPr="00081562">
              <w:rPr>
                <w:sz w:val="16"/>
                <w:szCs w:val="20"/>
              </w:rPr>
              <w:t>additional_file_1 … additional_file_7</w:t>
            </w:r>
          </w:p>
        </w:tc>
        <w:tc>
          <w:tcPr>
            <w:tcW w:w="1275" w:type="dxa"/>
          </w:tcPr>
          <w:p w14:paraId="4FD752F9"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archivo</w:t>
            </w:r>
          </w:p>
        </w:tc>
        <w:tc>
          <w:tcPr>
            <w:tcW w:w="4710" w:type="dxa"/>
          </w:tcPr>
          <w:p w14:paraId="1296F01A"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opcionales; cardinalidad pública total 1–8; máximo 25 MiB cada uno</w:t>
            </w:r>
          </w:p>
        </w:tc>
      </w:tr>
    </w:tbl>
    <w:p w14:paraId="02034EAC" w14:textId="77777777" w:rsidR="00D40FA2" w:rsidRDefault="00D40FA2">
      <w:pPr>
        <w:pStyle w:val="MDPARThesisBody"/>
        <w:rPr>
          <w:lang w:val="es-ES"/>
        </w:rPr>
      </w:pPr>
    </w:p>
    <w:p w14:paraId="53EDD5BB" w14:textId="77777777" w:rsidR="005504BC" w:rsidRDefault="00F75757">
      <w:pPr>
        <w:pStyle w:val="MDPARThesisBody"/>
        <w:rPr>
          <w:lang w:val="es-ES"/>
        </w:rPr>
      </w:pPr>
      <w:r w:rsidRPr="000A2D71">
        <w:rPr>
          <w:lang w:val="es-ES"/>
        </w:rPr>
        <w:t xml:space="preserve">POST /assessment recibe de una a ocho piezas de evidencia, con límite de 25 MiB por archivo. file, source_language y operator_report_language son obligatorios; additional_file_1…7, client_report_language, interaction_id y evidence_metadata son opcionales. evidence_metadata se aporta como archivo JSON de hasta 1 MiB. interaction_id permite continuar deliberadamente un expediente y, cuando se suministra, debe respetar el identificador canónico: de 1 a 96 caracteres ASCII alfanuméricos, punto, guion bajo o guion, con inicio y final alfanuméricos. No hay selector público de dominio, </w:t>
      </w:r>
      <w:r w:rsidRPr="000A2D71">
        <w:rPr>
          <w:lang w:val="es-ES"/>
        </w:rPr>
        <w:lastRenderedPageBreak/>
        <w:t>de modo CLOSED/OPEN, de capacidades C0–C13, de objetivo libre ni de versión MDPAR: el routing y la autoridad siguen perteneciendo a MDPAR.</w:t>
      </w:r>
    </w:p>
    <w:p w14:paraId="662D3815" w14:textId="77777777" w:rsidR="00D40FA2" w:rsidRPr="000A2D71" w:rsidRDefault="00D40FA2">
      <w:pPr>
        <w:pStyle w:val="MDPARThesisBody"/>
        <w:rPr>
          <w:lang w:val="es-ES"/>
        </w:rPr>
      </w:pPr>
    </w:p>
    <w:p w14:paraId="6FCD639B" w14:textId="77777777" w:rsidR="005504BC" w:rsidRPr="000A2D71" w:rsidRDefault="00F75757" w:rsidP="0053457A">
      <w:pPr>
        <w:pStyle w:val="MDPARProfileH2"/>
        <w:spacing w:before="0" w:after="0" w:line="360" w:lineRule="auto"/>
        <w:ind w:firstLine="709"/>
        <w:jc w:val="both"/>
        <w:outlineLvl w:val="1"/>
        <w:rPr>
          <w:lang w:val="es-ES"/>
        </w:rPr>
      </w:pPr>
      <w:bookmarkStart w:id="161" w:name="_Toc242721997"/>
      <w:r w:rsidRPr="000A2D71">
        <w:rPr>
          <w:lang w:val="es-ES"/>
        </w:rPr>
        <w:t>C.5. evidence_metadata: contexto sin autoridad</w:t>
      </w:r>
      <w:bookmarkEnd w:id="161"/>
    </w:p>
    <w:p w14:paraId="35731351" w14:textId="77777777" w:rsidR="005504BC" w:rsidRPr="000A2D71" w:rsidRDefault="00F75757">
      <w:pPr>
        <w:pStyle w:val="MDPARThesisBody"/>
        <w:rPr>
          <w:lang w:val="es-ES"/>
        </w:rPr>
      </w:pPr>
      <w:r w:rsidRPr="000A2D71">
        <w:rPr>
          <w:lang w:val="es-ES"/>
        </w:rPr>
        <w:t>evidence_metadata es un archivo JSON que contiene un array con exactamente un objeto por pieza de evidencia, alineado con el orden de entrega. Sus campos admitidos son document_id, role, source_language y observed_at. Los identificadores deben ser válidos, no vacíos ni duplicados; se rechazan claves desconocidas. Estos campos describen procedencia y contexto: ni role ni cualquier otra etiqueta confieren verdad, autoridad estructural o valor probatorio a las afirmaciones de la fuente.</w:t>
      </w:r>
    </w:p>
    <w:p w14:paraId="1AB8D462" w14:textId="77777777" w:rsidR="005504BC" w:rsidRDefault="00F75757">
      <w:pPr>
        <w:pStyle w:val="MDPARThesisBody"/>
        <w:rPr>
          <w:lang w:val="es-ES"/>
        </w:rPr>
      </w:pPr>
      <w:r w:rsidRPr="000A2D71">
        <w:rPr>
          <w:lang w:val="es-ES"/>
        </w:rPr>
        <w:t>Estos metadatos aportan contexto y provenance, no verdad estructural. Etiquetar una pieza como SUPPORT o COUNTEREVIDENCE no obliga al sistema a concluir que soporta o refuta materialmente una afirmación. La función declarada y la relación efectivamente identificada permanecen separadas.</w:t>
      </w:r>
    </w:p>
    <w:p w14:paraId="3FB871CB" w14:textId="77777777" w:rsidR="0053457A" w:rsidRPr="000A2D71" w:rsidRDefault="0053457A">
      <w:pPr>
        <w:pStyle w:val="MDPARThesisBody"/>
        <w:rPr>
          <w:lang w:val="es-ES"/>
        </w:rPr>
      </w:pPr>
    </w:p>
    <w:p w14:paraId="21F24972" w14:textId="77777777" w:rsidR="005504BC" w:rsidRPr="000A2D71" w:rsidRDefault="00F75757" w:rsidP="0053457A">
      <w:pPr>
        <w:pStyle w:val="MDPARProfileH2"/>
        <w:spacing w:line="360" w:lineRule="auto"/>
        <w:ind w:firstLine="709"/>
        <w:jc w:val="both"/>
        <w:outlineLvl w:val="1"/>
        <w:rPr>
          <w:lang w:val="es-ES"/>
        </w:rPr>
      </w:pPr>
      <w:bookmarkStart w:id="162" w:name="_Toc242721998"/>
      <w:r w:rsidRPr="000A2D71">
        <w:rPr>
          <w:lang w:val="es-ES"/>
        </w:rPr>
        <w:t>C.6. Tipos de archivo, extracción y frontera de observabilidad</w:t>
      </w:r>
      <w:bookmarkEnd w:id="162"/>
    </w:p>
    <w:p w14:paraId="66F865F1" w14:textId="77777777" w:rsidR="005504BC" w:rsidRPr="000A2D71" w:rsidRDefault="00F75757">
      <w:pPr>
        <w:pStyle w:val="MDPARThesisBody"/>
        <w:rPr>
          <w:lang w:val="es-ES"/>
        </w:rPr>
      </w:pPr>
      <w:r w:rsidRPr="000A2D71">
        <w:rPr>
          <w:lang w:val="es-ES"/>
        </w:rPr>
        <w:t>La superficie manual admite .txt, .md, .json, .csv, .log, .pdf y .docx. La extracción corresponde al adapter y precede al ingress canónico. Para DOCX, la extracción textual de referencia (python-docx-text-v2) cubrió párrafos y tablas del cuerpo, además de encabezados y pies de sección; no examinó imágenes renderizadas, firmas escaneadas, cuadros de texto de la capa de dibujo, comentarios, semántica de cambios controlados, objetos OLE, autenticidad de metadatos ni autenticidad visual de la maquetación. Un PDF exclusivamente escaneado requiere OCR o percepción externa antes del ingress.</w:t>
      </w:r>
    </w:p>
    <w:p w14:paraId="626BABFC" w14:textId="77777777" w:rsidR="005504BC" w:rsidRDefault="00F75757">
      <w:pPr>
        <w:pStyle w:val="MDPARThesisBody"/>
        <w:rPr>
          <w:lang w:val="es-ES"/>
        </w:rPr>
      </w:pPr>
      <w:r w:rsidRPr="000A2D71">
        <w:rPr>
          <w:lang w:val="es-ES"/>
        </w:rPr>
        <w:t>La exhaustividad solo se predica de las superficies efectivamente extraídas. La ausencia de un elemento en imágenes, anexos no entregados o superficies no examinadas no puede deducirse del texto obtenido. La cobertura y sus límites deben permanecer visibles en el expediente y en las realizaciones destinadas al lector.</w:t>
      </w:r>
    </w:p>
    <w:p w14:paraId="57B1CFCB" w14:textId="77777777" w:rsidR="0053457A" w:rsidRPr="000A2D71" w:rsidRDefault="0053457A">
      <w:pPr>
        <w:pStyle w:val="MDPARThesisBody"/>
        <w:rPr>
          <w:lang w:val="es-ES"/>
        </w:rPr>
      </w:pPr>
    </w:p>
    <w:p w14:paraId="5B7D7224" w14:textId="77777777" w:rsidR="005504BC" w:rsidRPr="000A2D71" w:rsidRDefault="00F75757" w:rsidP="0053457A">
      <w:pPr>
        <w:pStyle w:val="MDPARProfileH2"/>
        <w:spacing w:before="0" w:after="0" w:line="360" w:lineRule="auto"/>
        <w:ind w:firstLine="709"/>
        <w:jc w:val="both"/>
        <w:outlineLvl w:val="1"/>
        <w:rPr>
          <w:lang w:val="es-ES"/>
        </w:rPr>
      </w:pPr>
      <w:bookmarkStart w:id="163" w:name="_Toc242721999"/>
      <w:r w:rsidRPr="000A2D71">
        <w:rPr>
          <w:lang w:val="es-ES"/>
        </w:rPr>
        <w:t>C.7. Flujo operacional canónico</w:t>
      </w:r>
      <w:bookmarkEnd w:id="163"/>
    </w:p>
    <w:p w14:paraId="7690AF48" w14:textId="77777777" w:rsidR="005504BC" w:rsidRPr="000A2D71" w:rsidRDefault="00F75757" w:rsidP="0053457A">
      <w:pPr>
        <w:pStyle w:val="MDPARThesisBody"/>
        <w:numPr>
          <w:ilvl w:val="0"/>
          <w:numId w:val="18"/>
        </w:numPr>
        <w:rPr>
          <w:lang w:val="es-ES"/>
        </w:rPr>
      </w:pPr>
      <w:r w:rsidRPr="000A2D71">
        <w:rPr>
          <w:lang w:val="es-ES"/>
        </w:rPr>
        <w:t>Ejecutar o comprobar MDPAR y el adapter.</w:t>
      </w:r>
    </w:p>
    <w:p w14:paraId="27A1660D" w14:textId="77777777" w:rsidR="005504BC" w:rsidRPr="000A2D71" w:rsidRDefault="00F75757" w:rsidP="0053457A">
      <w:pPr>
        <w:pStyle w:val="MDPARThesisBody"/>
        <w:numPr>
          <w:ilvl w:val="0"/>
          <w:numId w:val="18"/>
        </w:numPr>
        <w:rPr>
          <w:lang w:val="es-ES"/>
        </w:rPr>
      </w:pPr>
      <w:r w:rsidRPr="000A2D71">
        <w:rPr>
          <w:lang w:val="es-ES"/>
        </w:rPr>
        <w:t>Consultar /runtime y verificar identidad/readiness cuando la cadena de custodia lo requiera.</w:t>
      </w:r>
    </w:p>
    <w:p w14:paraId="75D4D52A" w14:textId="77777777" w:rsidR="005504BC" w:rsidRDefault="00F75757" w:rsidP="0053457A">
      <w:pPr>
        <w:pStyle w:val="MDPARThesisBody"/>
        <w:numPr>
          <w:ilvl w:val="0"/>
          <w:numId w:val="18"/>
        </w:numPr>
      </w:pPr>
      <w:r>
        <w:t>Abrir POST /assessment en Swagger.</w:t>
      </w:r>
    </w:p>
    <w:p w14:paraId="0102A14D" w14:textId="77777777" w:rsidR="005504BC" w:rsidRPr="000A2D71" w:rsidRDefault="00F75757" w:rsidP="0053457A">
      <w:pPr>
        <w:pStyle w:val="MDPARThesisBody"/>
        <w:numPr>
          <w:ilvl w:val="0"/>
          <w:numId w:val="18"/>
        </w:numPr>
        <w:rPr>
          <w:lang w:val="es-ES"/>
        </w:rPr>
      </w:pPr>
      <w:r w:rsidRPr="000A2D71">
        <w:rPr>
          <w:lang w:val="es-ES"/>
        </w:rPr>
        <w:lastRenderedPageBreak/>
        <w:t>Adjuntar la evidencia principal y, si procede, hasta siete piezas adicionales.</w:t>
      </w:r>
    </w:p>
    <w:p w14:paraId="5CF2AFF5" w14:textId="77777777" w:rsidR="005504BC" w:rsidRPr="000A2D71" w:rsidRDefault="00F75757" w:rsidP="0053457A">
      <w:pPr>
        <w:pStyle w:val="MDPARThesisBody"/>
        <w:numPr>
          <w:ilvl w:val="0"/>
          <w:numId w:val="18"/>
        </w:numPr>
        <w:rPr>
          <w:lang w:val="es-ES"/>
        </w:rPr>
      </w:pPr>
      <w:r w:rsidRPr="000A2D71">
        <w:rPr>
          <w:lang w:val="es-ES"/>
        </w:rPr>
        <w:t>Indicar source_language y operator_report_language; añadir client_report_language solo cuando se necesite una segunda realización.</w:t>
      </w:r>
    </w:p>
    <w:p w14:paraId="6555318E" w14:textId="77777777" w:rsidR="005504BC" w:rsidRPr="000A2D71" w:rsidRDefault="00F75757" w:rsidP="0053457A">
      <w:pPr>
        <w:pStyle w:val="MDPARThesisBody"/>
        <w:numPr>
          <w:ilvl w:val="0"/>
          <w:numId w:val="18"/>
        </w:numPr>
        <w:rPr>
          <w:lang w:val="es-ES"/>
        </w:rPr>
      </w:pPr>
      <w:r w:rsidRPr="000A2D71">
        <w:rPr>
          <w:lang w:val="es-ES"/>
        </w:rPr>
        <w:t>Dejar interaction_id vacío para un caso nuevo o aportar el identificador canónico del caso que se continúa.</w:t>
      </w:r>
    </w:p>
    <w:p w14:paraId="105AFAF1" w14:textId="77777777" w:rsidR="005504BC" w:rsidRPr="000A2D71" w:rsidRDefault="00F75757" w:rsidP="0053457A">
      <w:pPr>
        <w:pStyle w:val="MDPARThesisBody"/>
        <w:numPr>
          <w:ilvl w:val="0"/>
          <w:numId w:val="18"/>
        </w:numPr>
        <w:rPr>
          <w:lang w:val="es-ES"/>
        </w:rPr>
      </w:pPr>
      <w:r w:rsidRPr="000A2D71">
        <w:rPr>
          <w:lang w:val="es-ES"/>
        </w:rPr>
        <w:t>Adjuntar evidence_metadata únicamente cuando aporte procedencia útil y esté alineado con las piezas entregadas.</w:t>
      </w:r>
    </w:p>
    <w:p w14:paraId="0D59A7AD" w14:textId="77777777" w:rsidR="005504BC" w:rsidRPr="000A2D71" w:rsidRDefault="00F75757" w:rsidP="0053457A">
      <w:pPr>
        <w:pStyle w:val="MDPARThesisBody"/>
        <w:numPr>
          <w:ilvl w:val="0"/>
          <w:numId w:val="18"/>
        </w:numPr>
        <w:rPr>
          <w:lang w:val="es-ES"/>
        </w:rPr>
      </w:pPr>
      <w:r w:rsidRPr="000A2D71">
        <w:rPr>
          <w:lang w:val="es-ES"/>
        </w:rPr>
        <w:t>Ejecutar la petición y conservar el JSON canónico de respuesta.</w:t>
      </w:r>
    </w:p>
    <w:p w14:paraId="43824D32" w14:textId="77777777" w:rsidR="005504BC" w:rsidRPr="000A2D71" w:rsidRDefault="00F75757" w:rsidP="0053457A">
      <w:pPr>
        <w:pStyle w:val="MDPARThesisBody"/>
        <w:numPr>
          <w:ilvl w:val="0"/>
          <w:numId w:val="18"/>
        </w:numPr>
        <w:rPr>
          <w:lang w:val="es-ES"/>
        </w:rPr>
      </w:pPr>
      <w:r w:rsidRPr="000A2D71">
        <w:rPr>
          <w:lang w:val="es-ES"/>
        </w:rPr>
        <w:t>Descargar los DOCX mediante los download_url devueltos o la ruta canónica de reports.</w:t>
      </w:r>
    </w:p>
    <w:p w14:paraId="78D85D97" w14:textId="77777777" w:rsidR="005504BC" w:rsidRDefault="00F75757" w:rsidP="0053457A">
      <w:pPr>
        <w:pStyle w:val="MDPARThesisBody"/>
        <w:numPr>
          <w:ilvl w:val="0"/>
          <w:numId w:val="18"/>
        </w:numPr>
        <w:rPr>
          <w:lang w:val="es-ES"/>
        </w:rPr>
      </w:pPr>
      <w:r w:rsidRPr="000A2D71">
        <w:rPr>
          <w:lang w:val="es-ES"/>
        </w:rPr>
        <w:t>Archivar evidencia original, JSON, informes, JAR identificado por SHA-256, configuración del proveedor y snapshots relevantes.</w:t>
      </w:r>
    </w:p>
    <w:p w14:paraId="1F8B4F50" w14:textId="77777777" w:rsidR="0053457A" w:rsidRPr="000A2D71" w:rsidRDefault="0053457A" w:rsidP="0053457A">
      <w:pPr>
        <w:pStyle w:val="MDPARThesisBody"/>
        <w:ind w:firstLine="0"/>
        <w:rPr>
          <w:lang w:val="es-ES"/>
        </w:rPr>
      </w:pPr>
    </w:p>
    <w:p w14:paraId="3E6E6171" w14:textId="77777777" w:rsidR="001444FB" w:rsidRDefault="001444FB" w:rsidP="0053457A">
      <w:pPr>
        <w:pStyle w:val="MDPARProfileH2"/>
        <w:spacing w:before="0" w:after="0" w:line="360" w:lineRule="auto"/>
        <w:ind w:firstLine="709"/>
        <w:jc w:val="both"/>
        <w:outlineLvl w:val="1"/>
        <w:rPr>
          <w:lang w:val="es-ES"/>
        </w:rPr>
      </w:pPr>
      <w:bookmarkStart w:id="164" w:name="_Toc242722000"/>
      <w:r>
        <w:rPr>
          <w:lang w:val="es-ES"/>
        </w:rPr>
        <w:t>C.8. Fuente de verdad y derivación de informes</w:t>
      </w:r>
      <w:bookmarkEnd w:id="164"/>
    </w:p>
    <w:p w14:paraId="2B9CFA6D" w14:textId="77777777" w:rsidR="005504BC" w:rsidRPr="001444FB" w:rsidRDefault="00F75757" w:rsidP="001444FB">
      <w:pPr>
        <w:pStyle w:val="MDPARProfileH2"/>
        <w:spacing w:before="0" w:after="0" w:line="360" w:lineRule="auto"/>
        <w:ind w:firstLine="709"/>
        <w:jc w:val="both"/>
        <w:rPr>
          <w:b w:val="0"/>
          <w:bCs/>
          <w:lang w:val="es-ES"/>
        </w:rPr>
      </w:pPr>
      <w:r w:rsidRPr="001444FB">
        <w:rPr>
          <w:b w:val="0"/>
          <w:bCs/>
          <w:lang w:val="es-ES"/>
        </w:rPr>
        <w:t>El JSON canónico devuelto por POST /assessment es la fuente de verdad operacional. Los DOCX de operador y cliente son realizaciones posteriores del mismo análisis; pueden coincidir en un único documento OPERATOR_AND_CLIENT si comparten idioma. Los enlaces download_url identifican la ruta exacta de recuperación. La capa narrativa puede ordenar y explicar el resultado, pero no introducir hechos externos como si hubieran sido comprobados ni convertir UNKNOWN en certeza. Un fallo posterior de publicación puede declararse mediante reports.status=FAILED sin reescribir el resultado canónico completado.</w:t>
      </w:r>
    </w:p>
    <w:p w14:paraId="4040014A" w14:textId="77777777" w:rsidR="005504BC" w:rsidRPr="000A2D71" w:rsidRDefault="00F75757">
      <w:pPr>
        <w:pStyle w:val="MDPARThesisBody"/>
        <w:rPr>
          <w:lang w:val="es-ES"/>
        </w:rPr>
      </w:pPr>
      <w:r w:rsidRPr="000A2D71">
        <w:rPr>
          <w:lang w:val="es-ES"/>
        </w:rPr>
        <w:t>El JSON canónico es la fuente de verdad operacional. El informe de operador y, cuando exista, el informe de cliente son realizaciones derivadas. La capa de publicación puede explicar, ordenar y adaptar el idioma, pero no debe introducir hallazgos incompatibles con el resultado canónico ni convertir UNKNOWN en certeza.</w:t>
      </w:r>
    </w:p>
    <w:p w14:paraId="727E379E" w14:textId="77777777" w:rsidR="005504BC" w:rsidRDefault="00F75757">
      <w:pPr>
        <w:pStyle w:val="MDPARThesisBody"/>
        <w:rPr>
          <w:lang w:val="es-ES"/>
        </w:rPr>
      </w:pPr>
      <w:r w:rsidRPr="000A2D71">
        <w:rPr>
          <w:lang w:val="es-ES"/>
        </w:rPr>
        <w:t>Si el análisis canónico se completa y falla posteriormente la generación de un informe humano, el assessment puede conservar su validez canónica y declarar reports.status=FAILED. La narrativa y el renderizado son posteriores al análisis; su fallo no reescribe retrospectivamente el objeto estructural ya producido.</w:t>
      </w:r>
    </w:p>
    <w:p w14:paraId="6F288A07" w14:textId="77777777" w:rsidR="0053457A" w:rsidRPr="000A2D71" w:rsidRDefault="0053457A">
      <w:pPr>
        <w:pStyle w:val="MDPARThesisBody"/>
        <w:rPr>
          <w:lang w:val="es-ES"/>
        </w:rPr>
      </w:pPr>
    </w:p>
    <w:p w14:paraId="01442276" w14:textId="77777777" w:rsidR="001444FB" w:rsidRDefault="001444FB" w:rsidP="0053457A">
      <w:pPr>
        <w:pStyle w:val="MDPARProfileH2"/>
        <w:spacing w:before="0" w:after="0" w:line="360" w:lineRule="auto"/>
        <w:ind w:firstLine="709"/>
        <w:jc w:val="both"/>
        <w:outlineLvl w:val="1"/>
        <w:rPr>
          <w:lang w:val="es-ES"/>
        </w:rPr>
      </w:pPr>
      <w:bookmarkStart w:id="165" w:name="_Toc242722001"/>
      <w:r>
        <w:rPr>
          <w:lang w:val="es-ES"/>
        </w:rPr>
        <w:t>C.9. Audit provenance</w:t>
      </w:r>
      <w:bookmarkEnd w:id="165"/>
    </w:p>
    <w:p w14:paraId="2DEABC58" w14:textId="77777777" w:rsidR="005504BC" w:rsidRPr="005031FA" w:rsidRDefault="00F75757" w:rsidP="005031FA">
      <w:pPr>
        <w:pStyle w:val="MDPARProfileH2"/>
        <w:spacing w:before="0" w:after="0" w:line="360" w:lineRule="auto"/>
        <w:ind w:firstLine="709"/>
        <w:jc w:val="both"/>
        <w:rPr>
          <w:b w:val="0"/>
          <w:bCs/>
          <w:lang w:val="es-ES"/>
        </w:rPr>
      </w:pPr>
      <w:r w:rsidRPr="001444FB">
        <w:rPr>
          <w:b w:val="0"/>
          <w:bCs/>
          <w:lang w:val="es-ES"/>
        </w:rPr>
        <w:t xml:space="preserve">El esquema observado en 2.3.0 </w:t>
      </w:r>
      <w:r w:rsidR="001444FB">
        <w:rPr>
          <w:b w:val="0"/>
          <w:bCs/>
          <w:lang w:val="es-ES"/>
        </w:rPr>
        <w:t>es</w:t>
      </w:r>
      <w:r w:rsidRPr="001444FB">
        <w:rPr>
          <w:b w:val="0"/>
          <w:bCs/>
          <w:lang w:val="es-ES"/>
        </w:rPr>
        <w:t xml:space="preserve"> MDPAR-AUDIT-PROVENANCE-6. Sus superficies incluyen identidad del software, integridad de evidencia y resultado, contrato </w:t>
      </w:r>
      <w:r w:rsidRPr="001444FB">
        <w:rPr>
          <w:b w:val="0"/>
          <w:bCs/>
          <w:lang w:val="es-ES"/>
        </w:rPr>
        <w:lastRenderedPageBreak/>
        <w:t>lingüístico, contrato del servicio, fronteras de autoridad, validación CLOSED, incertidumbre y fallos, telemetría, reproducibilidad, diferenciación arquitectónica y separación de clases de afirmaciones. El registro de referencia distingue componentes deterministas (hashing, routing canónico, canonización SCC, ENGINE, estado longitudinal, aritmética del ledger y renderizado DOCX) y componentes neuronales (identificación, dirección, realización, verificación OPEN y realización narrativa). La procedencia registra lo ejecutado; los hashes no certifican la autenticidad externa de los hechos.</w:t>
      </w:r>
    </w:p>
    <w:tbl>
      <w:tblPr>
        <w:tblStyle w:val="Tablanormal2"/>
        <w:tblW w:w="0" w:type="auto"/>
        <w:tblLook w:val="04A0" w:firstRow="1" w:lastRow="0" w:firstColumn="1" w:lastColumn="0" w:noHBand="0" w:noVBand="1"/>
      </w:tblPr>
      <w:tblGrid>
        <w:gridCol w:w="2093"/>
        <w:gridCol w:w="6693"/>
      </w:tblGrid>
      <w:tr w:rsidR="005504BC" w:rsidRPr="00081562" w14:paraId="7D28E577"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1484DA5" w14:textId="77777777" w:rsidR="005504BC" w:rsidRPr="00081562" w:rsidRDefault="00F75757" w:rsidP="00081562">
            <w:pPr>
              <w:pStyle w:val="MDPARProfileSmall"/>
              <w:spacing w:after="0" w:line="240" w:lineRule="auto"/>
              <w:rPr>
                <w:sz w:val="16"/>
                <w:szCs w:val="16"/>
              </w:rPr>
            </w:pPr>
            <w:r w:rsidRPr="00081562">
              <w:rPr>
                <w:sz w:val="16"/>
                <w:szCs w:val="16"/>
              </w:rPr>
              <w:t>Superficie</w:t>
            </w:r>
          </w:p>
        </w:tc>
        <w:tc>
          <w:tcPr>
            <w:tcW w:w="6693" w:type="dxa"/>
          </w:tcPr>
          <w:p w14:paraId="6DD77177"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081562">
              <w:rPr>
                <w:sz w:val="16"/>
                <w:szCs w:val="16"/>
              </w:rPr>
              <w:t>Contenido mínimo</w:t>
            </w:r>
          </w:p>
        </w:tc>
      </w:tr>
      <w:tr w:rsidR="005504BC" w:rsidRPr="002F4F30" w14:paraId="0B1624CD"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4F7F8CC" w14:textId="77777777" w:rsidR="005504BC" w:rsidRPr="00081562" w:rsidRDefault="00F75757" w:rsidP="00081562">
            <w:pPr>
              <w:pStyle w:val="MDPARProfileSmall"/>
              <w:spacing w:after="0" w:line="240" w:lineRule="auto"/>
              <w:rPr>
                <w:sz w:val="16"/>
                <w:szCs w:val="16"/>
              </w:rPr>
            </w:pPr>
            <w:r w:rsidRPr="00081562">
              <w:rPr>
                <w:sz w:val="16"/>
                <w:szCs w:val="16"/>
              </w:rPr>
              <w:t>Identidad del software</w:t>
            </w:r>
          </w:p>
        </w:tc>
        <w:tc>
          <w:tcPr>
            <w:tcW w:w="6693" w:type="dxa"/>
          </w:tcPr>
          <w:p w14:paraId="5810799B"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081562">
              <w:rPr>
                <w:sz w:val="16"/>
                <w:szCs w:val="16"/>
                <w:lang w:val="es-ES"/>
              </w:rPr>
              <w:t>versión MDPAR observada, hash del JAR, versión/hash del adapter, interaction_id</w:t>
            </w:r>
          </w:p>
        </w:tc>
      </w:tr>
      <w:tr w:rsidR="005504BC" w:rsidRPr="002F4F30" w14:paraId="5812B450" w14:textId="77777777" w:rsidTr="00081562">
        <w:tc>
          <w:tcPr>
            <w:cnfStyle w:val="001000000000" w:firstRow="0" w:lastRow="0" w:firstColumn="1" w:lastColumn="0" w:oddVBand="0" w:evenVBand="0" w:oddHBand="0" w:evenHBand="0" w:firstRowFirstColumn="0" w:firstRowLastColumn="0" w:lastRowFirstColumn="0" w:lastRowLastColumn="0"/>
            <w:tcW w:w="2093" w:type="dxa"/>
          </w:tcPr>
          <w:p w14:paraId="6B8E78C1" w14:textId="77777777" w:rsidR="005504BC" w:rsidRPr="00081562" w:rsidRDefault="00F75757" w:rsidP="00081562">
            <w:pPr>
              <w:pStyle w:val="MDPARProfileSmall"/>
              <w:spacing w:after="0" w:line="240" w:lineRule="auto"/>
              <w:rPr>
                <w:sz w:val="16"/>
                <w:szCs w:val="16"/>
              </w:rPr>
            </w:pPr>
            <w:r w:rsidRPr="00081562">
              <w:rPr>
                <w:sz w:val="16"/>
                <w:szCs w:val="16"/>
              </w:rPr>
              <w:t>Integridad de evidencia</w:t>
            </w:r>
          </w:p>
        </w:tc>
        <w:tc>
          <w:tcPr>
            <w:tcW w:w="6693" w:type="dxa"/>
          </w:tcPr>
          <w:p w14:paraId="53BB6B5D"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081562">
              <w:rPr>
                <w:sz w:val="16"/>
                <w:szCs w:val="16"/>
                <w:lang w:val="es-ES"/>
              </w:rPr>
              <w:t>hash por pieza, hash compuesto y hash del resultado canónico</w:t>
            </w:r>
          </w:p>
        </w:tc>
      </w:tr>
      <w:tr w:rsidR="005504BC" w:rsidRPr="002F4F30" w14:paraId="20A8665C"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09C3F9F" w14:textId="77777777" w:rsidR="005504BC" w:rsidRPr="00081562" w:rsidRDefault="00F75757" w:rsidP="00081562">
            <w:pPr>
              <w:pStyle w:val="MDPARProfileSmall"/>
              <w:spacing w:after="0" w:line="240" w:lineRule="auto"/>
              <w:rPr>
                <w:sz w:val="16"/>
                <w:szCs w:val="16"/>
              </w:rPr>
            </w:pPr>
            <w:r w:rsidRPr="00081562">
              <w:rPr>
                <w:sz w:val="16"/>
                <w:szCs w:val="16"/>
              </w:rPr>
              <w:t>Contrato lingüístico</w:t>
            </w:r>
          </w:p>
        </w:tc>
        <w:tc>
          <w:tcPr>
            <w:tcW w:w="6693" w:type="dxa"/>
          </w:tcPr>
          <w:p w14:paraId="65419971"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081562">
              <w:rPr>
                <w:sz w:val="16"/>
                <w:szCs w:val="16"/>
                <w:lang w:val="es-ES"/>
              </w:rPr>
              <w:t>idioma de fuente, operador y cliente</w:t>
            </w:r>
          </w:p>
        </w:tc>
      </w:tr>
      <w:tr w:rsidR="005504BC" w:rsidRPr="002F4F30" w14:paraId="0A6C981F" w14:textId="77777777" w:rsidTr="00081562">
        <w:tc>
          <w:tcPr>
            <w:cnfStyle w:val="001000000000" w:firstRow="0" w:lastRow="0" w:firstColumn="1" w:lastColumn="0" w:oddVBand="0" w:evenVBand="0" w:oddHBand="0" w:evenHBand="0" w:firstRowFirstColumn="0" w:firstRowLastColumn="0" w:lastRowFirstColumn="0" w:lastRowLastColumn="0"/>
            <w:tcW w:w="2093" w:type="dxa"/>
          </w:tcPr>
          <w:p w14:paraId="776B96E2" w14:textId="77777777" w:rsidR="005504BC" w:rsidRPr="00081562" w:rsidRDefault="00F75757" w:rsidP="00081562">
            <w:pPr>
              <w:pStyle w:val="MDPARProfileSmall"/>
              <w:spacing w:after="0" w:line="240" w:lineRule="auto"/>
              <w:rPr>
                <w:sz w:val="16"/>
                <w:szCs w:val="16"/>
              </w:rPr>
            </w:pPr>
            <w:r w:rsidRPr="00081562">
              <w:rPr>
                <w:sz w:val="16"/>
                <w:szCs w:val="16"/>
              </w:rPr>
              <w:t>Fronteras de autoridad</w:t>
            </w:r>
          </w:p>
        </w:tc>
        <w:tc>
          <w:tcPr>
            <w:tcW w:w="6693" w:type="dxa"/>
          </w:tcPr>
          <w:p w14:paraId="75885688" w14:textId="77777777" w:rsidR="00163017" w:rsidRPr="00081562" w:rsidRDefault="00522F42" w:rsidP="00081562">
            <w:pPr>
              <w:spacing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081562">
              <w:rPr>
                <w:sz w:val="16"/>
                <w:szCs w:val="16"/>
                <w:lang w:val="es-ES"/>
              </w:rPr>
              <w:t>Modo, coordenadas CLOSED, StructuralMark C/S/L, contratos, componentes deterministas y neuronales; incertidumbre separada de la marca</w:t>
            </w:r>
          </w:p>
        </w:tc>
      </w:tr>
      <w:tr w:rsidR="005504BC" w:rsidRPr="002F4F30" w14:paraId="69094F43"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314825B" w14:textId="77777777" w:rsidR="005504BC" w:rsidRPr="00081562" w:rsidRDefault="00F75757" w:rsidP="00081562">
            <w:pPr>
              <w:pStyle w:val="MDPARProfileSmall"/>
              <w:spacing w:after="0" w:line="240" w:lineRule="auto"/>
              <w:rPr>
                <w:sz w:val="16"/>
                <w:szCs w:val="16"/>
              </w:rPr>
            </w:pPr>
            <w:r w:rsidRPr="00081562">
              <w:rPr>
                <w:sz w:val="16"/>
                <w:szCs w:val="16"/>
              </w:rPr>
              <w:t>Reproducibilidad</w:t>
            </w:r>
          </w:p>
        </w:tc>
        <w:tc>
          <w:tcPr>
            <w:tcW w:w="6693" w:type="dxa"/>
          </w:tcPr>
          <w:p w14:paraId="44D98D2A"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16"/>
                <w:lang w:val="es-ES"/>
              </w:rPr>
            </w:pPr>
            <w:r w:rsidRPr="00081562">
              <w:rPr>
                <w:sz w:val="16"/>
                <w:szCs w:val="16"/>
                <w:lang w:val="es-ES"/>
              </w:rPr>
              <w:t>clase de replay, snapshot del proveedor, estabilidad OPEN cuando proceda, telemetría y artefactos a archivar</w:t>
            </w:r>
          </w:p>
        </w:tc>
      </w:tr>
      <w:tr w:rsidR="005504BC" w:rsidRPr="002F4F30" w14:paraId="20E58E60" w14:textId="77777777" w:rsidTr="00081562">
        <w:tc>
          <w:tcPr>
            <w:cnfStyle w:val="001000000000" w:firstRow="0" w:lastRow="0" w:firstColumn="1" w:lastColumn="0" w:oddVBand="0" w:evenVBand="0" w:oddHBand="0" w:evenHBand="0" w:firstRowFirstColumn="0" w:firstRowLastColumn="0" w:lastRowFirstColumn="0" w:lastRowLastColumn="0"/>
            <w:tcW w:w="2093" w:type="dxa"/>
          </w:tcPr>
          <w:p w14:paraId="2532A75E" w14:textId="77777777" w:rsidR="005504BC" w:rsidRPr="00081562" w:rsidRDefault="00F75757" w:rsidP="00081562">
            <w:pPr>
              <w:pStyle w:val="MDPARProfileSmall"/>
              <w:spacing w:after="0" w:line="240" w:lineRule="auto"/>
              <w:rPr>
                <w:sz w:val="16"/>
                <w:szCs w:val="16"/>
              </w:rPr>
            </w:pPr>
            <w:r w:rsidRPr="00081562">
              <w:rPr>
                <w:sz w:val="16"/>
                <w:szCs w:val="16"/>
              </w:rPr>
              <w:t>Límites</w:t>
            </w:r>
          </w:p>
        </w:tc>
        <w:tc>
          <w:tcPr>
            <w:tcW w:w="6693" w:type="dxa"/>
          </w:tcPr>
          <w:p w14:paraId="234B7573"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081562">
              <w:rPr>
                <w:sz w:val="16"/>
                <w:szCs w:val="16"/>
                <w:lang w:val="es-ES"/>
              </w:rPr>
              <w:t>UNKNOWN, superficies no examinadas, fallos y advertencias</w:t>
            </w:r>
          </w:p>
        </w:tc>
      </w:tr>
    </w:tbl>
    <w:p w14:paraId="2193CB4C" w14:textId="77777777" w:rsidR="0053457A" w:rsidRDefault="0053457A">
      <w:pPr>
        <w:pStyle w:val="MDPARProfileH2"/>
        <w:rPr>
          <w:lang w:val="es-ES"/>
        </w:rPr>
      </w:pPr>
    </w:p>
    <w:p w14:paraId="3DEAF4F5" w14:textId="77777777" w:rsidR="005504BC" w:rsidRPr="000A2D71" w:rsidRDefault="00F75757" w:rsidP="002819CE">
      <w:pPr>
        <w:pStyle w:val="MDPARProfileH2"/>
        <w:spacing w:before="0" w:after="0"/>
        <w:ind w:firstLine="709"/>
        <w:jc w:val="both"/>
        <w:outlineLvl w:val="1"/>
        <w:rPr>
          <w:lang w:val="es-ES"/>
        </w:rPr>
      </w:pPr>
      <w:bookmarkStart w:id="166" w:name="_Toc242722002"/>
      <w:r w:rsidRPr="000A2D71">
        <w:rPr>
          <w:lang w:val="es-ES"/>
        </w:rPr>
        <w:t>C.10. Plantilla canónica agnóstica de assessment</w:t>
      </w:r>
      <w:bookmarkEnd w:id="166"/>
    </w:p>
    <w:p w14:paraId="79C42661" w14:textId="77777777" w:rsidR="005504BC" w:rsidRPr="000A2D71" w:rsidRDefault="00F75757">
      <w:pPr>
        <w:pStyle w:val="MDPARThesisBody"/>
        <w:rPr>
          <w:lang w:val="es-ES"/>
        </w:rPr>
      </w:pPr>
      <w:r w:rsidRPr="000A2D71">
        <w:rPr>
          <w:lang w:val="es-ES"/>
        </w:rPr>
        <w:t>La plantilla siguiente es agnóstica al dominio y debe publicarse con placeholders o ejemplos sintéticos. Sus bloques separan evidencia observada, ocurrencias indexadas, relaciones y trayectorias estructurales, claims de la fuente, incertidumbre y autoridad externa. StructuralMark es una marca exacta, no ordinal, de evaluaciones ENGINE: C registra acuerdo exacto de ocurrencias indexadas, S estabilidad estructural leave-one-out y L legibilidad del estado. Sus categorías son MINIMUM, PARTIAL, MAXIMUM y NOT_ESTIMABLE; no incorpora incertidumbre ni admite agregación en una puntuación. En la ejecución de referencia consta C:NA|S:NA|L:MAX, sin coordenadas CLOSED instaladas.</w:t>
      </w:r>
    </w:p>
    <w:tbl>
      <w:tblPr>
        <w:tblW w:w="0" w:type="auto"/>
        <w:jc w:val="center"/>
        <w:tblLook w:val="04A0" w:firstRow="1" w:lastRow="0" w:firstColumn="1" w:lastColumn="0" w:noHBand="0" w:noVBand="1"/>
      </w:tblPr>
      <w:tblGrid>
        <w:gridCol w:w="8787"/>
      </w:tblGrid>
      <w:tr w:rsidR="005504BC" w:rsidRPr="002F4F30" w14:paraId="4DF7ADA5" w14:textId="77777777">
        <w:trPr>
          <w:cantSplit/>
          <w:jc w:val="center"/>
        </w:trPr>
        <w:tc>
          <w:tcPr>
            <w:tcW w:w="8787" w:type="dxa"/>
            <w:tcBorders>
              <w:top w:val="single" w:sz="5" w:space="0" w:color="9AAAB8"/>
              <w:bottom w:val="single" w:sz="5" w:space="0" w:color="9AAAB8"/>
            </w:tcBorders>
            <w:shd w:val="clear" w:color="auto" w:fill="FFFFFF"/>
            <w:vAlign w:val="center"/>
          </w:tcPr>
          <w:p w14:paraId="75014D19" w14:textId="77777777" w:rsidR="005504BC" w:rsidRPr="000A2D71" w:rsidRDefault="00F75757" w:rsidP="002819CE">
            <w:pPr>
              <w:pStyle w:val="MDPARProfileCallout"/>
              <w:spacing w:before="60" w:after="60" w:line="360" w:lineRule="auto"/>
              <w:rPr>
                <w:lang w:val="es-ES"/>
              </w:rPr>
            </w:pPr>
            <w:r w:rsidRPr="002819CE">
              <w:rPr>
                <w:sz w:val="20"/>
                <w:szCs w:val="18"/>
                <w:lang w:val="es-ES"/>
              </w:rPr>
              <w:t>IDENTIDAD DEL ASSESSMENT</w:t>
            </w:r>
            <w:r w:rsidRPr="002819CE">
              <w:rPr>
                <w:sz w:val="20"/>
                <w:szCs w:val="18"/>
                <w:lang w:val="es-ES"/>
              </w:rPr>
              <w:br/>
              <w:t>interaction_id: [ID_CANÓNICO]</w:t>
            </w:r>
            <w:r w:rsidRPr="002819CE">
              <w:rPr>
                <w:sz w:val="20"/>
                <w:szCs w:val="18"/>
                <w:lang w:val="es-ES"/>
              </w:rPr>
              <w:br/>
              <w:t>MDPAR: [VERSIÓN_OBSERVADA]</w:t>
            </w:r>
            <w:r w:rsidRPr="002819CE">
              <w:rPr>
                <w:sz w:val="20"/>
                <w:szCs w:val="18"/>
                <w:lang w:val="es-ES"/>
              </w:rPr>
              <w:br/>
              <w:t>JAR SHA-256: [HASH]</w:t>
            </w:r>
            <w:r w:rsidRPr="002819CE">
              <w:rPr>
                <w:sz w:val="20"/>
                <w:szCs w:val="18"/>
                <w:lang w:val="es-ES"/>
              </w:rPr>
              <w:br/>
              <w:t>Adapter: [VERSIÓN/HASH]</w:t>
            </w:r>
            <w:r w:rsidRPr="002819CE">
              <w:rPr>
                <w:sz w:val="20"/>
                <w:szCs w:val="18"/>
                <w:lang w:val="es-ES"/>
              </w:rPr>
              <w:br/>
              <w:t>Fecha/hora: [TIMESTAMP]</w:t>
            </w:r>
            <w:r w:rsidRPr="002819CE">
              <w:rPr>
                <w:sz w:val="20"/>
                <w:szCs w:val="18"/>
                <w:lang w:val="es-ES"/>
              </w:rPr>
              <w:br/>
              <w:t>Propósito: EXHAUSTIVE_STRUCTURAL_EVIDENCE_ASSESSMENT</w:t>
            </w:r>
          </w:p>
        </w:tc>
      </w:tr>
    </w:tbl>
    <w:p w14:paraId="31CD6CA2" w14:textId="77777777" w:rsidR="005504BC" w:rsidRDefault="00F75757" w:rsidP="005031FA">
      <w:pPr>
        <w:pStyle w:val="MDPARProfileH2"/>
        <w:spacing w:line="360" w:lineRule="auto"/>
        <w:ind w:firstLine="709"/>
        <w:jc w:val="both"/>
      </w:pPr>
      <w:r>
        <w:t>A. Evidencia y cobertura</w:t>
      </w:r>
    </w:p>
    <w:tbl>
      <w:tblPr>
        <w:tblStyle w:val="Tablanormal2"/>
        <w:tblW w:w="0" w:type="auto"/>
        <w:tblLook w:val="04A0" w:firstRow="1" w:lastRow="0" w:firstColumn="1" w:lastColumn="0" w:noHBand="0" w:noVBand="1"/>
      </w:tblPr>
      <w:tblGrid>
        <w:gridCol w:w="4393"/>
        <w:gridCol w:w="4393"/>
      </w:tblGrid>
      <w:tr w:rsidR="005504BC" w:rsidRPr="00081562" w14:paraId="4E6BFB1A"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30CD4697" w14:textId="77777777" w:rsidR="005504BC" w:rsidRPr="00081562" w:rsidRDefault="00F75757" w:rsidP="00081562">
            <w:pPr>
              <w:pStyle w:val="MDPARProfileSmall"/>
              <w:spacing w:after="0" w:line="240" w:lineRule="auto"/>
              <w:rPr>
                <w:sz w:val="16"/>
                <w:szCs w:val="20"/>
              </w:rPr>
            </w:pPr>
            <w:r w:rsidRPr="00081562">
              <w:rPr>
                <w:sz w:val="16"/>
                <w:szCs w:val="20"/>
              </w:rPr>
              <w:t>Campo</w:t>
            </w:r>
          </w:p>
        </w:tc>
        <w:tc>
          <w:tcPr>
            <w:tcW w:w="4393" w:type="dxa"/>
          </w:tcPr>
          <w:p w14:paraId="4E19CA20"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Contenido de plantilla</w:t>
            </w:r>
          </w:p>
        </w:tc>
      </w:tr>
      <w:tr w:rsidR="005504BC" w:rsidRPr="00081562" w14:paraId="5F03A777"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1F8CE73E" w14:textId="77777777" w:rsidR="005504BC" w:rsidRPr="00081562" w:rsidRDefault="00F75757" w:rsidP="00081562">
            <w:pPr>
              <w:pStyle w:val="MDPARProfileSmall"/>
              <w:spacing w:after="0" w:line="240" w:lineRule="auto"/>
              <w:rPr>
                <w:sz w:val="16"/>
                <w:szCs w:val="20"/>
              </w:rPr>
            </w:pPr>
            <w:r w:rsidRPr="00081562">
              <w:rPr>
                <w:sz w:val="16"/>
                <w:szCs w:val="20"/>
              </w:rPr>
              <w:t>Pieza</w:t>
            </w:r>
          </w:p>
        </w:tc>
        <w:tc>
          <w:tcPr>
            <w:tcW w:w="4393" w:type="dxa"/>
          </w:tcPr>
          <w:p w14:paraId="7B900458"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[DOC-01 / DOC-02 / …]</w:t>
            </w:r>
          </w:p>
        </w:tc>
      </w:tr>
      <w:tr w:rsidR="005504BC" w:rsidRPr="00081562" w14:paraId="692A0345"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2A3C780B" w14:textId="77777777" w:rsidR="005504BC" w:rsidRPr="00081562" w:rsidRDefault="00F75757" w:rsidP="00081562">
            <w:pPr>
              <w:pStyle w:val="MDPARProfileSmall"/>
              <w:spacing w:after="0" w:line="240" w:lineRule="auto"/>
              <w:rPr>
                <w:sz w:val="16"/>
                <w:szCs w:val="20"/>
              </w:rPr>
            </w:pPr>
            <w:r w:rsidRPr="00081562">
              <w:rPr>
                <w:sz w:val="16"/>
                <w:szCs w:val="20"/>
              </w:rPr>
              <w:t>Rol declarado</w:t>
            </w:r>
          </w:p>
        </w:tc>
        <w:tc>
          <w:tcPr>
            <w:tcW w:w="4393" w:type="dxa"/>
          </w:tcPr>
          <w:p w14:paraId="6CD6027A"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[ROLE o NO_DECLARADO]</w:t>
            </w:r>
          </w:p>
        </w:tc>
      </w:tr>
      <w:tr w:rsidR="005504BC" w:rsidRPr="00081562" w14:paraId="21AB8423"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0BCC5F23" w14:textId="77777777" w:rsidR="005504BC" w:rsidRPr="00081562" w:rsidRDefault="00F75757" w:rsidP="00081562">
            <w:pPr>
              <w:pStyle w:val="MDPARProfileSmall"/>
              <w:spacing w:after="0" w:line="240" w:lineRule="auto"/>
              <w:rPr>
                <w:sz w:val="16"/>
                <w:szCs w:val="20"/>
              </w:rPr>
            </w:pPr>
            <w:r w:rsidRPr="00081562">
              <w:rPr>
                <w:sz w:val="16"/>
                <w:szCs w:val="20"/>
              </w:rPr>
              <w:t>Idioma</w:t>
            </w:r>
          </w:p>
        </w:tc>
        <w:tc>
          <w:tcPr>
            <w:tcW w:w="4393" w:type="dxa"/>
          </w:tcPr>
          <w:p w14:paraId="3A6A78DD"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[LANGUAGE_TAG]</w:t>
            </w:r>
          </w:p>
        </w:tc>
      </w:tr>
      <w:tr w:rsidR="005504BC" w:rsidRPr="00081562" w14:paraId="41CDEBC8"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4BF901FD" w14:textId="77777777" w:rsidR="005504BC" w:rsidRPr="00081562" w:rsidRDefault="00F75757" w:rsidP="00081562">
            <w:pPr>
              <w:pStyle w:val="MDPARProfileSmall"/>
              <w:spacing w:after="0" w:line="240" w:lineRule="auto"/>
              <w:rPr>
                <w:sz w:val="16"/>
                <w:szCs w:val="20"/>
              </w:rPr>
            </w:pPr>
            <w:r w:rsidRPr="00081562">
              <w:rPr>
                <w:sz w:val="16"/>
                <w:szCs w:val="20"/>
              </w:rPr>
              <w:t>Observed_at</w:t>
            </w:r>
          </w:p>
        </w:tc>
        <w:tc>
          <w:tcPr>
            <w:tcW w:w="4393" w:type="dxa"/>
          </w:tcPr>
          <w:p w14:paraId="2ACE277F"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[TIMESTAMP o NO_APLICA]</w:t>
            </w:r>
          </w:p>
        </w:tc>
      </w:tr>
      <w:tr w:rsidR="005504BC" w:rsidRPr="00081562" w14:paraId="4E5602A8"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13DB3DC9" w14:textId="77777777" w:rsidR="005504BC" w:rsidRPr="00081562" w:rsidRDefault="00F75757" w:rsidP="00081562">
            <w:pPr>
              <w:pStyle w:val="MDPARProfileSmall"/>
              <w:spacing w:after="0" w:line="240" w:lineRule="auto"/>
              <w:rPr>
                <w:sz w:val="16"/>
                <w:szCs w:val="20"/>
              </w:rPr>
            </w:pPr>
            <w:r w:rsidRPr="00081562">
              <w:rPr>
                <w:sz w:val="16"/>
                <w:szCs w:val="20"/>
              </w:rPr>
              <w:t>SHA-256 original</w:t>
            </w:r>
          </w:p>
        </w:tc>
        <w:tc>
          <w:tcPr>
            <w:tcW w:w="4393" w:type="dxa"/>
          </w:tcPr>
          <w:p w14:paraId="5CDE1199"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[HASH]</w:t>
            </w:r>
          </w:p>
        </w:tc>
      </w:tr>
      <w:tr w:rsidR="005504BC" w:rsidRPr="00081562" w14:paraId="7C76E83B"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54B0CC55" w14:textId="77777777" w:rsidR="005504BC" w:rsidRPr="00081562" w:rsidRDefault="00F75757" w:rsidP="00081562">
            <w:pPr>
              <w:pStyle w:val="MDPARProfileSmall"/>
              <w:spacing w:after="0" w:line="240" w:lineRule="auto"/>
              <w:rPr>
                <w:sz w:val="16"/>
                <w:szCs w:val="20"/>
              </w:rPr>
            </w:pPr>
            <w:r w:rsidRPr="00081562">
              <w:rPr>
                <w:sz w:val="16"/>
                <w:szCs w:val="20"/>
              </w:rPr>
              <w:lastRenderedPageBreak/>
              <w:t>SHA-256 texto extraído</w:t>
            </w:r>
          </w:p>
        </w:tc>
        <w:tc>
          <w:tcPr>
            <w:tcW w:w="4393" w:type="dxa"/>
          </w:tcPr>
          <w:p w14:paraId="1D9BC8E6"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[HASH]</w:t>
            </w:r>
          </w:p>
        </w:tc>
      </w:tr>
      <w:tr w:rsidR="005504BC" w:rsidRPr="00081562" w14:paraId="0E552417"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78B826FA" w14:textId="77777777" w:rsidR="005504BC" w:rsidRPr="00081562" w:rsidRDefault="00F75757" w:rsidP="00081562">
            <w:pPr>
              <w:pStyle w:val="MDPARProfileSmall"/>
              <w:spacing w:after="0" w:line="240" w:lineRule="auto"/>
              <w:rPr>
                <w:sz w:val="16"/>
                <w:szCs w:val="20"/>
              </w:rPr>
            </w:pPr>
            <w:r w:rsidRPr="00081562">
              <w:rPr>
                <w:sz w:val="16"/>
                <w:szCs w:val="20"/>
              </w:rPr>
              <w:t>Cobertura</w:t>
            </w:r>
          </w:p>
        </w:tc>
        <w:tc>
          <w:tcPr>
            <w:tcW w:w="4393" w:type="dxa"/>
          </w:tcPr>
          <w:p w14:paraId="4BBC354A"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[COMPLETA / PARCIAL / NO_OBSERVABLE]</w:t>
            </w:r>
          </w:p>
        </w:tc>
      </w:tr>
      <w:tr w:rsidR="005504BC" w:rsidRPr="00081562" w14:paraId="7BE9B762"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73562F6A" w14:textId="77777777" w:rsidR="005504BC" w:rsidRPr="00081562" w:rsidRDefault="00F75757" w:rsidP="00081562">
            <w:pPr>
              <w:pStyle w:val="MDPARProfileSmall"/>
              <w:spacing w:after="0" w:line="240" w:lineRule="auto"/>
              <w:rPr>
                <w:sz w:val="16"/>
                <w:szCs w:val="20"/>
              </w:rPr>
            </w:pPr>
            <w:r w:rsidRPr="00081562">
              <w:rPr>
                <w:sz w:val="16"/>
                <w:szCs w:val="20"/>
              </w:rPr>
              <w:t>Superficies no examinadas</w:t>
            </w:r>
          </w:p>
        </w:tc>
        <w:tc>
          <w:tcPr>
            <w:tcW w:w="4393" w:type="dxa"/>
          </w:tcPr>
          <w:p w14:paraId="4C65E407"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[DESCRIPCIÓN AGNÓSTICA]</w:t>
            </w:r>
          </w:p>
        </w:tc>
      </w:tr>
    </w:tbl>
    <w:p w14:paraId="502D1872" w14:textId="77777777" w:rsidR="005504BC" w:rsidRDefault="00F75757" w:rsidP="005031FA">
      <w:pPr>
        <w:pStyle w:val="MDPARProfileH2"/>
        <w:spacing w:line="360" w:lineRule="auto"/>
        <w:ind w:firstLine="709"/>
        <w:jc w:val="both"/>
      </w:pPr>
      <w:r>
        <w:t>B. Observaciones estructuradas</w:t>
      </w:r>
    </w:p>
    <w:tbl>
      <w:tblPr>
        <w:tblStyle w:val="Tablanormal2"/>
        <w:tblW w:w="0" w:type="auto"/>
        <w:tblLook w:val="04A0" w:firstRow="1" w:lastRow="0" w:firstColumn="1" w:lastColumn="0" w:noHBand="0" w:noVBand="1"/>
      </w:tblPr>
      <w:tblGrid>
        <w:gridCol w:w="959"/>
        <w:gridCol w:w="2555"/>
        <w:gridCol w:w="1757"/>
        <w:gridCol w:w="1757"/>
        <w:gridCol w:w="1757"/>
      </w:tblGrid>
      <w:tr w:rsidR="005504BC" w:rsidRPr="00081562" w14:paraId="6492D6BD"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D0FB257" w14:textId="77777777" w:rsidR="005504BC" w:rsidRPr="00081562" w:rsidRDefault="00F75757" w:rsidP="00081562">
            <w:pPr>
              <w:pStyle w:val="MDPARProfileSmall"/>
              <w:spacing w:after="0" w:line="240" w:lineRule="auto"/>
              <w:rPr>
                <w:sz w:val="16"/>
                <w:szCs w:val="20"/>
              </w:rPr>
            </w:pPr>
            <w:r w:rsidRPr="00081562">
              <w:rPr>
                <w:sz w:val="16"/>
                <w:szCs w:val="20"/>
              </w:rPr>
              <w:t>ID</w:t>
            </w:r>
          </w:p>
        </w:tc>
        <w:tc>
          <w:tcPr>
            <w:tcW w:w="2555" w:type="dxa"/>
          </w:tcPr>
          <w:p w14:paraId="0E39A726"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Tipo</w:t>
            </w:r>
          </w:p>
        </w:tc>
        <w:tc>
          <w:tcPr>
            <w:tcW w:w="1757" w:type="dxa"/>
          </w:tcPr>
          <w:p w14:paraId="54CE13E0"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Contenido agnóstico</w:t>
            </w:r>
          </w:p>
        </w:tc>
        <w:tc>
          <w:tcPr>
            <w:tcW w:w="1757" w:type="dxa"/>
          </w:tcPr>
          <w:p w14:paraId="00DD65A0"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Procedencia</w:t>
            </w:r>
          </w:p>
        </w:tc>
        <w:tc>
          <w:tcPr>
            <w:tcW w:w="1757" w:type="dxa"/>
          </w:tcPr>
          <w:p w14:paraId="48905828"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Estado</w:t>
            </w:r>
          </w:p>
        </w:tc>
      </w:tr>
      <w:tr w:rsidR="005504BC" w:rsidRPr="00081562" w14:paraId="631FAB8A"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044FEA7" w14:textId="77777777" w:rsidR="005504BC" w:rsidRPr="00081562" w:rsidRDefault="00F75757" w:rsidP="00081562">
            <w:pPr>
              <w:pStyle w:val="MDPARProfileSmall"/>
              <w:spacing w:after="0" w:line="240" w:lineRule="auto"/>
              <w:rPr>
                <w:sz w:val="16"/>
                <w:szCs w:val="20"/>
              </w:rPr>
            </w:pPr>
            <w:r w:rsidRPr="00081562">
              <w:rPr>
                <w:sz w:val="16"/>
                <w:szCs w:val="20"/>
              </w:rPr>
              <w:t>[OBS-01]</w:t>
            </w:r>
          </w:p>
        </w:tc>
        <w:tc>
          <w:tcPr>
            <w:tcW w:w="2555" w:type="dxa"/>
          </w:tcPr>
          <w:p w14:paraId="21EA3F63"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[OBSERVACIÓN / ALEGACIÓN / DATO / RESULTADO]</w:t>
            </w:r>
          </w:p>
        </w:tc>
        <w:tc>
          <w:tcPr>
            <w:tcW w:w="1757" w:type="dxa"/>
          </w:tcPr>
          <w:p w14:paraId="328E700A"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[DESCRIPCIÓN]</w:t>
            </w:r>
          </w:p>
        </w:tc>
        <w:tc>
          <w:tcPr>
            <w:tcW w:w="1757" w:type="dxa"/>
          </w:tcPr>
          <w:p w14:paraId="1D6CF684"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[DOC-ID / COMPONENTE]</w:t>
            </w:r>
          </w:p>
        </w:tc>
        <w:tc>
          <w:tcPr>
            <w:tcW w:w="1757" w:type="dxa"/>
          </w:tcPr>
          <w:p w14:paraId="7839F958"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[OBSERVADO / UNKNOWN]</w:t>
            </w:r>
          </w:p>
        </w:tc>
      </w:tr>
      <w:tr w:rsidR="005504BC" w:rsidRPr="00081562" w14:paraId="4DDDB6AC" w14:textId="77777777" w:rsidTr="00081562">
        <w:tc>
          <w:tcPr>
            <w:cnfStyle w:val="001000000000" w:firstRow="0" w:lastRow="0" w:firstColumn="1" w:lastColumn="0" w:oddVBand="0" w:evenVBand="0" w:oddHBand="0" w:evenHBand="0" w:firstRowFirstColumn="0" w:firstRowLastColumn="0" w:lastRowFirstColumn="0" w:lastRowLastColumn="0"/>
            <w:tcW w:w="959" w:type="dxa"/>
          </w:tcPr>
          <w:p w14:paraId="5104AFAA" w14:textId="77777777" w:rsidR="005504BC" w:rsidRPr="00081562" w:rsidRDefault="00F75757" w:rsidP="00081562">
            <w:pPr>
              <w:pStyle w:val="MDPARProfileSmall"/>
              <w:spacing w:after="0" w:line="240" w:lineRule="auto"/>
              <w:rPr>
                <w:sz w:val="16"/>
                <w:szCs w:val="20"/>
              </w:rPr>
            </w:pPr>
            <w:r w:rsidRPr="00081562">
              <w:rPr>
                <w:sz w:val="16"/>
                <w:szCs w:val="20"/>
              </w:rPr>
              <w:t>[OBS-02]</w:t>
            </w:r>
          </w:p>
        </w:tc>
        <w:tc>
          <w:tcPr>
            <w:tcW w:w="2555" w:type="dxa"/>
          </w:tcPr>
          <w:p w14:paraId="3BD3E121"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[INFORMACIÓN DE TERCERO]</w:t>
            </w:r>
          </w:p>
        </w:tc>
        <w:tc>
          <w:tcPr>
            <w:tcW w:w="1757" w:type="dxa"/>
          </w:tcPr>
          <w:p w14:paraId="4A7076B2"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[DESCRIPCIÓN]</w:t>
            </w:r>
          </w:p>
        </w:tc>
        <w:tc>
          <w:tcPr>
            <w:tcW w:w="1757" w:type="dxa"/>
          </w:tcPr>
          <w:p w14:paraId="57865DFC"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[DOC-ID]</w:t>
            </w:r>
          </w:p>
        </w:tc>
        <w:tc>
          <w:tcPr>
            <w:tcW w:w="1757" w:type="dxa"/>
          </w:tcPr>
          <w:p w14:paraId="58D065C9"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[OBSERVADO / UNKNOWN]</w:t>
            </w:r>
          </w:p>
        </w:tc>
      </w:tr>
    </w:tbl>
    <w:p w14:paraId="4DB5B87A" w14:textId="77777777" w:rsidR="005504BC" w:rsidRDefault="00F75757" w:rsidP="005031FA">
      <w:pPr>
        <w:pStyle w:val="MDPARProfileH2"/>
        <w:spacing w:line="360" w:lineRule="auto"/>
        <w:ind w:firstLine="709"/>
        <w:jc w:val="both"/>
      </w:pPr>
      <w:r>
        <w:t>C. Relaciones e inferencias</w:t>
      </w:r>
    </w:p>
    <w:tbl>
      <w:tblPr>
        <w:tblStyle w:val="Tablanormal2"/>
        <w:tblW w:w="0" w:type="auto"/>
        <w:tblLook w:val="04A0" w:firstRow="1" w:lastRow="0" w:firstColumn="1" w:lastColumn="0" w:noHBand="0" w:noVBand="1"/>
      </w:tblPr>
      <w:tblGrid>
        <w:gridCol w:w="1101"/>
        <w:gridCol w:w="992"/>
        <w:gridCol w:w="3178"/>
        <w:gridCol w:w="1216"/>
        <w:gridCol w:w="2298"/>
      </w:tblGrid>
      <w:tr w:rsidR="005504BC" w:rsidRPr="00081562" w14:paraId="7202824D"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F7311E9" w14:textId="77777777" w:rsidR="005504BC" w:rsidRPr="00081562" w:rsidRDefault="00F75757" w:rsidP="00081562">
            <w:pPr>
              <w:pStyle w:val="MDPARProfileSmall"/>
              <w:spacing w:after="0" w:line="240" w:lineRule="auto"/>
              <w:rPr>
                <w:sz w:val="16"/>
                <w:szCs w:val="20"/>
              </w:rPr>
            </w:pPr>
            <w:r w:rsidRPr="00081562">
              <w:rPr>
                <w:sz w:val="16"/>
                <w:szCs w:val="20"/>
              </w:rPr>
              <w:t>ID</w:t>
            </w:r>
          </w:p>
        </w:tc>
        <w:tc>
          <w:tcPr>
            <w:tcW w:w="992" w:type="dxa"/>
          </w:tcPr>
          <w:p w14:paraId="0C82FF93"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Origen</w:t>
            </w:r>
          </w:p>
        </w:tc>
        <w:tc>
          <w:tcPr>
            <w:tcW w:w="3178" w:type="dxa"/>
          </w:tcPr>
          <w:p w14:paraId="18935B68"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Relación propuesta</w:t>
            </w:r>
          </w:p>
        </w:tc>
        <w:tc>
          <w:tcPr>
            <w:tcW w:w="1216" w:type="dxa"/>
          </w:tcPr>
          <w:p w14:paraId="682676AD"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Destino</w:t>
            </w:r>
          </w:p>
        </w:tc>
        <w:tc>
          <w:tcPr>
            <w:tcW w:w="2298" w:type="dxa"/>
          </w:tcPr>
          <w:p w14:paraId="26A3B925"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Soporte / límite</w:t>
            </w:r>
          </w:p>
        </w:tc>
      </w:tr>
      <w:tr w:rsidR="005504BC" w:rsidRPr="00081562" w14:paraId="02B5015F"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54DB736" w14:textId="77777777" w:rsidR="005504BC" w:rsidRPr="00081562" w:rsidRDefault="00F75757" w:rsidP="00081562">
            <w:pPr>
              <w:pStyle w:val="MDPARProfileSmall"/>
              <w:spacing w:after="0" w:line="240" w:lineRule="auto"/>
              <w:rPr>
                <w:sz w:val="16"/>
                <w:szCs w:val="20"/>
              </w:rPr>
            </w:pPr>
            <w:r w:rsidRPr="00081562">
              <w:rPr>
                <w:sz w:val="16"/>
                <w:szCs w:val="20"/>
              </w:rPr>
              <w:t>[REL-01]</w:t>
            </w:r>
          </w:p>
        </w:tc>
        <w:tc>
          <w:tcPr>
            <w:tcW w:w="992" w:type="dxa"/>
          </w:tcPr>
          <w:p w14:paraId="717A7A8A"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[OBS-01]</w:t>
            </w:r>
          </w:p>
        </w:tc>
        <w:tc>
          <w:tcPr>
            <w:tcW w:w="3178" w:type="dxa"/>
          </w:tcPr>
          <w:p w14:paraId="02BBFDDE"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[SOPORTA / CONTRADICE / ATRIBUYE / DEPENDE / PRECEDE]</w:t>
            </w:r>
          </w:p>
        </w:tc>
        <w:tc>
          <w:tcPr>
            <w:tcW w:w="1216" w:type="dxa"/>
          </w:tcPr>
          <w:p w14:paraId="0106D956"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[CLAIM-01]</w:t>
            </w:r>
          </w:p>
        </w:tc>
        <w:tc>
          <w:tcPr>
            <w:tcW w:w="2298" w:type="dxa"/>
          </w:tcPr>
          <w:p w14:paraId="7ECC67BF"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[EVIDENCIA / INFERENCIA / UNKNOWN]</w:t>
            </w:r>
          </w:p>
        </w:tc>
      </w:tr>
      <w:tr w:rsidR="005504BC" w:rsidRPr="00081562" w14:paraId="7DB12400" w14:textId="77777777" w:rsidTr="00081562">
        <w:tc>
          <w:tcPr>
            <w:cnfStyle w:val="001000000000" w:firstRow="0" w:lastRow="0" w:firstColumn="1" w:lastColumn="0" w:oddVBand="0" w:evenVBand="0" w:oddHBand="0" w:evenHBand="0" w:firstRowFirstColumn="0" w:firstRowLastColumn="0" w:lastRowFirstColumn="0" w:lastRowLastColumn="0"/>
            <w:tcW w:w="1101" w:type="dxa"/>
          </w:tcPr>
          <w:p w14:paraId="75024B09" w14:textId="77777777" w:rsidR="005504BC" w:rsidRPr="00081562" w:rsidRDefault="00F75757" w:rsidP="00081562">
            <w:pPr>
              <w:pStyle w:val="MDPARProfileSmall"/>
              <w:spacing w:after="0" w:line="240" w:lineRule="auto"/>
              <w:rPr>
                <w:sz w:val="16"/>
                <w:szCs w:val="20"/>
              </w:rPr>
            </w:pPr>
            <w:r w:rsidRPr="00081562">
              <w:rPr>
                <w:sz w:val="16"/>
                <w:szCs w:val="20"/>
              </w:rPr>
              <w:t>[REL-02]</w:t>
            </w:r>
          </w:p>
        </w:tc>
        <w:tc>
          <w:tcPr>
            <w:tcW w:w="992" w:type="dxa"/>
          </w:tcPr>
          <w:p w14:paraId="74059AF2"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[OBS-02]</w:t>
            </w:r>
          </w:p>
        </w:tc>
        <w:tc>
          <w:tcPr>
            <w:tcW w:w="3178" w:type="dxa"/>
          </w:tcPr>
          <w:p w14:paraId="16161E71"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[RELACIÓN]</w:t>
            </w:r>
          </w:p>
        </w:tc>
        <w:tc>
          <w:tcPr>
            <w:tcW w:w="1216" w:type="dxa"/>
          </w:tcPr>
          <w:p w14:paraId="699A9783"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[CLAIM-02]</w:t>
            </w:r>
          </w:p>
        </w:tc>
        <w:tc>
          <w:tcPr>
            <w:tcW w:w="2298" w:type="dxa"/>
          </w:tcPr>
          <w:p w14:paraId="6AB35AD9"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[SOPORTE PENDIENTE]</w:t>
            </w:r>
          </w:p>
        </w:tc>
      </w:tr>
    </w:tbl>
    <w:p w14:paraId="0FBF06CB" w14:textId="77777777" w:rsidR="005504BC" w:rsidRPr="00081562" w:rsidRDefault="00F75757" w:rsidP="005031FA">
      <w:pPr>
        <w:pStyle w:val="MDPARProfileH2"/>
        <w:spacing w:line="360" w:lineRule="auto"/>
        <w:ind w:firstLine="709"/>
        <w:jc w:val="both"/>
        <w:rPr>
          <w:lang w:val="es-ES"/>
        </w:rPr>
      </w:pPr>
      <w:r w:rsidRPr="00081562">
        <w:rPr>
          <w:lang w:val="es-ES"/>
        </w:rPr>
        <w:t>D. Claims, incertidumbre y autoridad</w:t>
      </w:r>
    </w:p>
    <w:tbl>
      <w:tblPr>
        <w:tblStyle w:val="Tablanormal2"/>
        <w:tblW w:w="0" w:type="auto"/>
        <w:tblLook w:val="04A0" w:firstRow="1" w:lastRow="0" w:firstColumn="1" w:lastColumn="0" w:noHBand="0" w:noVBand="1"/>
      </w:tblPr>
      <w:tblGrid>
        <w:gridCol w:w="1101"/>
        <w:gridCol w:w="2175"/>
        <w:gridCol w:w="1616"/>
        <w:gridCol w:w="1647"/>
        <w:gridCol w:w="2465"/>
      </w:tblGrid>
      <w:tr w:rsidR="005504BC" w:rsidRPr="00081562" w14:paraId="5567E5AD"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E7457B7" w14:textId="77777777" w:rsidR="005504BC" w:rsidRPr="00081562" w:rsidRDefault="00F75757" w:rsidP="00081562">
            <w:pPr>
              <w:pStyle w:val="MDPARProfileSmall"/>
              <w:spacing w:after="0" w:line="240" w:lineRule="auto"/>
              <w:rPr>
                <w:sz w:val="16"/>
                <w:szCs w:val="20"/>
              </w:rPr>
            </w:pPr>
            <w:r w:rsidRPr="00081562">
              <w:rPr>
                <w:sz w:val="16"/>
                <w:szCs w:val="20"/>
              </w:rPr>
              <w:t>Claim</w:t>
            </w:r>
          </w:p>
        </w:tc>
        <w:tc>
          <w:tcPr>
            <w:tcW w:w="2175" w:type="dxa"/>
          </w:tcPr>
          <w:p w14:paraId="4055C346"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Estado estructural</w:t>
            </w:r>
          </w:p>
        </w:tc>
        <w:tc>
          <w:tcPr>
            <w:tcW w:w="1616" w:type="dxa"/>
          </w:tcPr>
          <w:p w14:paraId="35312C52"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Qué lo sostiene</w:t>
            </w:r>
          </w:p>
        </w:tc>
        <w:tc>
          <w:tcPr>
            <w:tcW w:w="1647" w:type="dxa"/>
          </w:tcPr>
          <w:p w14:paraId="3A7E221A"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Qué falta</w:t>
            </w:r>
          </w:p>
        </w:tc>
        <w:tc>
          <w:tcPr>
            <w:tcW w:w="2465" w:type="dxa"/>
          </w:tcPr>
          <w:p w14:paraId="13EF10E5"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Autoridad externa</w:t>
            </w:r>
          </w:p>
        </w:tc>
      </w:tr>
      <w:tr w:rsidR="005504BC" w:rsidRPr="00081562" w14:paraId="43FF2015"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DE2F870" w14:textId="77777777" w:rsidR="005504BC" w:rsidRPr="00081562" w:rsidRDefault="00F75757" w:rsidP="00081562">
            <w:pPr>
              <w:pStyle w:val="MDPARProfileSmall"/>
              <w:spacing w:after="0" w:line="240" w:lineRule="auto"/>
              <w:rPr>
                <w:sz w:val="16"/>
                <w:szCs w:val="20"/>
              </w:rPr>
            </w:pPr>
            <w:r w:rsidRPr="00081562">
              <w:rPr>
                <w:sz w:val="16"/>
                <w:szCs w:val="20"/>
              </w:rPr>
              <w:t>[CLAIM-01]</w:t>
            </w:r>
          </w:p>
        </w:tc>
        <w:tc>
          <w:tcPr>
            <w:tcW w:w="2175" w:type="dxa"/>
          </w:tcPr>
          <w:p w14:paraId="5761AB51"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[SOSTENIDO / PARCIAL / UNKNOWN / CONFLICTIVO]</w:t>
            </w:r>
          </w:p>
        </w:tc>
        <w:tc>
          <w:tcPr>
            <w:tcW w:w="1616" w:type="dxa"/>
          </w:tcPr>
          <w:p w14:paraId="58F618F7"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[OBS/REL]</w:t>
            </w:r>
          </w:p>
        </w:tc>
        <w:tc>
          <w:tcPr>
            <w:tcW w:w="1647" w:type="dxa"/>
          </w:tcPr>
          <w:p w14:paraId="7428B410"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[EVIDENCIA O EXAMEN PENDIENTE]</w:t>
            </w:r>
          </w:p>
        </w:tc>
        <w:tc>
          <w:tcPr>
            <w:tcW w:w="2465" w:type="dxa"/>
          </w:tcPr>
          <w:p w14:paraId="5890BF13"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[PROFESIONAL/INSTITUCIÓN]</w:t>
            </w:r>
          </w:p>
        </w:tc>
      </w:tr>
    </w:tbl>
    <w:p w14:paraId="2D7E99DA" w14:textId="77777777" w:rsidR="005504BC" w:rsidRDefault="00F75757" w:rsidP="005031FA">
      <w:pPr>
        <w:pStyle w:val="MDPARProfileH2"/>
        <w:ind w:firstLine="709"/>
      </w:pPr>
      <w:r>
        <w:t>E. Resultado y límites</w:t>
      </w:r>
    </w:p>
    <w:p w14:paraId="6CE0F9F6" w14:textId="77777777" w:rsidR="005031FA" w:rsidRDefault="00F75757" w:rsidP="00081562">
      <w:pPr>
        <w:pStyle w:val="MDPARThesisBody"/>
        <w:numPr>
          <w:ilvl w:val="0"/>
          <w:numId w:val="22"/>
        </w:numPr>
        <w:rPr>
          <w:lang w:val="es-ES"/>
        </w:rPr>
      </w:pPr>
      <w:r w:rsidRPr="000A2D71">
        <w:rPr>
          <w:lang w:val="es-ES"/>
        </w:rPr>
        <w:t>Resultado estructural: [SÍNTESIS ANCLADA AL CANÓNICO].</w:t>
      </w:r>
    </w:p>
    <w:p w14:paraId="0DE2544C" w14:textId="77777777" w:rsidR="005031FA" w:rsidRDefault="00F75757" w:rsidP="00081562">
      <w:pPr>
        <w:pStyle w:val="MDPARThesisBody"/>
        <w:numPr>
          <w:ilvl w:val="0"/>
          <w:numId w:val="22"/>
        </w:numPr>
        <w:rPr>
          <w:lang w:val="es-ES"/>
        </w:rPr>
      </w:pPr>
      <w:r w:rsidRPr="000A2D71">
        <w:rPr>
          <w:lang w:val="es-ES"/>
        </w:rPr>
        <w:t>Límites negativos: [QUÉ NO SE PUEDE AFIRMAR].</w:t>
      </w:r>
    </w:p>
    <w:p w14:paraId="3EC899E3" w14:textId="77777777" w:rsidR="005031FA" w:rsidRDefault="00F75757" w:rsidP="00081562">
      <w:pPr>
        <w:pStyle w:val="MDPARThesisBody"/>
        <w:numPr>
          <w:ilvl w:val="0"/>
          <w:numId w:val="22"/>
        </w:numPr>
        <w:rPr>
          <w:lang w:val="es-ES"/>
        </w:rPr>
      </w:pPr>
      <w:r w:rsidRPr="000A2D71">
        <w:rPr>
          <w:lang w:val="es-ES"/>
        </w:rPr>
        <w:t>Frontera OPEN: [IDENTIFICACIÓN, DIRECCIÓN, REALIZACIÓN Y VERIFICACIÓN; VARIACIÓN OBSERVADA].</w:t>
      </w:r>
    </w:p>
    <w:p w14:paraId="30C46EBC" w14:textId="77777777" w:rsidR="005031FA" w:rsidRDefault="00F75757" w:rsidP="00081562">
      <w:pPr>
        <w:pStyle w:val="MDPARThesisBody"/>
        <w:numPr>
          <w:ilvl w:val="0"/>
          <w:numId w:val="22"/>
        </w:numPr>
        <w:rPr>
          <w:lang w:val="es-ES"/>
        </w:rPr>
      </w:pPr>
      <w:r w:rsidRPr="000A2D71">
        <w:rPr>
          <w:lang w:val="es-ES"/>
        </w:rPr>
        <w:t>Componentes deterministas: [LISTA VERIFICADA].</w:t>
      </w:r>
    </w:p>
    <w:p w14:paraId="7AD8F0E5" w14:textId="77777777" w:rsidR="005031FA" w:rsidRDefault="00F75757" w:rsidP="00081562">
      <w:pPr>
        <w:pStyle w:val="MDPARThesisBody"/>
        <w:numPr>
          <w:ilvl w:val="0"/>
          <w:numId w:val="22"/>
        </w:numPr>
        <w:rPr>
          <w:lang w:val="es-ES"/>
        </w:rPr>
      </w:pPr>
      <w:r w:rsidRPr="000A2D71">
        <w:rPr>
          <w:lang w:val="es-ES"/>
        </w:rPr>
        <w:t>Routing: [SEGMENTOS Y ESTADOS; UNKNOWN NO EQUIVALE A FALLO DE IDENTIFICACIÓN OPEN].</w:t>
      </w:r>
    </w:p>
    <w:p w14:paraId="6F9E6FC8" w14:textId="77777777" w:rsidR="005031FA" w:rsidRDefault="00F75757" w:rsidP="00081562">
      <w:pPr>
        <w:pStyle w:val="MDPARThesisBody"/>
        <w:numPr>
          <w:ilvl w:val="0"/>
          <w:numId w:val="22"/>
        </w:numPr>
        <w:rPr>
          <w:lang w:val="es-ES"/>
        </w:rPr>
      </w:pPr>
      <w:r w:rsidRPr="000A2D71">
        <w:rPr>
          <w:lang w:val="es-ES"/>
        </w:rPr>
        <w:t>Continuidad: [NUEVO / CONTINUACIÓN Y SNAPSHOTS].</w:t>
      </w:r>
    </w:p>
    <w:p w14:paraId="2C334FC2" w14:textId="77777777" w:rsidR="005031FA" w:rsidRDefault="00F75757" w:rsidP="00081562">
      <w:pPr>
        <w:pStyle w:val="MDPARThesisBody"/>
        <w:numPr>
          <w:ilvl w:val="0"/>
          <w:numId w:val="22"/>
        </w:numPr>
        <w:rPr>
          <w:lang w:val="es-ES"/>
        </w:rPr>
      </w:pPr>
      <w:r w:rsidRPr="000A2D71">
        <w:rPr>
          <w:lang w:val="es-ES"/>
        </w:rPr>
        <w:t>Publicación: [INFORME OPERADOR / CLIENTE, IDIOMAS, HASHES Y DOWNLOAD_URL].</w:t>
      </w:r>
    </w:p>
    <w:p w14:paraId="478781F2" w14:textId="77777777" w:rsidR="005504BC" w:rsidRPr="000A2D71" w:rsidRDefault="00F75757" w:rsidP="00081562">
      <w:pPr>
        <w:pStyle w:val="MDPARThesisBody"/>
        <w:numPr>
          <w:ilvl w:val="0"/>
          <w:numId w:val="22"/>
        </w:numPr>
        <w:rPr>
          <w:lang w:val="es-ES"/>
        </w:rPr>
      </w:pPr>
      <w:r w:rsidRPr="000A2D71">
        <w:rPr>
          <w:lang w:val="es-ES"/>
        </w:rPr>
        <w:t>La plantilla no convierte la clasificación de una relación en comprobación de su verdad factual.</w:t>
      </w:r>
    </w:p>
    <w:p w14:paraId="3490EACB" w14:textId="77777777" w:rsidR="002819CE" w:rsidRDefault="002819CE">
      <w:pPr>
        <w:pStyle w:val="MDPARProfileH2"/>
        <w:rPr>
          <w:lang w:val="es-ES"/>
        </w:rPr>
      </w:pPr>
    </w:p>
    <w:p w14:paraId="368C4B55" w14:textId="77777777" w:rsidR="005504BC" w:rsidRPr="000A2D71" w:rsidRDefault="00F75757" w:rsidP="002819CE">
      <w:pPr>
        <w:pStyle w:val="MDPARProfileH2"/>
        <w:spacing w:before="0" w:after="0" w:line="360" w:lineRule="auto"/>
        <w:ind w:firstLine="709"/>
        <w:jc w:val="both"/>
        <w:outlineLvl w:val="1"/>
        <w:rPr>
          <w:lang w:val="es-ES"/>
        </w:rPr>
      </w:pPr>
      <w:bookmarkStart w:id="167" w:name="_Toc242722003"/>
      <w:r w:rsidRPr="000A2D71">
        <w:rPr>
          <w:lang w:val="es-ES"/>
        </w:rPr>
        <w:t>C.11. Plantilla mínima de evidence_metadata</w:t>
      </w:r>
      <w:bookmarkEnd w:id="167"/>
    </w:p>
    <w:p w14:paraId="3F32D0B3" w14:textId="77777777" w:rsidR="005504BC" w:rsidRDefault="00F75757">
      <w:pPr>
        <w:pStyle w:val="MDPARProfileSmall"/>
      </w:pPr>
      <w:r>
        <w:t>[</w:t>
      </w:r>
      <w:r>
        <w:br/>
        <w:t xml:space="preserve">  {</w:t>
      </w:r>
      <w:r>
        <w:br/>
        <w:t xml:space="preserve">    "document_id": "DOC-01",</w:t>
      </w:r>
      <w:r>
        <w:br/>
        <w:t xml:space="preserve">    "role": "[ROLE]",</w:t>
      </w:r>
      <w:r>
        <w:br/>
        <w:t xml:space="preserve">    "source_language": "es",</w:t>
      </w:r>
      <w:r>
        <w:br/>
        <w:t xml:space="preserve">    "observed_at": "[ISO-8601]"</w:t>
      </w:r>
      <w:r>
        <w:br/>
        <w:t xml:space="preserve">  }</w:t>
      </w:r>
      <w:r>
        <w:br/>
        <w:t>]</w:t>
      </w:r>
    </w:p>
    <w:p w14:paraId="1B7D2E2F" w14:textId="77777777" w:rsidR="005504BC" w:rsidRDefault="00F75757">
      <w:pPr>
        <w:pStyle w:val="MDPARThesisBody"/>
        <w:rPr>
          <w:lang w:val="es-ES"/>
        </w:rPr>
      </w:pPr>
      <w:r w:rsidRPr="000A2D71">
        <w:rPr>
          <w:lang w:val="es-ES"/>
        </w:rPr>
        <w:lastRenderedPageBreak/>
        <w:t>La plantilla es deliberadamente mínima. No debe utilizarse evidence_metadata para introducir conclusiones, valoraciones de credibilidad, diagnósticos, culpabilidad, causalidad o etiquetas equivalentes. Es metadata de procedencia, no un canal alternativo para imponer el resultado.</w:t>
      </w:r>
    </w:p>
    <w:p w14:paraId="2C617BAB" w14:textId="77777777" w:rsidR="002819CE" w:rsidRPr="000A2D71" w:rsidRDefault="002819CE">
      <w:pPr>
        <w:pStyle w:val="MDPARThesisBody"/>
        <w:rPr>
          <w:lang w:val="es-ES"/>
        </w:rPr>
      </w:pPr>
    </w:p>
    <w:p w14:paraId="32D22A9C" w14:textId="77777777" w:rsidR="005504BC" w:rsidRPr="000A2D71" w:rsidRDefault="00F75757" w:rsidP="001444FB">
      <w:pPr>
        <w:pStyle w:val="MDPARProfileH2"/>
        <w:spacing w:before="0" w:after="0" w:line="360" w:lineRule="auto"/>
        <w:ind w:firstLine="709"/>
        <w:jc w:val="both"/>
        <w:outlineLvl w:val="1"/>
        <w:rPr>
          <w:lang w:val="es-ES"/>
        </w:rPr>
      </w:pPr>
      <w:bookmarkStart w:id="168" w:name="_Toc242722004"/>
      <w:r w:rsidRPr="000A2D71">
        <w:rPr>
          <w:lang w:val="es-ES"/>
        </w:rPr>
        <w:t>C.12. Exposición controlada de datos no sensibles</w:t>
      </w:r>
      <w:bookmarkEnd w:id="168"/>
    </w:p>
    <w:p w14:paraId="43B97432" w14:textId="77777777" w:rsidR="005504BC" w:rsidRDefault="00F75757">
      <w:pPr>
        <w:pStyle w:val="MDPARThesisBody"/>
        <w:rPr>
          <w:lang w:val="es-ES"/>
        </w:rPr>
      </w:pPr>
      <w:r w:rsidRPr="000A2D71">
        <w:rPr>
          <w:lang w:val="es-ES"/>
        </w:rPr>
        <w:t>La publicación de evidencia operacional debe seguir una regla de mínima suficiencia: exponer solo aquello que resulte necesario para demostrar el contrato, permitir auditoría metodológica o reproducir una métrica sin revelar el contenido protegido. La minimización de datos no equivale a eliminar provenance; exige separar los identificadores y contenidos sensibles de las huellas técnicas que permiten verificar integridad y versión.</w:t>
      </w:r>
    </w:p>
    <w:p w14:paraId="3CAB6D9E" w14:textId="77777777" w:rsidR="005031FA" w:rsidRPr="000A2D71" w:rsidRDefault="005031FA">
      <w:pPr>
        <w:pStyle w:val="MDPARThesisBody"/>
        <w:rPr>
          <w:lang w:val="es-ES"/>
        </w:rPr>
      </w:pPr>
    </w:p>
    <w:tbl>
      <w:tblPr>
        <w:tblStyle w:val="Tablanormal2"/>
        <w:tblW w:w="0" w:type="auto"/>
        <w:tblLook w:val="04A0" w:firstRow="1" w:lastRow="0" w:firstColumn="1" w:lastColumn="0" w:noHBand="0" w:noVBand="1"/>
      </w:tblPr>
      <w:tblGrid>
        <w:gridCol w:w="1951"/>
        <w:gridCol w:w="3686"/>
        <w:gridCol w:w="3150"/>
      </w:tblGrid>
      <w:tr w:rsidR="005504BC" w:rsidRPr="00081562" w14:paraId="47376BAB"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7991CDE" w14:textId="77777777" w:rsidR="005504BC" w:rsidRPr="00081562" w:rsidRDefault="00F75757" w:rsidP="00081562">
            <w:pPr>
              <w:pStyle w:val="MDPARProfileSmall"/>
              <w:spacing w:after="0" w:line="240" w:lineRule="auto"/>
              <w:rPr>
                <w:sz w:val="16"/>
                <w:szCs w:val="20"/>
              </w:rPr>
            </w:pPr>
            <w:r w:rsidRPr="00081562">
              <w:rPr>
                <w:sz w:val="16"/>
                <w:szCs w:val="20"/>
              </w:rPr>
              <w:t>Nivel</w:t>
            </w:r>
          </w:p>
        </w:tc>
        <w:tc>
          <w:tcPr>
            <w:tcW w:w="3686" w:type="dxa"/>
          </w:tcPr>
          <w:p w14:paraId="67F53BA6"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Puede exponerse</w:t>
            </w:r>
          </w:p>
        </w:tc>
        <w:tc>
          <w:tcPr>
            <w:tcW w:w="3150" w:type="dxa"/>
          </w:tcPr>
          <w:p w14:paraId="45FE48B0"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Debe permanecer restringido</w:t>
            </w:r>
          </w:p>
        </w:tc>
      </w:tr>
      <w:tr w:rsidR="005504BC" w:rsidRPr="002F4F30" w14:paraId="3C313FDF"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42A4FE5" w14:textId="77777777" w:rsidR="005504BC" w:rsidRPr="00081562" w:rsidRDefault="00F75757" w:rsidP="00081562">
            <w:pPr>
              <w:pStyle w:val="MDPARProfileSmall"/>
              <w:spacing w:after="0" w:line="240" w:lineRule="auto"/>
              <w:rPr>
                <w:sz w:val="16"/>
                <w:szCs w:val="20"/>
              </w:rPr>
            </w:pPr>
            <w:r w:rsidRPr="00081562">
              <w:rPr>
                <w:sz w:val="16"/>
                <w:szCs w:val="20"/>
              </w:rPr>
              <w:t>Público / tesis</w:t>
            </w:r>
          </w:p>
        </w:tc>
        <w:tc>
          <w:tcPr>
            <w:tcW w:w="3686" w:type="dxa"/>
          </w:tcPr>
          <w:p w14:paraId="5647D6B0"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esquema, campos, rutas, versiones, contratos, hashes de artefactos públicos, ejemplos sintéticos, métricas agregadas no reidentificables</w:t>
            </w:r>
          </w:p>
        </w:tc>
        <w:tc>
          <w:tcPr>
            <w:tcW w:w="3150" w:type="dxa"/>
          </w:tcPr>
          <w:p w14:paraId="1D03F741"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evidencia real, nombres, direcciones, hechos íntimos, identificadores de caso, contenido protegido</w:t>
            </w:r>
          </w:p>
        </w:tc>
      </w:tr>
      <w:tr w:rsidR="005504BC" w:rsidRPr="002F4F30" w14:paraId="1974A7E5" w14:textId="77777777" w:rsidTr="00081562">
        <w:tc>
          <w:tcPr>
            <w:cnfStyle w:val="001000000000" w:firstRow="0" w:lastRow="0" w:firstColumn="1" w:lastColumn="0" w:oddVBand="0" w:evenVBand="0" w:oddHBand="0" w:evenHBand="0" w:firstRowFirstColumn="0" w:firstRowLastColumn="0" w:lastRowFirstColumn="0" w:lastRowLastColumn="0"/>
            <w:tcW w:w="1951" w:type="dxa"/>
          </w:tcPr>
          <w:p w14:paraId="486C1DE3" w14:textId="77777777" w:rsidR="005504BC" w:rsidRPr="00081562" w:rsidRDefault="00F75757" w:rsidP="00081562">
            <w:pPr>
              <w:pStyle w:val="MDPARProfileSmall"/>
              <w:spacing w:after="0" w:line="240" w:lineRule="auto"/>
              <w:rPr>
                <w:sz w:val="16"/>
                <w:szCs w:val="20"/>
              </w:rPr>
            </w:pPr>
            <w:r w:rsidRPr="00081562">
              <w:rPr>
                <w:sz w:val="16"/>
                <w:szCs w:val="20"/>
              </w:rPr>
              <w:t>Auditor autorizado</w:t>
            </w:r>
          </w:p>
        </w:tc>
        <w:tc>
          <w:tcPr>
            <w:tcW w:w="3686" w:type="dxa"/>
          </w:tcPr>
          <w:p w14:paraId="76C35911"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resultado canónico pertinente, logs y provenance necesarios, evidencia pseudonimizada cuando baste</w:t>
            </w:r>
          </w:p>
        </w:tc>
        <w:tc>
          <w:tcPr>
            <w:tcW w:w="3150" w:type="dxa"/>
          </w:tcPr>
          <w:p w14:paraId="3F3CC594"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datos no necesarios para el objetivo de auditoría</w:t>
            </w:r>
          </w:p>
        </w:tc>
      </w:tr>
      <w:tr w:rsidR="005504BC" w:rsidRPr="002F4F30" w14:paraId="02F6E185"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2B59A999" w14:textId="77777777" w:rsidR="005504BC" w:rsidRPr="00081562" w:rsidRDefault="00F75757" w:rsidP="00081562">
            <w:pPr>
              <w:pStyle w:val="MDPARProfileSmall"/>
              <w:spacing w:after="0" w:line="240" w:lineRule="auto"/>
              <w:rPr>
                <w:sz w:val="16"/>
                <w:szCs w:val="20"/>
              </w:rPr>
            </w:pPr>
            <w:r w:rsidRPr="00081562">
              <w:rPr>
                <w:sz w:val="16"/>
                <w:szCs w:val="20"/>
              </w:rPr>
              <w:t>Profesional responsable</w:t>
            </w:r>
          </w:p>
        </w:tc>
        <w:tc>
          <w:tcPr>
            <w:tcW w:w="3686" w:type="dxa"/>
          </w:tcPr>
          <w:p w14:paraId="29CC2F45"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expediente completo según necesidad y base jurídica</w:t>
            </w:r>
          </w:p>
        </w:tc>
        <w:tc>
          <w:tcPr>
            <w:tcW w:w="3150" w:type="dxa"/>
          </w:tcPr>
          <w:p w14:paraId="193E37FF"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acceso de terceros no autorizados</w:t>
            </w:r>
          </w:p>
        </w:tc>
      </w:tr>
      <w:tr w:rsidR="005504BC" w:rsidRPr="002F4F30" w14:paraId="117E1CF6" w14:textId="77777777" w:rsidTr="00081562">
        <w:tc>
          <w:tcPr>
            <w:cnfStyle w:val="001000000000" w:firstRow="0" w:lastRow="0" w:firstColumn="1" w:lastColumn="0" w:oddVBand="0" w:evenVBand="0" w:oddHBand="0" w:evenHBand="0" w:firstRowFirstColumn="0" w:firstRowLastColumn="0" w:lastRowFirstColumn="0" w:lastRowLastColumn="0"/>
            <w:tcW w:w="1951" w:type="dxa"/>
          </w:tcPr>
          <w:p w14:paraId="5436616A" w14:textId="77777777" w:rsidR="005504BC" w:rsidRPr="00081562" w:rsidRDefault="00F75757" w:rsidP="00081562">
            <w:pPr>
              <w:pStyle w:val="MDPARProfileSmall"/>
              <w:spacing w:after="0" w:line="240" w:lineRule="auto"/>
              <w:rPr>
                <w:sz w:val="16"/>
                <w:szCs w:val="20"/>
              </w:rPr>
            </w:pPr>
            <w:r w:rsidRPr="00081562">
              <w:rPr>
                <w:sz w:val="16"/>
                <w:szCs w:val="20"/>
              </w:rPr>
              <w:t>Repositorio científico</w:t>
            </w:r>
          </w:p>
        </w:tc>
        <w:tc>
          <w:tcPr>
            <w:tcW w:w="3686" w:type="dxa"/>
          </w:tcPr>
          <w:p w14:paraId="4543FEE5"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benchmarks no sensibles, especificaciones, resultados agregados, contraejemplos y metadata suficiente</w:t>
            </w:r>
          </w:p>
        </w:tc>
        <w:tc>
          <w:tcPr>
            <w:tcW w:w="3150" w:type="dxa"/>
          </w:tcPr>
          <w:p w14:paraId="5C966A6F"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material personal/confidencial salvo base jurídica y controles específicos</w:t>
            </w:r>
          </w:p>
        </w:tc>
      </w:tr>
    </w:tbl>
    <w:p w14:paraId="2E29CDC7" w14:textId="77777777" w:rsidR="002819CE" w:rsidRDefault="002819CE">
      <w:pPr>
        <w:pStyle w:val="MDPARThesisBody"/>
        <w:rPr>
          <w:lang w:val="es-ES"/>
        </w:rPr>
      </w:pPr>
    </w:p>
    <w:p w14:paraId="14C81EEA" w14:textId="77777777" w:rsidR="005504BC" w:rsidRDefault="00F75757">
      <w:pPr>
        <w:pStyle w:val="MDPARThesisBody"/>
        <w:rPr>
          <w:lang w:val="es-ES"/>
        </w:rPr>
      </w:pPr>
      <w:r w:rsidRPr="000A2D71">
        <w:rPr>
          <w:lang w:val="es-ES"/>
        </w:rPr>
        <w:t>Cuando una run o expediente contenga datos personales, confidenciales o sujetos a secreto profesional, su ausencia del paquete público no constituye una carencia de reproducibilidad si la tesis declara con precisión qué nivel de reproducción sigue siendo posible y qué material requiere acceso autorizado. La alternativa correcta es una derivación pública con provenance explícita, no una redacción silenciosa del original que destruya la correspondencia entre artefactos.</w:t>
      </w:r>
    </w:p>
    <w:p w14:paraId="5C56C5C2" w14:textId="77777777" w:rsidR="002819CE" w:rsidRPr="000A2D71" w:rsidRDefault="002819CE">
      <w:pPr>
        <w:pStyle w:val="MDPARThesisBody"/>
        <w:rPr>
          <w:lang w:val="es-ES"/>
        </w:rPr>
      </w:pPr>
    </w:p>
    <w:p w14:paraId="07ED79A6" w14:textId="77777777" w:rsidR="005504BC" w:rsidRPr="000A2D71" w:rsidRDefault="00F75757" w:rsidP="002819CE">
      <w:pPr>
        <w:pStyle w:val="MDPARProfileH2"/>
        <w:ind w:firstLine="709"/>
        <w:outlineLvl w:val="1"/>
        <w:rPr>
          <w:lang w:val="es-ES"/>
        </w:rPr>
      </w:pPr>
      <w:bookmarkStart w:id="169" w:name="_Toc242722005"/>
      <w:r w:rsidRPr="000A2D71">
        <w:rPr>
          <w:lang w:val="es-ES"/>
        </w:rPr>
        <w:t>C.13. Matriz de fallos y respuesta operacional</w:t>
      </w:r>
      <w:bookmarkEnd w:id="169"/>
    </w:p>
    <w:tbl>
      <w:tblPr>
        <w:tblStyle w:val="Tablanormal2"/>
        <w:tblW w:w="0" w:type="auto"/>
        <w:tblLook w:val="04A0" w:firstRow="1" w:lastRow="0" w:firstColumn="1" w:lastColumn="0" w:noHBand="0" w:noVBand="1"/>
      </w:tblPr>
      <w:tblGrid>
        <w:gridCol w:w="4393"/>
        <w:gridCol w:w="4393"/>
      </w:tblGrid>
      <w:tr w:rsidR="005504BC" w:rsidRPr="00081562" w14:paraId="7BDF9C3E" w14:textId="77777777" w:rsidTr="00081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3C60846F" w14:textId="77777777" w:rsidR="005504BC" w:rsidRPr="00081562" w:rsidRDefault="00F75757" w:rsidP="00081562">
            <w:pPr>
              <w:pStyle w:val="MDPARProfileSmall"/>
              <w:spacing w:after="0" w:line="240" w:lineRule="auto"/>
              <w:rPr>
                <w:sz w:val="16"/>
                <w:szCs w:val="20"/>
              </w:rPr>
            </w:pPr>
            <w:r w:rsidRPr="00081562">
              <w:rPr>
                <w:sz w:val="16"/>
                <w:szCs w:val="20"/>
              </w:rPr>
              <w:t>Condición</w:t>
            </w:r>
          </w:p>
        </w:tc>
        <w:tc>
          <w:tcPr>
            <w:tcW w:w="4393" w:type="dxa"/>
          </w:tcPr>
          <w:p w14:paraId="5DC579D4" w14:textId="77777777" w:rsidR="005504BC" w:rsidRPr="00081562" w:rsidRDefault="00F75757" w:rsidP="00081562">
            <w:pPr>
              <w:pStyle w:val="MDPARProfileSmall"/>
              <w:spacing w:after="0" w:line="240" w:lineRule="auto"/>
              <w:cnfStyle w:val="100000000000" w:firstRow="1" w:lastRow="0" w:firstColumn="0" w:lastColumn="0" w:oddVBand="0" w:evenVBand="0" w:oddHBand="0" w:evenHBand="0" w:firstRowFirstColumn="0" w:firstRowLastColumn="0" w:lastRowFirstColumn="0" w:lastRowLastColumn="0"/>
              <w:rPr>
                <w:sz w:val="16"/>
                <w:szCs w:val="20"/>
              </w:rPr>
            </w:pPr>
            <w:r w:rsidRPr="00081562">
              <w:rPr>
                <w:sz w:val="16"/>
                <w:szCs w:val="20"/>
              </w:rPr>
              <w:t>Respuesta / interpretación</w:t>
            </w:r>
          </w:p>
        </w:tc>
      </w:tr>
      <w:tr w:rsidR="005504BC" w:rsidRPr="002F4F30" w14:paraId="7FF80D53"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4C79FBBF" w14:textId="77777777" w:rsidR="005504BC" w:rsidRPr="00081562" w:rsidRDefault="00F75757" w:rsidP="00081562">
            <w:pPr>
              <w:pStyle w:val="MDPARProfileSmall"/>
              <w:spacing w:after="0" w:line="240" w:lineRule="auto"/>
              <w:rPr>
                <w:sz w:val="16"/>
                <w:szCs w:val="20"/>
              </w:rPr>
            </w:pPr>
            <w:r w:rsidRPr="00081562">
              <w:rPr>
                <w:sz w:val="16"/>
                <w:szCs w:val="20"/>
              </w:rPr>
              <w:t>Archivo vacío o ilegible</w:t>
            </w:r>
          </w:p>
        </w:tc>
        <w:tc>
          <w:tcPr>
            <w:tcW w:w="4393" w:type="dxa"/>
          </w:tcPr>
          <w:p w14:paraId="7EBBA6B9"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error de entrada; no existe análisis válido</w:t>
            </w:r>
          </w:p>
        </w:tc>
      </w:tr>
      <w:tr w:rsidR="005504BC" w:rsidRPr="00081562" w14:paraId="0476DC53"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6A242EBF" w14:textId="77777777" w:rsidR="005504BC" w:rsidRPr="00081562" w:rsidRDefault="00F75757" w:rsidP="00081562">
            <w:pPr>
              <w:pStyle w:val="MDPARProfileSmall"/>
              <w:spacing w:after="0" w:line="240" w:lineRule="auto"/>
              <w:rPr>
                <w:sz w:val="16"/>
                <w:szCs w:val="20"/>
              </w:rPr>
            </w:pPr>
            <w:r w:rsidRPr="00081562">
              <w:rPr>
                <w:sz w:val="16"/>
                <w:szCs w:val="20"/>
              </w:rPr>
              <w:t>Formato no soportado</w:t>
            </w:r>
          </w:p>
        </w:tc>
        <w:tc>
          <w:tcPr>
            <w:tcW w:w="4393" w:type="dxa"/>
          </w:tcPr>
          <w:p w14:paraId="0922507F"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HTTP 415</w:t>
            </w:r>
          </w:p>
        </w:tc>
      </w:tr>
      <w:tr w:rsidR="005504BC" w:rsidRPr="00081562" w14:paraId="4972BAE2"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5EEF1ADE" w14:textId="77777777" w:rsidR="005504BC" w:rsidRPr="00081562" w:rsidRDefault="00F75757" w:rsidP="00081562">
            <w:pPr>
              <w:pStyle w:val="MDPARProfileSmall"/>
              <w:spacing w:after="0" w:line="240" w:lineRule="auto"/>
              <w:rPr>
                <w:sz w:val="16"/>
                <w:szCs w:val="20"/>
                <w:lang w:val="es-ES"/>
              </w:rPr>
            </w:pPr>
            <w:r w:rsidRPr="00081562">
              <w:rPr>
                <w:sz w:val="16"/>
                <w:szCs w:val="20"/>
                <w:lang w:val="es-ES"/>
              </w:rPr>
              <w:t>Reporte inexistente / nombre no canónico</w:t>
            </w:r>
          </w:p>
        </w:tc>
        <w:tc>
          <w:tcPr>
            <w:tcW w:w="4393" w:type="dxa"/>
          </w:tcPr>
          <w:p w14:paraId="15E691C4"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HTTP 404</w:t>
            </w:r>
          </w:p>
        </w:tc>
      </w:tr>
      <w:tr w:rsidR="005504BC" w:rsidRPr="00081562" w14:paraId="3C80DD06"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51785029" w14:textId="77777777" w:rsidR="005504BC" w:rsidRPr="00081562" w:rsidRDefault="00F75757" w:rsidP="00081562">
            <w:pPr>
              <w:pStyle w:val="MDPARProfileSmall"/>
              <w:spacing w:after="0" w:line="240" w:lineRule="auto"/>
              <w:rPr>
                <w:sz w:val="16"/>
                <w:szCs w:val="20"/>
                <w:lang w:val="es-ES"/>
              </w:rPr>
            </w:pPr>
            <w:r w:rsidRPr="00081562">
              <w:rPr>
                <w:sz w:val="16"/>
                <w:szCs w:val="20"/>
                <w:lang w:val="es-ES"/>
              </w:rPr>
              <w:t>Evidencia &gt;25 MiB o metadata &gt;1 MiB</w:t>
            </w:r>
          </w:p>
        </w:tc>
        <w:tc>
          <w:tcPr>
            <w:tcW w:w="4393" w:type="dxa"/>
          </w:tcPr>
          <w:p w14:paraId="0FA8097E"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HTTP 413</w:t>
            </w:r>
          </w:p>
        </w:tc>
      </w:tr>
      <w:tr w:rsidR="005504BC" w:rsidRPr="00081562" w14:paraId="0BFB165B"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36ABF623" w14:textId="77777777" w:rsidR="005504BC" w:rsidRPr="00081562" w:rsidRDefault="00F75757" w:rsidP="00081562">
            <w:pPr>
              <w:pStyle w:val="MDPARProfileSmall"/>
              <w:spacing w:after="0" w:line="240" w:lineRule="auto"/>
              <w:rPr>
                <w:sz w:val="16"/>
                <w:szCs w:val="20"/>
              </w:rPr>
            </w:pPr>
            <w:r w:rsidRPr="00081562">
              <w:rPr>
                <w:sz w:val="16"/>
                <w:szCs w:val="20"/>
              </w:rPr>
              <w:t>PDF sin texto extraíble</w:t>
            </w:r>
          </w:p>
        </w:tc>
        <w:tc>
          <w:tcPr>
            <w:tcW w:w="4393" w:type="dxa"/>
          </w:tcPr>
          <w:p w14:paraId="7E0E7713"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requiere OCR/percepción externa</w:t>
            </w:r>
          </w:p>
        </w:tc>
      </w:tr>
      <w:tr w:rsidR="005504BC" w:rsidRPr="00081562" w14:paraId="61428819"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3A955DAD" w14:textId="77777777" w:rsidR="005504BC" w:rsidRPr="00081562" w:rsidRDefault="00F75757" w:rsidP="00081562">
            <w:pPr>
              <w:pStyle w:val="MDPARProfileSmall"/>
              <w:spacing w:after="0" w:line="240" w:lineRule="auto"/>
              <w:rPr>
                <w:sz w:val="16"/>
                <w:szCs w:val="20"/>
              </w:rPr>
            </w:pPr>
            <w:r w:rsidRPr="00081562">
              <w:rPr>
                <w:sz w:val="16"/>
                <w:szCs w:val="20"/>
              </w:rPr>
              <w:t>Metadata/cardinalidad/language tag/interaction_id inválido</w:t>
            </w:r>
          </w:p>
        </w:tc>
        <w:tc>
          <w:tcPr>
            <w:tcW w:w="4393" w:type="dxa"/>
          </w:tcPr>
          <w:p w14:paraId="0F378DAB"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HTTP 422</w:t>
            </w:r>
          </w:p>
        </w:tc>
      </w:tr>
      <w:tr w:rsidR="005504BC" w:rsidRPr="00081562" w14:paraId="0289B66D"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506C2303" w14:textId="77777777" w:rsidR="005504BC" w:rsidRPr="00081562" w:rsidRDefault="00F75757" w:rsidP="00081562">
            <w:pPr>
              <w:pStyle w:val="MDPARProfileSmall"/>
              <w:spacing w:after="0" w:line="240" w:lineRule="auto"/>
              <w:rPr>
                <w:sz w:val="16"/>
                <w:szCs w:val="20"/>
              </w:rPr>
            </w:pPr>
            <w:r w:rsidRPr="00081562">
              <w:rPr>
                <w:sz w:val="16"/>
                <w:szCs w:val="20"/>
              </w:rPr>
              <w:t>Fallo de transporte frontier</w:t>
            </w:r>
          </w:p>
        </w:tc>
        <w:tc>
          <w:tcPr>
            <w:tcW w:w="4393" w:type="dxa"/>
          </w:tcPr>
          <w:p w14:paraId="5F881490"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HTTP 504</w:t>
            </w:r>
          </w:p>
        </w:tc>
      </w:tr>
      <w:tr w:rsidR="005504BC" w:rsidRPr="00081562" w14:paraId="5C2F20FF"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78282C77" w14:textId="77777777" w:rsidR="005504BC" w:rsidRPr="00081562" w:rsidRDefault="00F75757" w:rsidP="00081562">
            <w:pPr>
              <w:pStyle w:val="MDPARProfileSmall"/>
              <w:spacing w:after="0" w:line="240" w:lineRule="auto"/>
              <w:rPr>
                <w:sz w:val="16"/>
                <w:szCs w:val="20"/>
              </w:rPr>
            </w:pPr>
            <w:r w:rsidRPr="00081562">
              <w:rPr>
                <w:sz w:val="16"/>
                <w:szCs w:val="20"/>
              </w:rPr>
              <w:t>Fallo del proveedor semántico</w:t>
            </w:r>
          </w:p>
        </w:tc>
        <w:tc>
          <w:tcPr>
            <w:tcW w:w="4393" w:type="dxa"/>
          </w:tcPr>
          <w:p w14:paraId="383ECC44"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rPr>
            </w:pPr>
            <w:r w:rsidRPr="00081562">
              <w:rPr>
                <w:sz w:val="16"/>
                <w:szCs w:val="20"/>
              </w:rPr>
              <w:t>HTTP 502</w:t>
            </w:r>
          </w:p>
        </w:tc>
      </w:tr>
      <w:tr w:rsidR="005504BC" w:rsidRPr="00081562" w14:paraId="4DB7654F"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1711BDBE" w14:textId="77777777" w:rsidR="005504BC" w:rsidRPr="00081562" w:rsidRDefault="00F75757" w:rsidP="00081562">
            <w:pPr>
              <w:pStyle w:val="MDPARProfileSmall"/>
              <w:spacing w:after="0" w:line="240" w:lineRule="auto"/>
              <w:rPr>
                <w:sz w:val="16"/>
                <w:szCs w:val="20"/>
              </w:rPr>
            </w:pPr>
            <w:r w:rsidRPr="00081562">
              <w:rPr>
                <w:sz w:val="16"/>
                <w:szCs w:val="20"/>
              </w:rPr>
              <w:t>UNKNOWN estructural</w:t>
            </w:r>
          </w:p>
        </w:tc>
        <w:tc>
          <w:tcPr>
            <w:tcW w:w="4393" w:type="dxa"/>
          </w:tcPr>
          <w:p w14:paraId="1EA8D31B"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rPr>
            </w:pPr>
            <w:r w:rsidRPr="00081562">
              <w:rPr>
                <w:sz w:val="16"/>
                <w:szCs w:val="20"/>
              </w:rPr>
              <w:t>permanece UNKNOWN</w:t>
            </w:r>
          </w:p>
        </w:tc>
      </w:tr>
      <w:tr w:rsidR="005504BC" w:rsidRPr="002F4F30" w14:paraId="31F63064"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0FB671E0" w14:textId="77777777" w:rsidR="005504BC" w:rsidRPr="00081562" w:rsidRDefault="00F75757" w:rsidP="00081562">
            <w:pPr>
              <w:pStyle w:val="MDPARProfileSmall"/>
              <w:spacing w:after="0" w:line="240" w:lineRule="auto"/>
              <w:rPr>
                <w:sz w:val="16"/>
                <w:szCs w:val="20"/>
              </w:rPr>
            </w:pPr>
            <w:r w:rsidRPr="00081562">
              <w:rPr>
                <w:sz w:val="16"/>
                <w:szCs w:val="20"/>
              </w:rPr>
              <w:t>Resultado OPEN</w:t>
            </w:r>
          </w:p>
        </w:tc>
        <w:tc>
          <w:tcPr>
            <w:tcW w:w="4393" w:type="dxa"/>
          </w:tcPr>
          <w:p w14:paraId="653B609C"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frontera neuronal declarada; no determinista</w:t>
            </w:r>
          </w:p>
        </w:tc>
      </w:tr>
      <w:tr w:rsidR="005504BC" w:rsidRPr="002F4F30" w14:paraId="55B6935E"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4CAB3F80" w14:textId="77777777" w:rsidR="005504BC" w:rsidRPr="00081562" w:rsidRDefault="00F75757" w:rsidP="00081562">
            <w:pPr>
              <w:pStyle w:val="MDPARProfileSmall"/>
              <w:spacing w:after="0" w:line="240" w:lineRule="auto"/>
              <w:rPr>
                <w:sz w:val="16"/>
                <w:szCs w:val="20"/>
              </w:rPr>
            </w:pPr>
            <w:r w:rsidRPr="00081562">
              <w:rPr>
                <w:sz w:val="16"/>
                <w:szCs w:val="20"/>
              </w:rPr>
              <w:t>CLOSED disponible</w:t>
            </w:r>
          </w:p>
        </w:tc>
        <w:tc>
          <w:tcPr>
            <w:tcW w:w="4393" w:type="dxa"/>
          </w:tcPr>
          <w:p w14:paraId="60AFDCCD" w14:textId="77777777" w:rsidR="005504BC" w:rsidRPr="00081562" w:rsidRDefault="00F75757" w:rsidP="00081562">
            <w:pPr>
              <w:pStyle w:val="MDPARProfileSmall"/>
              <w:spacing w:after="0" w:line="240" w:lineRule="auto"/>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ownership local no equivale a certificación externa</w:t>
            </w:r>
          </w:p>
        </w:tc>
      </w:tr>
      <w:tr w:rsidR="005504BC" w:rsidRPr="002F4F30" w14:paraId="10203C25"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58405065" w14:textId="77777777" w:rsidR="005504BC" w:rsidRPr="00081562" w:rsidRDefault="00F75757" w:rsidP="00081562">
            <w:pPr>
              <w:pStyle w:val="MDPARProfileSmall"/>
              <w:spacing w:after="0" w:line="240" w:lineRule="auto"/>
              <w:rPr>
                <w:sz w:val="16"/>
                <w:szCs w:val="20"/>
                <w:lang w:val="es-ES"/>
              </w:rPr>
            </w:pPr>
            <w:r w:rsidRPr="00081562">
              <w:rPr>
                <w:sz w:val="16"/>
                <w:szCs w:val="20"/>
                <w:lang w:val="es-ES"/>
              </w:rPr>
              <w:t>Fallo de informe humano tras análisis canónico</w:t>
            </w:r>
          </w:p>
        </w:tc>
        <w:tc>
          <w:tcPr>
            <w:tcW w:w="4393" w:type="dxa"/>
          </w:tcPr>
          <w:p w14:paraId="365904F7" w14:textId="77777777" w:rsidR="005504BC" w:rsidRPr="00081562" w:rsidRDefault="00F75757" w:rsidP="00081562">
            <w:pPr>
              <w:pStyle w:val="MDPARProfileSmall"/>
              <w:spacing w:after="0" w:line="240" w:lineRule="auto"/>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reports.status=FAILED; no invalida retrospectivamente el canónico</w:t>
            </w:r>
          </w:p>
        </w:tc>
      </w:tr>
      <w:tr w:rsidR="00163017" w:rsidRPr="002F4F30" w14:paraId="4A9D4976" w14:textId="77777777" w:rsidTr="00081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3FB004B3" w14:textId="77777777" w:rsidR="00163017" w:rsidRPr="00081562" w:rsidRDefault="00522F42" w:rsidP="00081562">
            <w:pPr>
              <w:spacing w:line="240" w:lineRule="auto"/>
              <w:jc w:val="both"/>
              <w:rPr>
                <w:sz w:val="16"/>
                <w:szCs w:val="20"/>
              </w:rPr>
            </w:pPr>
            <w:r w:rsidRPr="00081562">
              <w:rPr>
                <w:sz w:val="16"/>
                <w:szCs w:val="20"/>
              </w:rPr>
              <w:t>Variación entre réplicas OPEN</w:t>
            </w:r>
          </w:p>
        </w:tc>
        <w:tc>
          <w:tcPr>
            <w:tcW w:w="4393" w:type="dxa"/>
          </w:tcPr>
          <w:p w14:paraId="5EB115C7" w14:textId="77777777" w:rsidR="00163017" w:rsidRPr="00081562" w:rsidRDefault="00522F42" w:rsidP="00081562">
            <w:pPr>
              <w:spacing w:line="240" w:lineRule="auto"/>
              <w:jc w:val="both"/>
              <w:cnfStyle w:val="000000100000" w:firstRow="0" w:lastRow="0" w:firstColumn="0" w:lastColumn="0" w:oddVBand="0" w:evenVBand="0" w:oddHBand="1" w:evenHBand="0" w:firstRowFirstColumn="0" w:firstRowLastColumn="0" w:lastRowFirstColumn="0" w:lastRowLastColumn="0"/>
              <w:rPr>
                <w:sz w:val="16"/>
                <w:szCs w:val="20"/>
                <w:lang w:val="es-ES"/>
              </w:rPr>
            </w:pPr>
            <w:r w:rsidRPr="00081562">
              <w:rPr>
                <w:sz w:val="16"/>
                <w:szCs w:val="20"/>
                <w:lang w:val="es-ES"/>
              </w:rPr>
              <w:t>Se conserva la variación observada; no se atribuye determinismo a la frontera neuronal</w:t>
            </w:r>
          </w:p>
        </w:tc>
      </w:tr>
      <w:tr w:rsidR="00163017" w:rsidRPr="002F4F30" w14:paraId="38ECF354" w14:textId="77777777" w:rsidTr="00081562">
        <w:tc>
          <w:tcPr>
            <w:cnfStyle w:val="001000000000" w:firstRow="0" w:lastRow="0" w:firstColumn="1" w:lastColumn="0" w:oddVBand="0" w:evenVBand="0" w:oddHBand="0" w:evenHBand="0" w:firstRowFirstColumn="0" w:firstRowLastColumn="0" w:lastRowFirstColumn="0" w:lastRowLastColumn="0"/>
            <w:tcW w:w="4393" w:type="dxa"/>
          </w:tcPr>
          <w:p w14:paraId="0F18095D" w14:textId="77777777" w:rsidR="00163017" w:rsidRPr="00081562" w:rsidRDefault="00522F42" w:rsidP="00081562">
            <w:pPr>
              <w:spacing w:line="240" w:lineRule="auto"/>
              <w:jc w:val="both"/>
              <w:rPr>
                <w:sz w:val="16"/>
                <w:szCs w:val="20"/>
              </w:rPr>
            </w:pPr>
            <w:r w:rsidRPr="00081562">
              <w:rPr>
                <w:sz w:val="16"/>
                <w:szCs w:val="20"/>
              </w:rPr>
              <w:t>Conflicto direccional interno</w:t>
            </w:r>
          </w:p>
        </w:tc>
        <w:tc>
          <w:tcPr>
            <w:tcW w:w="4393" w:type="dxa"/>
          </w:tcPr>
          <w:p w14:paraId="282BF1EE" w14:textId="77777777" w:rsidR="00163017" w:rsidRPr="00081562" w:rsidRDefault="00522F42" w:rsidP="00081562">
            <w:pPr>
              <w:spacing w:line="240" w:lineRule="auto"/>
              <w:jc w:val="both"/>
              <w:cnfStyle w:val="000000000000" w:firstRow="0" w:lastRow="0" w:firstColumn="0" w:lastColumn="0" w:oddVBand="0" w:evenVBand="0" w:oddHBand="0" w:evenHBand="0" w:firstRowFirstColumn="0" w:firstRowLastColumn="0" w:lastRowFirstColumn="0" w:lastRowLastColumn="0"/>
              <w:rPr>
                <w:sz w:val="16"/>
                <w:szCs w:val="20"/>
                <w:lang w:val="es-ES"/>
              </w:rPr>
            </w:pPr>
            <w:r w:rsidRPr="00081562">
              <w:rPr>
                <w:sz w:val="16"/>
                <w:szCs w:val="20"/>
                <w:lang w:val="es-ES"/>
              </w:rPr>
              <w:t>Registrar en traza y examinar su tratamiento; no suprimir ni convertirlo automáticamente en invalidez factual</w:t>
            </w:r>
          </w:p>
        </w:tc>
      </w:tr>
    </w:tbl>
    <w:p w14:paraId="753FBC5F" w14:textId="77777777" w:rsidR="002819CE" w:rsidRDefault="002819CE">
      <w:pPr>
        <w:pStyle w:val="MDPARProfileH2"/>
        <w:rPr>
          <w:lang w:val="es-ES"/>
        </w:rPr>
      </w:pPr>
    </w:p>
    <w:p w14:paraId="292A8711" w14:textId="77777777" w:rsidR="005504BC" w:rsidRPr="000A2D71" w:rsidRDefault="00F75757" w:rsidP="002819CE">
      <w:pPr>
        <w:pStyle w:val="MDPARProfileH2"/>
        <w:spacing w:before="0" w:after="0" w:line="360" w:lineRule="auto"/>
        <w:ind w:firstLine="709"/>
        <w:jc w:val="both"/>
        <w:outlineLvl w:val="1"/>
        <w:rPr>
          <w:lang w:val="es-ES"/>
        </w:rPr>
      </w:pPr>
      <w:bookmarkStart w:id="170" w:name="_Toc242722006"/>
      <w:r w:rsidRPr="000A2D71">
        <w:rPr>
          <w:lang w:val="es-ES"/>
        </w:rPr>
        <w:t>C.14. Diferencia auditable entre MDPAR+LLM y LLM directo</w:t>
      </w:r>
      <w:bookmarkEnd w:id="170"/>
    </w:p>
    <w:p w14:paraId="5F8C6912" w14:textId="77777777" w:rsidR="005504BC" w:rsidRPr="000A2D71" w:rsidRDefault="00F75757">
      <w:pPr>
        <w:pStyle w:val="MDPARThesisBody"/>
        <w:rPr>
          <w:lang w:val="es-ES"/>
        </w:rPr>
      </w:pPr>
      <w:r w:rsidRPr="000A2D71">
        <w:rPr>
          <w:lang w:val="es-ES"/>
        </w:rPr>
        <w:t>Un LLM directo puede producir observaciones y prosa semánticamente parecidas. Sin baseline emparejada no se reivindica superioridad semántica. La diferencia contrastable es de contrato y arquitectura: routing y autoridad externos al modelo; ocurrencias indexadas, relaciones y trayectorias canónicas; continuidad; operaciones estructurales; hashes; separación entre cómputo determinista y frontera OPEN; y declaración de incertidumbre y límites de dominio. En denuncia-probe-03, la representación permite distinguir el desconocimiento alegado de una grabación de la atribución de instalación y difusión; tal distinción es una inferencia estructural sobre la fuente, no una constatación forense.</w:t>
      </w:r>
    </w:p>
    <w:p w14:paraId="28A7C5D6" w14:textId="77777777" w:rsidR="005504BC" w:rsidRDefault="00F75757">
      <w:pPr>
        <w:pStyle w:val="MDPARThesisBody"/>
        <w:rPr>
          <w:lang w:val="es-ES"/>
        </w:rPr>
      </w:pPr>
      <w:r w:rsidRPr="000A2D71">
        <w:rPr>
          <w:lang w:val="es-ES"/>
        </w:rPr>
        <w:t>La variación entre repeticiones OPEN se conserva como evidencia metodológica. La ejecución de referencia registró variación respecto del resultado canónico; por ello ni la estabilidad semántica exacta ni la superioridad frente a un LLM directo quedan demostradas. La mayor granularidad observada en una ejecución concreta tampoco constituye, por sí sola, una mejora general validada.</w:t>
      </w:r>
    </w:p>
    <w:p w14:paraId="475D649B" w14:textId="77777777" w:rsidR="002819CE" w:rsidRPr="000A2D71" w:rsidRDefault="002819CE">
      <w:pPr>
        <w:pStyle w:val="MDPARThesisBody"/>
        <w:rPr>
          <w:lang w:val="es-ES"/>
        </w:rPr>
      </w:pPr>
    </w:p>
    <w:p w14:paraId="64E95B2F" w14:textId="77777777" w:rsidR="005504BC" w:rsidRPr="000A2D71" w:rsidRDefault="00F75757" w:rsidP="002819CE">
      <w:pPr>
        <w:pStyle w:val="MDPARProfileH2"/>
        <w:spacing w:before="0" w:after="0" w:line="360" w:lineRule="auto"/>
        <w:ind w:firstLine="709"/>
        <w:jc w:val="both"/>
        <w:outlineLvl w:val="1"/>
        <w:rPr>
          <w:lang w:val="es-ES"/>
        </w:rPr>
      </w:pPr>
      <w:bookmarkStart w:id="171" w:name="_Toc242722007"/>
      <w:r w:rsidRPr="000A2D71">
        <w:rPr>
          <w:lang w:val="es-ES"/>
        </w:rPr>
        <w:t>C.15. Checklist de cierre de un assessment</w:t>
      </w:r>
      <w:bookmarkEnd w:id="171"/>
    </w:p>
    <w:p w14:paraId="675C01D9" w14:textId="77777777" w:rsidR="005504BC" w:rsidRPr="000A2D71" w:rsidRDefault="00F75757" w:rsidP="002819CE">
      <w:pPr>
        <w:pStyle w:val="MDPARThesisBody"/>
        <w:numPr>
          <w:ilvl w:val="0"/>
          <w:numId w:val="19"/>
        </w:numPr>
        <w:rPr>
          <w:lang w:val="es-ES"/>
        </w:rPr>
      </w:pPr>
      <w:r w:rsidRPr="000A2D71">
        <w:rPr>
          <w:lang w:val="es-ES"/>
        </w:rPr>
        <w:t>Se ha conservado la evidencia original o su referencia autorizada.</w:t>
      </w:r>
    </w:p>
    <w:p w14:paraId="4FBFD1A0" w14:textId="77777777" w:rsidR="005504BC" w:rsidRPr="000A2D71" w:rsidRDefault="00F75757" w:rsidP="002819CE">
      <w:pPr>
        <w:pStyle w:val="MDPARThesisBody"/>
        <w:numPr>
          <w:ilvl w:val="0"/>
          <w:numId w:val="19"/>
        </w:numPr>
        <w:rPr>
          <w:lang w:val="es-ES"/>
        </w:rPr>
      </w:pPr>
      <w:r w:rsidRPr="000A2D71">
        <w:rPr>
          <w:lang w:val="es-ES"/>
        </w:rPr>
        <w:t>Los hashes de evidencia y runtime están registrados cuando corresponda.</w:t>
      </w:r>
    </w:p>
    <w:p w14:paraId="0CD9C144" w14:textId="77777777" w:rsidR="005504BC" w:rsidRPr="000A2D71" w:rsidRDefault="00F75757" w:rsidP="002819CE">
      <w:pPr>
        <w:pStyle w:val="MDPARThesisBody"/>
        <w:numPr>
          <w:ilvl w:val="0"/>
          <w:numId w:val="19"/>
        </w:numPr>
        <w:rPr>
          <w:lang w:val="es-ES"/>
        </w:rPr>
      </w:pPr>
      <w:r w:rsidRPr="000A2D71">
        <w:rPr>
          <w:lang w:val="es-ES"/>
        </w:rPr>
        <w:t>La identidad MDPAR procede de /runtime y no de una declaración manual.</w:t>
      </w:r>
    </w:p>
    <w:p w14:paraId="18D814E3" w14:textId="77777777" w:rsidR="005504BC" w:rsidRPr="000A2D71" w:rsidRDefault="00F75757" w:rsidP="002819CE">
      <w:pPr>
        <w:pStyle w:val="MDPARThesisBody"/>
        <w:numPr>
          <w:ilvl w:val="0"/>
          <w:numId w:val="19"/>
        </w:numPr>
        <w:rPr>
          <w:lang w:val="es-ES"/>
        </w:rPr>
      </w:pPr>
      <w:r w:rsidRPr="000A2D71">
        <w:rPr>
          <w:lang w:val="es-ES"/>
        </w:rPr>
        <w:t>Se conocen las superficies realmente observadas y las no examinadas.</w:t>
      </w:r>
    </w:p>
    <w:p w14:paraId="34A6115F" w14:textId="77777777" w:rsidR="005504BC" w:rsidRPr="000A2D71" w:rsidRDefault="00F75757" w:rsidP="002819CE">
      <w:pPr>
        <w:pStyle w:val="MDPARThesisBody"/>
        <w:numPr>
          <w:ilvl w:val="0"/>
          <w:numId w:val="19"/>
        </w:numPr>
        <w:rPr>
          <w:lang w:val="es-ES"/>
        </w:rPr>
      </w:pPr>
      <w:r w:rsidRPr="000A2D71">
        <w:rPr>
          <w:lang w:val="es-ES"/>
        </w:rPr>
        <w:t>UNKNOWN y fallos permanecen explícitos.</w:t>
      </w:r>
    </w:p>
    <w:p w14:paraId="61F5393C" w14:textId="77777777" w:rsidR="005504BC" w:rsidRPr="000A2D71" w:rsidRDefault="00F75757" w:rsidP="002819CE">
      <w:pPr>
        <w:pStyle w:val="MDPARThesisBody"/>
        <w:numPr>
          <w:ilvl w:val="0"/>
          <w:numId w:val="19"/>
        </w:numPr>
        <w:rPr>
          <w:lang w:val="es-ES"/>
        </w:rPr>
      </w:pPr>
      <w:r w:rsidRPr="000A2D71">
        <w:rPr>
          <w:lang w:val="es-ES"/>
        </w:rPr>
        <w:t>La frontera OPEN está identificada como neuronal cuando interviene.</w:t>
      </w:r>
    </w:p>
    <w:p w14:paraId="17A196D4" w14:textId="77777777" w:rsidR="005504BC" w:rsidRPr="000A2D71" w:rsidRDefault="00F75757" w:rsidP="002819CE">
      <w:pPr>
        <w:pStyle w:val="MDPARThesisBody"/>
        <w:numPr>
          <w:ilvl w:val="0"/>
          <w:numId w:val="19"/>
        </w:numPr>
        <w:rPr>
          <w:lang w:val="es-ES"/>
        </w:rPr>
      </w:pPr>
      <w:r w:rsidRPr="000A2D71">
        <w:rPr>
          <w:lang w:val="es-ES"/>
        </w:rPr>
        <w:t>El resultado canónico se conserva antes de la publicación humana.</w:t>
      </w:r>
    </w:p>
    <w:p w14:paraId="2D24094D" w14:textId="77777777" w:rsidR="005504BC" w:rsidRPr="000A2D71" w:rsidRDefault="00F75757" w:rsidP="002819CE">
      <w:pPr>
        <w:pStyle w:val="MDPARThesisBody"/>
        <w:numPr>
          <w:ilvl w:val="0"/>
          <w:numId w:val="19"/>
        </w:numPr>
        <w:rPr>
          <w:lang w:val="es-ES"/>
        </w:rPr>
      </w:pPr>
      <w:r w:rsidRPr="000A2D71">
        <w:rPr>
          <w:lang w:val="es-ES"/>
        </w:rPr>
        <w:t>Los informes derivados no introducen hallazgos incompatibles con el canónico.</w:t>
      </w:r>
    </w:p>
    <w:p w14:paraId="5A8590FC" w14:textId="77777777" w:rsidR="005504BC" w:rsidRPr="000A2D71" w:rsidRDefault="00F75757" w:rsidP="002819CE">
      <w:pPr>
        <w:pStyle w:val="MDPARThesisBody"/>
        <w:numPr>
          <w:ilvl w:val="0"/>
          <w:numId w:val="19"/>
        </w:numPr>
        <w:rPr>
          <w:lang w:val="es-ES"/>
        </w:rPr>
      </w:pPr>
      <w:r w:rsidRPr="000A2D71">
        <w:rPr>
          <w:lang w:val="es-ES"/>
        </w:rPr>
        <w:t>La autoridad profesional/institucional permanece externa al software.</w:t>
      </w:r>
    </w:p>
    <w:p w14:paraId="5117EE5C" w14:textId="77777777" w:rsidR="005504BC" w:rsidRDefault="00F75757" w:rsidP="002819CE">
      <w:pPr>
        <w:pStyle w:val="MDPARThesisBody"/>
        <w:numPr>
          <w:ilvl w:val="0"/>
          <w:numId w:val="19"/>
        </w:numPr>
        <w:rPr>
          <w:lang w:val="es-ES"/>
        </w:rPr>
      </w:pPr>
      <w:r w:rsidRPr="000A2D71">
        <w:rPr>
          <w:lang w:val="es-ES"/>
        </w:rPr>
        <w:t>La copia destinada a difusión contiene únicamente datos no sensibles necesarios.</w:t>
      </w:r>
    </w:p>
    <w:p w14:paraId="1E201EF5" w14:textId="77777777" w:rsidR="002819CE" w:rsidRPr="000A2D71" w:rsidRDefault="002819CE" w:rsidP="002819CE">
      <w:pPr>
        <w:pStyle w:val="MDPARThesisBody"/>
        <w:ind w:firstLine="0"/>
        <w:rPr>
          <w:lang w:val="es-ES"/>
        </w:rPr>
      </w:pPr>
    </w:p>
    <w:p w14:paraId="5150672F" w14:textId="77777777" w:rsidR="00892C96" w:rsidRPr="0081780E" w:rsidRDefault="009504BD" w:rsidP="0081780E">
      <w:pPr>
        <w:pStyle w:val="MDPARProfileH2"/>
        <w:spacing w:before="0" w:after="0" w:line="360" w:lineRule="auto"/>
        <w:ind w:firstLine="709"/>
        <w:outlineLvl w:val="1"/>
        <w:rPr>
          <w:lang w:val="es-ES"/>
        </w:rPr>
      </w:pPr>
      <w:bookmarkStart w:id="172" w:name="_Toc242722008"/>
      <w:r w:rsidRPr="0081780E">
        <w:rPr>
          <w:lang w:val="es-ES"/>
        </w:rPr>
        <w:t>C.16. Metrología económica y temporal de una ejecución operacional</w:t>
      </w:r>
      <w:bookmarkEnd w:id="172"/>
    </w:p>
    <w:p w14:paraId="1493492C" w14:textId="77777777" w:rsidR="0081780E" w:rsidRDefault="009504BD" w:rsidP="0081780E">
      <w:pPr>
        <w:ind w:firstLine="709"/>
        <w:jc w:val="both"/>
        <w:rPr>
          <w:lang w:val="es-ES"/>
        </w:rPr>
      </w:pPr>
      <w:r w:rsidRPr="0081780E">
        <w:rPr>
          <w:lang w:val="es-ES"/>
        </w:rPr>
        <w:t>La ejecución documental de referencia (denuncia-probe-03, 2.3.0; 10.989 caracteres extraídos) registró siete peticiones al proveedor openai:gpt-5.6-sol: 127.283 tokens de entrada, de ellos 53.052 en caché, y 86.058 de salida, incluidos 79.247 de razonamiento, que son una subcategoría de salida y no se cobran dos veces. El ledger MDPAR-</w:t>
      </w:r>
      <w:r w:rsidRPr="0081780E">
        <w:rPr>
          <w:lang w:val="es-ES"/>
        </w:rPr>
        <w:lastRenderedPageBreak/>
        <w:t>BILLING-1 registró 2,039305 USD de proveedor, convertidos a 1,788393 EUR mediante la referencia BCE de 25/09/2026 (1 EUR = 1,1403 USD); 12,846770 EUR de trabajo profesional modelizado; base de 14,635164 EUR; IVA configurado al 21 % de 3,073384 EUR; y total de referencia de 17,708548 EUR. Los precios del proveedor, el cambio, la tarifa profesional y el impuesto son parámetros versionados o configurables, no tarifas universales ni una factura fiscal.</w:t>
      </w:r>
    </w:p>
    <w:p w14:paraId="716AE151" w14:textId="77777777" w:rsidR="00892C96" w:rsidRPr="0081780E" w:rsidRDefault="009504BD" w:rsidP="0081780E">
      <w:pPr>
        <w:ind w:firstLine="709"/>
        <w:jc w:val="both"/>
        <w:rPr>
          <w:lang w:val="es-ES"/>
        </w:rPr>
      </w:pPr>
      <w:r w:rsidRPr="0081780E">
        <w:rPr>
          <w:lang w:val="es-ES"/>
        </w:rPr>
        <w:t>La magnitud «honorarios profesionales» resulta de multiplicar el tiempo medido por la tarifa de referencia de 394 EUR por jornada de ocho horas (49,25 EUR/h); no equivale a honorarios efectivos ni remunera necesariamente la revisión posterior, la corroboración externa, la explicación profesional o la responsabilidad por el dictamen. El coste de proveedor tampoco incluye costes de infraestructura, conservación, seguridad o mantenimiento. No puede deducirse ahorro profesional neto sin un contraste emparejado del trabajo humano requerido.</w:t>
      </w:r>
    </w:p>
    <w:p w14:paraId="2C52D371" w14:textId="77777777" w:rsidR="00C9290D" w:rsidRDefault="009504BD" w:rsidP="0081780E">
      <w:pPr>
        <w:ind w:firstLine="709"/>
        <w:jc w:val="both"/>
        <w:rPr>
          <w:lang w:val="es-ES"/>
        </w:rPr>
      </w:pPr>
      <w:r w:rsidRPr="0081780E">
        <w:rPr>
          <w:lang w:val="es-ES"/>
        </w:rPr>
        <w:t>La telemetría registró extracción 0,037750 s; routing 0,712145 s; identificación 173,404 s; dirección 3,331845 s; realización 42,447006 s; verificación 209,703941 s; procesamiento 429,684632 s; y realización del informe 30,662299 s. La traza total fue de 939,476939 s y el ledger utilizó 939,053263 s como tiempo de procesamiento facturable.</w:t>
      </w:r>
    </w:p>
    <w:p w14:paraId="00866900" w14:textId="77777777" w:rsidR="00892C96" w:rsidRPr="0081780E" w:rsidRDefault="009504BD" w:rsidP="0081780E">
      <w:pPr>
        <w:ind w:firstLine="709"/>
        <w:jc w:val="both"/>
        <w:rPr>
          <w:lang w:val="es-ES"/>
        </w:rPr>
      </w:pPr>
      <w:r w:rsidRPr="0081780E">
        <w:rPr>
          <w:lang w:val="es-ES"/>
        </w:rPr>
        <w:t>Las fases internas están contenidas en las fases de nivel superior y no deben sumarse dos veces; la diferencia entre la suma de fases publicadas y el tiempo total corresponde a otras operaciones y esperas del ciclo registrado. Son observaciones de una ejecución, no compromisos de latencia.</w:t>
      </w:r>
    </w:p>
    <w:p w14:paraId="3F76DB66" w14:textId="77777777" w:rsidR="00C9290D" w:rsidRDefault="00C9290D" w:rsidP="00C9290D">
      <w:pPr>
        <w:ind w:firstLine="709"/>
        <w:jc w:val="both"/>
        <w:rPr>
          <w:lang w:val="es-ES"/>
        </w:rPr>
      </w:pPr>
      <w:r w:rsidRPr="0081780E">
        <w:rPr>
          <w:lang w:val="es-ES"/>
        </w:rPr>
        <w:t>La lectura correcta del ledger es, por tanto, doble. Por un lado, ofrece evidencia favorable de un coste marginal de proveedor muy bajo para producir una estructura documental extensa, auditable y publicable. Por otro, impide confundir automatización de la preparación del problema con automatización de la autoridad que debe resolverlo. El Anexo C conserva ambas magnitudes precisamente para que coste, tiempo y valor social puedan discutirse sin convertir una observación operacional en una tarifa universal.</w:t>
      </w:r>
    </w:p>
    <w:p w14:paraId="4DCBACF3" w14:textId="77777777" w:rsidR="0081780E" w:rsidRPr="0081780E" w:rsidRDefault="0081780E">
      <w:pPr>
        <w:rPr>
          <w:lang w:val="es-ES"/>
        </w:rPr>
      </w:pPr>
    </w:p>
    <w:p w14:paraId="19B6C3DE" w14:textId="77777777" w:rsidR="005504BC" w:rsidRPr="000A2D71" w:rsidRDefault="00F75757" w:rsidP="0081780E">
      <w:pPr>
        <w:pStyle w:val="MDPARProfileH2"/>
        <w:spacing w:before="0" w:after="0" w:line="360" w:lineRule="auto"/>
        <w:ind w:firstLine="709"/>
        <w:outlineLvl w:val="1"/>
        <w:rPr>
          <w:lang w:val="es-ES"/>
        </w:rPr>
      </w:pPr>
      <w:bookmarkStart w:id="173" w:name="_Toc242722009"/>
      <w:r w:rsidRPr="0081780E">
        <w:rPr>
          <w:lang w:val="es-ES"/>
        </w:rPr>
        <w:t>C.17. Regla final del Anexo C</w:t>
      </w:r>
      <w:bookmarkEnd w:id="173"/>
    </w:p>
    <w:p w14:paraId="1384CA1B" w14:textId="77777777" w:rsidR="005504BC" w:rsidRDefault="00F75757">
      <w:pPr>
        <w:pStyle w:val="MDPARThesisBody"/>
        <w:rPr>
          <w:lang w:val="es-ES"/>
        </w:rPr>
      </w:pPr>
      <w:r w:rsidRPr="000A2D71">
        <w:rPr>
          <w:lang w:val="es-ES"/>
        </w:rPr>
        <w:t xml:space="preserve">La superficie Swagger implementa un procedimiento de alto control: recibir evidencia, declarar su cobertura, ejecutar una evaluación estructural canónica bajo routing MDPAR, preservar la identidad de los artefactos y realizar después el resultado como informe. El dominio se infiere de la evidencia; OPEN aporta observación semántica no determinista sin autoridad factual automática; CLOSED solo puede ejercer autoridad </w:t>
      </w:r>
      <w:r w:rsidRPr="000A2D71">
        <w:rPr>
          <w:lang w:val="es-ES"/>
        </w:rPr>
        <w:lastRenderedPageBreak/>
        <w:t>dentro de coordenadas instaladas y validadas. La publicación humana no sustituye al canónico ni la trazabilidad equivale a verdad externa. El contrato público debe poder auditarse sin publicar el contenido sensible del caso.</w:t>
      </w:r>
    </w:p>
    <w:p w14:paraId="684A38F6" w14:textId="77777777" w:rsidR="00E97F52" w:rsidRPr="000A2D71" w:rsidRDefault="00E97F52">
      <w:pPr>
        <w:pStyle w:val="MDPARThesisBody"/>
        <w:rPr>
          <w:lang w:val="es-ES"/>
        </w:rPr>
      </w:pPr>
    </w:p>
    <w:tbl>
      <w:tblPr>
        <w:tblW w:w="0" w:type="auto"/>
        <w:jc w:val="center"/>
        <w:tblLook w:val="04A0" w:firstRow="1" w:lastRow="0" w:firstColumn="1" w:lastColumn="0" w:noHBand="0" w:noVBand="1"/>
      </w:tblPr>
      <w:tblGrid>
        <w:gridCol w:w="8787"/>
      </w:tblGrid>
      <w:tr w:rsidR="005504BC" w:rsidRPr="002F4F30" w14:paraId="36FEEA1A" w14:textId="77777777">
        <w:trPr>
          <w:cantSplit/>
          <w:jc w:val="center"/>
        </w:trPr>
        <w:tc>
          <w:tcPr>
            <w:tcW w:w="8787" w:type="dxa"/>
            <w:tcBorders>
              <w:top w:val="single" w:sz="5" w:space="0" w:color="9AAAB8"/>
              <w:bottom w:val="single" w:sz="5" w:space="0" w:color="9AAAB8"/>
            </w:tcBorders>
            <w:shd w:val="clear" w:color="auto" w:fill="FFFFFF"/>
            <w:vAlign w:val="center"/>
          </w:tcPr>
          <w:p w14:paraId="02781654" w14:textId="77777777" w:rsidR="00E97F52" w:rsidRPr="00E97F52" w:rsidRDefault="00F75757" w:rsidP="00E97F52">
            <w:pPr>
              <w:pStyle w:val="MDPARProfileCallout"/>
              <w:spacing w:before="60" w:after="60" w:line="360" w:lineRule="auto"/>
              <w:jc w:val="both"/>
              <w:rPr>
                <w:sz w:val="20"/>
                <w:szCs w:val="18"/>
                <w:lang w:val="es-ES"/>
              </w:rPr>
            </w:pPr>
            <w:r w:rsidRPr="00E97F52">
              <w:rPr>
                <w:sz w:val="20"/>
                <w:szCs w:val="18"/>
                <w:lang w:val="es-ES"/>
              </w:rPr>
              <w:t>CRITERIO DE SUFICIENCIA</w:t>
            </w:r>
          </w:p>
          <w:p w14:paraId="53FD49A4" w14:textId="77777777" w:rsidR="005504BC" w:rsidRPr="000A2D71" w:rsidRDefault="00F75757" w:rsidP="00E97F52">
            <w:pPr>
              <w:pStyle w:val="MDPARProfileCallout"/>
              <w:spacing w:before="60" w:after="60" w:line="360" w:lineRule="auto"/>
              <w:jc w:val="both"/>
              <w:rPr>
                <w:lang w:val="es-ES"/>
              </w:rPr>
            </w:pPr>
            <w:r w:rsidRPr="00E97F52">
              <w:rPr>
                <w:sz w:val="20"/>
                <w:szCs w:val="18"/>
                <w:lang w:val="es-ES"/>
              </w:rPr>
              <w:br/>
              <w:t>Un expediente MDPAR no es mejor porque contenga más prosa. Es mejor cuando permite responder con precisión qué entró, qué pudo observarse, qué se calculó, qué componente intervino, qué quedó UNKNOWN, qué autoridad correspondía a cada capa y qué parte del resultado puede ser contradicha o reproducida.</w:t>
            </w:r>
          </w:p>
        </w:tc>
      </w:tr>
    </w:tbl>
    <w:p w14:paraId="6C67C9E6" w14:textId="77777777" w:rsidR="005A3181" w:rsidRPr="004F518D" w:rsidRDefault="005A3181">
      <w:pPr>
        <w:rPr>
          <w:lang w:val="es-ES"/>
        </w:rPr>
      </w:pPr>
    </w:p>
    <w:sectPr w:rsidR="005A3181" w:rsidRPr="004F518D" w:rsidSect="00034616">
      <w:footerReference w:type="default" r:id="rId53"/>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40766" w14:textId="77777777" w:rsidR="00C026F8" w:rsidRDefault="00C026F8">
      <w:pPr>
        <w:spacing w:line="240" w:lineRule="auto"/>
      </w:pPr>
      <w:r>
        <w:separator/>
      </w:r>
    </w:p>
  </w:endnote>
  <w:endnote w:type="continuationSeparator" w:id="0">
    <w:p w14:paraId="726E740B" w14:textId="77777777" w:rsidR="00C026F8" w:rsidRDefault="00C026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E97D2" w14:textId="77777777" w:rsidR="0088522B" w:rsidRDefault="00C2590C">
    <w:pPr>
      <w:pStyle w:val="Piedepgina"/>
      <w:jc w:val="center"/>
    </w:pPr>
    <w:r>
      <w:rPr>
        <w:sz w:val="20"/>
      </w:rPr>
      <w:fldChar w:fldCharType="begin"/>
    </w:r>
    <w:r>
      <w:rPr>
        <w:sz w:val="20"/>
      </w:rPr>
      <w:instrText>PAGE</w:instrText>
    </w:r>
    <w:r>
      <w:rPr>
        <w:sz w:val="20"/>
      </w:rPr>
      <w:fldChar w:fldCharType="separate"/>
    </w:r>
    <w:r w:rsidR="00E74E4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AF9F2" w14:textId="77777777" w:rsidR="00C026F8" w:rsidRDefault="00C026F8">
      <w:pPr>
        <w:spacing w:line="240" w:lineRule="auto"/>
      </w:pPr>
      <w:r>
        <w:separator/>
      </w:r>
    </w:p>
  </w:footnote>
  <w:footnote w:type="continuationSeparator" w:id="0">
    <w:p w14:paraId="364EC28E" w14:textId="77777777" w:rsidR="00C026F8" w:rsidRDefault="00C026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AE3603"/>
    <w:multiLevelType w:val="hybridMultilevel"/>
    <w:tmpl w:val="85D6E4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07C095F"/>
    <w:multiLevelType w:val="hybridMultilevel"/>
    <w:tmpl w:val="61E4BF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4CA495C"/>
    <w:multiLevelType w:val="hybridMultilevel"/>
    <w:tmpl w:val="2AA0A6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8344457"/>
    <w:multiLevelType w:val="hybridMultilevel"/>
    <w:tmpl w:val="C9FC7158"/>
    <w:lvl w:ilvl="0" w:tplc="4CB4056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2F958C2"/>
    <w:multiLevelType w:val="hybridMultilevel"/>
    <w:tmpl w:val="3A809A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DAB44FA"/>
    <w:multiLevelType w:val="hybridMultilevel"/>
    <w:tmpl w:val="BE1A82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F837922"/>
    <w:multiLevelType w:val="hybridMultilevel"/>
    <w:tmpl w:val="B5E486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1CF7011"/>
    <w:multiLevelType w:val="hybridMultilevel"/>
    <w:tmpl w:val="370C3C2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73927F0"/>
    <w:multiLevelType w:val="hybridMultilevel"/>
    <w:tmpl w:val="AC20C7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8D54704"/>
    <w:multiLevelType w:val="hybridMultilevel"/>
    <w:tmpl w:val="4E8000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DCB1F1A"/>
    <w:multiLevelType w:val="hybridMultilevel"/>
    <w:tmpl w:val="A7F6145E"/>
    <w:lvl w:ilvl="0" w:tplc="9EC4713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6816676"/>
    <w:multiLevelType w:val="hybridMultilevel"/>
    <w:tmpl w:val="26469022"/>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1" w15:restartNumberingAfterBreak="0">
    <w:nsid w:val="59223C1E"/>
    <w:multiLevelType w:val="hybridMultilevel"/>
    <w:tmpl w:val="F9444674"/>
    <w:lvl w:ilvl="0" w:tplc="D56E568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34D3E6E"/>
    <w:multiLevelType w:val="hybridMultilevel"/>
    <w:tmpl w:val="3A809A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5A2338B"/>
    <w:multiLevelType w:val="hybridMultilevel"/>
    <w:tmpl w:val="8722BF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A1E354A"/>
    <w:multiLevelType w:val="hybridMultilevel"/>
    <w:tmpl w:val="0DA48E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5"/>
  </w:num>
  <w:num w:numId="12">
    <w:abstractNumId w:val="24"/>
  </w:num>
  <w:num w:numId="13">
    <w:abstractNumId w:val="18"/>
  </w:num>
  <w:num w:numId="14">
    <w:abstractNumId w:val="19"/>
  </w:num>
  <w:num w:numId="15">
    <w:abstractNumId w:val="22"/>
  </w:num>
  <w:num w:numId="16">
    <w:abstractNumId w:val="23"/>
  </w:num>
  <w:num w:numId="17">
    <w:abstractNumId w:val="10"/>
  </w:num>
  <w:num w:numId="18">
    <w:abstractNumId w:val="11"/>
  </w:num>
  <w:num w:numId="19">
    <w:abstractNumId w:val="16"/>
  </w:num>
  <w:num w:numId="20">
    <w:abstractNumId w:val="20"/>
  </w:num>
  <w:num w:numId="21">
    <w:abstractNumId w:val="12"/>
  </w:num>
  <w:num w:numId="22">
    <w:abstractNumId w:val="17"/>
  </w:num>
  <w:num w:numId="23">
    <w:abstractNumId w:val="9"/>
  </w:num>
  <w:num w:numId="24">
    <w:abstractNumId w:val="14"/>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BD"/>
    <w:rsid w:val="00015FA2"/>
    <w:rsid w:val="0003301D"/>
    <w:rsid w:val="00034616"/>
    <w:rsid w:val="000436FA"/>
    <w:rsid w:val="00055665"/>
    <w:rsid w:val="0005674F"/>
    <w:rsid w:val="00057167"/>
    <w:rsid w:val="000604AC"/>
    <w:rsid w:val="0006063C"/>
    <w:rsid w:val="0006341E"/>
    <w:rsid w:val="00071003"/>
    <w:rsid w:val="00072858"/>
    <w:rsid w:val="00080EE5"/>
    <w:rsid w:val="00081562"/>
    <w:rsid w:val="0009289C"/>
    <w:rsid w:val="000947D0"/>
    <w:rsid w:val="000A1C4E"/>
    <w:rsid w:val="000A2D71"/>
    <w:rsid w:val="000A438A"/>
    <w:rsid w:val="000A6E8E"/>
    <w:rsid w:val="000B25C4"/>
    <w:rsid w:val="000B7382"/>
    <w:rsid w:val="000C3303"/>
    <w:rsid w:val="000D1032"/>
    <w:rsid w:val="000D20C1"/>
    <w:rsid w:val="000E327C"/>
    <w:rsid w:val="000E7DF9"/>
    <w:rsid w:val="000F64F6"/>
    <w:rsid w:val="000F6ED6"/>
    <w:rsid w:val="00104B57"/>
    <w:rsid w:val="0013390D"/>
    <w:rsid w:val="001444FB"/>
    <w:rsid w:val="00146AEA"/>
    <w:rsid w:val="00150642"/>
    <w:rsid w:val="0015074B"/>
    <w:rsid w:val="001537E8"/>
    <w:rsid w:val="00157B1A"/>
    <w:rsid w:val="00163017"/>
    <w:rsid w:val="001701DF"/>
    <w:rsid w:val="00173602"/>
    <w:rsid w:val="001746CF"/>
    <w:rsid w:val="0018303D"/>
    <w:rsid w:val="00184E63"/>
    <w:rsid w:val="001B4500"/>
    <w:rsid w:val="001C7C99"/>
    <w:rsid w:val="001D61A0"/>
    <w:rsid w:val="001E03DD"/>
    <w:rsid w:val="001E1F83"/>
    <w:rsid w:val="001F52B4"/>
    <w:rsid w:val="00226DE9"/>
    <w:rsid w:val="00227D1A"/>
    <w:rsid w:val="00250399"/>
    <w:rsid w:val="00276912"/>
    <w:rsid w:val="0027708B"/>
    <w:rsid w:val="002819CE"/>
    <w:rsid w:val="0029639D"/>
    <w:rsid w:val="002A529F"/>
    <w:rsid w:val="002A64FB"/>
    <w:rsid w:val="002A66E8"/>
    <w:rsid w:val="002A7BB8"/>
    <w:rsid w:val="002C0192"/>
    <w:rsid w:val="002C31CF"/>
    <w:rsid w:val="002C5F92"/>
    <w:rsid w:val="002D7780"/>
    <w:rsid w:val="002F0751"/>
    <w:rsid w:val="002F4F30"/>
    <w:rsid w:val="003156A8"/>
    <w:rsid w:val="00315EF1"/>
    <w:rsid w:val="003216DE"/>
    <w:rsid w:val="00323398"/>
    <w:rsid w:val="00326F90"/>
    <w:rsid w:val="0033700A"/>
    <w:rsid w:val="00342882"/>
    <w:rsid w:val="00345F66"/>
    <w:rsid w:val="003478A1"/>
    <w:rsid w:val="003511AD"/>
    <w:rsid w:val="00353BB8"/>
    <w:rsid w:val="003546DB"/>
    <w:rsid w:val="00366D87"/>
    <w:rsid w:val="0037399D"/>
    <w:rsid w:val="00381541"/>
    <w:rsid w:val="00382C8E"/>
    <w:rsid w:val="00397A74"/>
    <w:rsid w:val="003B149A"/>
    <w:rsid w:val="003B6C1C"/>
    <w:rsid w:val="003E272C"/>
    <w:rsid w:val="003E4238"/>
    <w:rsid w:val="003E496D"/>
    <w:rsid w:val="003F173D"/>
    <w:rsid w:val="003F69C2"/>
    <w:rsid w:val="00412AB3"/>
    <w:rsid w:val="0043546B"/>
    <w:rsid w:val="00443195"/>
    <w:rsid w:val="00451AB4"/>
    <w:rsid w:val="00454EDA"/>
    <w:rsid w:val="00455412"/>
    <w:rsid w:val="004704AE"/>
    <w:rsid w:val="00471480"/>
    <w:rsid w:val="00491C95"/>
    <w:rsid w:val="004925C5"/>
    <w:rsid w:val="0049665A"/>
    <w:rsid w:val="00497A4B"/>
    <w:rsid w:val="004A0472"/>
    <w:rsid w:val="004A613E"/>
    <w:rsid w:val="004B177B"/>
    <w:rsid w:val="004C6386"/>
    <w:rsid w:val="004D28DD"/>
    <w:rsid w:val="004D3ECA"/>
    <w:rsid w:val="004D49ED"/>
    <w:rsid w:val="004D67AC"/>
    <w:rsid w:val="004F00C1"/>
    <w:rsid w:val="004F518D"/>
    <w:rsid w:val="00500433"/>
    <w:rsid w:val="00502BDB"/>
    <w:rsid w:val="005031FA"/>
    <w:rsid w:val="005227D8"/>
    <w:rsid w:val="00522F42"/>
    <w:rsid w:val="0053457A"/>
    <w:rsid w:val="0054053C"/>
    <w:rsid w:val="00544232"/>
    <w:rsid w:val="00546EA4"/>
    <w:rsid w:val="005504BC"/>
    <w:rsid w:val="00551DF4"/>
    <w:rsid w:val="00553162"/>
    <w:rsid w:val="0056088A"/>
    <w:rsid w:val="00567F5A"/>
    <w:rsid w:val="00581444"/>
    <w:rsid w:val="00590A38"/>
    <w:rsid w:val="00595007"/>
    <w:rsid w:val="005A3181"/>
    <w:rsid w:val="005B702C"/>
    <w:rsid w:val="005C39BB"/>
    <w:rsid w:val="005C5E48"/>
    <w:rsid w:val="005D0830"/>
    <w:rsid w:val="005D2247"/>
    <w:rsid w:val="005E1EC2"/>
    <w:rsid w:val="005F06C0"/>
    <w:rsid w:val="00605A46"/>
    <w:rsid w:val="00610EAD"/>
    <w:rsid w:val="00613438"/>
    <w:rsid w:val="0061507E"/>
    <w:rsid w:val="00615E23"/>
    <w:rsid w:val="0062359C"/>
    <w:rsid w:val="006256EE"/>
    <w:rsid w:val="006265E1"/>
    <w:rsid w:val="00633613"/>
    <w:rsid w:val="00640DB9"/>
    <w:rsid w:val="00652807"/>
    <w:rsid w:val="00667DAB"/>
    <w:rsid w:val="00673361"/>
    <w:rsid w:val="00684619"/>
    <w:rsid w:val="00684904"/>
    <w:rsid w:val="006A24D4"/>
    <w:rsid w:val="006B1A89"/>
    <w:rsid w:val="006B3210"/>
    <w:rsid w:val="006B6A9D"/>
    <w:rsid w:val="006C2240"/>
    <w:rsid w:val="006D0792"/>
    <w:rsid w:val="006D43F1"/>
    <w:rsid w:val="006D5C2D"/>
    <w:rsid w:val="006E0390"/>
    <w:rsid w:val="006F2537"/>
    <w:rsid w:val="006F2757"/>
    <w:rsid w:val="006F4966"/>
    <w:rsid w:val="00704206"/>
    <w:rsid w:val="00706CFA"/>
    <w:rsid w:val="00707529"/>
    <w:rsid w:val="0071553F"/>
    <w:rsid w:val="00742377"/>
    <w:rsid w:val="00751CC2"/>
    <w:rsid w:val="007563C0"/>
    <w:rsid w:val="00765E88"/>
    <w:rsid w:val="00766CDE"/>
    <w:rsid w:val="00770DB8"/>
    <w:rsid w:val="0077634B"/>
    <w:rsid w:val="007872B2"/>
    <w:rsid w:val="007A249C"/>
    <w:rsid w:val="007B3A11"/>
    <w:rsid w:val="007C171F"/>
    <w:rsid w:val="007C36DC"/>
    <w:rsid w:val="007C7624"/>
    <w:rsid w:val="007C77C9"/>
    <w:rsid w:val="007D08E9"/>
    <w:rsid w:val="007D2544"/>
    <w:rsid w:val="007D55C6"/>
    <w:rsid w:val="007D6E44"/>
    <w:rsid w:val="007E61E6"/>
    <w:rsid w:val="007F42CC"/>
    <w:rsid w:val="007F783E"/>
    <w:rsid w:val="00802B30"/>
    <w:rsid w:val="00803B61"/>
    <w:rsid w:val="00807395"/>
    <w:rsid w:val="00811861"/>
    <w:rsid w:val="0081780E"/>
    <w:rsid w:val="008522F4"/>
    <w:rsid w:val="008532A7"/>
    <w:rsid w:val="008577AB"/>
    <w:rsid w:val="00860B5B"/>
    <w:rsid w:val="00861E84"/>
    <w:rsid w:val="008733DD"/>
    <w:rsid w:val="008764C8"/>
    <w:rsid w:val="00880A7F"/>
    <w:rsid w:val="00880D29"/>
    <w:rsid w:val="0088522B"/>
    <w:rsid w:val="008872DF"/>
    <w:rsid w:val="00892C96"/>
    <w:rsid w:val="008A5EBA"/>
    <w:rsid w:val="008B1F68"/>
    <w:rsid w:val="008B42CA"/>
    <w:rsid w:val="008D769E"/>
    <w:rsid w:val="008F094E"/>
    <w:rsid w:val="008F2BAA"/>
    <w:rsid w:val="008F6F3A"/>
    <w:rsid w:val="00900C2D"/>
    <w:rsid w:val="00906D0A"/>
    <w:rsid w:val="009460F9"/>
    <w:rsid w:val="009471D1"/>
    <w:rsid w:val="009504BD"/>
    <w:rsid w:val="009617B6"/>
    <w:rsid w:val="009625F3"/>
    <w:rsid w:val="00963519"/>
    <w:rsid w:val="009676A2"/>
    <w:rsid w:val="00970FBC"/>
    <w:rsid w:val="00992ACB"/>
    <w:rsid w:val="009A4E4F"/>
    <w:rsid w:val="009A6EA2"/>
    <w:rsid w:val="009A75AB"/>
    <w:rsid w:val="009B281D"/>
    <w:rsid w:val="009E2FF4"/>
    <w:rsid w:val="009F5587"/>
    <w:rsid w:val="009F5B98"/>
    <w:rsid w:val="00A04EF6"/>
    <w:rsid w:val="00A20EBA"/>
    <w:rsid w:val="00A258C2"/>
    <w:rsid w:val="00A272D6"/>
    <w:rsid w:val="00A35FAC"/>
    <w:rsid w:val="00A36FC1"/>
    <w:rsid w:val="00A45FBF"/>
    <w:rsid w:val="00A54B16"/>
    <w:rsid w:val="00A55F98"/>
    <w:rsid w:val="00A564BD"/>
    <w:rsid w:val="00A6230B"/>
    <w:rsid w:val="00A773AF"/>
    <w:rsid w:val="00A92DF0"/>
    <w:rsid w:val="00AA1D8D"/>
    <w:rsid w:val="00AA23A2"/>
    <w:rsid w:val="00AA7FB2"/>
    <w:rsid w:val="00AB2F00"/>
    <w:rsid w:val="00AB44C9"/>
    <w:rsid w:val="00AD0FF5"/>
    <w:rsid w:val="00AD4BBA"/>
    <w:rsid w:val="00B2057D"/>
    <w:rsid w:val="00B20A9B"/>
    <w:rsid w:val="00B21AE4"/>
    <w:rsid w:val="00B37EE0"/>
    <w:rsid w:val="00B4471F"/>
    <w:rsid w:val="00B47730"/>
    <w:rsid w:val="00B62ED7"/>
    <w:rsid w:val="00B7458F"/>
    <w:rsid w:val="00BA0AE1"/>
    <w:rsid w:val="00BB18A1"/>
    <w:rsid w:val="00BB40D8"/>
    <w:rsid w:val="00BB7D98"/>
    <w:rsid w:val="00BC1088"/>
    <w:rsid w:val="00BC3B37"/>
    <w:rsid w:val="00BD1BA7"/>
    <w:rsid w:val="00BE339A"/>
    <w:rsid w:val="00C026F8"/>
    <w:rsid w:val="00C036BD"/>
    <w:rsid w:val="00C04A8C"/>
    <w:rsid w:val="00C066D8"/>
    <w:rsid w:val="00C07D4D"/>
    <w:rsid w:val="00C21AC7"/>
    <w:rsid w:val="00C2285F"/>
    <w:rsid w:val="00C2590C"/>
    <w:rsid w:val="00C44539"/>
    <w:rsid w:val="00C6265B"/>
    <w:rsid w:val="00C63637"/>
    <w:rsid w:val="00C7418C"/>
    <w:rsid w:val="00C748B7"/>
    <w:rsid w:val="00C76D32"/>
    <w:rsid w:val="00C91253"/>
    <w:rsid w:val="00C9290D"/>
    <w:rsid w:val="00C93930"/>
    <w:rsid w:val="00CA7215"/>
    <w:rsid w:val="00CB0664"/>
    <w:rsid w:val="00CB5FF7"/>
    <w:rsid w:val="00CB67DA"/>
    <w:rsid w:val="00CC40E9"/>
    <w:rsid w:val="00CC5582"/>
    <w:rsid w:val="00CD21A7"/>
    <w:rsid w:val="00CD2633"/>
    <w:rsid w:val="00CD3B50"/>
    <w:rsid w:val="00CE0E4B"/>
    <w:rsid w:val="00CE55D6"/>
    <w:rsid w:val="00CE716C"/>
    <w:rsid w:val="00CF06A1"/>
    <w:rsid w:val="00CF0EAF"/>
    <w:rsid w:val="00CF38B7"/>
    <w:rsid w:val="00D003CD"/>
    <w:rsid w:val="00D24788"/>
    <w:rsid w:val="00D26847"/>
    <w:rsid w:val="00D274FE"/>
    <w:rsid w:val="00D403A7"/>
    <w:rsid w:val="00D40FA2"/>
    <w:rsid w:val="00D4703D"/>
    <w:rsid w:val="00D72BA2"/>
    <w:rsid w:val="00D778D6"/>
    <w:rsid w:val="00D93DC2"/>
    <w:rsid w:val="00DA02B3"/>
    <w:rsid w:val="00DA052F"/>
    <w:rsid w:val="00DA12E4"/>
    <w:rsid w:val="00DA3C6C"/>
    <w:rsid w:val="00DA4DFE"/>
    <w:rsid w:val="00DC1821"/>
    <w:rsid w:val="00DC491A"/>
    <w:rsid w:val="00DC6B6C"/>
    <w:rsid w:val="00DD108A"/>
    <w:rsid w:val="00DE2F26"/>
    <w:rsid w:val="00DF463F"/>
    <w:rsid w:val="00E043EA"/>
    <w:rsid w:val="00E06A70"/>
    <w:rsid w:val="00E229FC"/>
    <w:rsid w:val="00E231BC"/>
    <w:rsid w:val="00E306B6"/>
    <w:rsid w:val="00E30CA0"/>
    <w:rsid w:val="00E3169F"/>
    <w:rsid w:val="00E36CE2"/>
    <w:rsid w:val="00E4314B"/>
    <w:rsid w:val="00E446B9"/>
    <w:rsid w:val="00E508A7"/>
    <w:rsid w:val="00E512F5"/>
    <w:rsid w:val="00E51DAA"/>
    <w:rsid w:val="00E51E09"/>
    <w:rsid w:val="00E52084"/>
    <w:rsid w:val="00E70361"/>
    <w:rsid w:val="00E74E40"/>
    <w:rsid w:val="00E801F6"/>
    <w:rsid w:val="00E97F52"/>
    <w:rsid w:val="00EA28A8"/>
    <w:rsid w:val="00EB46BF"/>
    <w:rsid w:val="00EC169F"/>
    <w:rsid w:val="00EC2D7C"/>
    <w:rsid w:val="00EC6D8F"/>
    <w:rsid w:val="00EE2B06"/>
    <w:rsid w:val="00EF3668"/>
    <w:rsid w:val="00EF620D"/>
    <w:rsid w:val="00F35B24"/>
    <w:rsid w:val="00F40280"/>
    <w:rsid w:val="00F4173F"/>
    <w:rsid w:val="00F46BC1"/>
    <w:rsid w:val="00F46E6F"/>
    <w:rsid w:val="00F56EF1"/>
    <w:rsid w:val="00F61E0C"/>
    <w:rsid w:val="00F70127"/>
    <w:rsid w:val="00F73EDE"/>
    <w:rsid w:val="00F74DAF"/>
    <w:rsid w:val="00F75757"/>
    <w:rsid w:val="00F86E3A"/>
    <w:rsid w:val="00F92FD5"/>
    <w:rsid w:val="00F9300C"/>
    <w:rsid w:val="00F94A0E"/>
    <w:rsid w:val="00FA297C"/>
    <w:rsid w:val="00FA5987"/>
    <w:rsid w:val="00FA648F"/>
    <w:rsid w:val="00FC693F"/>
    <w:rsid w:val="00FE5532"/>
    <w:rsid w:val="00FE77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37F3D"/>
  <w14:defaultImageDpi w14:val="300"/>
  <w15:docId w15:val="{0BE36DB3-866C-4708-B64C-A31B4BF5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4FE"/>
    <w:pPr>
      <w:spacing w:after="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PARThesisBody">
    <w:name w:val="MDPAR Thesis Body"/>
    <w:basedOn w:val="Normal"/>
    <w:pPr>
      <w:ind w:firstLine="709"/>
      <w:jc w:val="both"/>
    </w:pPr>
  </w:style>
  <w:style w:type="paragraph" w:customStyle="1" w:styleId="MDPARProfileH1">
    <w:name w:val="MDPAR Profile H1"/>
    <w:basedOn w:val="Normal"/>
    <w:pPr>
      <w:keepNext/>
      <w:spacing w:before="200" w:after="100" w:line="276" w:lineRule="auto"/>
    </w:pPr>
    <w:rPr>
      <w:b/>
      <w:sz w:val="28"/>
    </w:rPr>
  </w:style>
  <w:style w:type="paragraph" w:customStyle="1" w:styleId="MDPARProfileH2">
    <w:name w:val="MDPAR Profile H2"/>
    <w:basedOn w:val="Normal"/>
    <w:pPr>
      <w:keepNext/>
      <w:spacing w:before="140" w:after="60" w:line="276" w:lineRule="auto"/>
    </w:pPr>
    <w:rPr>
      <w:b/>
    </w:rPr>
  </w:style>
  <w:style w:type="paragraph" w:customStyle="1" w:styleId="MDPARProfileSmall">
    <w:name w:val="MDPAR Profile Small"/>
    <w:basedOn w:val="Normal"/>
    <w:pPr>
      <w:spacing w:after="40" w:line="276" w:lineRule="auto"/>
    </w:pPr>
    <w:rPr>
      <w:sz w:val="18"/>
    </w:rPr>
  </w:style>
  <w:style w:type="paragraph" w:customStyle="1" w:styleId="MDPARProfileCallout">
    <w:name w:val="MDPAR Profile Callout"/>
    <w:basedOn w:val="Normal"/>
    <w:pPr>
      <w:pBdr>
        <w:left w:val="single" w:sz="18" w:space="8" w:color="7F7F7F"/>
      </w:pBdr>
      <w:shd w:val="clear" w:color="auto" w:fill="F2F2F2"/>
      <w:spacing w:before="120" w:after="120" w:line="276" w:lineRule="auto"/>
      <w:ind w:left="240" w:right="120"/>
    </w:pPr>
    <w:rPr>
      <w:b/>
    </w:rPr>
  </w:style>
  <w:style w:type="character" w:styleId="Hipervnculo">
    <w:name w:val="Hyperlink"/>
    <w:basedOn w:val="Fuentedeprrafopredeter"/>
    <w:uiPriority w:val="99"/>
    <w:unhideWhenUsed/>
    <w:rsid w:val="009F5587"/>
    <w:rPr>
      <w:color w:val="0000FF" w:themeColor="hyperlink"/>
      <w:u w:val="single"/>
    </w:rPr>
  </w:style>
  <w:style w:type="character" w:styleId="Mencinsinresolver">
    <w:name w:val="Unresolved Mention"/>
    <w:basedOn w:val="Fuentedeprrafopredeter"/>
    <w:uiPriority w:val="99"/>
    <w:semiHidden/>
    <w:unhideWhenUsed/>
    <w:rsid w:val="009F5587"/>
    <w:rPr>
      <w:color w:val="605E5C"/>
      <w:shd w:val="clear" w:color="auto" w:fill="E1DFDD"/>
    </w:rPr>
  </w:style>
  <w:style w:type="paragraph" w:styleId="TDC1">
    <w:name w:val="toc 1"/>
    <w:basedOn w:val="Normal"/>
    <w:next w:val="Normal"/>
    <w:autoRedefine/>
    <w:uiPriority w:val="39"/>
    <w:unhideWhenUsed/>
    <w:rsid w:val="00A45FBF"/>
    <w:pPr>
      <w:spacing w:after="100"/>
    </w:pPr>
  </w:style>
  <w:style w:type="paragraph" w:styleId="TDC2">
    <w:name w:val="toc 2"/>
    <w:basedOn w:val="Normal"/>
    <w:next w:val="Normal"/>
    <w:autoRedefine/>
    <w:uiPriority w:val="39"/>
    <w:unhideWhenUsed/>
    <w:rsid w:val="00A45FBF"/>
    <w:pPr>
      <w:spacing w:after="100"/>
      <w:ind w:left="240"/>
    </w:pPr>
  </w:style>
  <w:style w:type="paragraph" w:styleId="TDC3">
    <w:name w:val="toc 3"/>
    <w:basedOn w:val="Normal"/>
    <w:next w:val="Normal"/>
    <w:autoRedefine/>
    <w:uiPriority w:val="39"/>
    <w:unhideWhenUsed/>
    <w:rsid w:val="00A45FBF"/>
    <w:pPr>
      <w:spacing w:after="100"/>
      <w:ind w:left="480"/>
    </w:pPr>
  </w:style>
  <w:style w:type="paragraph" w:styleId="TDC4">
    <w:name w:val="toc 4"/>
    <w:basedOn w:val="Normal"/>
    <w:next w:val="Normal"/>
    <w:autoRedefine/>
    <w:uiPriority w:val="39"/>
    <w:unhideWhenUsed/>
    <w:rsid w:val="00A45FBF"/>
    <w:pPr>
      <w:spacing w:after="100" w:line="259" w:lineRule="auto"/>
      <w:ind w:left="660"/>
    </w:pPr>
    <w:rPr>
      <w:rFonts w:asciiTheme="minorHAnsi" w:hAnsiTheme="minorHAnsi"/>
      <w:sz w:val="22"/>
      <w:lang w:val="es-ES" w:eastAsia="es-ES"/>
    </w:rPr>
  </w:style>
  <w:style w:type="paragraph" w:styleId="TDC5">
    <w:name w:val="toc 5"/>
    <w:basedOn w:val="Normal"/>
    <w:next w:val="Normal"/>
    <w:autoRedefine/>
    <w:uiPriority w:val="39"/>
    <w:unhideWhenUsed/>
    <w:rsid w:val="00A45FBF"/>
    <w:pPr>
      <w:spacing w:after="100" w:line="259" w:lineRule="auto"/>
      <w:ind w:left="880"/>
    </w:pPr>
    <w:rPr>
      <w:rFonts w:asciiTheme="minorHAnsi" w:hAnsiTheme="minorHAnsi"/>
      <w:sz w:val="22"/>
      <w:lang w:val="es-ES" w:eastAsia="es-ES"/>
    </w:rPr>
  </w:style>
  <w:style w:type="paragraph" w:styleId="TDC6">
    <w:name w:val="toc 6"/>
    <w:basedOn w:val="Normal"/>
    <w:next w:val="Normal"/>
    <w:autoRedefine/>
    <w:uiPriority w:val="39"/>
    <w:unhideWhenUsed/>
    <w:rsid w:val="00A45FBF"/>
    <w:pPr>
      <w:spacing w:after="100" w:line="259" w:lineRule="auto"/>
      <w:ind w:left="1100"/>
    </w:pPr>
    <w:rPr>
      <w:rFonts w:asciiTheme="minorHAnsi" w:hAnsiTheme="minorHAnsi"/>
      <w:sz w:val="22"/>
      <w:lang w:val="es-ES" w:eastAsia="es-ES"/>
    </w:rPr>
  </w:style>
  <w:style w:type="paragraph" w:styleId="TDC7">
    <w:name w:val="toc 7"/>
    <w:basedOn w:val="Normal"/>
    <w:next w:val="Normal"/>
    <w:autoRedefine/>
    <w:uiPriority w:val="39"/>
    <w:unhideWhenUsed/>
    <w:rsid w:val="00A45FBF"/>
    <w:pPr>
      <w:spacing w:after="100" w:line="259" w:lineRule="auto"/>
      <w:ind w:left="1320"/>
    </w:pPr>
    <w:rPr>
      <w:rFonts w:asciiTheme="minorHAnsi" w:hAnsiTheme="minorHAnsi"/>
      <w:sz w:val="22"/>
      <w:lang w:val="es-ES" w:eastAsia="es-ES"/>
    </w:rPr>
  </w:style>
  <w:style w:type="paragraph" w:styleId="TDC8">
    <w:name w:val="toc 8"/>
    <w:basedOn w:val="Normal"/>
    <w:next w:val="Normal"/>
    <w:autoRedefine/>
    <w:uiPriority w:val="39"/>
    <w:unhideWhenUsed/>
    <w:rsid w:val="00A45FBF"/>
    <w:pPr>
      <w:spacing w:after="100" w:line="259" w:lineRule="auto"/>
      <w:ind w:left="1540"/>
    </w:pPr>
    <w:rPr>
      <w:rFonts w:asciiTheme="minorHAnsi" w:hAnsiTheme="minorHAnsi"/>
      <w:sz w:val="22"/>
      <w:lang w:val="es-ES" w:eastAsia="es-ES"/>
    </w:rPr>
  </w:style>
  <w:style w:type="paragraph" w:styleId="TDC9">
    <w:name w:val="toc 9"/>
    <w:basedOn w:val="Normal"/>
    <w:next w:val="Normal"/>
    <w:autoRedefine/>
    <w:uiPriority w:val="39"/>
    <w:unhideWhenUsed/>
    <w:rsid w:val="00A45FBF"/>
    <w:pPr>
      <w:spacing w:after="100" w:line="259" w:lineRule="auto"/>
      <w:ind w:left="1760"/>
    </w:pPr>
    <w:rPr>
      <w:rFonts w:asciiTheme="minorHAnsi" w:hAnsiTheme="minorHAnsi"/>
      <w:sz w:val="22"/>
      <w:lang w:val="es-ES" w:eastAsia="es-ES"/>
    </w:rPr>
  </w:style>
  <w:style w:type="table" w:customStyle="1" w:styleId="Tablaconcuadrcula1">
    <w:name w:val="Tabla con cuadrícula1"/>
    <w:basedOn w:val="Tablanormal"/>
    <w:next w:val="Tablaconcuadrcula"/>
    <w:uiPriority w:val="59"/>
    <w:rsid w:val="000D1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1032"/>
    <w:rPr>
      <w:rFonts w:cs="Times New Roman"/>
      <w:szCs w:val="24"/>
    </w:rPr>
  </w:style>
  <w:style w:type="table" w:styleId="Tabladelista5oscura-nfasis5">
    <w:name w:val="List Table 5 Dark Accent 5"/>
    <w:basedOn w:val="Tablanormal"/>
    <w:uiPriority w:val="50"/>
    <w:rsid w:val="00E306B6"/>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4-nfasis5">
    <w:name w:val="List Table 4 Accent 5"/>
    <w:basedOn w:val="Tablanormal"/>
    <w:uiPriority w:val="49"/>
    <w:rsid w:val="00E306B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normal2">
    <w:name w:val="Plain Table 2"/>
    <w:basedOn w:val="Tablanormal"/>
    <w:uiPriority w:val="99"/>
    <w:rsid w:val="00E306B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803B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4422">
      <w:bodyDiv w:val="1"/>
      <w:marLeft w:val="0"/>
      <w:marRight w:val="0"/>
      <w:marTop w:val="0"/>
      <w:marBottom w:val="0"/>
      <w:divBdr>
        <w:top w:val="none" w:sz="0" w:space="0" w:color="auto"/>
        <w:left w:val="none" w:sz="0" w:space="0" w:color="auto"/>
        <w:bottom w:val="none" w:sz="0" w:space="0" w:color="auto"/>
        <w:right w:val="none" w:sz="0" w:space="0" w:color="auto"/>
      </w:divBdr>
    </w:div>
    <w:div w:id="87849192">
      <w:bodyDiv w:val="1"/>
      <w:marLeft w:val="0"/>
      <w:marRight w:val="0"/>
      <w:marTop w:val="0"/>
      <w:marBottom w:val="0"/>
      <w:divBdr>
        <w:top w:val="none" w:sz="0" w:space="0" w:color="auto"/>
        <w:left w:val="none" w:sz="0" w:space="0" w:color="auto"/>
        <w:bottom w:val="none" w:sz="0" w:space="0" w:color="auto"/>
        <w:right w:val="none" w:sz="0" w:space="0" w:color="auto"/>
      </w:divBdr>
    </w:div>
    <w:div w:id="97140636">
      <w:bodyDiv w:val="1"/>
      <w:marLeft w:val="0"/>
      <w:marRight w:val="0"/>
      <w:marTop w:val="0"/>
      <w:marBottom w:val="0"/>
      <w:divBdr>
        <w:top w:val="none" w:sz="0" w:space="0" w:color="auto"/>
        <w:left w:val="none" w:sz="0" w:space="0" w:color="auto"/>
        <w:bottom w:val="none" w:sz="0" w:space="0" w:color="auto"/>
        <w:right w:val="none" w:sz="0" w:space="0" w:color="auto"/>
      </w:divBdr>
    </w:div>
    <w:div w:id="136142802">
      <w:bodyDiv w:val="1"/>
      <w:marLeft w:val="0"/>
      <w:marRight w:val="0"/>
      <w:marTop w:val="0"/>
      <w:marBottom w:val="0"/>
      <w:divBdr>
        <w:top w:val="none" w:sz="0" w:space="0" w:color="auto"/>
        <w:left w:val="none" w:sz="0" w:space="0" w:color="auto"/>
        <w:bottom w:val="none" w:sz="0" w:space="0" w:color="auto"/>
        <w:right w:val="none" w:sz="0" w:space="0" w:color="auto"/>
      </w:divBdr>
    </w:div>
    <w:div w:id="212229130">
      <w:bodyDiv w:val="1"/>
      <w:marLeft w:val="0"/>
      <w:marRight w:val="0"/>
      <w:marTop w:val="0"/>
      <w:marBottom w:val="0"/>
      <w:divBdr>
        <w:top w:val="none" w:sz="0" w:space="0" w:color="auto"/>
        <w:left w:val="none" w:sz="0" w:space="0" w:color="auto"/>
        <w:bottom w:val="none" w:sz="0" w:space="0" w:color="auto"/>
        <w:right w:val="none" w:sz="0" w:space="0" w:color="auto"/>
      </w:divBdr>
    </w:div>
    <w:div w:id="229581507">
      <w:bodyDiv w:val="1"/>
      <w:marLeft w:val="0"/>
      <w:marRight w:val="0"/>
      <w:marTop w:val="0"/>
      <w:marBottom w:val="0"/>
      <w:divBdr>
        <w:top w:val="none" w:sz="0" w:space="0" w:color="auto"/>
        <w:left w:val="none" w:sz="0" w:space="0" w:color="auto"/>
        <w:bottom w:val="none" w:sz="0" w:space="0" w:color="auto"/>
        <w:right w:val="none" w:sz="0" w:space="0" w:color="auto"/>
      </w:divBdr>
    </w:div>
    <w:div w:id="253327133">
      <w:bodyDiv w:val="1"/>
      <w:marLeft w:val="0"/>
      <w:marRight w:val="0"/>
      <w:marTop w:val="0"/>
      <w:marBottom w:val="0"/>
      <w:divBdr>
        <w:top w:val="none" w:sz="0" w:space="0" w:color="auto"/>
        <w:left w:val="none" w:sz="0" w:space="0" w:color="auto"/>
        <w:bottom w:val="none" w:sz="0" w:space="0" w:color="auto"/>
        <w:right w:val="none" w:sz="0" w:space="0" w:color="auto"/>
      </w:divBdr>
    </w:div>
    <w:div w:id="272517787">
      <w:bodyDiv w:val="1"/>
      <w:marLeft w:val="0"/>
      <w:marRight w:val="0"/>
      <w:marTop w:val="0"/>
      <w:marBottom w:val="0"/>
      <w:divBdr>
        <w:top w:val="none" w:sz="0" w:space="0" w:color="auto"/>
        <w:left w:val="none" w:sz="0" w:space="0" w:color="auto"/>
        <w:bottom w:val="none" w:sz="0" w:space="0" w:color="auto"/>
        <w:right w:val="none" w:sz="0" w:space="0" w:color="auto"/>
      </w:divBdr>
    </w:div>
    <w:div w:id="275142174">
      <w:bodyDiv w:val="1"/>
      <w:marLeft w:val="0"/>
      <w:marRight w:val="0"/>
      <w:marTop w:val="0"/>
      <w:marBottom w:val="0"/>
      <w:divBdr>
        <w:top w:val="none" w:sz="0" w:space="0" w:color="auto"/>
        <w:left w:val="none" w:sz="0" w:space="0" w:color="auto"/>
        <w:bottom w:val="none" w:sz="0" w:space="0" w:color="auto"/>
        <w:right w:val="none" w:sz="0" w:space="0" w:color="auto"/>
      </w:divBdr>
    </w:div>
    <w:div w:id="326058887">
      <w:bodyDiv w:val="1"/>
      <w:marLeft w:val="0"/>
      <w:marRight w:val="0"/>
      <w:marTop w:val="0"/>
      <w:marBottom w:val="0"/>
      <w:divBdr>
        <w:top w:val="none" w:sz="0" w:space="0" w:color="auto"/>
        <w:left w:val="none" w:sz="0" w:space="0" w:color="auto"/>
        <w:bottom w:val="none" w:sz="0" w:space="0" w:color="auto"/>
        <w:right w:val="none" w:sz="0" w:space="0" w:color="auto"/>
      </w:divBdr>
    </w:div>
    <w:div w:id="330447309">
      <w:bodyDiv w:val="1"/>
      <w:marLeft w:val="0"/>
      <w:marRight w:val="0"/>
      <w:marTop w:val="0"/>
      <w:marBottom w:val="0"/>
      <w:divBdr>
        <w:top w:val="none" w:sz="0" w:space="0" w:color="auto"/>
        <w:left w:val="none" w:sz="0" w:space="0" w:color="auto"/>
        <w:bottom w:val="none" w:sz="0" w:space="0" w:color="auto"/>
        <w:right w:val="none" w:sz="0" w:space="0" w:color="auto"/>
      </w:divBdr>
    </w:div>
    <w:div w:id="356348558">
      <w:bodyDiv w:val="1"/>
      <w:marLeft w:val="0"/>
      <w:marRight w:val="0"/>
      <w:marTop w:val="0"/>
      <w:marBottom w:val="0"/>
      <w:divBdr>
        <w:top w:val="none" w:sz="0" w:space="0" w:color="auto"/>
        <w:left w:val="none" w:sz="0" w:space="0" w:color="auto"/>
        <w:bottom w:val="none" w:sz="0" w:space="0" w:color="auto"/>
        <w:right w:val="none" w:sz="0" w:space="0" w:color="auto"/>
      </w:divBdr>
    </w:div>
    <w:div w:id="401684487">
      <w:bodyDiv w:val="1"/>
      <w:marLeft w:val="0"/>
      <w:marRight w:val="0"/>
      <w:marTop w:val="0"/>
      <w:marBottom w:val="0"/>
      <w:divBdr>
        <w:top w:val="none" w:sz="0" w:space="0" w:color="auto"/>
        <w:left w:val="none" w:sz="0" w:space="0" w:color="auto"/>
        <w:bottom w:val="none" w:sz="0" w:space="0" w:color="auto"/>
        <w:right w:val="none" w:sz="0" w:space="0" w:color="auto"/>
      </w:divBdr>
    </w:div>
    <w:div w:id="401686509">
      <w:bodyDiv w:val="1"/>
      <w:marLeft w:val="0"/>
      <w:marRight w:val="0"/>
      <w:marTop w:val="0"/>
      <w:marBottom w:val="0"/>
      <w:divBdr>
        <w:top w:val="none" w:sz="0" w:space="0" w:color="auto"/>
        <w:left w:val="none" w:sz="0" w:space="0" w:color="auto"/>
        <w:bottom w:val="none" w:sz="0" w:space="0" w:color="auto"/>
        <w:right w:val="none" w:sz="0" w:space="0" w:color="auto"/>
      </w:divBdr>
    </w:div>
    <w:div w:id="420420649">
      <w:bodyDiv w:val="1"/>
      <w:marLeft w:val="0"/>
      <w:marRight w:val="0"/>
      <w:marTop w:val="0"/>
      <w:marBottom w:val="0"/>
      <w:divBdr>
        <w:top w:val="none" w:sz="0" w:space="0" w:color="auto"/>
        <w:left w:val="none" w:sz="0" w:space="0" w:color="auto"/>
        <w:bottom w:val="none" w:sz="0" w:space="0" w:color="auto"/>
        <w:right w:val="none" w:sz="0" w:space="0" w:color="auto"/>
      </w:divBdr>
    </w:div>
    <w:div w:id="423232961">
      <w:bodyDiv w:val="1"/>
      <w:marLeft w:val="0"/>
      <w:marRight w:val="0"/>
      <w:marTop w:val="0"/>
      <w:marBottom w:val="0"/>
      <w:divBdr>
        <w:top w:val="none" w:sz="0" w:space="0" w:color="auto"/>
        <w:left w:val="none" w:sz="0" w:space="0" w:color="auto"/>
        <w:bottom w:val="none" w:sz="0" w:space="0" w:color="auto"/>
        <w:right w:val="none" w:sz="0" w:space="0" w:color="auto"/>
      </w:divBdr>
    </w:div>
    <w:div w:id="426771964">
      <w:bodyDiv w:val="1"/>
      <w:marLeft w:val="0"/>
      <w:marRight w:val="0"/>
      <w:marTop w:val="0"/>
      <w:marBottom w:val="0"/>
      <w:divBdr>
        <w:top w:val="none" w:sz="0" w:space="0" w:color="auto"/>
        <w:left w:val="none" w:sz="0" w:space="0" w:color="auto"/>
        <w:bottom w:val="none" w:sz="0" w:space="0" w:color="auto"/>
        <w:right w:val="none" w:sz="0" w:space="0" w:color="auto"/>
      </w:divBdr>
    </w:div>
    <w:div w:id="433937763">
      <w:bodyDiv w:val="1"/>
      <w:marLeft w:val="0"/>
      <w:marRight w:val="0"/>
      <w:marTop w:val="0"/>
      <w:marBottom w:val="0"/>
      <w:divBdr>
        <w:top w:val="none" w:sz="0" w:space="0" w:color="auto"/>
        <w:left w:val="none" w:sz="0" w:space="0" w:color="auto"/>
        <w:bottom w:val="none" w:sz="0" w:space="0" w:color="auto"/>
        <w:right w:val="none" w:sz="0" w:space="0" w:color="auto"/>
      </w:divBdr>
    </w:div>
    <w:div w:id="440153929">
      <w:bodyDiv w:val="1"/>
      <w:marLeft w:val="0"/>
      <w:marRight w:val="0"/>
      <w:marTop w:val="0"/>
      <w:marBottom w:val="0"/>
      <w:divBdr>
        <w:top w:val="none" w:sz="0" w:space="0" w:color="auto"/>
        <w:left w:val="none" w:sz="0" w:space="0" w:color="auto"/>
        <w:bottom w:val="none" w:sz="0" w:space="0" w:color="auto"/>
        <w:right w:val="none" w:sz="0" w:space="0" w:color="auto"/>
      </w:divBdr>
    </w:div>
    <w:div w:id="520361791">
      <w:bodyDiv w:val="1"/>
      <w:marLeft w:val="0"/>
      <w:marRight w:val="0"/>
      <w:marTop w:val="0"/>
      <w:marBottom w:val="0"/>
      <w:divBdr>
        <w:top w:val="none" w:sz="0" w:space="0" w:color="auto"/>
        <w:left w:val="none" w:sz="0" w:space="0" w:color="auto"/>
        <w:bottom w:val="none" w:sz="0" w:space="0" w:color="auto"/>
        <w:right w:val="none" w:sz="0" w:space="0" w:color="auto"/>
      </w:divBdr>
    </w:div>
    <w:div w:id="544681552">
      <w:bodyDiv w:val="1"/>
      <w:marLeft w:val="0"/>
      <w:marRight w:val="0"/>
      <w:marTop w:val="0"/>
      <w:marBottom w:val="0"/>
      <w:divBdr>
        <w:top w:val="none" w:sz="0" w:space="0" w:color="auto"/>
        <w:left w:val="none" w:sz="0" w:space="0" w:color="auto"/>
        <w:bottom w:val="none" w:sz="0" w:space="0" w:color="auto"/>
        <w:right w:val="none" w:sz="0" w:space="0" w:color="auto"/>
      </w:divBdr>
    </w:div>
    <w:div w:id="556278682">
      <w:bodyDiv w:val="1"/>
      <w:marLeft w:val="0"/>
      <w:marRight w:val="0"/>
      <w:marTop w:val="0"/>
      <w:marBottom w:val="0"/>
      <w:divBdr>
        <w:top w:val="none" w:sz="0" w:space="0" w:color="auto"/>
        <w:left w:val="none" w:sz="0" w:space="0" w:color="auto"/>
        <w:bottom w:val="none" w:sz="0" w:space="0" w:color="auto"/>
        <w:right w:val="none" w:sz="0" w:space="0" w:color="auto"/>
      </w:divBdr>
    </w:div>
    <w:div w:id="626205453">
      <w:bodyDiv w:val="1"/>
      <w:marLeft w:val="0"/>
      <w:marRight w:val="0"/>
      <w:marTop w:val="0"/>
      <w:marBottom w:val="0"/>
      <w:divBdr>
        <w:top w:val="none" w:sz="0" w:space="0" w:color="auto"/>
        <w:left w:val="none" w:sz="0" w:space="0" w:color="auto"/>
        <w:bottom w:val="none" w:sz="0" w:space="0" w:color="auto"/>
        <w:right w:val="none" w:sz="0" w:space="0" w:color="auto"/>
      </w:divBdr>
    </w:div>
    <w:div w:id="676269014">
      <w:bodyDiv w:val="1"/>
      <w:marLeft w:val="0"/>
      <w:marRight w:val="0"/>
      <w:marTop w:val="0"/>
      <w:marBottom w:val="0"/>
      <w:divBdr>
        <w:top w:val="none" w:sz="0" w:space="0" w:color="auto"/>
        <w:left w:val="none" w:sz="0" w:space="0" w:color="auto"/>
        <w:bottom w:val="none" w:sz="0" w:space="0" w:color="auto"/>
        <w:right w:val="none" w:sz="0" w:space="0" w:color="auto"/>
      </w:divBdr>
    </w:div>
    <w:div w:id="793909109">
      <w:bodyDiv w:val="1"/>
      <w:marLeft w:val="0"/>
      <w:marRight w:val="0"/>
      <w:marTop w:val="0"/>
      <w:marBottom w:val="0"/>
      <w:divBdr>
        <w:top w:val="none" w:sz="0" w:space="0" w:color="auto"/>
        <w:left w:val="none" w:sz="0" w:space="0" w:color="auto"/>
        <w:bottom w:val="none" w:sz="0" w:space="0" w:color="auto"/>
        <w:right w:val="none" w:sz="0" w:space="0" w:color="auto"/>
      </w:divBdr>
    </w:div>
    <w:div w:id="796605861">
      <w:bodyDiv w:val="1"/>
      <w:marLeft w:val="0"/>
      <w:marRight w:val="0"/>
      <w:marTop w:val="0"/>
      <w:marBottom w:val="0"/>
      <w:divBdr>
        <w:top w:val="none" w:sz="0" w:space="0" w:color="auto"/>
        <w:left w:val="none" w:sz="0" w:space="0" w:color="auto"/>
        <w:bottom w:val="none" w:sz="0" w:space="0" w:color="auto"/>
        <w:right w:val="none" w:sz="0" w:space="0" w:color="auto"/>
      </w:divBdr>
    </w:div>
    <w:div w:id="810057111">
      <w:bodyDiv w:val="1"/>
      <w:marLeft w:val="0"/>
      <w:marRight w:val="0"/>
      <w:marTop w:val="0"/>
      <w:marBottom w:val="0"/>
      <w:divBdr>
        <w:top w:val="none" w:sz="0" w:space="0" w:color="auto"/>
        <w:left w:val="none" w:sz="0" w:space="0" w:color="auto"/>
        <w:bottom w:val="none" w:sz="0" w:space="0" w:color="auto"/>
        <w:right w:val="none" w:sz="0" w:space="0" w:color="auto"/>
      </w:divBdr>
    </w:div>
    <w:div w:id="861283265">
      <w:bodyDiv w:val="1"/>
      <w:marLeft w:val="0"/>
      <w:marRight w:val="0"/>
      <w:marTop w:val="0"/>
      <w:marBottom w:val="0"/>
      <w:divBdr>
        <w:top w:val="none" w:sz="0" w:space="0" w:color="auto"/>
        <w:left w:val="none" w:sz="0" w:space="0" w:color="auto"/>
        <w:bottom w:val="none" w:sz="0" w:space="0" w:color="auto"/>
        <w:right w:val="none" w:sz="0" w:space="0" w:color="auto"/>
      </w:divBdr>
    </w:div>
    <w:div w:id="896084311">
      <w:bodyDiv w:val="1"/>
      <w:marLeft w:val="0"/>
      <w:marRight w:val="0"/>
      <w:marTop w:val="0"/>
      <w:marBottom w:val="0"/>
      <w:divBdr>
        <w:top w:val="none" w:sz="0" w:space="0" w:color="auto"/>
        <w:left w:val="none" w:sz="0" w:space="0" w:color="auto"/>
        <w:bottom w:val="none" w:sz="0" w:space="0" w:color="auto"/>
        <w:right w:val="none" w:sz="0" w:space="0" w:color="auto"/>
      </w:divBdr>
    </w:div>
    <w:div w:id="896549771">
      <w:bodyDiv w:val="1"/>
      <w:marLeft w:val="0"/>
      <w:marRight w:val="0"/>
      <w:marTop w:val="0"/>
      <w:marBottom w:val="0"/>
      <w:divBdr>
        <w:top w:val="none" w:sz="0" w:space="0" w:color="auto"/>
        <w:left w:val="none" w:sz="0" w:space="0" w:color="auto"/>
        <w:bottom w:val="none" w:sz="0" w:space="0" w:color="auto"/>
        <w:right w:val="none" w:sz="0" w:space="0" w:color="auto"/>
      </w:divBdr>
    </w:div>
    <w:div w:id="915867359">
      <w:bodyDiv w:val="1"/>
      <w:marLeft w:val="0"/>
      <w:marRight w:val="0"/>
      <w:marTop w:val="0"/>
      <w:marBottom w:val="0"/>
      <w:divBdr>
        <w:top w:val="none" w:sz="0" w:space="0" w:color="auto"/>
        <w:left w:val="none" w:sz="0" w:space="0" w:color="auto"/>
        <w:bottom w:val="none" w:sz="0" w:space="0" w:color="auto"/>
        <w:right w:val="none" w:sz="0" w:space="0" w:color="auto"/>
      </w:divBdr>
    </w:div>
    <w:div w:id="918170395">
      <w:bodyDiv w:val="1"/>
      <w:marLeft w:val="0"/>
      <w:marRight w:val="0"/>
      <w:marTop w:val="0"/>
      <w:marBottom w:val="0"/>
      <w:divBdr>
        <w:top w:val="none" w:sz="0" w:space="0" w:color="auto"/>
        <w:left w:val="none" w:sz="0" w:space="0" w:color="auto"/>
        <w:bottom w:val="none" w:sz="0" w:space="0" w:color="auto"/>
        <w:right w:val="none" w:sz="0" w:space="0" w:color="auto"/>
      </w:divBdr>
    </w:div>
    <w:div w:id="922033229">
      <w:bodyDiv w:val="1"/>
      <w:marLeft w:val="0"/>
      <w:marRight w:val="0"/>
      <w:marTop w:val="0"/>
      <w:marBottom w:val="0"/>
      <w:divBdr>
        <w:top w:val="none" w:sz="0" w:space="0" w:color="auto"/>
        <w:left w:val="none" w:sz="0" w:space="0" w:color="auto"/>
        <w:bottom w:val="none" w:sz="0" w:space="0" w:color="auto"/>
        <w:right w:val="none" w:sz="0" w:space="0" w:color="auto"/>
      </w:divBdr>
    </w:div>
    <w:div w:id="1001852027">
      <w:bodyDiv w:val="1"/>
      <w:marLeft w:val="0"/>
      <w:marRight w:val="0"/>
      <w:marTop w:val="0"/>
      <w:marBottom w:val="0"/>
      <w:divBdr>
        <w:top w:val="none" w:sz="0" w:space="0" w:color="auto"/>
        <w:left w:val="none" w:sz="0" w:space="0" w:color="auto"/>
        <w:bottom w:val="none" w:sz="0" w:space="0" w:color="auto"/>
        <w:right w:val="none" w:sz="0" w:space="0" w:color="auto"/>
      </w:divBdr>
    </w:div>
    <w:div w:id="1041057940">
      <w:bodyDiv w:val="1"/>
      <w:marLeft w:val="0"/>
      <w:marRight w:val="0"/>
      <w:marTop w:val="0"/>
      <w:marBottom w:val="0"/>
      <w:divBdr>
        <w:top w:val="none" w:sz="0" w:space="0" w:color="auto"/>
        <w:left w:val="none" w:sz="0" w:space="0" w:color="auto"/>
        <w:bottom w:val="none" w:sz="0" w:space="0" w:color="auto"/>
        <w:right w:val="none" w:sz="0" w:space="0" w:color="auto"/>
      </w:divBdr>
    </w:div>
    <w:div w:id="1082917579">
      <w:bodyDiv w:val="1"/>
      <w:marLeft w:val="0"/>
      <w:marRight w:val="0"/>
      <w:marTop w:val="0"/>
      <w:marBottom w:val="0"/>
      <w:divBdr>
        <w:top w:val="none" w:sz="0" w:space="0" w:color="auto"/>
        <w:left w:val="none" w:sz="0" w:space="0" w:color="auto"/>
        <w:bottom w:val="none" w:sz="0" w:space="0" w:color="auto"/>
        <w:right w:val="none" w:sz="0" w:space="0" w:color="auto"/>
      </w:divBdr>
    </w:div>
    <w:div w:id="1085148260">
      <w:bodyDiv w:val="1"/>
      <w:marLeft w:val="0"/>
      <w:marRight w:val="0"/>
      <w:marTop w:val="0"/>
      <w:marBottom w:val="0"/>
      <w:divBdr>
        <w:top w:val="none" w:sz="0" w:space="0" w:color="auto"/>
        <w:left w:val="none" w:sz="0" w:space="0" w:color="auto"/>
        <w:bottom w:val="none" w:sz="0" w:space="0" w:color="auto"/>
        <w:right w:val="none" w:sz="0" w:space="0" w:color="auto"/>
      </w:divBdr>
    </w:div>
    <w:div w:id="1176118514">
      <w:bodyDiv w:val="1"/>
      <w:marLeft w:val="0"/>
      <w:marRight w:val="0"/>
      <w:marTop w:val="0"/>
      <w:marBottom w:val="0"/>
      <w:divBdr>
        <w:top w:val="none" w:sz="0" w:space="0" w:color="auto"/>
        <w:left w:val="none" w:sz="0" w:space="0" w:color="auto"/>
        <w:bottom w:val="none" w:sz="0" w:space="0" w:color="auto"/>
        <w:right w:val="none" w:sz="0" w:space="0" w:color="auto"/>
      </w:divBdr>
    </w:div>
    <w:div w:id="1194534906">
      <w:bodyDiv w:val="1"/>
      <w:marLeft w:val="0"/>
      <w:marRight w:val="0"/>
      <w:marTop w:val="0"/>
      <w:marBottom w:val="0"/>
      <w:divBdr>
        <w:top w:val="none" w:sz="0" w:space="0" w:color="auto"/>
        <w:left w:val="none" w:sz="0" w:space="0" w:color="auto"/>
        <w:bottom w:val="none" w:sz="0" w:space="0" w:color="auto"/>
        <w:right w:val="none" w:sz="0" w:space="0" w:color="auto"/>
      </w:divBdr>
    </w:div>
    <w:div w:id="1203860846">
      <w:bodyDiv w:val="1"/>
      <w:marLeft w:val="0"/>
      <w:marRight w:val="0"/>
      <w:marTop w:val="0"/>
      <w:marBottom w:val="0"/>
      <w:divBdr>
        <w:top w:val="none" w:sz="0" w:space="0" w:color="auto"/>
        <w:left w:val="none" w:sz="0" w:space="0" w:color="auto"/>
        <w:bottom w:val="none" w:sz="0" w:space="0" w:color="auto"/>
        <w:right w:val="none" w:sz="0" w:space="0" w:color="auto"/>
      </w:divBdr>
    </w:div>
    <w:div w:id="1225067380">
      <w:bodyDiv w:val="1"/>
      <w:marLeft w:val="0"/>
      <w:marRight w:val="0"/>
      <w:marTop w:val="0"/>
      <w:marBottom w:val="0"/>
      <w:divBdr>
        <w:top w:val="none" w:sz="0" w:space="0" w:color="auto"/>
        <w:left w:val="none" w:sz="0" w:space="0" w:color="auto"/>
        <w:bottom w:val="none" w:sz="0" w:space="0" w:color="auto"/>
        <w:right w:val="none" w:sz="0" w:space="0" w:color="auto"/>
      </w:divBdr>
    </w:div>
    <w:div w:id="1297645184">
      <w:bodyDiv w:val="1"/>
      <w:marLeft w:val="0"/>
      <w:marRight w:val="0"/>
      <w:marTop w:val="0"/>
      <w:marBottom w:val="0"/>
      <w:divBdr>
        <w:top w:val="none" w:sz="0" w:space="0" w:color="auto"/>
        <w:left w:val="none" w:sz="0" w:space="0" w:color="auto"/>
        <w:bottom w:val="none" w:sz="0" w:space="0" w:color="auto"/>
        <w:right w:val="none" w:sz="0" w:space="0" w:color="auto"/>
      </w:divBdr>
    </w:div>
    <w:div w:id="1302928945">
      <w:bodyDiv w:val="1"/>
      <w:marLeft w:val="0"/>
      <w:marRight w:val="0"/>
      <w:marTop w:val="0"/>
      <w:marBottom w:val="0"/>
      <w:divBdr>
        <w:top w:val="none" w:sz="0" w:space="0" w:color="auto"/>
        <w:left w:val="none" w:sz="0" w:space="0" w:color="auto"/>
        <w:bottom w:val="none" w:sz="0" w:space="0" w:color="auto"/>
        <w:right w:val="none" w:sz="0" w:space="0" w:color="auto"/>
      </w:divBdr>
    </w:div>
    <w:div w:id="1327053210">
      <w:bodyDiv w:val="1"/>
      <w:marLeft w:val="0"/>
      <w:marRight w:val="0"/>
      <w:marTop w:val="0"/>
      <w:marBottom w:val="0"/>
      <w:divBdr>
        <w:top w:val="none" w:sz="0" w:space="0" w:color="auto"/>
        <w:left w:val="none" w:sz="0" w:space="0" w:color="auto"/>
        <w:bottom w:val="none" w:sz="0" w:space="0" w:color="auto"/>
        <w:right w:val="none" w:sz="0" w:space="0" w:color="auto"/>
      </w:divBdr>
    </w:div>
    <w:div w:id="1351444225">
      <w:bodyDiv w:val="1"/>
      <w:marLeft w:val="0"/>
      <w:marRight w:val="0"/>
      <w:marTop w:val="0"/>
      <w:marBottom w:val="0"/>
      <w:divBdr>
        <w:top w:val="none" w:sz="0" w:space="0" w:color="auto"/>
        <w:left w:val="none" w:sz="0" w:space="0" w:color="auto"/>
        <w:bottom w:val="none" w:sz="0" w:space="0" w:color="auto"/>
        <w:right w:val="none" w:sz="0" w:space="0" w:color="auto"/>
      </w:divBdr>
    </w:div>
    <w:div w:id="1422726085">
      <w:bodyDiv w:val="1"/>
      <w:marLeft w:val="0"/>
      <w:marRight w:val="0"/>
      <w:marTop w:val="0"/>
      <w:marBottom w:val="0"/>
      <w:divBdr>
        <w:top w:val="none" w:sz="0" w:space="0" w:color="auto"/>
        <w:left w:val="none" w:sz="0" w:space="0" w:color="auto"/>
        <w:bottom w:val="none" w:sz="0" w:space="0" w:color="auto"/>
        <w:right w:val="none" w:sz="0" w:space="0" w:color="auto"/>
      </w:divBdr>
    </w:div>
    <w:div w:id="1469856486">
      <w:bodyDiv w:val="1"/>
      <w:marLeft w:val="0"/>
      <w:marRight w:val="0"/>
      <w:marTop w:val="0"/>
      <w:marBottom w:val="0"/>
      <w:divBdr>
        <w:top w:val="none" w:sz="0" w:space="0" w:color="auto"/>
        <w:left w:val="none" w:sz="0" w:space="0" w:color="auto"/>
        <w:bottom w:val="none" w:sz="0" w:space="0" w:color="auto"/>
        <w:right w:val="none" w:sz="0" w:space="0" w:color="auto"/>
      </w:divBdr>
    </w:div>
    <w:div w:id="1489054767">
      <w:bodyDiv w:val="1"/>
      <w:marLeft w:val="0"/>
      <w:marRight w:val="0"/>
      <w:marTop w:val="0"/>
      <w:marBottom w:val="0"/>
      <w:divBdr>
        <w:top w:val="none" w:sz="0" w:space="0" w:color="auto"/>
        <w:left w:val="none" w:sz="0" w:space="0" w:color="auto"/>
        <w:bottom w:val="none" w:sz="0" w:space="0" w:color="auto"/>
        <w:right w:val="none" w:sz="0" w:space="0" w:color="auto"/>
      </w:divBdr>
    </w:div>
    <w:div w:id="1513764527">
      <w:bodyDiv w:val="1"/>
      <w:marLeft w:val="0"/>
      <w:marRight w:val="0"/>
      <w:marTop w:val="0"/>
      <w:marBottom w:val="0"/>
      <w:divBdr>
        <w:top w:val="none" w:sz="0" w:space="0" w:color="auto"/>
        <w:left w:val="none" w:sz="0" w:space="0" w:color="auto"/>
        <w:bottom w:val="none" w:sz="0" w:space="0" w:color="auto"/>
        <w:right w:val="none" w:sz="0" w:space="0" w:color="auto"/>
      </w:divBdr>
    </w:div>
    <w:div w:id="1613703996">
      <w:bodyDiv w:val="1"/>
      <w:marLeft w:val="0"/>
      <w:marRight w:val="0"/>
      <w:marTop w:val="0"/>
      <w:marBottom w:val="0"/>
      <w:divBdr>
        <w:top w:val="none" w:sz="0" w:space="0" w:color="auto"/>
        <w:left w:val="none" w:sz="0" w:space="0" w:color="auto"/>
        <w:bottom w:val="none" w:sz="0" w:space="0" w:color="auto"/>
        <w:right w:val="none" w:sz="0" w:space="0" w:color="auto"/>
      </w:divBdr>
    </w:div>
    <w:div w:id="1651250809">
      <w:bodyDiv w:val="1"/>
      <w:marLeft w:val="0"/>
      <w:marRight w:val="0"/>
      <w:marTop w:val="0"/>
      <w:marBottom w:val="0"/>
      <w:divBdr>
        <w:top w:val="none" w:sz="0" w:space="0" w:color="auto"/>
        <w:left w:val="none" w:sz="0" w:space="0" w:color="auto"/>
        <w:bottom w:val="none" w:sz="0" w:space="0" w:color="auto"/>
        <w:right w:val="none" w:sz="0" w:space="0" w:color="auto"/>
      </w:divBdr>
    </w:div>
    <w:div w:id="1757165486">
      <w:bodyDiv w:val="1"/>
      <w:marLeft w:val="0"/>
      <w:marRight w:val="0"/>
      <w:marTop w:val="0"/>
      <w:marBottom w:val="0"/>
      <w:divBdr>
        <w:top w:val="none" w:sz="0" w:space="0" w:color="auto"/>
        <w:left w:val="none" w:sz="0" w:space="0" w:color="auto"/>
        <w:bottom w:val="none" w:sz="0" w:space="0" w:color="auto"/>
        <w:right w:val="none" w:sz="0" w:space="0" w:color="auto"/>
      </w:divBdr>
    </w:div>
    <w:div w:id="1800418850">
      <w:bodyDiv w:val="1"/>
      <w:marLeft w:val="0"/>
      <w:marRight w:val="0"/>
      <w:marTop w:val="0"/>
      <w:marBottom w:val="0"/>
      <w:divBdr>
        <w:top w:val="none" w:sz="0" w:space="0" w:color="auto"/>
        <w:left w:val="none" w:sz="0" w:space="0" w:color="auto"/>
        <w:bottom w:val="none" w:sz="0" w:space="0" w:color="auto"/>
        <w:right w:val="none" w:sz="0" w:space="0" w:color="auto"/>
      </w:divBdr>
    </w:div>
    <w:div w:id="1839534735">
      <w:bodyDiv w:val="1"/>
      <w:marLeft w:val="0"/>
      <w:marRight w:val="0"/>
      <w:marTop w:val="0"/>
      <w:marBottom w:val="0"/>
      <w:divBdr>
        <w:top w:val="none" w:sz="0" w:space="0" w:color="auto"/>
        <w:left w:val="none" w:sz="0" w:space="0" w:color="auto"/>
        <w:bottom w:val="none" w:sz="0" w:space="0" w:color="auto"/>
        <w:right w:val="none" w:sz="0" w:space="0" w:color="auto"/>
      </w:divBdr>
    </w:div>
    <w:div w:id="1843081103">
      <w:bodyDiv w:val="1"/>
      <w:marLeft w:val="0"/>
      <w:marRight w:val="0"/>
      <w:marTop w:val="0"/>
      <w:marBottom w:val="0"/>
      <w:divBdr>
        <w:top w:val="none" w:sz="0" w:space="0" w:color="auto"/>
        <w:left w:val="none" w:sz="0" w:space="0" w:color="auto"/>
        <w:bottom w:val="none" w:sz="0" w:space="0" w:color="auto"/>
        <w:right w:val="none" w:sz="0" w:space="0" w:color="auto"/>
      </w:divBdr>
    </w:div>
    <w:div w:id="1892425202">
      <w:bodyDiv w:val="1"/>
      <w:marLeft w:val="0"/>
      <w:marRight w:val="0"/>
      <w:marTop w:val="0"/>
      <w:marBottom w:val="0"/>
      <w:divBdr>
        <w:top w:val="none" w:sz="0" w:space="0" w:color="auto"/>
        <w:left w:val="none" w:sz="0" w:space="0" w:color="auto"/>
        <w:bottom w:val="none" w:sz="0" w:space="0" w:color="auto"/>
        <w:right w:val="none" w:sz="0" w:space="0" w:color="auto"/>
      </w:divBdr>
    </w:div>
    <w:div w:id="1984382696">
      <w:bodyDiv w:val="1"/>
      <w:marLeft w:val="0"/>
      <w:marRight w:val="0"/>
      <w:marTop w:val="0"/>
      <w:marBottom w:val="0"/>
      <w:divBdr>
        <w:top w:val="none" w:sz="0" w:space="0" w:color="auto"/>
        <w:left w:val="none" w:sz="0" w:space="0" w:color="auto"/>
        <w:bottom w:val="none" w:sz="0" w:space="0" w:color="auto"/>
        <w:right w:val="none" w:sz="0" w:space="0" w:color="auto"/>
      </w:divBdr>
    </w:div>
    <w:div w:id="2005156517">
      <w:bodyDiv w:val="1"/>
      <w:marLeft w:val="0"/>
      <w:marRight w:val="0"/>
      <w:marTop w:val="0"/>
      <w:marBottom w:val="0"/>
      <w:divBdr>
        <w:top w:val="none" w:sz="0" w:space="0" w:color="auto"/>
        <w:left w:val="none" w:sz="0" w:space="0" w:color="auto"/>
        <w:bottom w:val="none" w:sz="0" w:space="0" w:color="auto"/>
        <w:right w:val="none" w:sz="0" w:space="0" w:color="auto"/>
      </w:divBdr>
    </w:div>
    <w:div w:id="2040355165">
      <w:bodyDiv w:val="1"/>
      <w:marLeft w:val="0"/>
      <w:marRight w:val="0"/>
      <w:marTop w:val="0"/>
      <w:marBottom w:val="0"/>
      <w:divBdr>
        <w:top w:val="none" w:sz="0" w:space="0" w:color="auto"/>
        <w:left w:val="none" w:sz="0" w:space="0" w:color="auto"/>
        <w:bottom w:val="none" w:sz="0" w:space="0" w:color="auto"/>
        <w:right w:val="none" w:sz="0" w:space="0" w:color="auto"/>
      </w:divBdr>
    </w:div>
    <w:div w:id="2071464795">
      <w:bodyDiv w:val="1"/>
      <w:marLeft w:val="0"/>
      <w:marRight w:val="0"/>
      <w:marTop w:val="0"/>
      <w:marBottom w:val="0"/>
      <w:divBdr>
        <w:top w:val="none" w:sz="0" w:space="0" w:color="auto"/>
        <w:left w:val="none" w:sz="0" w:space="0" w:color="auto"/>
        <w:bottom w:val="none" w:sz="0" w:space="0" w:color="auto"/>
        <w:right w:val="none" w:sz="0" w:space="0" w:color="auto"/>
      </w:divBdr>
    </w:div>
    <w:div w:id="2122606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0020-7373(87)80093-7" TargetMode="External"/><Relationship Id="rId18" Type="http://schemas.openxmlformats.org/officeDocument/2006/relationships/hyperlink" Target="https://doi.org/10.1007/3-540-44936-1" TargetMode="External"/><Relationship Id="rId26" Type="http://schemas.openxmlformats.org/officeDocument/2006/relationships/hyperlink" Target="https://developer.nvidia.com/blog/?p=93942" TargetMode="External"/><Relationship Id="rId39" Type="http://schemas.openxmlformats.org/officeDocument/2006/relationships/hyperlink" Target="https://plato.stanford.edu/entries/functionalism/" TargetMode="External"/><Relationship Id="rId21" Type="http://schemas.openxmlformats.org/officeDocument/2006/relationships/hyperlink" Target="https://www.iea.org/reports/energy-and-ai" TargetMode="External"/><Relationship Id="rId34" Type="http://schemas.openxmlformats.org/officeDocument/2006/relationships/hyperlink" Target="https://ntrs.nasa.gov/citations/20240007986" TargetMode="External"/><Relationship Id="rId42" Type="http://schemas.openxmlformats.org/officeDocument/2006/relationships/hyperlink" Target="https://arxiv.org/abs/gr-qc/9310026" TargetMode="External"/><Relationship Id="rId47" Type="http://schemas.openxmlformats.org/officeDocument/2006/relationships/hyperlink" Target="https://doi.org/10.1007/3-540-17906-2_31" TargetMode="External"/><Relationship Id="rId50" Type="http://schemas.openxmlformats.org/officeDocument/2006/relationships/hyperlink" Target="https://arxiv.org/abs/2406.12045"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24963/ijcai.2025/1157" TargetMode="External"/><Relationship Id="rId29" Type="http://schemas.openxmlformats.org/officeDocument/2006/relationships/hyperlink" Target="https://openai.com/index/announcing-the-stargate-project/" TargetMode="External"/><Relationship Id="rId11" Type="http://schemas.openxmlformats.org/officeDocument/2006/relationships/hyperlink" Target="https://aclanthology.org/W13-2322/" TargetMode="External"/><Relationship Id="rId24" Type="http://schemas.openxmlformats.org/officeDocument/2006/relationships/hyperlink" Target="https://www.nist.gov/document/report-digital-evidence-task-group-quality-study" TargetMode="External"/><Relationship Id="rId32" Type="http://schemas.openxmlformats.org/officeDocument/2006/relationships/hyperlink" Target="https://arxiv.org/abs/math/0211159" TargetMode="External"/><Relationship Id="rId37" Type="http://schemas.openxmlformats.org/officeDocument/2006/relationships/hyperlink" Target="https://plato.stanford.edu/entries/structural-realism/" TargetMode="External"/><Relationship Id="rId40" Type="http://schemas.openxmlformats.org/officeDocument/2006/relationships/hyperlink" Target="https://plato.stanford.edu/entries/scientific-representation/" TargetMode="External"/><Relationship Id="rId45" Type="http://schemas.openxmlformats.org/officeDocument/2006/relationships/hyperlink" Target="https://doi.org/10.1162/coli_a_00503"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clanthology.org/P13-1023/" TargetMode="External"/><Relationship Id="rId19" Type="http://schemas.openxmlformats.org/officeDocument/2006/relationships/hyperlink" Target="https://doi.org/10.7551/mitpress/2076.001.0001" TargetMode="External"/><Relationship Id="rId31" Type="http://schemas.openxmlformats.org/officeDocument/2006/relationships/hyperlink" Target="https://doi.org/10.1145/3586183.3606763" TargetMode="External"/><Relationship Id="rId44" Type="http://schemas.openxmlformats.org/officeDocument/2006/relationships/hyperlink" Target="https://intelligence.uptimeinstitute.com/index.php/resource/annual-outage-analysis-2026" TargetMode="External"/><Relationship Id="rId52" Type="http://schemas.openxmlformats.org/officeDocument/2006/relationships/hyperlink" Target="https://openreview.net/pdf?id=WE_vluYUL-X" TargetMode="External"/><Relationship Id="rId4" Type="http://schemas.openxmlformats.org/officeDocument/2006/relationships/settings" Target="settings.xml"/><Relationship Id="rId9" Type="http://schemas.openxmlformats.org/officeDocument/2006/relationships/hyperlink" Target="https://doi.org/10.18653/v1/2020.coling-tutorials.1" TargetMode="External"/><Relationship Id="rId14" Type="http://schemas.openxmlformats.org/officeDocument/2006/relationships/hyperlink" Target="https://doi.org/10.1109/MEX.1986.4306977" TargetMode="External"/><Relationship Id="rId22" Type="http://schemas.openxmlformats.org/officeDocument/2006/relationships/hyperlink" Target="https://doi.org/10.1016/0004-3702(87)90050-6" TargetMode="External"/><Relationship Id="rId27" Type="http://schemas.openxmlformats.org/officeDocument/2006/relationships/hyperlink" Target="https://developer.nvidia.com/blog/?p=104879" TargetMode="External"/><Relationship Id="rId30" Type="http://schemas.openxmlformats.org/officeDocument/2006/relationships/hyperlink" Target="https://arxiv.org/abs/2310.08560" TargetMode="External"/><Relationship Id="rId35" Type="http://schemas.openxmlformats.org/officeDocument/2006/relationships/hyperlink" Target="https://eta-publications.lbl.gov/publications/united-states-data-center-energy-2025" TargetMode="External"/><Relationship Id="rId43" Type="http://schemas.openxmlformats.org/officeDocument/2006/relationships/hyperlink" Target="https://doi.org/10.6028/NIST.AI.100-1" TargetMode="External"/><Relationship Id="rId48" Type="http://schemas.openxmlformats.org/officeDocument/2006/relationships/hyperlink" Target="%20https:/doi.org/10.1016/0890-5401(90)90058-P" TargetMode="External"/><Relationship Id="rId8" Type="http://schemas.openxmlformats.org/officeDocument/2006/relationships/image" Target="media/image1.png"/><Relationship Id="rId51" Type="http://schemas.openxmlformats.org/officeDocument/2006/relationships/hyperlink" Target="https://doi.org/10.52202/075280-0517" TargetMode="External"/><Relationship Id="rId3" Type="http://schemas.openxmlformats.org/officeDocument/2006/relationships/styles" Target="styles.xml"/><Relationship Id="rId12" Type="http://schemas.openxmlformats.org/officeDocument/2006/relationships/hyperlink" Target="https://doi.org/10.1609/aaai.v38i16.29720" TargetMode="External"/><Relationship Id="rId17" Type="http://schemas.openxmlformats.org/officeDocument/2006/relationships/hyperlink" Target="https://doi.org/10.1016/0004-3702(94)00041-X" TargetMode="External"/><Relationship Id="rId25" Type="http://schemas.openxmlformats.org/officeDocument/2006/relationships/hyperlink" Target="https://aclanthology.org/L16-1262/" TargetMode="External"/><Relationship Id="rId33" Type="http://schemas.openxmlformats.org/officeDocument/2006/relationships/hyperlink" Target="https://doi.org/10.7551/mitpress/4073.001.0001" TargetMode="External"/><Relationship Id="rId38" Type="http://schemas.openxmlformats.org/officeDocument/2006/relationships/hyperlink" Target="https://plato.stanford.edu/entries/identity-personal/" TargetMode="External"/><Relationship Id="rId46" Type="http://schemas.openxmlformats.org/officeDocument/2006/relationships/hyperlink" Target="https://doi.org/10.1016/1042-8143(92)90013-Q" TargetMode="External"/><Relationship Id="rId20" Type="http://schemas.openxmlformats.org/officeDocument/2006/relationships/hyperlink" Target="https://doi.org/10.1017/CBO9780511524646" TargetMode="External"/><Relationship Id="rId41" Type="http://schemas.openxmlformats.org/officeDocument/2006/relationships/hyperlink" Target="https://doi.org/10.1063/1.531249"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lanthology.org/tmlr/2024/chen2024tmlr-frugalgpt/" TargetMode="External"/><Relationship Id="rId23" Type="http://schemas.openxmlformats.org/officeDocument/2006/relationships/hyperlink" Target="https://doi.org/10.6028/NIST.IR.8387" TargetMode="External"/><Relationship Id="rId28" Type="http://schemas.openxmlformats.org/officeDocument/2006/relationships/hyperlink" Target="https://proceedings.iclr.cc/paper_files/paper/2025/hash/5503a7c69d48a2f86fc00b3dc09de686-Abstract-Conference.html" TargetMode="External"/><Relationship Id="rId36" Type="http://schemas.openxmlformats.org/officeDocument/2006/relationships/hyperlink" Target="https://arxiv.org/abs/2408.03314" TargetMode="External"/><Relationship Id="rId49" Type="http://schemas.openxmlformats.org/officeDocument/2006/relationships/hyperlink" Target="https://doi.org/10.24963/ijcai.2025/1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3116</TotalTime>
  <Pages>194</Pages>
  <Words>73206</Words>
  <Characters>402639</Characters>
  <Application>Microsoft Office Word</Application>
  <DocSecurity>0</DocSecurity>
  <Lines>3355</Lines>
  <Paragraphs>949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Dirección de Pensamiento Ampliado y Refinado</vt:lpstr>
      <vt:lpstr/>
    </vt:vector>
  </TitlesOfParts>
  <Manager/>
  <Company/>
  <LinksUpToDate>false</LinksUpToDate>
  <CharactersWithSpaces>474896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Dirección de Pensamiento Ampliado y Refinado</dc:title>
  <dc:subject>v0.16 — correcciones estructurales y refinamiento expositivo</dc:subject>
  <dc:creator>Andrés Pérez Galán</dc:creator>
  <cp:keywords/>
  <dc:description>generated by python-docx</dc:description>
  <cp:lastModifiedBy>Andres</cp:lastModifiedBy>
  <cp:revision>104</cp:revision>
  <dcterms:created xsi:type="dcterms:W3CDTF">2013-12-23T23:15:00Z</dcterms:created>
  <dcterms:modified xsi:type="dcterms:W3CDTF">2026-10-12T16:24:00Z</dcterms:modified>
  <cp:category/>
</cp:coreProperties>
</file>