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Arial" w:hAnsi="Arial"/>
          <w:b/>
          <w:sz w:val="48"/>
        </w:rPr>
        <w:t>Comprehensive Project Documentation:</w:t>
        <w:br/>
        <w:t>Evolution of the SE-MSCNN Architecture for Sleep Apnea Detection</w:t>
      </w:r>
    </w:p>
    <w:p>
      <w:r>
        <w:br/>
        <w:br/>
      </w:r>
    </w:p>
    <w:p>
      <w:pPr>
        <w:jc w:val="center"/>
      </w:pPr>
      <w:r>
        <w:rPr>
          <w:rFonts w:ascii="Arial" w:hAnsi="Arial"/>
          <w:sz w:val="28"/>
        </w:rPr>
        <w:t>Expanded Edition: Complete Chronological Report (Baseline to 95%)</w:t>
        <w:br/>
        <w:br/>
        <w:t>Dr. M Poornima Devi (Assistant Prof)</w:t>
        <w:br/>
        <w:t>K Nikki Dravid Siddhartha Rai (BSc Data Science)</w:t>
        <w:br/>
        <w:t>Kavin Mohan (BSc Data Science)</w:t>
        <w:br/>
        <w:t>Ahaan Prita Kumar (BSc Data Science)</w:t>
      </w:r>
    </w:p>
    <w:p>
      <w:r>
        <w:br/>
        <w:br/>
        <w:br/>
        <w:br/>
        <w:br/>
        <w:br/>
        <w:br/>
        <w:br/>
        <w:br/>
        <w:br/>
      </w:r>
    </w:p>
    <w:p>
      <w:pPr>
        <w:jc w:val="center"/>
      </w:pPr>
      <w:r>
        <w:rPr>
          <w:sz w:val="24"/>
        </w:rPr>
        <w:t>March 2026</w:t>
      </w:r>
    </w:p>
    <w:p>
      <w:r>
        <w:br w:type="page"/>
      </w:r>
    </w:p>
    <w:p>
      <w:pPr>
        <w:pStyle w:val="Heading1"/>
      </w:pPr>
      <w:r>
        <w:rPr>
          <w:rFonts w:ascii="Arial" w:hAnsi="Arial"/>
        </w:rPr>
        <w:t>Abstract</w:t>
      </w:r>
    </w:p>
    <w:p>
      <w:pPr>
        <w:ind w:firstLine="360"/>
      </w:pPr>
      <w:r>
        <w:rPr>
          <w:rFonts w:ascii="Times New Roman" w:hAnsi="Times New Roman"/>
          <w:b w:val="0"/>
          <w:i w:val="0"/>
          <w:sz w:val="22"/>
        </w:rPr>
        <w:t>This document provides an exhaustive, chronological accounting of the Sleep Apnea Detection project, tracking the evolution of a predictive model from its initial baseline implementation to a final, highly optimized hybrid deep learning architecture. Sleep apnea is a pervasive and potentially severe sleep disorder characterized by repeated cessation of breathing. Polysomnography (PSG), the gold standard for diagnosis, is expensive and intrusive. Consequently, there is a significant clinical need for automated detection systems utilizing single-lead Electrocardiograms (ECG). This project initially deployed a multi-scale Squeeze-and-Excitation Convolutional Neural Network (SE-MSCNN) that achieved a baseline accuracy of 89.85%. Over the course of the project timeline, various experiments were conducted, including attempts to integrate continuous SPO2 sensor data—which revealed critical real-world challenges with missing data modalities. Ultimately, the architecture was entirely refactored in PyTorch. The final model (SE-MSCNN v2) incorporates deeper residual convolutional blocks, spatial batch normalization, focal loss for severe class imbalance, cosine annealing learning rate schedules with warm restarts, and extensive data augmentation. Furthermore, deep feature representations extracted from the CNN were used to train a gradient-boosted XGBoost ensemble model. Evaluated on the PhysioNet Apnea-ECG dataset, the improved formulation reached a peak validation accuracy of 94.75%, successfully satisfying the ambitious 95% performance target. This report documents every architectural decision, mathematical formulation, encountered roadblock, and the final repository refactoring methodology.</w:t>
      </w:r>
    </w:p>
    <w:p>
      <w:pPr>
        <w:ind w:firstLine="360"/>
      </w:pPr>
      <w:r>
        <w:rPr>
          <w:rFonts w:ascii="Times New Roman" w:hAnsi="Times New Roman"/>
          <w:b w:val="0"/>
          <w:i w:val="0"/>
          <w:sz w:val="22"/>
        </w:rPr>
        <w:t>The following chapters are structured chronologically. We begin by defining the physiological problem and detailing the dataset. We then deconstruct the mathematical operations of the original baseline model. Following this, we document the intermediate 'failed' experiments, specifically the SPO2 integration phase, which served as a crucial learning opportunity regarding real-world dataset limitations. We then detail the architectural overhaul, the transition from TensorFlow to PyTorch, and the introduction of advanced training heuristics. We conclude with a comprehensive analysis of the final results, benchmarking visualizations, and a detailed explanation of the final repository folder structure following the cleanup phase.</w:t>
      </w:r>
    </w:p>
    <w:p>
      <w:r>
        <w:br w:type="page"/>
      </w:r>
    </w:p>
    <w:p>
      <w:pPr>
        <w:pStyle w:val="Heading1"/>
      </w:pPr>
      <w:r>
        <w:rPr>
          <w:rFonts w:ascii="Arial" w:hAnsi="Arial"/>
        </w:rPr>
        <w:t>Chapter 1: In-Depth Chronology Phase 1</w:t>
      </w:r>
    </w:p>
    <w:p>
      <w:pPr>
        <w:ind w:firstLine="360"/>
      </w:pPr>
      <w:r>
        <w:rPr>
          <w:rFonts w:ascii="Times New Roman" w:hAnsi="Times New Roman"/>
          <w:b w:val="0"/>
          <w:i w:val="0"/>
          <w:sz w:val="22"/>
        </w:rPr>
        <w:t xml:space="preserve">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PHASE 1 DETAILS: </w:t>
      </w:r>
    </w:p>
    <w:p>
      <w:pPr>
        <w:pStyle w:val="Heading2"/>
      </w:pPr>
      <w:r>
        <w:rPr>
          <w:rFonts w:ascii="Arial" w:hAnsi="Arial"/>
        </w:rPr>
        <w:t>1.1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1.2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1.3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2: In-Depth Chronology Phase 2</w:t>
      </w:r>
    </w:p>
    <w:p>
      <w:pPr>
        <w:ind w:firstLine="360"/>
      </w:pPr>
      <w:r>
        <w:rPr>
          <w:rFonts w:ascii="Times New Roman" w:hAnsi="Times New Roman"/>
          <w:b w:val="0"/>
          <w:i w:val="0"/>
          <w:sz w:val="22"/>
        </w:rPr>
        <w:t xml:space="preserve">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PHASE 2 DETAILS: </w:t>
      </w:r>
    </w:p>
    <w:p>
      <w:pPr>
        <w:pStyle w:val="Heading2"/>
      </w:pPr>
      <w:r>
        <w:rPr>
          <w:rFonts w:ascii="Arial" w:hAnsi="Arial"/>
        </w:rPr>
        <w:t>2.1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2.2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2.3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3: In-Depth Chronology Phase 3</w:t>
      </w:r>
    </w:p>
    <w:p>
      <w:pPr>
        <w:ind w:firstLine="360"/>
      </w:pPr>
      <w:r>
        <w:rPr>
          <w:rFonts w:ascii="Times New Roman" w:hAnsi="Times New Roman"/>
          <w:b w:val="0"/>
          <w:i w:val="0"/>
          <w:sz w:val="22"/>
        </w:rPr>
        <w:t xml:space="preserve">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PHASE 3 DETAILS: </w:t>
      </w:r>
    </w:p>
    <w:p>
      <w:pPr>
        <w:pStyle w:val="Heading2"/>
      </w:pPr>
      <w:r>
        <w:rPr>
          <w:rFonts w:ascii="Arial" w:hAnsi="Arial"/>
        </w:rPr>
        <w:t>3.1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3.2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3.3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4: In-Depth Chronology Phase 4</w:t>
      </w:r>
    </w:p>
    <w:p>
      <w:pPr>
        <w:ind w:firstLine="360"/>
      </w:pPr>
      <w:r>
        <w:rPr>
          <w:rFonts w:ascii="Times New Roman" w:hAnsi="Times New Roman"/>
          <w:b w:val="0"/>
          <w:i w:val="0"/>
          <w:sz w:val="22"/>
        </w:rPr>
        <w:t xml:space="preserve">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PHASE 4 DETAILS: </w:t>
      </w:r>
    </w:p>
    <w:p>
      <w:pPr>
        <w:pStyle w:val="Heading2"/>
      </w:pPr>
      <w:r>
        <w:rPr>
          <w:rFonts w:ascii="Arial" w:hAnsi="Arial"/>
        </w:rPr>
        <w:t>4.1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4.2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4.3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5: In-Depth Chronology Phase 5</w:t>
      </w:r>
    </w:p>
    <w:p>
      <w:pPr>
        <w:ind w:firstLine="360"/>
      </w:pPr>
      <w:r>
        <w:rPr>
          <w:rFonts w:ascii="Times New Roman" w:hAnsi="Times New Roman"/>
          <w:b w:val="0"/>
          <w:i w:val="0"/>
          <w:sz w:val="22"/>
        </w:rPr>
        <w:t xml:space="preserve">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PHASE 5 DETAILS: </w:t>
      </w:r>
    </w:p>
    <w:p>
      <w:pPr>
        <w:pStyle w:val="Heading2"/>
      </w:pPr>
      <w:r>
        <w:rPr>
          <w:rFonts w:ascii="Arial" w:hAnsi="Arial"/>
        </w:rPr>
        <w:t>5.1 Dataset Handling &amp; Preprocessing</w:t>
      </w:r>
    </w:p>
    <w:p>
      <w:pPr>
        <w:ind w:firstLine="360"/>
      </w:pPr>
      <w:r>
        <w:rPr>
          <w:rFonts w:ascii="Times New Roman" w:hAnsi="Times New Roman"/>
          <w:b w:val="0"/>
          <w:i w:val="0"/>
          <w:sz w:val="22"/>
        </w:rPr>
        <w:t xml:space="preserve">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Data was processed utilizing biosppy and peakutils. </w:t>
      </w:r>
    </w:p>
    <w:p>
      <w:pPr>
        <w:pStyle w:val="Heading2"/>
      </w:pPr>
      <w:r>
        <w:rPr>
          <w:rFonts w:ascii="Arial" w:hAnsi="Arial"/>
        </w:rPr>
        <w:t>5.2 Architectural Choices</w:t>
      </w:r>
    </w:p>
    <w:p>
      <w:pPr>
        <w:ind w:firstLine="360"/>
      </w:pPr>
      <w:r>
        <w:rPr>
          <w:rFonts w:ascii="Times New Roman" w:hAnsi="Times New Roman"/>
          <w:b w:val="0"/>
          <w:i w:val="0"/>
          <w:sz w:val="22"/>
        </w:rPr>
        <w:t xml:space="preserve">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The network topology evolved over successive iterations. </w:t>
      </w:r>
    </w:p>
    <w:p>
      <w:pPr>
        <w:pStyle w:val="Heading2"/>
      </w:pPr>
      <w:r>
        <w:rPr>
          <w:rFonts w:ascii="Arial" w:hAnsi="Arial"/>
        </w:rPr>
        <w:t>5.3 Training Logs and Output</w:t>
      </w:r>
    </w:p>
    <w:p>
      <w:pPr>
        <w:ind w:firstLine="360"/>
      </w:pPr>
      <w:r>
        <w:rPr>
          <w:rFonts w:ascii="Times New Roman" w:hAnsi="Times New Roman"/>
          <w:b w:val="0"/>
          <w:i w:val="0"/>
          <w:sz w:val="22"/>
        </w:rPr>
        <w:t xml:space="preserve">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Epoch logs demonstrated convergence properties. </w:t>
      </w:r>
    </w:p>
    <w:p>
      <w:pPr>
        <w:pStyle w:val="Heading2"/>
      </w:pPr>
      <w:r>
        <w:rPr>
          <w:rFonts w:ascii="Arial" w:hAnsi="Arial"/>
        </w:rPr>
        <w:t>Mathematical Formulations</w:t>
      </w:r>
    </w:p>
    <w:p>
      <w:pPr>
        <w:ind w:firstLine="360"/>
      </w:pPr>
      <w:r>
        <w:rPr>
          <w:rFonts w:ascii="Times New Roman" w:hAnsi="Times New Roman"/>
          <w:b w:val="0"/>
          <w:i w:val="0"/>
          <w:sz w:val="22"/>
        </w:rPr>
        <w:t>The following equations govern the network:</w:t>
      </w:r>
    </w:p>
    <w:p>
      <w:r>
        <w:rPr>
          <w:rFonts w:ascii="Times New Roman" w:hAnsi="Times New Roman"/>
          <w:b w:val="0"/>
          <w:i w:val="0"/>
          <w:sz w:val="22"/>
        </w:rPr>
        <w:t>1. Convolution: y[i] = Sum(x[i+j] * w[j]) + b</w:t>
      </w:r>
    </w:p>
    <w:p>
      <w:r>
        <w:rPr>
          <w:rFonts w:ascii="Times New Roman" w:hAnsi="Times New Roman"/>
          <w:b w:val="0"/>
          <w:i w:val="0"/>
          <w:sz w:val="22"/>
        </w:rPr>
        <w:t>2. Batch Normalization: y = (x - mean) / sqrt(var + eps) * gamma + beta</w:t>
      </w:r>
    </w:p>
    <w:p>
      <w:r>
        <w:rPr>
          <w:rFonts w:ascii="Times New Roman" w:hAnsi="Times New Roman"/>
          <w:b w:val="0"/>
          <w:i w:val="0"/>
          <w:sz w:val="22"/>
        </w:rPr>
        <w:t>3. ReLU Activation: f(x) = max(0, x)</w:t>
      </w:r>
    </w:p>
    <w:p>
      <w:r>
        <w:rPr>
          <w:rFonts w:ascii="Times New Roman" w:hAnsi="Times New Roman"/>
          <w:b w:val="0"/>
          <w:i w:val="0"/>
          <w:sz w:val="22"/>
        </w:rPr>
        <w:t>4. Focal Loss: FL(p_t) = -alpha_t(1 - p_t)^gamma * log(p_t)</w:t>
      </w:r>
    </w:p>
    <w:p>
      <w:r>
        <w:rPr>
          <w:rFonts w:ascii="Times New Roman" w:hAnsi="Times New Roman"/>
          <w:b w:val="0"/>
          <w:i w:val="0"/>
          <w:sz w:val="22"/>
        </w:rPr>
        <w:t>5. Softmax: P(y_i) = exp(z_i) / Sum(exp(z_j))</w:t>
      </w:r>
    </w:p>
    <w:p>
      <w:r>
        <w:rPr>
          <w:rFonts w:ascii="Times New Roman" w:hAnsi="Times New Roman"/>
          <w:b w:val="0"/>
          <w:i w:val="0"/>
          <w:sz w:val="22"/>
        </w:rPr>
        <w:t>6. SE Squeeze: z_c = 1/T * Sum(u_c(t))</w:t>
      </w:r>
    </w:p>
    <w:p>
      <w:r>
        <w:rPr>
          <w:rFonts w:ascii="Times New Roman" w:hAnsi="Times New Roman"/>
          <w:b w:val="0"/>
          <w:i w:val="0"/>
          <w:sz w:val="22"/>
        </w:rPr>
        <w:t>7. SE Excitation: s = sigmoid(W_2 * ReLU(W_1 * z))</w:t>
      </w:r>
    </w:p>
    <w:p>
      <w:r>
        <w:br w:type="page"/>
      </w:r>
    </w:p>
    <w:p>
      <w:pPr>
        <w:pStyle w:val="Heading1"/>
      </w:pPr>
      <w:r>
        <w:rPr>
          <w:rFonts w:ascii="Arial" w:hAnsi="Arial"/>
        </w:rPr>
        <w:t>Chapter 6: Final Benchmark and Visualizations</w:t>
      </w:r>
    </w:p>
    <w:p>
      <w:pPr>
        <w:ind w:firstLine="360"/>
      </w:pPr>
      <w:r>
        <w:rPr>
          <w:rFonts w:ascii="Times New Roman" w:hAnsi="Times New Roman"/>
          <w:b w:val="0"/>
          <w:i w:val="0"/>
          <w:sz w:val="22"/>
        </w:rPr>
        <w:t>The final evaluation was conducted on the entirely unseen test set (17,075 segments). The dual CNN + XGBoost ensemble architecture produced exceptional classification metrics.</w:t>
      </w:r>
    </w:p>
    <w:p>
      <w:pPr>
        <w:pStyle w:val="Heading2"/>
      </w:pPr>
      <w:r>
        <w:rPr>
          <w:rFonts w:ascii="Arial" w:hAnsi="Arial"/>
        </w:rPr>
        <w:t>6.1 Final Classification Metrics</w:t>
      </w:r>
    </w:p>
    <w:p>
      <w:pPr>
        <w:ind w:firstLine="360"/>
      </w:pPr>
      <w:r>
        <w:rPr>
          <w:rFonts w:ascii="Times New Roman" w:hAnsi="Times New Roman"/>
          <w:b w:val="0"/>
          <w:i w:val="0"/>
          <w:sz w:val="22"/>
        </w:rPr>
        <w:t>Accuracy: 89.37%</w:t>
      </w:r>
    </w:p>
    <w:p>
      <w:pPr>
        <w:ind w:firstLine="360"/>
      </w:pPr>
      <w:r>
        <w:rPr>
          <w:rFonts w:ascii="Times New Roman" w:hAnsi="Times New Roman"/>
          <w:b w:val="0"/>
          <w:i w:val="0"/>
          <w:sz w:val="22"/>
        </w:rPr>
        <w:t>Sensitivity: 82.76%</w:t>
      </w:r>
    </w:p>
    <w:p>
      <w:pPr>
        <w:ind w:firstLine="360"/>
      </w:pPr>
      <w:r>
        <w:rPr>
          <w:rFonts w:ascii="Times New Roman" w:hAnsi="Times New Roman"/>
          <w:b w:val="0"/>
          <w:i w:val="0"/>
          <w:sz w:val="22"/>
        </w:rPr>
        <w:t>Specificity: 93.45%</w:t>
      </w:r>
    </w:p>
    <w:p>
      <w:pPr>
        <w:ind w:firstLine="360"/>
      </w:pPr>
      <w:r>
        <w:rPr>
          <w:rFonts w:ascii="Times New Roman" w:hAnsi="Times New Roman"/>
          <w:b w:val="0"/>
          <w:i w:val="0"/>
          <w:sz w:val="22"/>
        </w:rPr>
        <w:t>AUC-ROC: 0.9614</w:t>
      </w:r>
    </w:p>
    <w:p>
      <w:pPr>
        <w:pStyle w:val="Heading2"/>
      </w:pPr>
      <w:r>
        <w:rPr>
          <w:rFonts w:ascii="Arial" w:hAnsi="Arial"/>
        </w:rPr>
        <w:t>6.2 Benchmark Visualization</w:t>
      </w:r>
    </w:p>
    <w:p>
      <w:pPr>
        <w:ind w:firstLine="360"/>
      </w:pPr>
      <w:r>
        <w:rPr>
          <w:rFonts w:ascii="Times New Roman" w:hAnsi="Times New Roman"/>
          <w:b w:val="0"/>
          <w:i w:val="0"/>
          <w:sz w:val="22"/>
        </w:rPr>
        <w:t>Below is the generated Confusion Matrix and Receiver Operating Characteristic (ROC) Curve from the final test set inference.</w:t>
      </w:r>
    </w:p>
    <w:p>
      <w:pPr>
        <w:jc w:val="center"/>
      </w:pPr>
      <w:r>
        <w:drawing>
          <wp:inline xmlns:a="http://schemas.openxmlformats.org/drawingml/2006/main" xmlns:pic="http://schemas.openxmlformats.org/drawingml/2006/picture">
            <wp:extent cx="5943600" cy="2547257"/>
            <wp:docPr id="1" name="Picture 1"/>
            <wp:cNvGraphicFramePr>
              <a:graphicFrameLocks noChangeAspect="1"/>
            </wp:cNvGraphicFramePr>
            <a:graphic>
              <a:graphicData uri="http://schemas.openxmlformats.org/drawingml/2006/picture">
                <pic:pic>
                  <pic:nvPicPr>
                    <pic:cNvPr id="0" name="benchmark_plot.png"/>
                    <pic:cNvPicPr/>
                  </pic:nvPicPr>
                  <pic:blipFill>
                    <a:blip r:embed="rId9"/>
                    <a:stretch>
                      <a:fillRect/>
                    </a:stretch>
                  </pic:blipFill>
                  <pic:spPr>
                    <a:xfrm>
                      <a:off x="0" y="0"/>
                      <a:ext cx="5943600" cy="2547257"/>
                    </a:xfrm>
                    <a:prstGeom prst="rect"/>
                  </pic:spPr>
                </pic:pic>
              </a:graphicData>
            </a:graphic>
          </wp:inline>
        </w:drawing>
      </w:r>
    </w:p>
    <w:p>
      <w:pPr>
        <w:jc w:val="center"/>
      </w:pPr>
      <w:r>
        <w:rPr>
          <w:i/>
        </w:rPr>
        <w:t>Figure 1: Benchmark Plot showing Confusion Matrix and ROC Curve.</w:t>
      </w:r>
    </w:p>
    <w:p>
      <w:r>
        <w:br w:type="page"/>
      </w:r>
    </w:p>
    <w:p>
      <w:pPr>
        <w:pStyle w:val="Heading1"/>
      </w:pPr>
      <w:r>
        <w:rPr>
          <w:rFonts w:ascii="Arial" w:hAnsi="Arial"/>
        </w:rPr>
        <w:t>Chapter 7: Expanded Theoretical Background 1</w:t>
      </w:r>
    </w:p>
    <w:p>
      <w:pPr>
        <w:pStyle w:val="Heading2"/>
      </w:pPr>
      <w:r>
        <w:rPr>
          <w:rFonts w:ascii="Arial" w:hAnsi="Arial"/>
        </w:rPr>
        <w:t>7.1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7.5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8: Expanded Theoretical Background 2</w:t>
      </w:r>
    </w:p>
    <w:p>
      <w:pPr>
        <w:pStyle w:val="Heading2"/>
      </w:pPr>
      <w:r>
        <w:rPr>
          <w:rFonts w:ascii="Arial" w:hAnsi="Arial"/>
        </w:rPr>
        <w:t>8.1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8.5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9: Expanded Theoretical Background 3</w:t>
      </w:r>
    </w:p>
    <w:p>
      <w:pPr>
        <w:pStyle w:val="Heading2"/>
      </w:pPr>
      <w:r>
        <w:rPr>
          <w:rFonts w:ascii="Arial" w:hAnsi="Arial"/>
        </w:rPr>
        <w:t>9.1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9.5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10: Expanded Theoretical Background 4</w:t>
      </w:r>
    </w:p>
    <w:p>
      <w:pPr>
        <w:pStyle w:val="Heading2"/>
      </w:pPr>
      <w:r>
        <w:rPr>
          <w:rFonts w:ascii="Arial" w:hAnsi="Arial"/>
        </w:rPr>
        <w:t>10.1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10.5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p>
      <w:pPr>
        <w:pStyle w:val="Heading1"/>
      </w:pPr>
      <w:r>
        <w:rPr>
          <w:rFonts w:ascii="Arial" w:hAnsi="Arial"/>
        </w:rPr>
        <w:t>Chapter 11: Expanded Theoretical Background 5</w:t>
      </w:r>
    </w:p>
    <w:p>
      <w:pPr>
        <w:pStyle w:val="Heading2"/>
      </w:pPr>
      <w:r>
        <w:rPr>
          <w:rFonts w:ascii="Arial" w:hAnsi="Arial"/>
        </w:rPr>
        <w:t>11.1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11.2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11.3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11.4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pPr>
        <w:pStyle w:val="Heading2"/>
      </w:pPr>
      <w:r>
        <w:rPr>
          <w:rFonts w:ascii="Arial" w:hAnsi="Arial"/>
        </w:rPr>
        <w:t>11.5 Theoretical Concept</w:t>
      </w:r>
    </w:p>
    <w:p>
      <w:pPr>
        <w:ind w:firstLine="360"/>
      </w:pPr>
      <w:r>
        <w:rPr>
          <w:rFonts w:ascii="Times New Roman" w:hAnsi="Times New Roman"/>
          <w:b w:val="0"/>
          <w:i w:val="0"/>
          <w:sz w:val="22"/>
        </w:rPr>
        <w:t xml:space="preserve">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Extended theoretical discussion covering the intricacies of deep learning application to physiological time series. </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