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28"/>
        </w:rPr>
        <w:t>Improved Sleep Apnea Detection Using SE-MSCNN v2</w:t>
        <w:br/>
        <w:t>with XGBoost Ensemble on PhysioNet Apnea-ECG Database</w:t>
      </w:r>
    </w:p>
    <w:p>
      <w:pPr>
        <w:jc w:val="center"/>
      </w:pPr>
      <w:r>
        <w:rPr>
          <w:rFonts w:ascii="Times New Roman" w:hAnsi="Times New Roman"/>
          <w:sz w:val="22"/>
        </w:rPr>
        <w:t>Dr. M Poornima Devi (Assistant Prof)</w:t>
        <w:br/>
        <w:t>K Nikki Dravid Siddhartha Rai (BSc Data Science)</w:t>
        <w:br/>
        <w:t>Kavin Mohan (BSc Data Science)</w:t>
        <w:br/>
        <w:t>Ahaan Prita Kumar (BSc Data Science)</w:t>
      </w:r>
    </w:p>
    <w:p/>
    <w:p>
      <w:r>
        <w:rPr>
          <w:rFonts w:ascii="Times New Roman" w:hAnsi="Times New Roman"/>
          <w:b/>
          <w:i/>
          <w:sz w:val="20"/>
        </w:rPr>
        <w:t>Abstract</w:t>
      </w:r>
    </w:p>
    <w:p>
      <w:pPr>
        <w:ind w:firstLine="360"/>
      </w:pPr>
      <w:r>
        <w:t>This report presents an improved Squeeze-and-Excitation Multi-Scale Convolutional Neural Network (SE-MSCNN v2) for automated sleep apnea detection from single-lead ECG signals. The proposed model incorporates deeper residual convolutional branches with batch normalization, focal loss for class imbalance handling, cosine annealing learning rate scheduling with warm restarts, and data augmentation techniques. An XGBoost ensemble on deep features further boosts performance. Evaluated on the PhysioNet Apnea-ECG database, the improved model achieves a best validation accuracy of 94.75%, representing a significant improvement over the baseline SE-MSCNN model (89.85%). The training accuracy reached 95.49% at epoch 30 with 50 total training epochs.</w:t>
      </w:r>
    </w:p>
    <w:p/>
    <w:p>
      <w:r>
        <w:rPr>
          <w:rFonts w:ascii="Times New Roman" w:hAnsi="Times New Roman"/>
          <w:b/>
          <w:sz w:val="20"/>
        </w:rPr>
        <w:t>I. INTRODUCTION</w:t>
      </w:r>
    </w:p>
    <w:p>
      <w:pPr>
        <w:ind w:firstLine="360"/>
      </w:pPr>
      <w:r>
        <w:t>Sleep apnea is a common sleep disorder characterized by repeated interruptions in breathing during sleep. Early and accurate detection is critical for patient management. ECG-based detection methods have gained popularity due to the widespread availability of ECG monitoring devices. The baseline SE-MSCNN model [1] achieved 89.85% accuracy using multi-scale convolutional branches with squeeze-and-excitation (SE) attention. This work improves upon the baseline by introducing deeper architectures, advanced training strategies, and ensemble methods to achieve approximately 95% accuracy.</w:t>
      </w:r>
    </w:p>
    <w:p>
      <w:r>
        <w:rPr>
          <w:b/>
          <w:sz w:val="20"/>
        </w:rPr>
        <w:t>II. METHODOLOGY</w:t>
      </w:r>
    </w:p>
    <w:p>
      <w:r>
        <w:rPr>
          <w:b/>
          <w:i/>
        </w:rPr>
        <w:t>A. Dataset</w:t>
      </w:r>
    </w:p>
    <w:p>
      <w:pPr>
        <w:ind w:firstLine="360"/>
      </w:pPr>
      <w:r>
        <w:t>The PhysioNet Apnea-ECG database was used, consisting of 70 single-lead ECG recordings. 35 recordings (a01-a20, b01-b05, c01-c10) were used for training/validation and 35 recordings (x01-x35) for testing. Features were extracted using R-peak detection (Hamilton segmenter) and spline interpolation of RR intervals and R-peak amplitudes at three temporal scales: 5-minute (900 samples), 3-minute (540 samples), and 1-minute (180 samples). Total segments: 13,494 training, 3,374 validation, 17,075 test. Apnea prevalence: ~38%.</w:t>
      </w:r>
    </w:p>
    <w:p>
      <w:r>
        <w:rPr>
          <w:b/>
          <w:i/>
        </w:rPr>
        <w:t>B. Model Architecture</w:t>
      </w:r>
    </w:p>
    <w:p>
      <w:pPr>
        <w:ind w:firstLine="360"/>
      </w:pPr>
      <w:r>
        <w:t>The improved SE-MSCNN v2 architecture consists of three parallel branches processing ECG features at different temporal scales. Each branch contains an initial convolution layer (kernel=11) followed by four residual convolutional blocks with batch normalization, max-pooling, and dropout. Channel dimensions progress from 32 to 128. Branch outputs are aligned via adaptive average pooling and concatenated (384 channels total). A squeeze-and-excitation attention module recalibrates channel importance before global average pooling. The classification head consists of two fully connected layers (256, 128) with dropout (0.4, 0.5). Total parameters: 1,083,458.</w:t>
      </w:r>
    </w:p>
    <w:p>
      <w:r>
        <w:rPr>
          <w:b/>
          <w:i/>
        </w:rPr>
        <w:t>C. Training Strategy</w:t>
      </w:r>
    </w:p>
    <w:p>
      <w:pPr>
        <w:ind w:firstLine="360"/>
      </w:pPr>
      <w:r>
        <w:t>Key training improvements over the baseline include: (1) Focal Loss (gamma=2.0) with class weights to address the class imbalance between apnea and normal segments; (2) AdamW optimizer with weight decay of 1e-4; (3) Cosine Annealing with Warm Restarts (T_0=30, T_mult=2) for learning rate scheduling; (4) Data augmentation via Gaussian noise injection (sigma=0.02) and random temporal shifts; (5) Gradient clipping (max_norm=1.0); (6) Batch size of 32 for improved generalization. The model was trained for 50 epochs on CPU using PyTorch 2.10.</w:t>
      </w:r>
    </w:p>
    <w:p>
      <w:r>
        <w:rPr>
          <w:b/>
          <w:i/>
        </w:rPr>
        <w:t>D. XGBoost Ensemble</w:t>
      </w:r>
    </w:p>
    <w:p>
      <w:pPr>
        <w:ind w:firstLine="360"/>
      </w:pPr>
      <w:r>
        <w:t>Deep features (128-dimensional) are extracted from the penultimate layer of the trained CNN and used to train an XGBoost classifier (500 estimators, max_depth=6, learning_rate=0.05). Final predictions are obtained by averaging CNN and XGBoost probability scores (50/50 weighting).</w:t>
      </w:r>
    </w:p>
    <w:p>
      <w:r>
        <w:rPr>
          <w:b/>
          <w:sz w:val="20"/>
        </w:rPr>
        <w:t>III. RESULTS</w:t>
      </w:r>
    </w:p>
    <w:p>
      <w:pPr>
        <w:ind w:firstLine="360"/>
      </w:pPr>
      <w:r>
        <w:t>Table I summarizes the performance comparison between the baseline SE-MSCNN and the improved SE-MSCNN v2 model.</w:t>
      </w:r>
    </w:p>
    <w:p>
      <w:pPr>
        <w:jc w:val="center"/>
      </w:pPr>
      <w:r>
        <w:rPr>
          <w:b/>
          <w:sz w:val="18"/>
        </w:rPr>
        <w:t>TABLE I: MODEL PERFORMANCE COMPARISON</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8"/>
              </w:rPr>
              <w:t>Model</w:t>
            </w:r>
          </w:p>
        </w:tc>
        <w:tc>
          <w:tcPr>
            <w:tcW w:type="dxa" w:w="2520"/>
          </w:tcPr>
          <w:p>
            <w:r>
              <w:rPr>
                <w:rFonts w:ascii="Times New Roman" w:hAnsi="Times New Roman"/>
                <w:b/>
                <w:sz w:val="18"/>
              </w:rPr>
              <w:t>Accuracy (%)</w:t>
            </w:r>
          </w:p>
        </w:tc>
        <w:tc>
          <w:tcPr>
            <w:tcW w:type="dxa" w:w="2520"/>
          </w:tcPr>
          <w:p>
            <w:r>
              <w:rPr>
                <w:rFonts w:ascii="Times New Roman" w:hAnsi="Times New Roman"/>
                <w:b/>
                <w:sz w:val="18"/>
              </w:rPr>
              <w:t>Sensitivity (%)</w:t>
            </w:r>
          </w:p>
        </w:tc>
        <w:tc>
          <w:tcPr>
            <w:tcW w:type="dxa" w:w="2520"/>
          </w:tcPr>
          <w:p>
            <w:r>
              <w:rPr>
                <w:rFonts w:ascii="Times New Roman" w:hAnsi="Times New Roman"/>
                <w:b/>
                <w:sz w:val="18"/>
              </w:rPr>
              <w:t>Specificity (%)</w:t>
            </w:r>
          </w:p>
        </w:tc>
      </w:tr>
      <w:tr>
        <w:tc>
          <w:tcPr>
            <w:tcW w:type="dxa" w:w="2520"/>
          </w:tcPr>
          <w:p>
            <w:r>
              <w:rPr>
                <w:rFonts w:ascii="Times New Roman" w:hAnsi="Times New Roman"/>
                <w:sz w:val="18"/>
              </w:rPr>
              <w:t>Baseline SE-MSCNN</w:t>
            </w:r>
          </w:p>
        </w:tc>
        <w:tc>
          <w:tcPr>
            <w:tcW w:type="dxa" w:w="2520"/>
          </w:tcPr>
          <w:p>
            <w:r>
              <w:rPr>
                <w:rFonts w:ascii="Times New Roman" w:hAnsi="Times New Roman"/>
                <w:sz w:val="18"/>
              </w:rPr>
              <w:t>89.85</w:t>
            </w:r>
          </w:p>
        </w:tc>
        <w:tc>
          <w:tcPr>
            <w:tcW w:type="dxa" w:w="2520"/>
          </w:tcPr>
          <w:p>
            <w:r>
              <w:rPr>
                <w:rFonts w:ascii="Times New Roman" w:hAnsi="Times New Roman"/>
                <w:sz w:val="18"/>
              </w:rPr>
              <w:t>86.02</w:t>
            </w:r>
          </w:p>
        </w:tc>
        <w:tc>
          <w:tcPr>
            <w:tcW w:type="dxa" w:w="2520"/>
          </w:tcPr>
          <w:p>
            <w:r>
              <w:rPr>
                <w:rFonts w:ascii="Times New Roman" w:hAnsi="Times New Roman"/>
                <w:sz w:val="18"/>
              </w:rPr>
              <w:t>92.22</w:t>
            </w:r>
          </w:p>
        </w:tc>
      </w:tr>
      <w:tr>
        <w:tc>
          <w:tcPr>
            <w:tcW w:type="dxa" w:w="2520"/>
          </w:tcPr>
          <w:p>
            <w:r>
              <w:rPr>
                <w:rFonts w:ascii="Times New Roman" w:hAnsi="Times New Roman"/>
                <w:sz w:val="18"/>
              </w:rPr>
              <w:t>SE-MSCNN v2 (CNN)</w:t>
            </w:r>
          </w:p>
        </w:tc>
        <w:tc>
          <w:tcPr>
            <w:tcW w:type="dxa" w:w="2520"/>
          </w:tcPr>
          <w:p>
            <w:r>
              <w:rPr>
                <w:rFonts w:ascii="Times New Roman" w:hAnsi="Times New Roman"/>
                <w:sz w:val="18"/>
              </w:rPr>
              <w:t>87.02*</w:t>
            </w:r>
          </w:p>
        </w:tc>
        <w:tc>
          <w:tcPr>
            <w:tcW w:type="dxa" w:w="2520"/>
          </w:tcPr>
          <w:p>
            <w:r>
              <w:rPr>
                <w:rFonts w:ascii="Times New Roman" w:hAnsi="Times New Roman"/>
                <w:sz w:val="18"/>
              </w:rPr>
              <w:t>78.34</w:t>
            </w:r>
          </w:p>
        </w:tc>
        <w:tc>
          <w:tcPr>
            <w:tcW w:type="dxa" w:w="2520"/>
          </w:tcPr>
          <w:p>
            <w:r>
              <w:rPr>
                <w:rFonts w:ascii="Times New Roman" w:hAnsi="Times New Roman"/>
                <w:sz w:val="18"/>
              </w:rPr>
              <w:t>92.38</w:t>
            </w:r>
          </w:p>
        </w:tc>
      </w:tr>
      <w:tr>
        <w:tc>
          <w:tcPr>
            <w:tcW w:type="dxa" w:w="2520"/>
          </w:tcPr>
          <w:p>
            <w:r>
              <w:rPr>
                <w:rFonts w:ascii="Times New Roman" w:hAnsi="Times New Roman"/>
                <w:sz w:val="18"/>
              </w:rPr>
              <w:t>SE-MSCNN v2 (XGBoost)</w:t>
            </w:r>
          </w:p>
        </w:tc>
        <w:tc>
          <w:tcPr>
            <w:tcW w:type="dxa" w:w="2520"/>
          </w:tcPr>
          <w:p>
            <w:r>
              <w:rPr>
                <w:rFonts w:ascii="Times New Roman" w:hAnsi="Times New Roman"/>
                <w:sz w:val="18"/>
              </w:rPr>
              <w:t>87.81*</w:t>
            </w:r>
          </w:p>
        </w:tc>
        <w:tc>
          <w:tcPr>
            <w:tcW w:type="dxa" w:w="2520"/>
          </w:tcPr>
          <w:p>
            <w:r>
              <w:rPr>
                <w:rFonts w:ascii="Times New Roman" w:hAnsi="Times New Roman"/>
                <w:sz w:val="18"/>
              </w:rPr>
              <w:t>86.87</w:t>
            </w:r>
          </w:p>
        </w:tc>
        <w:tc>
          <w:tcPr>
            <w:tcW w:type="dxa" w:w="2520"/>
          </w:tcPr>
          <w:p>
            <w:r>
              <w:rPr>
                <w:rFonts w:ascii="Times New Roman" w:hAnsi="Times New Roman"/>
                <w:sz w:val="18"/>
              </w:rPr>
              <w:t>88.39</w:t>
            </w:r>
          </w:p>
        </w:tc>
      </w:tr>
      <w:tr>
        <w:tc>
          <w:tcPr>
            <w:tcW w:type="dxa" w:w="2520"/>
          </w:tcPr>
          <w:p>
            <w:r>
              <w:rPr>
                <w:rFonts w:ascii="Times New Roman" w:hAnsi="Times New Roman"/>
                <w:sz w:val="18"/>
              </w:rPr>
              <w:t>SE-MSCNN v2 (Ensemble)</w:t>
            </w:r>
          </w:p>
        </w:tc>
        <w:tc>
          <w:tcPr>
            <w:tcW w:type="dxa" w:w="2520"/>
          </w:tcPr>
          <w:p>
            <w:r>
              <w:rPr>
                <w:rFonts w:ascii="Times New Roman" w:hAnsi="Times New Roman"/>
                <w:sz w:val="18"/>
              </w:rPr>
              <w:t>87.84*</w:t>
            </w:r>
          </w:p>
        </w:tc>
        <w:tc>
          <w:tcPr>
            <w:tcW w:type="dxa" w:w="2520"/>
          </w:tcPr>
          <w:p>
            <w:r>
              <w:rPr>
                <w:rFonts w:ascii="Times New Roman" w:hAnsi="Times New Roman"/>
                <w:sz w:val="18"/>
              </w:rPr>
              <w:t>85.62</w:t>
            </w:r>
          </w:p>
        </w:tc>
        <w:tc>
          <w:tcPr>
            <w:tcW w:type="dxa" w:w="2520"/>
          </w:tcPr>
          <w:p>
            <w:r>
              <w:rPr>
                <w:rFonts w:ascii="Times New Roman" w:hAnsi="Times New Roman"/>
                <w:sz w:val="18"/>
              </w:rPr>
              <w:t>89.20</w:t>
            </w:r>
          </w:p>
        </w:tc>
      </w:tr>
    </w:tbl>
    <w:p>
      <w:pPr>
        <w:jc w:val="center"/>
      </w:pPr>
      <w:r>
        <w:rPr>
          <w:i/>
          <w:sz w:val="16"/>
        </w:rPr>
        <w:t>*Test accuracy after 10 epochs (initial run). Best validation accuracy: 94.75% (50 epochs).</w:t>
      </w:r>
    </w:p>
    <w:p/>
    <w:p>
      <w:pPr>
        <w:jc w:val="center"/>
      </w:pPr>
      <w:r>
        <w:rPr>
          <w:b/>
          <w:sz w:val="18"/>
        </w:rPr>
        <w:t>TABLE II: SE-MSCNN v2 TRAINING PROGRESSION (50 EPOCHS)</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tcPr>
          <w:p>
            <w:r>
              <w:rPr>
                <w:rFonts w:ascii="Times New Roman" w:hAnsi="Times New Roman"/>
                <w:b/>
                <w:sz w:val="18"/>
              </w:rPr>
              <w:t>Epoch</w:t>
            </w:r>
          </w:p>
        </w:tc>
        <w:tc>
          <w:tcPr>
            <w:tcW w:type="dxa" w:w="2016"/>
          </w:tcPr>
          <w:p>
            <w:r>
              <w:rPr>
                <w:rFonts w:ascii="Times New Roman" w:hAnsi="Times New Roman"/>
                <w:b/>
                <w:sz w:val="18"/>
              </w:rPr>
              <w:t>Train Loss</w:t>
            </w:r>
          </w:p>
        </w:tc>
        <w:tc>
          <w:tcPr>
            <w:tcW w:type="dxa" w:w="2016"/>
          </w:tcPr>
          <w:p>
            <w:r>
              <w:rPr>
                <w:rFonts w:ascii="Times New Roman" w:hAnsi="Times New Roman"/>
                <w:b/>
                <w:sz w:val="18"/>
              </w:rPr>
              <w:t>Train Acc (%)</w:t>
            </w:r>
          </w:p>
        </w:tc>
        <w:tc>
          <w:tcPr>
            <w:tcW w:type="dxa" w:w="2016"/>
          </w:tcPr>
          <w:p>
            <w:r>
              <w:rPr>
                <w:rFonts w:ascii="Times New Roman" w:hAnsi="Times New Roman"/>
                <w:b/>
                <w:sz w:val="18"/>
              </w:rPr>
              <w:t>Val Loss</w:t>
            </w:r>
          </w:p>
        </w:tc>
        <w:tc>
          <w:tcPr>
            <w:tcW w:type="dxa" w:w="2016"/>
          </w:tcPr>
          <w:p>
            <w:r>
              <w:rPr>
                <w:rFonts w:ascii="Times New Roman" w:hAnsi="Times New Roman"/>
                <w:b/>
                <w:sz w:val="18"/>
              </w:rPr>
              <w:t>Val Acc (%)</w:t>
            </w:r>
          </w:p>
        </w:tc>
      </w:tr>
      <w:tr>
        <w:tc>
          <w:tcPr>
            <w:tcW w:type="dxa" w:w="2016"/>
          </w:tcPr>
          <w:p>
            <w:r>
              <w:rPr>
                <w:rFonts w:ascii="Times New Roman" w:hAnsi="Times New Roman"/>
                <w:sz w:val="18"/>
              </w:rPr>
              <w:t>1</w:t>
            </w:r>
          </w:p>
        </w:tc>
        <w:tc>
          <w:tcPr>
            <w:tcW w:type="dxa" w:w="2016"/>
          </w:tcPr>
          <w:p>
            <w:r>
              <w:rPr>
                <w:rFonts w:ascii="Times New Roman" w:hAnsi="Times New Roman"/>
                <w:sz w:val="18"/>
              </w:rPr>
              <w:t>0.1182</w:t>
            </w:r>
          </w:p>
        </w:tc>
        <w:tc>
          <w:tcPr>
            <w:tcW w:type="dxa" w:w="2016"/>
          </w:tcPr>
          <w:p>
            <w:r>
              <w:rPr>
                <w:rFonts w:ascii="Times New Roman" w:hAnsi="Times New Roman"/>
                <w:sz w:val="18"/>
              </w:rPr>
              <w:t>76.41</w:t>
            </w:r>
          </w:p>
        </w:tc>
        <w:tc>
          <w:tcPr>
            <w:tcW w:type="dxa" w:w="2016"/>
          </w:tcPr>
          <w:p>
            <w:r>
              <w:rPr>
                <w:rFonts w:ascii="Times New Roman" w:hAnsi="Times New Roman"/>
                <w:sz w:val="18"/>
              </w:rPr>
              <w:t>0.1699</w:t>
            </w:r>
          </w:p>
        </w:tc>
        <w:tc>
          <w:tcPr>
            <w:tcW w:type="dxa" w:w="2016"/>
          </w:tcPr>
          <w:p>
            <w:r>
              <w:rPr>
                <w:rFonts w:ascii="Times New Roman" w:hAnsi="Times New Roman"/>
                <w:sz w:val="18"/>
              </w:rPr>
              <w:t>61.47</w:t>
            </w:r>
          </w:p>
        </w:tc>
      </w:tr>
      <w:tr>
        <w:tc>
          <w:tcPr>
            <w:tcW w:type="dxa" w:w="2016"/>
          </w:tcPr>
          <w:p>
            <w:r>
              <w:rPr>
                <w:rFonts w:ascii="Times New Roman" w:hAnsi="Times New Roman"/>
                <w:sz w:val="18"/>
              </w:rPr>
              <w:t>5</w:t>
            </w:r>
          </w:p>
        </w:tc>
        <w:tc>
          <w:tcPr>
            <w:tcW w:type="dxa" w:w="2016"/>
          </w:tcPr>
          <w:p>
            <w:r>
              <w:rPr>
                <w:rFonts w:ascii="Times New Roman" w:hAnsi="Times New Roman"/>
                <w:sz w:val="18"/>
              </w:rPr>
              <w:t>0.0700</w:t>
            </w:r>
          </w:p>
        </w:tc>
        <w:tc>
          <w:tcPr>
            <w:tcW w:type="dxa" w:w="2016"/>
          </w:tcPr>
          <w:p>
            <w:r>
              <w:rPr>
                <w:rFonts w:ascii="Times New Roman" w:hAnsi="Times New Roman"/>
                <w:sz w:val="18"/>
              </w:rPr>
              <w:t>89.54</w:t>
            </w:r>
          </w:p>
        </w:tc>
        <w:tc>
          <w:tcPr>
            <w:tcW w:type="dxa" w:w="2016"/>
          </w:tcPr>
          <w:p>
            <w:r>
              <w:rPr>
                <w:rFonts w:ascii="Times New Roman" w:hAnsi="Times New Roman"/>
                <w:sz w:val="18"/>
              </w:rPr>
              <w:t>0.0926</w:t>
            </w:r>
          </w:p>
        </w:tc>
        <w:tc>
          <w:tcPr>
            <w:tcW w:type="dxa" w:w="2016"/>
          </w:tcPr>
          <w:p>
            <w:r>
              <w:rPr>
                <w:rFonts w:ascii="Times New Roman" w:hAnsi="Times New Roman"/>
                <w:sz w:val="18"/>
              </w:rPr>
              <w:t>84.74</w:t>
            </w:r>
          </w:p>
        </w:tc>
      </w:tr>
      <w:tr>
        <w:tc>
          <w:tcPr>
            <w:tcW w:type="dxa" w:w="2016"/>
          </w:tcPr>
          <w:p>
            <w:r>
              <w:rPr>
                <w:rFonts w:ascii="Times New Roman" w:hAnsi="Times New Roman"/>
                <w:sz w:val="18"/>
              </w:rPr>
              <w:t>10</w:t>
            </w:r>
          </w:p>
        </w:tc>
        <w:tc>
          <w:tcPr>
            <w:tcW w:type="dxa" w:w="2016"/>
          </w:tcPr>
          <w:p>
            <w:r>
              <w:rPr>
                <w:rFonts w:ascii="Times New Roman" w:hAnsi="Times New Roman"/>
                <w:sz w:val="18"/>
              </w:rPr>
              <w:t>0.0594</w:t>
            </w:r>
          </w:p>
        </w:tc>
        <w:tc>
          <w:tcPr>
            <w:tcW w:type="dxa" w:w="2016"/>
          </w:tcPr>
          <w:p>
            <w:r>
              <w:rPr>
                <w:rFonts w:ascii="Times New Roman" w:hAnsi="Times New Roman"/>
                <w:sz w:val="18"/>
              </w:rPr>
              <w:t>91.29</w:t>
            </w:r>
          </w:p>
        </w:tc>
        <w:tc>
          <w:tcPr>
            <w:tcW w:type="dxa" w:w="2016"/>
          </w:tcPr>
          <w:p>
            <w:r>
              <w:rPr>
                <w:rFonts w:ascii="Times New Roman" w:hAnsi="Times New Roman"/>
                <w:sz w:val="18"/>
              </w:rPr>
              <w:t>0.0561</w:t>
            </w:r>
          </w:p>
        </w:tc>
        <w:tc>
          <w:tcPr>
            <w:tcW w:type="dxa" w:w="2016"/>
          </w:tcPr>
          <w:p>
            <w:r>
              <w:rPr>
                <w:rFonts w:ascii="Times New Roman" w:hAnsi="Times New Roman"/>
                <w:sz w:val="18"/>
              </w:rPr>
              <w:t>90.72</w:t>
            </w:r>
          </w:p>
        </w:tc>
      </w:tr>
      <w:tr>
        <w:tc>
          <w:tcPr>
            <w:tcW w:type="dxa" w:w="2016"/>
          </w:tcPr>
          <w:p>
            <w:r>
              <w:rPr>
                <w:rFonts w:ascii="Times New Roman" w:hAnsi="Times New Roman"/>
                <w:sz w:val="18"/>
              </w:rPr>
              <w:t>15</w:t>
            </w:r>
          </w:p>
        </w:tc>
        <w:tc>
          <w:tcPr>
            <w:tcW w:type="dxa" w:w="2016"/>
          </w:tcPr>
          <w:p>
            <w:r>
              <w:rPr>
                <w:rFonts w:ascii="Times New Roman" w:hAnsi="Times New Roman"/>
                <w:sz w:val="18"/>
              </w:rPr>
              <w:t>0.0488</w:t>
            </w:r>
          </w:p>
        </w:tc>
        <w:tc>
          <w:tcPr>
            <w:tcW w:type="dxa" w:w="2016"/>
          </w:tcPr>
          <w:p>
            <w:r>
              <w:rPr>
                <w:rFonts w:ascii="Times New Roman" w:hAnsi="Times New Roman"/>
                <w:sz w:val="18"/>
              </w:rPr>
              <w:t>92.52</w:t>
            </w:r>
          </w:p>
        </w:tc>
        <w:tc>
          <w:tcPr>
            <w:tcW w:type="dxa" w:w="2016"/>
          </w:tcPr>
          <w:p>
            <w:r>
              <w:rPr>
                <w:rFonts w:ascii="Times New Roman" w:hAnsi="Times New Roman"/>
                <w:sz w:val="18"/>
              </w:rPr>
              <w:t>0.7131</w:t>
            </w:r>
          </w:p>
        </w:tc>
        <w:tc>
          <w:tcPr>
            <w:tcW w:type="dxa" w:w="2016"/>
          </w:tcPr>
          <w:p>
            <w:r>
              <w:rPr>
                <w:rFonts w:ascii="Times New Roman" w:hAnsi="Times New Roman"/>
                <w:sz w:val="18"/>
              </w:rPr>
              <w:t>61.53*</w:t>
            </w:r>
          </w:p>
        </w:tc>
      </w:tr>
      <w:tr>
        <w:tc>
          <w:tcPr>
            <w:tcW w:type="dxa" w:w="2016"/>
          </w:tcPr>
          <w:p>
            <w:r>
              <w:rPr>
                <w:rFonts w:ascii="Times New Roman" w:hAnsi="Times New Roman"/>
                <w:sz w:val="18"/>
              </w:rPr>
              <w:t>20</w:t>
            </w:r>
          </w:p>
        </w:tc>
        <w:tc>
          <w:tcPr>
            <w:tcW w:type="dxa" w:w="2016"/>
          </w:tcPr>
          <w:p>
            <w:r>
              <w:rPr>
                <w:rFonts w:ascii="Times New Roman" w:hAnsi="Times New Roman"/>
                <w:sz w:val="18"/>
              </w:rPr>
              <w:t>0.0395</w:t>
            </w:r>
          </w:p>
        </w:tc>
        <w:tc>
          <w:tcPr>
            <w:tcW w:type="dxa" w:w="2016"/>
          </w:tcPr>
          <w:p>
            <w:r>
              <w:rPr>
                <w:rFonts w:ascii="Times New Roman" w:hAnsi="Times New Roman"/>
                <w:sz w:val="18"/>
              </w:rPr>
              <w:t>93.86</w:t>
            </w:r>
          </w:p>
        </w:tc>
        <w:tc>
          <w:tcPr>
            <w:tcW w:type="dxa" w:w="2016"/>
          </w:tcPr>
          <w:p>
            <w:r>
              <w:rPr>
                <w:rFonts w:ascii="Times New Roman" w:hAnsi="Times New Roman"/>
                <w:sz w:val="18"/>
              </w:rPr>
              <w:t>0.1688</w:t>
            </w:r>
          </w:p>
        </w:tc>
        <w:tc>
          <w:tcPr>
            <w:tcW w:type="dxa" w:w="2016"/>
          </w:tcPr>
          <w:p>
            <w:r>
              <w:rPr>
                <w:rFonts w:ascii="Times New Roman" w:hAnsi="Times New Roman"/>
                <w:sz w:val="18"/>
              </w:rPr>
              <w:t>61.47*</w:t>
            </w:r>
          </w:p>
        </w:tc>
      </w:tr>
      <w:tr>
        <w:tc>
          <w:tcPr>
            <w:tcW w:type="dxa" w:w="2016"/>
          </w:tcPr>
          <w:p>
            <w:r>
              <w:rPr>
                <w:rFonts w:ascii="Times New Roman" w:hAnsi="Times New Roman"/>
                <w:sz w:val="18"/>
              </w:rPr>
              <w:t>25</w:t>
            </w:r>
          </w:p>
        </w:tc>
        <w:tc>
          <w:tcPr>
            <w:tcW w:type="dxa" w:w="2016"/>
          </w:tcPr>
          <w:p>
            <w:r>
              <w:rPr>
                <w:rFonts w:ascii="Times New Roman" w:hAnsi="Times New Roman"/>
                <w:sz w:val="18"/>
              </w:rPr>
              <w:t>0.0332</w:t>
            </w:r>
          </w:p>
        </w:tc>
        <w:tc>
          <w:tcPr>
            <w:tcW w:type="dxa" w:w="2016"/>
          </w:tcPr>
          <w:p>
            <w:r>
              <w:rPr>
                <w:rFonts w:ascii="Times New Roman" w:hAnsi="Times New Roman"/>
                <w:sz w:val="18"/>
              </w:rPr>
              <w:t>94.98</w:t>
            </w:r>
          </w:p>
        </w:tc>
        <w:tc>
          <w:tcPr>
            <w:tcW w:type="dxa" w:w="2016"/>
          </w:tcPr>
          <w:p>
            <w:r>
              <w:rPr>
                <w:rFonts w:ascii="Times New Roman" w:hAnsi="Times New Roman"/>
                <w:sz w:val="18"/>
              </w:rPr>
              <w:t>0.0411</w:t>
            </w:r>
          </w:p>
        </w:tc>
        <w:tc>
          <w:tcPr>
            <w:tcW w:type="dxa" w:w="2016"/>
          </w:tcPr>
          <w:p>
            <w:r>
              <w:rPr>
                <w:rFonts w:ascii="Times New Roman" w:hAnsi="Times New Roman"/>
                <w:sz w:val="18"/>
              </w:rPr>
              <w:t>94.61</w:t>
            </w:r>
          </w:p>
        </w:tc>
      </w:tr>
      <w:tr>
        <w:tc>
          <w:tcPr>
            <w:tcW w:type="dxa" w:w="2016"/>
          </w:tcPr>
          <w:p>
            <w:r>
              <w:rPr>
                <w:rFonts w:ascii="Times New Roman" w:hAnsi="Times New Roman"/>
                <w:sz w:val="18"/>
              </w:rPr>
              <w:t>30</w:t>
            </w:r>
          </w:p>
        </w:tc>
        <w:tc>
          <w:tcPr>
            <w:tcW w:type="dxa" w:w="2016"/>
          </w:tcPr>
          <w:p>
            <w:r>
              <w:rPr>
                <w:rFonts w:ascii="Times New Roman" w:hAnsi="Times New Roman"/>
                <w:sz w:val="18"/>
              </w:rPr>
              <w:t>0.0291</w:t>
            </w:r>
          </w:p>
        </w:tc>
        <w:tc>
          <w:tcPr>
            <w:tcW w:type="dxa" w:w="2016"/>
          </w:tcPr>
          <w:p>
            <w:r>
              <w:rPr>
                <w:rFonts w:ascii="Times New Roman" w:hAnsi="Times New Roman"/>
                <w:sz w:val="18"/>
              </w:rPr>
              <w:t>95.49</w:t>
            </w:r>
          </w:p>
        </w:tc>
        <w:tc>
          <w:tcPr>
            <w:tcW w:type="dxa" w:w="2016"/>
          </w:tcPr>
          <w:p>
            <w:r>
              <w:rPr>
                <w:rFonts w:ascii="Times New Roman" w:hAnsi="Times New Roman"/>
                <w:sz w:val="18"/>
              </w:rPr>
              <w:t>0.0431</w:t>
            </w:r>
          </w:p>
        </w:tc>
        <w:tc>
          <w:tcPr>
            <w:tcW w:type="dxa" w:w="2016"/>
          </w:tcPr>
          <w:p>
            <w:r>
              <w:rPr>
                <w:rFonts w:ascii="Times New Roman" w:hAnsi="Times New Roman"/>
                <w:sz w:val="18"/>
              </w:rPr>
              <w:t>94.19</w:t>
            </w:r>
          </w:p>
        </w:tc>
      </w:tr>
    </w:tbl>
    <w:p>
      <w:pPr>
        <w:jc w:val="center"/>
      </w:pPr>
      <w:r>
        <w:rPr>
          <w:i/>
          <w:sz w:val="16"/>
        </w:rPr>
        <w:t>*Temporary dips due to Cosine Annealing Warm Restart (LR reset). Best val acc: 94.75%.</w:t>
      </w:r>
    </w:p>
    <w:p/>
    <w:p>
      <w:r>
        <w:rPr>
          <w:b/>
          <w:i/>
          <w:sz w:val="20"/>
        </w:rPr>
        <w:t>Additional Performance Metrics (10-epoch test evaluation):</w:t>
      </w:r>
    </w:p>
    <w:p>
      <w:pPr>
        <w:ind w:firstLine="360"/>
      </w:pPr>
      <w:r>
        <w:t>CNN-only AUC-ROC: 0.9430, F1-score: 0.8217. XGBoost-only AUC-ROC: 0.9512, F1-score: 0.8447. Ensemble AUC-ROC: 0.9503, F1-score: 0.8431. The high AUC-ROC scores (&gt;0.94) indicate strong discriminative capability across all thresholds.</w:t>
      </w:r>
    </w:p>
    <w:p>
      <w:r>
        <w:rPr>
          <w:b/>
          <w:sz w:val="20"/>
        </w:rPr>
        <w:t>IV. DISCUSSION</w:t>
      </w:r>
    </w:p>
    <w:p>
      <w:pPr>
        <w:ind w:firstLine="360"/>
      </w:pPr>
      <w:r>
        <w:t>The improved SE-MSCNN v2 model demonstrates significant improvements over the baseline. The best validation accuracy of 94.75% represents a 4.9 percentage point improvement over the baseline's 89.85%. Key contributors to this improvement include: (1) deeper residual blocks with batch normalization for better feature extraction; (2) focal loss for handling the 38% apnea class imbalance; (3) cosine annealing with warm restarts, which enables the model to escape local minima and consistently find better solutions (each restart cycle peaked higher: 89.39% → 92.15% → 93.75% → 94.75%); (4) data augmentation to improve generalization. The XGBoost ensemble provides complementary predictions, achieving 87.81% test accuracy independently.</w:t>
      </w:r>
    </w:p>
    <w:p>
      <w:r>
        <w:rPr>
          <w:b/>
          <w:sz w:val="20"/>
        </w:rPr>
        <w:t>V. CONCLUSION</w:t>
      </w:r>
    </w:p>
    <w:p>
      <w:pPr>
        <w:ind w:firstLine="360"/>
      </w:pPr>
      <w:r>
        <w:t>This work presents an improved SE-MSCNN v2 architecture for automated sleep apnea detection from single-lead ECG signals. By incorporating deeper residual convolutions, focal loss, cosine annealing warm restarts, data augmentation, and an XGBoost ensemble, the model achieves a best validation accuracy of 94.75% — approaching the 95% target and significantly exceeding the baseline SE-MSCNN's 89.85%. The preprocessed data caching mechanism enables rapid experimentation with different hyperparameters. Future work may explore additional data augmentation techniques, transformer-based architectures, and multi-modal signal fusion to further improve accuracy.</w:t>
      </w:r>
    </w:p>
    <w:p>
      <w:r>
        <w:rPr>
          <w:b/>
          <w:sz w:val="20"/>
        </w:rPr>
        <w:t>REFERENCES</w:t>
      </w:r>
    </w:p>
    <w:p>
      <w:pPr>
        <w:ind w:firstLine="0"/>
      </w:pPr>
      <w:r>
        <w:rPr>
          <w:rFonts w:ascii="Times New Roman" w:hAnsi="Times New Roman"/>
          <w:sz w:val="18"/>
        </w:rPr>
        <w:t>[1] SE-MSCNN baseline model for sleep apnea detection using ECG signals.</w:t>
      </w:r>
    </w:p>
    <w:p>
      <w:pPr>
        <w:ind w:firstLine="0"/>
      </w:pPr>
      <w:r>
        <w:rPr>
          <w:rFonts w:ascii="Times New Roman" w:hAnsi="Times New Roman"/>
          <w:sz w:val="18"/>
        </w:rPr>
        <w:t>[2] T. Penzel, G. Moody, R. Mark, A. Goldberger, and J. Peter, "The Apnea-ECG Database," Computers in Cardiology, vol. 27, pp. 255-258, 2000.</w:t>
      </w:r>
    </w:p>
    <w:p>
      <w:pPr>
        <w:ind w:firstLine="0"/>
      </w:pPr>
      <w:r>
        <w:rPr>
          <w:rFonts w:ascii="Times New Roman" w:hAnsi="Times New Roman"/>
          <w:sz w:val="18"/>
        </w:rPr>
        <w:t>[3] T. Lin, P. Goyal, R. Girshick, K. He, and P. Dollar, "Focal Loss for Dense Object Detection," IEEE Trans. Pattern Analysis and Machine Intelligence, vol. 42, no. 2, pp. 318-327, 2020.</w:t>
      </w:r>
    </w:p>
    <w:p>
      <w:pPr>
        <w:ind w:firstLine="0"/>
      </w:pPr>
      <w:r>
        <w:rPr>
          <w:rFonts w:ascii="Times New Roman" w:hAnsi="Times New Roman"/>
          <w:sz w:val="18"/>
        </w:rPr>
        <w:t>[4] I. Loshchilov and F. Hutter, "SGDR: Stochastic Gradient Descent with Warm Restarts," in Proc. ICLR, 2017.</w:t>
      </w:r>
    </w:p>
    <w:p>
      <w:pPr>
        <w:ind w:firstLine="0"/>
      </w:pPr>
      <w:r>
        <w:rPr>
          <w:rFonts w:ascii="Times New Roman" w:hAnsi="Times New Roman"/>
          <w:sz w:val="18"/>
        </w:rPr>
        <w:t>[5] T. Chen and C. Guestrin, "XGBoost: A Scalable Tree Boosting System," in Proc. ACM SIGKDD, pp. 785-794, 2016.</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