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7E6AC0">
      <w:pPr>
        <w:pStyle w:val="TuNormal"/>
        <w:numPr>
          <w:ilvl w:val="0"/>
          <w:numId w:val="0"/>
        </w:numPr>
        <w:ind w:left="1296" w:hanging="576"/>
      </w:pPr>
      <w:r>
        <w:t>3.2.6</w:t>
      </w:r>
      <w:r>
        <w:tab/>
      </w:r>
      <w:r>
        <w:tab/>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0D1622" w:rsidRPr="000D1622" w:rsidRDefault="000D1622" w:rsidP="000D1622">
      <w:pPr>
        <w:pStyle w:val="TuNormal"/>
        <w:numPr>
          <w:ilvl w:val="0"/>
          <w:numId w:val="0"/>
        </w:numPr>
        <w:ind w:left="1296" w:hanging="576"/>
        <w:rPr>
          <w:lang w:val="vi-VN"/>
        </w:rPr>
      </w:pPr>
      <w:r>
        <w:t>3.2.</w:t>
      </w:r>
      <w:r>
        <w:rPr>
          <w:lang w:val="vi-VN"/>
        </w:rPr>
        <w:t>7</w:t>
      </w:r>
      <w:r>
        <w:tab/>
      </w:r>
      <w:r>
        <w:tab/>
        <w:t xml:space="preserve">Use case </w:t>
      </w:r>
      <w:r>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D46B6C"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D46B6C"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7E6AC0" w:rsidRPr="00D46B6C" w:rsidRDefault="007E6AC0" w:rsidP="007E6AC0">
      <w:pPr>
        <w:pStyle w:val="TuNormal"/>
        <w:numPr>
          <w:ilvl w:val="0"/>
          <w:numId w:val="0"/>
        </w:numPr>
        <w:ind w:left="1296" w:hanging="576"/>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Mô tả</w:t>
            </w:r>
          </w:p>
        </w:tc>
        <w:tc>
          <w:tcPr>
            <w:tcW w:w="7625" w:type="dxa"/>
          </w:tcPr>
          <w:p w:rsidR="00724B93" w:rsidRDefault="00724B93" w:rsidP="00326635">
            <w:pPr>
              <w:pStyle w:val="MyTable1"/>
            </w:pPr>
            <w:r>
              <w:rPr>
                <w:noProof/>
              </w:rPr>
              <w:drawing>
                <wp:inline distT="0" distB="0" distL="0" distR="0">
                  <wp:extent cx="4704715"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33395"/>
                          </a:xfrm>
                          <a:prstGeom prst="rect">
                            <a:avLst/>
                          </a:prstGeom>
                        </pic:spPr>
                      </pic:pic>
                    </a:graphicData>
                  </a:graphic>
                </wp:inline>
              </w:drawing>
            </w:r>
          </w:p>
        </w:tc>
        <w:bookmarkStart w:id="1" w:name="_GoBack"/>
        <w:bookmarkEnd w:id="1"/>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 xml:space="preserve">Quản lí thông tín các tuyến xe gồm trạm bắt đầu, trạm kết thúc, lộ trình tuyến, các chuyến thuộc tuyến </w:t>
            </w:r>
            <w:proofErr w:type="gramStart"/>
            <w:r>
              <w:t>xe,…</w:t>
            </w:r>
            <w:proofErr w:type="gramEnd"/>
            <w:r>
              <w:t xml:space="preserve"> Bao gồm các chức năng: xem danh sách tuyến, tìm tuyến, thêm tuyến, sửa tuyến, xóa tuyến.</w:t>
            </w:r>
          </w:p>
        </w:tc>
      </w:tr>
    </w:tbl>
    <w:p w:rsidR="00F705CC" w:rsidRDefault="00D46B6C" w:rsidP="00D46B6C">
      <w:pPr>
        <w:pStyle w:val="TuNormal"/>
        <w:numPr>
          <w:ilvl w:val="1"/>
          <w:numId w:val="15"/>
        </w:numPr>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lastRenderedPageBreak/>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lastRenderedPageBreak/>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 xml:space="preserve">̉a </w:t>
            </w:r>
            <w:r w:rsidR="00B72DB2">
              <w:lastRenderedPageBreak/>
              <w:t>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w:t>
            </w:r>
            <w:r>
              <w:lastRenderedPageBreak/>
              <w:t>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3"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B05AC8"/>
    <w:multiLevelType w:val="multilevel"/>
    <w:tmpl w:val="AB3807E0"/>
    <w:numStyleLink w:val="Style1"/>
  </w:abstractNum>
  <w:abstractNum w:abstractNumId="18"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11"/>
  </w:num>
  <w:num w:numId="5">
    <w:abstractNumId w:val="17"/>
  </w:num>
  <w:num w:numId="6">
    <w:abstractNumId w:val="24"/>
  </w:num>
  <w:num w:numId="7">
    <w:abstractNumId w:val="7"/>
  </w:num>
  <w:num w:numId="8">
    <w:abstractNumId w:val="26"/>
  </w:num>
  <w:num w:numId="9">
    <w:abstractNumId w:val="12"/>
  </w:num>
  <w:num w:numId="10">
    <w:abstractNumId w:val="12"/>
  </w:num>
  <w:num w:numId="11">
    <w:abstractNumId w:val="10"/>
  </w:num>
  <w:num w:numId="12">
    <w:abstractNumId w:val="19"/>
  </w:num>
  <w:num w:numId="13">
    <w:abstractNumId w:val="23"/>
  </w:num>
  <w:num w:numId="14">
    <w:abstractNumId w:val="9"/>
  </w:num>
  <w:num w:numId="15">
    <w:abstractNumId w:val="18"/>
  </w:num>
  <w:num w:numId="16">
    <w:abstractNumId w:val="1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3"/>
  </w:num>
  <w:num w:numId="20">
    <w:abstractNumId w:val="12"/>
  </w:num>
  <w:num w:numId="21">
    <w:abstractNumId w:val="4"/>
  </w:num>
  <w:num w:numId="22">
    <w:abstractNumId w:val="5"/>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3"/>
  </w:num>
  <w:num w:numId="30">
    <w:abstractNumId w:val="16"/>
  </w:num>
  <w:num w:numId="31">
    <w:abstractNumId w:val="15"/>
  </w:num>
  <w:num w:numId="32">
    <w:abstractNumId w:val="20"/>
  </w:num>
  <w:num w:numId="33">
    <w:abstractNumId w:val="0"/>
  </w:num>
  <w:num w:numId="34">
    <w:abstractNumId w:val="25"/>
  </w:num>
  <w:num w:numId="35">
    <w:abstractNumId w:val="22"/>
  </w:num>
  <w:num w:numId="36">
    <w:abstractNumId w:val="21"/>
  </w:num>
  <w:num w:numId="3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5225"/>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6561"/>
    <w:rsid w:val="007E6AC0"/>
    <w:rsid w:val="00857197"/>
    <w:rsid w:val="00891066"/>
    <w:rsid w:val="008B1811"/>
    <w:rsid w:val="008F333B"/>
    <w:rsid w:val="00985201"/>
    <w:rsid w:val="00990E65"/>
    <w:rsid w:val="009C254D"/>
    <w:rsid w:val="009C5384"/>
    <w:rsid w:val="009F3F79"/>
    <w:rsid w:val="00A075E8"/>
    <w:rsid w:val="00A431E3"/>
    <w:rsid w:val="00A507F6"/>
    <w:rsid w:val="00A854C4"/>
    <w:rsid w:val="00A96CEE"/>
    <w:rsid w:val="00AA2FD7"/>
    <w:rsid w:val="00AF7766"/>
    <w:rsid w:val="00B34A9A"/>
    <w:rsid w:val="00B63DAE"/>
    <w:rsid w:val="00B72DB2"/>
    <w:rsid w:val="00B90959"/>
    <w:rsid w:val="00B9278F"/>
    <w:rsid w:val="00B96ADB"/>
    <w:rsid w:val="00BB2A5D"/>
    <w:rsid w:val="00BC6878"/>
    <w:rsid w:val="00BD3AFC"/>
    <w:rsid w:val="00C20D9B"/>
    <w:rsid w:val="00C37EC7"/>
    <w:rsid w:val="00C567CE"/>
    <w:rsid w:val="00CA0EFA"/>
    <w:rsid w:val="00CA7BE4"/>
    <w:rsid w:val="00CB4846"/>
    <w:rsid w:val="00D00FFB"/>
    <w:rsid w:val="00D200F6"/>
    <w:rsid w:val="00D46B6C"/>
    <w:rsid w:val="00D647DB"/>
    <w:rsid w:val="00D92C1E"/>
    <w:rsid w:val="00DB3C48"/>
    <w:rsid w:val="00DB4D06"/>
    <w:rsid w:val="00DF7838"/>
    <w:rsid w:val="00E01493"/>
    <w:rsid w:val="00E84143"/>
    <w:rsid w:val="00EB13F6"/>
    <w:rsid w:val="00ED3644"/>
    <w:rsid w:val="00ED6E35"/>
    <w:rsid w:val="00EF79AB"/>
    <w:rsid w:val="00F26B91"/>
    <w:rsid w:val="00F705CC"/>
    <w:rsid w:val="00FA7EC9"/>
    <w:rsid w:val="00FC1C86"/>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CE31"/>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86166"/>
    <w:rsid w:val="003A69C6"/>
    <w:rsid w:val="0046471A"/>
    <w:rsid w:val="004E2059"/>
    <w:rsid w:val="005A2380"/>
    <w:rsid w:val="00685D1D"/>
    <w:rsid w:val="0072639F"/>
    <w:rsid w:val="008B3B8E"/>
    <w:rsid w:val="00B305F4"/>
    <w:rsid w:val="00CD4D81"/>
    <w:rsid w:val="00D5031D"/>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83653-EF87-4940-9DD3-77E04994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1676</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Mỹ Anh Lê</cp:lastModifiedBy>
  <cp:revision>53</cp:revision>
  <dcterms:created xsi:type="dcterms:W3CDTF">2017-09-17T03:44:00Z</dcterms:created>
  <dcterms:modified xsi:type="dcterms:W3CDTF">2017-09-20T04:59:00Z</dcterms:modified>
</cp:coreProperties>
</file>