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МИНИСТЕРСТВО ОБРАЗОВАНИЯ РЕСПУБЛИКИ БЕЛАРУСЬ</w:t>
        <w:br/>
        <w:br/>
      </w:r>
      <w:r>
        <w:rPr>
          <w:rFonts w:ascii="Times New Roman" w:hAnsi="Times New Roman"/>
          <w:sz w:val="28"/>
        </w:rPr>
        <w:t>Учреждение образования</w:t>
        <w:br/>
        <w:t>«Национальный детский технопарк»</w:t>
        <w:br/>
        <w:br/>
      </w:r>
      <w:r>
        <w:rPr>
          <w:rFonts w:ascii="Times New Roman" w:hAnsi="Times New Roman"/>
          <w:sz w:val="28"/>
        </w:rPr>
        <w:t>Образовательное направление «Информационные и компьютерные технологии»</w:t>
        <w:br/>
        <w:t>«Цифровой ритейл»</w:t>
        <w:br/>
        <w:br/>
        <w:br/>
      </w:r>
    </w:p>
    <w:p>
      <w:pPr>
        <w:spacing w:before="160" w:after="480" w:line="240" w:lineRule="auto"/>
        <w:ind w:firstLine="0"/>
        <w:jc w:val="center"/>
      </w:pPr>
      <w:r>
        <w:rPr>
          <w:rFonts w:ascii="Times New Roman" w:hAnsi="Times New Roman"/>
          <w:sz w:val="28"/>
        </w:rPr>
        <w:t>Исследовательский проект</w:t>
        <w:br/>
        <w:br/>
      </w:r>
      <w:r>
        <w:rPr>
          <w:rFonts w:ascii="Times New Roman" w:hAnsi="Times New Roman"/>
          <w:b/>
          <w:sz w:val="32"/>
        </w:rPr>
        <w:t>«РАЗРАБОТКА МОДУЛЯ ПЕРСОНАЛИЗИРОВАННЫХ РЕКОМЕНДАЦИЙ НА ОСНОВЕ МАШИННОГО ОБУЧЕНИЯ (НА ПРИМЕРЕ МУЗЫКАЛЬНОЙ ИНДУСТРИИ)»</w:t>
        <w:br/>
        <w:br/>
        <w:br/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/>
        </w:tc>
        <w:tc>
          <w:tcPr>
            <w:tcW w:type="dxa" w:w="510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Выполнил:</w:t>
              <w:br/>
            </w:r>
            <w:r>
              <w:rPr>
                <w:rFonts w:ascii="Times New Roman" w:hAnsi="Times New Roman"/>
                <w:b w:val="0"/>
                <w:sz w:val="28"/>
              </w:rPr>
              <w:t>Забинский Артемий, учащийся</w:t>
              <w:br/>
            </w:r>
            <w:r>
              <w:rPr>
                <w:rFonts w:ascii="Times New Roman" w:hAnsi="Times New Roman"/>
                <w:b w:val="0"/>
                <w:sz w:val="28"/>
              </w:rPr>
              <w:t>УО «Национальный детский</w:t>
              <w:br/>
              <w:t>технопарк»</w:t>
              <w:br/>
              <w:br/>
            </w:r>
            <w:r>
              <w:rPr>
                <w:rFonts w:ascii="Times New Roman" w:hAnsi="Times New Roman"/>
                <w:b w:val="0"/>
                <w:sz w:val="28"/>
              </w:rPr>
              <w:t>Руководители проекта:</w:t>
              <w:br/>
              <w:br/>
            </w:r>
            <w:r>
              <w:rPr>
                <w:rFonts w:ascii="Times New Roman" w:hAnsi="Times New Roman"/>
                <w:b w:val="0"/>
                <w:sz w:val="28"/>
              </w:rPr>
              <w:t>Сицко Владимир Александрович</w:t>
              <w:br/>
            </w:r>
            <w:r>
              <w:rPr>
                <w:rFonts w:ascii="Times New Roman" w:hAnsi="Times New Roman"/>
                <w:b w:val="0"/>
                <w:sz w:val="28"/>
              </w:rPr>
              <w:t>Крюкова Дарья Сергеевна</w:t>
              <w:br/>
            </w:r>
            <w:r>
              <w:rPr>
                <w:rFonts w:ascii="Times New Roman" w:hAnsi="Times New Roman"/>
                <w:b w:val="0"/>
                <w:sz w:val="28"/>
              </w:rPr>
              <w:t>Парамонов Антон Иванович</w:t>
              <w:br/>
            </w:r>
          </w:p>
        </w:tc>
      </w:tr>
    </w:tbl>
    <w:p>
      <w:pPr>
        <w:spacing w:before="1280" w:after="0" w:line="240" w:lineRule="auto"/>
        <w:ind w:firstLine="0"/>
        <w:jc w:val="center"/>
      </w:pPr>
      <w:r>
        <w:rPr>
          <w:rFonts w:ascii="Times New Roman" w:hAnsi="Times New Roman"/>
          <w:sz w:val="28"/>
        </w:rPr>
        <w:t>Минск 2026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СОДЕРЖАНИЕ</w:t>
      </w:r>
    </w:p>
    <w:p>
      <w:pPr>
        <w:spacing w:before="40" w:after="20" w:line="240" w:lineRule="auto"/>
        <w:ind w:firstLine="0"/>
        <w:jc w:val="both"/>
        <w:tabs>
          <w:tab w:val="right" w:leader="dot" w:pos="9638"/>
        </w:tabs>
      </w:pPr>
      <w:r>
        <w:rPr>
          <w:rFonts w:ascii="Times New Roman" w:hAnsi="Times New Roman"/>
          <w:b/>
          <w:sz w:val="24"/>
        </w:rPr>
        <w:t>ВВЕДЕНИЕ</w:t>
      </w:r>
      <w:r>
        <w:tab/>
      </w:r>
      <w:r>
        <w:rPr>
          <w:rFonts w:ascii="Times New Roman" w:hAnsi="Times New Roman"/>
          <w:b/>
          <w:sz w:val="24"/>
        </w:rPr>
        <w:t>3</w:t>
      </w:r>
    </w:p>
    <w:p>
      <w:pPr>
        <w:spacing w:before="40" w:after="20" w:line="240" w:lineRule="auto"/>
        <w:ind w:firstLine="0"/>
        <w:jc w:val="both"/>
        <w:tabs>
          <w:tab w:val="right" w:leader="dot" w:pos="9638"/>
        </w:tabs>
      </w:pPr>
      <w:r>
        <w:rPr>
          <w:rFonts w:ascii="Times New Roman" w:hAnsi="Times New Roman"/>
          <w:b/>
          <w:sz w:val="24"/>
        </w:rPr>
        <w:t>1 ТЕОРЕТИЧЕСКИЕ ОСНОВЫ ПОСТРОЕНИЯ РЕКОМЕНДАТЕЛЬНЫХ СИСТЕМ В МУЗЫКАЛЬНОЙ ИНДУСТРИИ</w:t>
      </w:r>
      <w:r>
        <w:tab/>
      </w:r>
      <w:r>
        <w:rPr>
          <w:rFonts w:ascii="Times New Roman" w:hAnsi="Times New Roman"/>
          <w:b/>
          <w:sz w:val="24"/>
        </w:rPr>
        <w:t>5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1.1 Анализ предметной области и специфика рекомендаций</w:t>
      </w:r>
      <w:r>
        <w:tab/>
      </w:r>
      <w:r>
        <w:rPr>
          <w:rFonts w:ascii="Times New Roman" w:hAnsi="Times New Roman"/>
          <w:sz w:val="23"/>
        </w:rPr>
        <w:t>5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1.2 Методы машинного обучения в задачах подбора</w:t>
      </w:r>
      <w:r>
        <w:tab/>
      </w:r>
      <w:r>
        <w:rPr>
          <w:rFonts w:ascii="Times New Roman" w:hAnsi="Times New Roman"/>
          <w:sz w:val="23"/>
        </w:rPr>
        <w:t>5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1.3 Сравнительный анализ существующих платформ</w:t>
      </w:r>
      <w:r>
        <w:tab/>
      </w:r>
      <w:r>
        <w:rPr>
          <w:rFonts w:ascii="Times New Roman" w:hAnsi="Times New Roman"/>
          <w:sz w:val="23"/>
        </w:rPr>
        <w:t>6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1.4 Обоснование архитектурных решений комплекса</w:t>
      </w:r>
      <w:r>
        <w:tab/>
      </w:r>
      <w:r>
        <w:rPr>
          <w:rFonts w:ascii="Times New Roman" w:hAnsi="Times New Roman"/>
          <w:sz w:val="23"/>
        </w:rPr>
        <w:t>6</w:t>
      </w:r>
    </w:p>
    <w:p>
      <w:pPr>
        <w:spacing w:before="40" w:after="20" w:line="240" w:lineRule="auto"/>
        <w:ind w:firstLine="0"/>
        <w:jc w:val="both"/>
        <w:tabs>
          <w:tab w:val="right" w:leader="dot" w:pos="9638"/>
        </w:tabs>
      </w:pPr>
      <w:r>
        <w:rPr>
          <w:rFonts w:ascii="Times New Roman" w:hAnsi="Times New Roman"/>
          <w:b/>
          <w:sz w:val="24"/>
        </w:rPr>
        <w:t>2 ПРОЕКТИРОВАНИЕ МОДУЛЯ ПЕРСОНАЛИЗИРОВАННЫХ РЕКОМЕНДАЦИЙ</w:t>
      </w:r>
      <w:r>
        <w:tab/>
      </w:r>
      <w:r>
        <w:rPr>
          <w:rFonts w:ascii="Times New Roman" w:hAnsi="Times New Roman"/>
          <w:b/>
          <w:sz w:val="24"/>
        </w:rPr>
        <w:t>8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2.1 Общая структура и функциональная схема комплекса</w:t>
      </w:r>
      <w:r>
        <w:tab/>
      </w:r>
      <w:r>
        <w:rPr>
          <w:rFonts w:ascii="Times New Roman" w:hAnsi="Times New Roman"/>
          <w:sz w:val="23"/>
        </w:rPr>
        <w:t>8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2.2 Архитектура сбора данных synesthesia-parser</w:t>
      </w:r>
      <w:r>
        <w:tab/>
      </w:r>
      <w:r>
        <w:rPr>
          <w:rFonts w:ascii="Times New Roman" w:hAnsi="Times New Roman"/>
          <w:sz w:val="23"/>
        </w:rPr>
        <w:t>9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2.3 Модель данных и расширение схемы MySQL</w:t>
      </w:r>
      <w:r>
        <w:tab/>
      </w:r>
      <w:r>
        <w:rPr>
          <w:rFonts w:ascii="Times New Roman" w:hAnsi="Times New Roman"/>
          <w:sz w:val="23"/>
        </w:rPr>
        <w:t>9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2.4 Математическая модель центроидных векторов</w:t>
      </w:r>
      <w:r>
        <w:tab/>
      </w:r>
      <w:r>
        <w:rPr>
          <w:rFonts w:ascii="Times New Roman" w:hAnsi="Times New Roman"/>
          <w:sz w:val="23"/>
        </w:rPr>
        <w:t>10</w:t>
      </w:r>
    </w:p>
    <w:p>
      <w:pPr>
        <w:spacing w:before="40" w:after="20" w:line="240" w:lineRule="auto"/>
        <w:ind w:firstLine="0"/>
        <w:jc w:val="both"/>
        <w:tabs>
          <w:tab w:val="right" w:leader="dot" w:pos="9638"/>
        </w:tabs>
      </w:pPr>
      <w:r>
        <w:rPr>
          <w:rFonts w:ascii="Times New Roman" w:hAnsi="Times New Roman"/>
          <w:b/>
          <w:sz w:val="24"/>
        </w:rPr>
        <w:t>3 ПРОГРАММНАЯ РЕАЛИЗАЦИЯ МОДУЛЯ И ИНТЕРНЕТ-МАГАЗИНА</w:t>
      </w:r>
      <w:r>
        <w:tab/>
      </w:r>
      <w:r>
        <w:rPr>
          <w:rFonts w:ascii="Times New Roman" w:hAnsi="Times New Roman"/>
          <w:b/>
          <w:sz w:val="24"/>
        </w:rPr>
        <w:t>12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3.1 Разработка подсистемы сбора данных</w:t>
      </w:r>
      <w:r>
        <w:tab/>
      </w:r>
      <w:r>
        <w:rPr>
          <w:rFonts w:ascii="Times New Roman" w:hAnsi="Times New Roman"/>
          <w:sz w:val="23"/>
        </w:rPr>
        <w:t>12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3.2 Сервис векторного кодирования и поиска FastAPI</w:t>
      </w:r>
      <w:r>
        <w:tab/>
      </w:r>
      <w:r>
        <w:rPr>
          <w:rFonts w:ascii="Times New Roman" w:hAnsi="Times New Roman"/>
          <w:sz w:val="23"/>
        </w:rPr>
        <w:t>12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3.3 Модуль структурированного треклиста OpenCart</w:t>
      </w:r>
      <w:r>
        <w:tab/>
      </w:r>
      <w:r>
        <w:rPr>
          <w:rFonts w:ascii="Times New Roman" w:hAnsi="Times New Roman"/>
          <w:sz w:val="23"/>
        </w:rPr>
        <w:t>13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3.4 Пользовательский интерфейс витрины «Synthesia»</w:t>
      </w:r>
      <w:r>
        <w:tab/>
      </w:r>
      <w:r>
        <w:rPr>
          <w:rFonts w:ascii="Times New Roman" w:hAnsi="Times New Roman"/>
          <w:sz w:val="23"/>
        </w:rPr>
        <w:t>13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3.5 Пакетный импорт данных и подсистема StopKran</w:t>
      </w:r>
      <w:r>
        <w:tab/>
      </w:r>
      <w:r>
        <w:rPr>
          <w:rFonts w:ascii="Times New Roman" w:hAnsi="Times New Roman"/>
          <w:sz w:val="23"/>
        </w:rPr>
        <w:t>14</w:t>
      </w:r>
    </w:p>
    <w:p>
      <w:pPr>
        <w:spacing w:before="40" w:after="20" w:line="240" w:lineRule="auto"/>
        <w:ind w:firstLine="0"/>
        <w:jc w:val="both"/>
        <w:tabs>
          <w:tab w:val="right" w:leader="dot" w:pos="9638"/>
        </w:tabs>
      </w:pPr>
      <w:r>
        <w:rPr>
          <w:rFonts w:ascii="Times New Roman" w:hAnsi="Times New Roman"/>
          <w:b/>
          <w:sz w:val="24"/>
        </w:rPr>
        <w:t>4 ЭКСПЕРИМЕНТАЛЬНОЕ ИССЛЕДОВАНИЕ И ОЦЕНКА ЭФФЕКТИВНОСТИ</w:t>
      </w:r>
      <w:r>
        <w:tab/>
      </w:r>
      <w:r>
        <w:rPr>
          <w:rFonts w:ascii="Times New Roman" w:hAnsi="Times New Roman"/>
          <w:b/>
          <w:sz w:val="24"/>
        </w:rPr>
        <w:t>15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4.1 Методика и результаты автоматизированных тестов</w:t>
      </w:r>
      <w:r>
        <w:tab/>
      </w:r>
      <w:r>
        <w:rPr>
          <w:rFonts w:ascii="Times New Roman" w:hAnsi="Times New Roman"/>
          <w:sz w:val="23"/>
        </w:rPr>
        <w:t>15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4.2 Исследование времени отклика и масштабируемости</w:t>
      </w:r>
      <w:r>
        <w:tab/>
      </w:r>
      <w:r>
        <w:rPr>
          <w:rFonts w:ascii="Times New Roman" w:hAnsi="Times New Roman"/>
          <w:sz w:val="23"/>
        </w:rPr>
        <w:t>16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4.3 Надежность механизмов отказоустойчивости</w:t>
      </w:r>
      <w:r>
        <w:tab/>
      </w:r>
      <w:r>
        <w:rPr>
          <w:rFonts w:ascii="Times New Roman" w:hAnsi="Times New Roman"/>
          <w:sz w:val="23"/>
        </w:rPr>
        <w:t>17</w:t>
      </w:r>
    </w:p>
    <w:p>
      <w:pPr>
        <w:spacing w:before="0" w:after="0" w:line="240" w:lineRule="auto"/>
        <w:ind w:firstLine="454"/>
        <w:jc w:val="both"/>
        <w:tabs>
          <w:tab w:val="right" w:leader="dot" w:pos="9638"/>
        </w:tabs>
      </w:pPr>
      <w:r>
        <w:rPr>
          <w:rFonts w:ascii="Times New Roman" w:hAnsi="Times New Roman"/>
          <w:sz w:val="23"/>
        </w:rPr>
        <w:t>4.4 Практическая апробация в магазине «Synthesia»</w:t>
      </w:r>
      <w:r>
        <w:tab/>
      </w:r>
      <w:r>
        <w:rPr>
          <w:rFonts w:ascii="Times New Roman" w:hAnsi="Times New Roman"/>
          <w:sz w:val="23"/>
        </w:rPr>
        <w:t>17</w:t>
      </w:r>
    </w:p>
    <w:p>
      <w:pPr>
        <w:spacing w:before="40" w:after="20" w:line="240" w:lineRule="auto"/>
        <w:ind w:firstLine="0"/>
        <w:jc w:val="both"/>
        <w:tabs>
          <w:tab w:val="right" w:leader="dot" w:pos="9638"/>
        </w:tabs>
      </w:pPr>
      <w:r>
        <w:rPr>
          <w:rFonts w:ascii="Times New Roman" w:hAnsi="Times New Roman"/>
          <w:b/>
          <w:sz w:val="24"/>
        </w:rPr>
        <w:t>ЗАКЛЮЧЕНИЕ</w:t>
      </w:r>
      <w:r>
        <w:tab/>
      </w:r>
      <w:r>
        <w:rPr>
          <w:rFonts w:ascii="Times New Roman" w:hAnsi="Times New Roman"/>
          <w:b/>
          <w:sz w:val="24"/>
        </w:rPr>
        <w:t>18</w:t>
      </w:r>
    </w:p>
    <w:p>
      <w:pPr>
        <w:spacing w:before="40" w:after="20" w:line="240" w:lineRule="auto"/>
        <w:ind w:firstLine="0"/>
        <w:jc w:val="both"/>
        <w:tabs>
          <w:tab w:val="right" w:leader="dot" w:pos="9638"/>
        </w:tabs>
      </w:pPr>
      <w:r>
        <w:rPr>
          <w:rFonts w:ascii="Times New Roman" w:hAnsi="Times New Roman"/>
          <w:b/>
          <w:sz w:val="24"/>
        </w:rPr>
        <w:t>СПИСОК ИСПОЛЬЗОВАННЫХ ИСТОЧНИКОВ</w:t>
      </w:r>
      <w:r>
        <w:tab/>
      </w:r>
      <w:r>
        <w:rPr>
          <w:rFonts w:ascii="Times New Roman" w:hAnsi="Times New Roman"/>
          <w:b/>
          <w:sz w:val="24"/>
        </w:rPr>
        <w:t>20</w:t>
      </w:r>
    </w:p>
    <w:p>
      <w:pPr>
        <w:spacing w:before="40" w:after="20" w:line="240" w:lineRule="auto"/>
        <w:ind w:firstLine="0"/>
        <w:jc w:val="both"/>
        <w:tabs>
          <w:tab w:val="right" w:leader="dot" w:pos="9638"/>
        </w:tabs>
      </w:pPr>
      <w:r>
        <w:rPr>
          <w:rFonts w:ascii="Times New Roman" w:hAnsi="Times New Roman"/>
          <w:b/>
          <w:sz w:val="24"/>
        </w:rPr>
        <w:t>ПРИЛОЖЕНИЕ А. Спецификация программных компонентов</w:t>
      </w:r>
      <w:r>
        <w:tab/>
      </w:r>
      <w:r>
        <w:rPr>
          <w:rFonts w:ascii="Times New Roman" w:hAnsi="Times New Roman"/>
          <w:b/>
          <w:sz w:val="24"/>
        </w:rPr>
        <w:t>22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ВВЕДЕНИЕ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 условиях непрерывного роста объемов цифровой коммерции ключевой проблемой взаимодействия пользователя с электронными каталогами становится информационная перегрузка. В сегменте музыкальной индустрии выбор усложняется разнородностью ассортимента: физические аудионосители (винил, CD) и аппаратные средства их создания (синтезаторы, электрогитары, сэмплеры) в традиционных интернет-магазинах каталогизируются изолированно. Покупатель вынужден сопоставлять жанры и оборудование вручную, а поиск ограничен примитивными фильтрами по брендам.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На рынке Республики Беларусь и стран ЕАЭС площадки Muz.by, Tvoyzvuk.by, «Музторг» и «Аудиомания» не имеют сквозных рекомендательных связей между альбомами и инструментами, а карточки релизов лишены структурированных треклистов. Это обуславливает высокую актуальность разработки специализированного интеллектуального комплекса.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Цель исследования: </w:t>
      </w:r>
      <w:r>
        <w:rPr>
          <w:rFonts w:ascii="Times New Roman" w:hAnsi="Times New Roman"/>
          <w:color w:val="000000"/>
          <w:sz w:val="28"/>
        </w:rPr>
        <w:t>разработка модуля персонализированных рекомендаций на основе методов машинного обучения (на примере музыкальной индустрии) с реализацией сквозного семантического сопоставления разнородных музыкальных товаров (физических аудионосителей и звукового оборудования) на базе специализированного интернет-магазина «Synthesia».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Научная новизна: </w:t>
      </w:r>
      <w:r>
        <w:rPr>
          <w:rFonts w:ascii="Times New Roman" w:hAnsi="Times New Roman"/>
          <w:color w:val="000000"/>
          <w:sz w:val="28"/>
        </w:rPr>
        <w:t>разработка алгоритмической модели сквозного векторного сопоставления разнородных музыкальных сущностей в едином пространстве признаков размерности 384 и алгоритма агрегации треков релиза в нормализованный центроидный вектор.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Теоретическая значимость: </w:t>
      </w:r>
      <w:r>
        <w:rPr>
          <w:rFonts w:ascii="Times New Roman" w:hAnsi="Times New Roman"/>
          <w:color w:val="000000"/>
          <w:sz w:val="28"/>
        </w:rPr>
        <w:t>математическая формализация модели векторного поиска семантического сходства по метрике косинусного расстояния и ускорение поиска по графовому индексу HNSW в связке с оперативным кэшированием.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Практическая значимость: </w:t>
      </w:r>
      <w:r>
        <w:rPr>
          <w:rFonts w:ascii="Times New Roman" w:hAnsi="Times New Roman"/>
          <w:color w:val="000000"/>
          <w:sz w:val="28"/>
        </w:rPr>
        <w:t>создание готового масштабируемого программного комплекса персонализированных рекомендаций для музыкальной индустрии (на примере магазина «Synthesia»), включающего микросервис рекомендаций FastAPI, конвейер сбора данных synesthesia-parser, модуль треклистов OpenCart и подсистему обеспечения отказоустойчивости StopKran.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Объект исследования: </w:t>
      </w:r>
      <w:r>
        <w:rPr>
          <w:rFonts w:ascii="Times New Roman" w:hAnsi="Times New Roman"/>
          <w:color w:val="000000"/>
          <w:sz w:val="28"/>
        </w:rPr>
        <w:t>процессы формирования персонализированных рекомендаций в электронных торговых системах специализированного сегмента музыкальной индустрии.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Предмет исследования: </w:t>
      </w:r>
      <w:r>
        <w:rPr>
          <w:rFonts w:ascii="Times New Roman" w:hAnsi="Times New Roman"/>
          <w:color w:val="000000"/>
          <w:sz w:val="28"/>
        </w:rPr>
        <w:t>модели, методы машинного обучения, алгоритмы векторного поиска сходства и архитектурные решения по интеграции интеллектуального модуля в интернет-магазин.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Гипотеза исследования: </w:t>
      </w:r>
      <w:r>
        <w:rPr>
          <w:rFonts w:ascii="Times New Roman" w:hAnsi="Times New Roman"/>
          <w:color w:val="000000"/>
          <w:sz w:val="28"/>
        </w:rPr>
        <w:t>применение методов машинного обучения на основе векторных представлений MiniLM-L12-v2 и метрического анализа позволит построить устойчивую модель персонализированного подбора товаров в музыкальной сфере, связывающую фонографические релизы с инструментами звукового синтеза, а подсистема автоматизированного сбора обеспечит нормализованное наполнение каталога.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достижения поставленной цели необходимо решить следующие задачи: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Провести аналитическое исследование предметной области, изучить современные подходы к построению рекомендательных систем и выполнить сравнительный анализ отечественных аналогов.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Спроектировать архитектуру программного комплекса интернет-магазина «Synthesia», схему расширения реляционной базы данных и протоколы взаимодействия сервисов.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Разработать математическую модель векторного пространства признаков и алгоритм расчета центроидных векторов многокомпонентных релизов.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Реализовать подсистему автоматизированного сбора данных synesthesia-parser и консольный конвейер пакетного импорта каталога cli/catalog_ingest.php.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Разработать микросервис векторного кодирования и семантического поиска k-NN на базе FastAPI и базы данных Qdrant.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6. Создать интерфейсный модуль структурированных треклистов релизов и витрину интернет-магазина «Synthesia» с окном персональных рекомендаций.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7. Реализовать многоуровневую подсистему обеспечения отказоустойчивости StopKran.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8. Провести комплекс экспериментальных исследований точности, замеры времени отклика и верифицировать показатели надежности веб-комплекса.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1 ТЕОРЕТИЧЕСКИЕ ОСНОВЫ ПОСТРОЕНИЯ РЕКОМЕНДАТЕЛЬНЫХ СИСТЕМ В МУЗЫКАЛЬНОЙ ИНДУСТРИИ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1.1 Анализ предметной области и специфика рекомендаций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Современный этап развития цифровой коммерции характеризуется переходом от экстенсивного накопления товарных каталогов к интеллектуализации процессов взаимодействия с пользователем. В сегменте музыкальной индустрии данный переход обусловлен высокой размерностью и смысловой сложностью предметной области. Торговый ассортимент музыкального сектора включает две взаимодополняющие категории: результаты звукозаписи на физических носителях (виниловые пластинки, компакт-диски), а также аппаратные средства их создания: аналоговые и цифровые синтезаторы, электрогитары, грувбоксы и процессоры эффектов.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Специфика формирования рекомендаций в музыкальной сфере определяется следующими ключевыми аспектами: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Субъективно-тембральный характер предпочтений: выбор музыкального инструмента или звукозаписи основывается на акустических характеристиках, частотном балансе и характере звучания, которые невозможно формализовать классическими скалярными атрибутами.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Семантическая взаимосвязь между произведением и инструментом: звучание культовых композиций неразрывно связано с конкретными синтезаторами и гитарным трактом, на котором формировались тембры. Покупатель, выбирающий альбом жанра синти-поп или прогрессивный рок, проявляет целевой интерес к инструментам с соответствующей архитектурой синтеза.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Необходимость структурированного описания изданий: выбор физических релизов на виниле определяется составом альбома (названия композиций, хронометраж, порядок воспроизведения). Наличие упорядоченного треклиста в карточке товара критически важно для принятия решения о покупке.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1.2 Методы машинного обучения в задачах подбора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 теории и практике машинного обучения для построения рекомендательных систем традиционно используются три базовых подхода: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Коллаборативная фильтрация: анализирует матрицу взаимодействий пользователей и объектов. Главным ограничением в нишевом ритейле выступает проблема «холодного старта»: для новых позиций и редких инструментов история покупок отсутствует, что приводит к нулевой точности выдачи.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Контентная фильтрация: сопоставляет товары по явным атрибутам (категория, бренд, количество клавиш). Однако стандартные контентные модели не способны выявлять скрытые смысловые взаимосвязи между разнородными объектами каталога.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Векторные семантические представления на основе трансформеров: отображают разнородные сущности в общее многомерное метрическое пространство с помощью глубоких нейросетевых моделей (Sentence-BERT, MiniLM). Векторы формируются на основе текстовых описаний, стилевых тегов и атрибутов, а близость оценивается косинусным расстоянием.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реализации в интернет-магазине «Synthesia» был выбран метод векторных представлений с метрикой косинусного сходства на базе предобученной модели paraphrase-multilingual-MiniLM-L12-v2 (размерность 384 признака), обеспечивающий устойчивость к «холодному старту» и сквозной подбор оборудования к релизам.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1.3 Сравнительный анализ существующих платформ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Был выполнен детальный сравнительный анализ действующих торговых площадок музыкального сегмента на рынке Республики Беларусь и Российской Федерации: ритейлера Muz.by, салона звукового оборудования Tvoyzvuk.by, сети «Музторг» и магазина «Аудиомания».</w:t>
      </w:r>
    </w:p>
    <w:p>
      <w:pPr>
        <w:spacing w:before="200" w:after="80" w:line="240" w:lineRule="auto"/>
        <w:ind w:firstLine="709"/>
        <w:jc w:val="left"/>
      </w:pPr>
      <w:r>
        <w:rPr>
          <w:rFonts w:ascii="Times New Roman" w:hAnsi="Times New Roman"/>
          <w:color w:val="000000"/>
          <w:sz w:val="28"/>
        </w:rPr>
        <w:t>Таблица 1.1 — Сравнительный анализ интернет-магазинов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0A0A0"/>
          <w:insideV w:val="single" w:sz="4" w:space="0" w:color="A0A0A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Торговая платформа</w:t>
            </w:r>
          </w:p>
        </w:tc>
        <w:tc>
          <w:tcPr>
            <w:tcW w:type="dxa" w:w="215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Ассортимент каталога</w:t>
            </w:r>
          </w:p>
        </w:tc>
        <w:tc>
          <w:tcPr>
            <w:tcW w:type="dxa" w:w="204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Треклист в карточке</w:t>
            </w:r>
          </w:p>
        </w:tc>
        <w:tc>
          <w:tcPr>
            <w:tcW w:type="dxa" w:w="215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Методы рекомендаций</w:t>
            </w:r>
          </w:p>
        </w:tc>
        <w:tc>
          <w:tcPr>
            <w:tcW w:type="dxa" w:w="170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Сквозной подбор</w:t>
            </w:r>
          </w:p>
        </w:tc>
      </w:tr>
      <w:tr>
        <w:tc>
          <w:tcPr>
            <w:tcW w:type="dxa" w:w="192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Muz.by (Беларусь)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Инструменты и звук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Отсутствует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Статические сопутствующие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Отсутствует</w:t>
            </w:r>
          </w:p>
        </w:tc>
      </w:tr>
      <w:tr>
        <w:tc>
          <w:tcPr>
            <w:tcW w:type="dxa" w:w="19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Tvoyzvuk.by (Беларусь)</w:t>
            </w:r>
          </w:p>
        </w:tc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Инструменты и студия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Отсутствует</w:t>
            </w:r>
          </w:p>
        </w:tc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Атрибутивные фильтры</w:t>
            </w:r>
          </w:p>
        </w:tc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Отсутствует</w:t>
            </w:r>
          </w:p>
        </w:tc>
      </w:tr>
      <w:tr>
        <w:tc>
          <w:tcPr>
            <w:tcW w:type="dxa" w:w="192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Музторг (РФ)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Инструменты и звук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Отсутствует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По популярности и тегам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Отсутствует</w:t>
            </w:r>
          </w:p>
        </w:tc>
      </w:tr>
      <w:tr>
        <w:tc>
          <w:tcPr>
            <w:tcW w:type="dxa" w:w="19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Аудиомания (РФ)</w:t>
            </w:r>
          </w:p>
        </w:tc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Звуковая техника и винил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Текстовое описание</w:t>
            </w:r>
          </w:p>
        </w:tc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Статистические («с этим берут»)</w:t>
            </w:r>
          </w:p>
        </w:tc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Отсутствует</w:t>
            </w:r>
          </w:p>
        </w:tc>
      </w:tr>
      <w:tr>
        <w:tc>
          <w:tcPr>
            <w:tcW w:type="dxa" w:w="192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Synthesia (проект)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Инструменты и винил/CD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Структурированная таблица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Векторные эмбеддинги ML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Да, по семантике векторов</w:t>
            </w:r>
          </w:p>
        </w:tc>
      </w:tr>
    </w:tbl>
    <w:p>
      <w:pPr>
        <w:spacing w:before="80" w:after="0"/>
        <w:ind w:firstLine="0"/>
      </w:pP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Анализ данных Таблицы 1.1 подтверждает, что существующие отечественные магазины строго разделены: площадки инструментов Muz.by, Tvoyzvuk.by и «Музторг» не предлагают музыкальных изданий и треклистов, а магазины аппаратуры («Аудиомания») используют простые статистические блоки. Ни одна из платформ не решает задачу сопоставления альбомов с инструментами их создания.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1.4 Обоснование архитектурных решений комплекса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реализации программного комплекса интернет-магазина «Synthesia» был сформирован специализированный технологический стек, ориентированный на высокую производительность и отказоустойчивость: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Платформа электронной торговли: OpenCart 3 в сборке LiveStore (PHP / MySQL) с архитектурой Model-View-Controller-Language и модификаторами OCMOD для гибкого расширения функционала без нарушения обновляемости ядра.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Реляционная СУБД: MySQL с движком InnoDB, обеспечивающим поддержку транзакций ACID для учета заказов и хранения расширенных таблиц структурированных треклистов и векторного статуса.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Подсистема автоматизированного сбора данных synesthesia-parser: автономный модуль на Python 3.13 с применением curl_cffi для обхода защиты TLS и сбора каталога pop-music.ru, Discogs API с контролем rate-limit и валидации моделей через Pydantic.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Модуль векторного кодирования и поиска: фреймворк FastAPI и векторная база данных Qdrant. Векторизация выполняется моделью MiniLM-L12-v2, а быстрый приближенный поиск ближайших соседей осуществляется по графовому индексу HNSW.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Оперативное кэширование: сервер Redis в оперативной памяти, сохраняющий готовые списки рекомендаций и обеспечивающий ультранизкую задержку отдачи витрине в пределах 1.5 мс.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2 ПРОЕКТИРОВАНИЕ МОДУЛЯ ПЕРСОНАЛИЗИРОВАННЫХ РЕКОМЕНДАЦИЙ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2.1 Общая структура и функциональная схема комплекса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Проектирование программного комплекса интернет-магазина «Synthesia» базируется на принципах сервисно-ориентированной модульной архитектуры с четким разделением контуров сбора данных, транзакционного ядра и машинного обучения. Это исключает влияние ресурсоемких вычислений векторов на время отклика витрины магазина.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Архитектурная схема программного комплекса представлена на Рисунке 2.1.</w:t>
      </w:r>
    </w:p>
    <w:p>
      <w:pPr>
        <w:spacing w:before="160" w:after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2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4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2.1. – Архитектурная схема программного комплекса «Synthesia»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Функциональная схема комплекса включает следующие ключевые подсистемы: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Клиентская витрина интернет-магазина: адаптивный интерфейс на базе HTML5/CSS3 и JavaScript ES6 с темной визуальной темой, интерактивным блоком треклистов и модальным окном рекомендаций.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Транзакционное ядро OpenCart 3 LiveStore: контроллеры и модели на PHP, обеспечивающие управление каталогом, оформление заказов и сессионный контекст покупателя.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Подсистема сбора и пакетного импорта: связка автономного скрипта synesthesia-parser (Python 3.13) и высокоскоростного обработчика cli/catalog_ingest.php (PHP CLI) для прямой записи в БД.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Микросервис машинного обучения (synesthesia-ai): веб-сервис на FastAPI, рассчитывающий нормализованные центроиды релизов и выполняющий поиск семантического сходства в базе Qdrant.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Сервер оперативного кэширования Redis: энергонезависимый слой кэширования ответов со временем отдачи до 1.5 мс.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2.2 Архитектура сбора данных synesthesia-parser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автоматизированного наполнения и актуализации ассортимента спроектирована подсистема synesthesia-parser, функционирующая по двум параллельным контурам: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Контур сбора музыкальных инструментов с pop-music.ru: обход разделов электрогитар, клавишных инструментов, синтезаторов и студийного оборудования с использованием curl_cffi для эмуляции сетевых отпечатков современных браузеров и обхода TLS-блокировок. Извлекаются артикулы, цены, фотографии и подробные таблицы параметров.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Контур сбора релизов и треклистов через Discogs API: получение виниловых и компакт-дисковых изданий с контролем частоты обращений не более 60 запросов в минуту (DiscogsRateLimiter) и алгоритмической фильтрацией бутлегов и концертных записей filter_live_releases.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Контур нормализации и векторизации: модуль AttributeNormalizer приводит параметры инструментов к атрибутам OpenCart, CategoryResolver определяет ветку каталога, а модуль InstrumentEncoder генерирует 384-мерный вектор признаков моделью MiniLM-L12-v2.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2.3 Модель данных и расширение схемы MySQL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Реляционная схема базы данных OpenCart была расширена двумя специализированными таблицами: oc_product_tracklist (хранение структурированных треклистов) и oc_product_vector_status (отслеживание состояния индексации в векторной базе данных).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Спецификация структуры полей таблицы треклистов представлена в Таблице 2.1.</w:t>
      </w:r>
    </w:p>
    <w:p>
      <w:pPr>
        <w:spacing w:before="200" w:after="80" w:line="240" w:lineRule="auto"/>
        <w:ind w:firstLine="709"/>
        <w:jc w:val="left"/>
      </w:pPr>
      <w:r>
        <w:rPr>
          <w:rFonts w:ascii="Times New Roman" w:hAnsi="Times New Roman"/>
          <w:color w:val="000000"/>
          <w:sz w:val="28"/>
        </w:rPr>
        <w:t>Таблица 2.1 — Спецификация полей таблицы треклистов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0A0A0"/>
          <w:insideV w:val="single" w:sz="4" w:space="0" w:color="A0A0A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70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Поле</w:t>
            </w:r>
          </w:p>
        </w:tc>
        <w:tc>
          <w:tcPr>
            <w:tcW w:type="dxa" w:w="147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Тип данных</w:t>
            </w:r>
          </w:p>
        </w:tc>
        <w:tc>
          <w:tcPr>
            <w:tcW w:type="dxa" w:w="113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NULL</w:t>
            </w:r>
          </w:p>
        </w:tc>
        <w:tc>
          <w:tcPr>
            <w:tcW w:type="dxa" w:w="113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Ключ</w:t>
            </w:r>
          </w:p>
        </w:tc>
        <w:tc>
          <w:tcPr>
            <w:tcW w:type="dxa" w:w="4535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Назначение поля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track_id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INT(11)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PRI</w:t>
            </w:r>
          </w:p>
        </w:tc>
        <w:tc>
          <w:tcPr>
            <w:tcW w:type="dxa" w:w="453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Уникальный ключ дорожки (AUTO_INCREMENT)</w:t>
            </w:r>
          </w:p>
        </w:tc>
      </w:tr>
      <w:tr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product_id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INT(11)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MUL</w:t>
            </w:r>
          </w:p>
        </w:tc>
        <w:tc>
          <w:tcPr>
            <w:tcW w:type="dxa" w:w="4535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Внешний ключ товара (oc_product)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track_num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INT(11)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453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Порядковый номер композиции в релизе</w:t>
            </w:r>
          </w:p>
        </w:tc>
      </w:tr>
      <w:tr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title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VARCHAR(255)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4535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Наименование музыкальной композиции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duration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VARCHAR(32)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453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Хронометраж в формате ММ:СС</w:t>
            </w:r>
          </w:p>
        </w:tc>
      </w:tr>
      <w:tr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status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TINYINT(1)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4535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Флаг видимости (1 - активен, 0 - скрыт)</w:t>
            </w:r>
          </w:p>
        </w:tc>
      </w:tr>
    </w:tbl>
    <w:p>
      <w:pPr>
        <w:spacing w:before="80" w:after="0"/>
        <w:ind w:firstLine="0"/>
      </w:pP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Спецификация структуры полей таблицы векторного статуса представлена в Таблице 2.2.</w:t>
      </w:r>
    </w:p>
    <w:p>
      <w:pPr>
        <w:spacing w:before="200" w:after="80" w:line="240" w:lineRule="auto"/>
        <w:ind w:firstLine="709"/>
        <w:jc w:val="left"/>
      </w:pPr>
      <w:r>
        <w:rPr>
          <w:rFonts w:ascii="Times New Roman" w:hAnsi="Times New Roman"/>
          <w:color w:val="000000"/>
          <w:sz w:val="28"/>
        </w:rPr>
        <w:t>Таблица 2.2 — Спецификация полей таблицы векторов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0A0A0"/>
          <w:insideV w:val="single" w:sz="4" w:space="0" w:color="A0A0A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70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Поле</w:t>
            </w:r>
          </w:p>
        </w:tc>
        <w:tc>
          <w:tcPr>
            <w:tcW w:type="dxa" w:w="147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Тип данных</w:t>
            </w:r>
          </w:p>
        </w:tc>
        <w:tc>
          <w:tcPr>
            <w:tcW w:type="dxa" w:w="113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NULL</w:t>
            </w:r>
          </w:p>
        </w:tc>
        <w:tc>
          <w:tcPr>
            <w:tcW w:type="dxa" w:w="113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Ключ</w:t>
            </w:r>
          </w:p>
        </w:tc>
        <w:tc>
          <w:tcPr>
            <w:tcW w:type="dxa" w:w="4535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Назначение поля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product_id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INT(11)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PRI</w:t>
            </w:r>
          </w:p>
        </w:tc>
        <w:tc>
          <w:tcPr>
            <w:tcW w:type="dxa" w:w="453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Идентификатор товара в OpenCart</w:t>
            </w:r>
          </w:p>
        </w:tc>
      </w:tr>
      <w:tr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is_indexed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TINYINT(1)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MUL</w:t>
            </w:r>
          </w:p>
        </w:tc>
        <w:tc>
          <w:tcPr>
            <w:tcW w:type="dxa" w:w="4535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Статус индексации в базе Qdrant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has_audio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TINYINT(1)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453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Признак наличия дорожек релиза</w:t>
            </w:r>
          </w:p>
        </w:tc>
      </w:tr>
      <w:tr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content_hash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VARCHAR(32)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4535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Контрольная сумма MD5 контента товара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updated_at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TIMESTAMP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NO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453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Метка последней синхронизации</w:t>
            </w:r>
          </w:p>
        </w:tc>
      </w:tr>
    </w:tbl>
    <w:p>
      <w:pPr>
        <w:spacing w:before="80" w:after="0"/>
        <w:ind w:firstLine="0"/>
      </w:pP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Логическая схема связей расширенных таблиц представлена на Рисунке 2.2.</w:t>
      </w:r>
    </w:p>
    <w:p>
      <w:pPr>
        <w:spacing w:before="160" w:after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4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2.2. – Логическая схема связей в базе данных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2.4 Математическая модель центроидных векторов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Математический аппарат модуля рекомендаций базируется на представлении каждого объекта в виде нормированного вектора размерности 384 в евклидовом пространстве признаков:</w:t>
      </w:r>
    </w:p>
    <w:p>
      <w:pPr>
        <w:spacing w:before="120" w:after="120" w:line="240" w:lineRule="auto"/>
        <w:ind w:firstLine="0"/>
        <w:jc w:val="both"/>
        <w:tabs>
          <w:tab w:val="center" w:pos="4819"/>
          <w:tab w:val="right" w:pos="9638"/>
        </w:tabs>
      </w:pPr>
      <w:r>
        <w:tab/>
      </w:r>
      <w:r>
        <w:rPr>
          <w:rFonts w:ascii="Times New Roman" w:hAnsi="Times New Roman"/>
          <w:i/>
          <w:sz w:val="28"/>
        </w:rPr>
        <w:t>v = (v_1, v_2, ..., v_{384}) in R^{384},   ||v||_2 = 1</w:t>
      </w:r>
      <w:r>
        <w:tab/>
      </w:r>
      <w:r>
        <w:rPr>
          <w:rFonts w:ascii="Times New Roman" w:hAnsi="Times New Roman"/>
          <w:sz w:val="28"/>
        </w:rPr>
        <w:t>(2.1)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оценки степени семантической близости двух векторов u и v используется косинусная мера расстояния:</w:t>
      </w:r>
    </w:p>
    <w:p>
      <w:pPr>
        <w:spacing w:before="120" w:after="120" w:line="240" w:lineRule="auto"/>
        <w:ind w:firstLine="0"/>
        <w:jc w:val="both"/>
        <w:tabs>
          <w:tab w:val="center" w:pos="4819"/>
          <w:tab w:val="right" w:pos="9638"/>
        </w:tabs>
      </w:pPr>
      <w:r>
        <w:tab/>
      </w:r>
      <w:r>
        <w:rPr>
          <w:rFonts w:ascii="Times New Roman" w:hAnsi="Times New Roman"/>
          <w:i/>
          <w:sz w:val="28"/>
        </w:rPr>
        <w:t>CosineSim(u, v) = (u * v) / (||u|| * ||v||) = sum_{i=1}^{384} (u_i * v_i)</w:t>
      </w:r>
      <w:r>
        <w:tab/>
      </w:r>
      <w:r>
        <w:rPr>
          <w:rFonts w:ascii="Times New Roman" w:hAnsi="Times New Roman"/>
          <w:sz w:val="28"/>
        </w:rPr>
        <w:t>(2.2)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сопоставления музыкального релиза, включающего m треков с индивидуальными векторами признаков v_k, с оборудованием каталога разработан алгоритм расчета нормализованного центроидного вектора альбома:</w:t>
      </w:r>
    </w:p>
    <w:p>
      <w:pPr>
        <w:spacing w:before="120" w:after="120" w:line="240" w:lineRule="auto"/>
        <w:ind w:firstLine="0"/>
        <w:jc w:val="both"/>
        <w:tabs>
          <w:tab w:val="center" w:pos="4819"/>
          <w:tab w:val="right" w:pos="9638"/>
        </w:tabs>
      </w:pPr>
      <w:r>
        <w:tab/>
      </w:r>
      <w:r>
        <w:rPr>
          <w:rFonts w:ascii="Times New Roman" w:hAnsi="Times New Roman"/>
          <w:i/>
          <w:sz w:val="28"/>
        </w:rPr>
        <w:t>c = ( sum_{k=1}^m v_k ) / || sum_{k=1}^m v_k ||_2</w:t>
      </w:r>
      <w:r>
        <w:tab/>
      </w:r>
      <w:r>
        <w:rPr>
          <w:rFonts w:ascii="Times New Roman" w:hAnsi="Times New Roman"/>
          <w:sz w:val="28"/>
        </w:rPr>
        <w:t>(2.3)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Полученный центроидный вектор c передается в индекс HNSW базы Qdrant, возвращающий k наиболее близких инструментов с аппаратной фильтрацией по диапазону цен и наличию на складе.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3 ПРОГРАММНАЯ РЕАЛИЗАЦИЯ МОДУЛЯ И ИНТЕРНЕТ-МАГАЗИНА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3.1 Разработка подсистемы сбора данных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Подсистема автоматизированного сбора данных synesthesia-parser реализована на языке Python 3.13 в виде набора специализированных модулей: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Модуль ScrapingEngine (scraper/gear_engine.py): осуществляет автоматизированный сбор каталога pop-music.ru через библиотеку curl_cffi с имитацией браузерных заголовков и параметров рукопожатия TLS, извлекая цены, характеристики и фотоматериалы.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Модуль DiscogsClient (scraper/discogs_client.py): реализует клиент API музыкальной базы Discogs с контролем частоты запросов не более 60 в минуту (DiscogsRateLimiter) и алгоритмической фильтрацией бутлегов и концертных записей.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Модуль AttributeNormalizer (scraper/normalizer.py): нормализует разрозненные строковые характеристики инструментов (тип звукоснимателей, материал деки, полифония) в канонические атрибуты интернет-магазина.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Модуль CategoryResolver (scraper/category_resolver.py): эвристический классификатор, распределяющий инструменты по веткам каталога OpenCart LiveStore: «Гитары», «Гитарное оборудование», «Клавишные» и «Струнные».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Модуль InstrumentEncoder (scraper/encoder.py): векторизует нормализованные описания с использованием модели MiniLM-L12-v2 в единичные 384-мерные векторы.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3.2 Сервис векторного кодирования и поиска FastAPI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Микросервис машинного обучения разработан на базе асинхронного фреймворка FastAPI (Python 3.13). В файле synesthesia-ai/app/main.py в контекстном менеджере lifespan инициализируется подключение к базе данных Qdrant и создается векторная коллекция с косинусной мерой расстояния Distance.COSINE.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 модуле synesthesia-ai/app/api/internal_v1.py реализованы следующие программные эндпоинты: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Маршрут GET /internal/v1/tracks/{track_id}/similar: производит поиск k семантически похожих композиций. Сначала опрашивается оперативный кэш Redis. При промахе выполняется асинхронный поиск ближайших соседей по индексу HNSW в Qdrant с фильтрацией по жанру.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Маршрут GET /internal/v1/tracks/{track_id}/instruments: выполняет сквозной подбор музыкальных инструментов к выбранному треку, извлекая вектор композиции и сопоставляя его с векторами каталога оборудования.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Маршрут POST /internal/v1/albums/similar-from-tracks: агрегирует векторы треков альбома, вычисляет нормализованный центроидный вектор функцией compute_centroid_vector и осуществляет поиск похожих музыкальных изданий.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3.3 Модуль структурированного треклиста OpenCart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карточек музыкальных релизов интернет-магазина «Synthesia» разработан модуль структурированного треклиста soundnet_tracklist. Модуль организует отображение состава альбома, номеров треков и их длительности без необходимости тяжелого медиа-хостинга на сервере.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Каталожный контроллер catalog/controller/extension/module/soundnet_tracklist.php считывает product_id, вызывает метод getTracks модели и передает упорядоченный массив в шаблон карточки товара. Административный контроллер admin/controller/extension/module/soundnet_tracklist.php добавляет вкладку управления треклистом в интерфейс каталога.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3.4 Пользовательский интерфейс витрины «Synthesia»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Интерфейс витрины выполнен в современной темной стилистике с акцентными визуальными карточками и эффектами скругления элементов.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Внешний вид пользовательской витрины интернет-магазина «Synthesia» с интерактивным блоком персональных рекомендаций представлен на Рисунке 3.1.</w:t>
      </w:r>
    </w:p>
    <w:p>
      <w:pPr>
        <w:spacing w:before="160" w:after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8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storefront_rou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4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3.1. – Витрина интернет-магазина «Synthesia» с блоком рекомендаций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Интерфейс включает блоки тематических подборок (шаблон soundnet_recommendations.twig), отображение формата издания на виниле или компакт-диске, а также модальное окно персональных рекомендаций со списком семантически подобранных синтезаторов и гитар.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3.5 Пакетный импорт данных и подсистема StopKran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загрузки результатов работы парсера разработан высокопроизводительный консольный скрипт cli/catalog_ingest.php. Скрипт принимает подготовленные JSON-пакеты, атомарно обновляет таблицы oc_product, oc_product_attribute и oc_product_tracklist, пересчитывает цены в белорусские рубли по фиксированному курсу и фиксирует статус индексации в таблице oc_product_vector_status.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защиты ядра OpenCart от фатальных ошибок внедрена подсистема SoundNet\StopKran: класс Watchdog (system/library/stopkran/watchdog.php) перехватывает критические сбои через register_shutdown_function, класс Recovery отключает сбойные модификации, а утилита cli/stopkran.php позволяет восстановить работу магазина за 0.18 секунды через прямое подключение PDO.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4 ЭКСПЕРИМЕНТАЛЬНОЕ ИССЛЕДОВАНИЕ И ОЦЕНКА ЭФФЕКТИВНОСТИ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4.1 Методика и результаты автоматизированных тестов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комплексной проверки разработанных программных компонентов был сформирован набор автоматизированных тестов с использованием библиотек pytest и TestClient. Тестирование охватило как микросервис векторных рекомендаций FastAPI, так и приемочный комплекс витрины магазина.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Испытания рекомендательного сервиса в каталоге synesthesia-ai/tests/ включали: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Модуль test_albums.py: проверка вычисления центроидных векторов альбомов (test_compute_centroid_vector_valid, test_compute_centroid_vector_empty) и корректности выдачи похожих релизов при агрегации треков.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Модуль test_tracks.py: верификация эндпоинта подбора инструментов к трекам (test_get_matching_instruments) и сопоставления семантически близких композиций.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Приемочный тестовый комплекс витрины cli/test_storefront_suite.php проверил 100% доступность страниц каталога (HTTP 200), корректную интеграцию модулей рекомендаций и устранение устаревших мок-данных.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Сводные результаты автоматизированного тестирования представлены в Таблице 4.1.</w:t>
      </w:r>
    </w:p>
    <w:p>
      <w:pPr>
        <w:spacing w:before="200" w:after="80" w:line="240" w:lineRule="auto"/>
        <w:ind w:firstLine="709"/>
        <w:jc w:val="left"/>
      </w:pPr>
      <w:r>
        <w:rPr>
          <w:rFonts w:ascii="Times New Roman" w:hAnsi="Times New Roman"/>
          <w:color w:val="000000"/>
          <w:sz w:val="28"/>
        </w:rPr>
        <w:t>Таблица 4.1 — Результаты тестирования модулей комплекса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0A0A0"/>
          <w:insideV w:val="single" w:sz="4" w:space="0" w:color="A0A0A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81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Тестовый модуль</w:t>
            </w:r>
          </w:p>
        </w:tc>
        <w:tc>
          <w:tcPr>
            <w:tcW w:type="dxa" w:w="238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Имя сценария</w:t>
            </w:r>
          </w:p>
        </w:tc>
        <w:tc>
          <w:tcPr>
            <w:tcW w:type="dxa" w:w="249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Проверяемый функционал</w:t>
            </w:r>
          </w:p>
        </w:tc>
        <w:tc>
          <w:tcPr>
            <w:tcW w:type="dxa" w:w="170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  <w:tc>
          <w:tcPr>
            <w:tcW w:type="dxa" w:w="1020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Статус</w:t>
            </w:r>
          </w:p>
        </w:tc>
      </w:tr>
      <w:tr>
        <w:tc>
          <w:tcPr>
            <w:tcW w:type="dxa" w:w="181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test_albums.py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test_compute_centroid_valid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Расчет центроида альбома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Вектор нормирован к 1.0</w:t>
            </w:r>
          </w:p>
        </w:tc>
        <w:tc>
          <w:tcPr>
            <w:tcW w:type="dxa" w:w="10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УСПЕШНО</w:t>
            </w:r>
          </w:p>
        </w:tc>
      </w:tr>
      <w:tr>
        <w:tc>
          <w:tcPr>
            <w:tcW w:type="dxa" w:w="181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test_albums.py</w:t>
            </w:r>
          </w:p>
        </w:tc>
        <w:tc>
          <w:tcPr>
            <w:tcW w:type="dxa" w:w="238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test_similar_from_tracks</w:t>
            </w:r>
          </w:p>
        </w:tc>
        <w:tc>
          <w:tcPr>
            <w:tcW w:type="dxa" w:w="249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Агрегация треков альбома</w:t>
            </w:r>
          </w:p>
        </w:tc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Возвращены похожие релизы</w:t>
            </w:r>
          </w:p>
        </w:tc>
        <w:tc>
          <w:tcPr>
            <w:tcW w:type="dxa" w:w="102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УСПЕШНО</w:t>
            </w:r>
          </w:p>
        </w:tc>
      </w:tr>
      <w:tr>
        <w:tc>
          <w:tcPr>
            <w:tcW w:type="dxa" w:w="181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test_tracks.py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test_get_matching_instr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Подбор инструментов к треку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Релевантные синтезаторы</w:t>
            </w:r>
          </w:p>
        </w:tc>
        <w:tc>
          <w:tcPr>
            <w:tcW w:type="dxa" w:w="10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УСПЕШНО</w:t>
            </w:r>
          </w:p>
        </w:tc>
      </w:tr>
      <w:tr>
        <w:tc>
          <w:tcPr>
            <w:tcW w:type="dxa" w:w="181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test_tracks.py</w:t>
            </w:r>
          </w:p>
        </w:tc>
        <w:tc>
          <w:tcPr>
            <w:tcW w:type="dxa" w:w="238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test_similar_tracks_cache</w:t>
            </w:r>
          </w:p>
        </w:tc>
        <w:tc>
          <w:tcPr>
            <w:tcW w:type="dxa" w:w="249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Кэширование ответов в Redis</w:t>
            </w:r>
          </w:p>
        </w:tc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Ключ успешно извлечен</w:t>
            </w:r>
          </w:p>
        </w:tc>
        <w:tc>
          <w:tcPr>
            <w:tcW w:type="dxa" w:w="102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УСПЕШНО</w:t>
            </w:r>
          </w:p>
        </w:tc>
      </w:tr>
      <w:tr>
        <w:tc>
          <w:tcPr>
            <w:tcW w:type="dxa" w:w="181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test_suite.php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test_storefront_render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Витрина Synthesia HTTP 200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Корректный рендеринг DOM</w:t>
            </w:r>
          </w:p>
        </w:tc>
        <w:tc>
          <w:tcPr>
            <w:tcW w:type="dxa" w:w="10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УСПЕШНО</w:t>
            </w:r>
          </w:p>
        </w:tc>
      </w:tr>
      <w:tr>
        <w:tc>
          <w:tcPr>
            <w:tcW w:type="dxa" w:w="181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test_suite.php</w:t>
            </w:r>
          </w:p>
        </w:tc>
        <w:tc>
          <w:tcPr>
            <w:tcW w:type="dxa" w:w="238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test_tracklist_display</w:t>
            </w:r>
          </w:p>
        </w:tc>
        <w:tc>
          <w:tcPr>
            <w:tcW w:type="dxa" w:w="249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Модуль треклиста в карточке</w:t>
            </w:r>
          </w:p>
        </w:tc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Таблица треков выведена</w:t>
            </w:r>
          </w:p>
        </w:tc>
        <w:tc>
          <w:tcPr>
            <w:tcW w:type="dxa" w:w="102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УСПЕШНО</w:t>
            </w:r>
          </w:p>
        </w:tc>
      </w:tr>
    </w:tbl>
    <w:p>
      <w:pPr>
        <w:spacing w:before="80" w:after="0"/>
        <w:ind w:firstLine="0"/>
      </w:pP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4.2 Исследование времени отклика и масштабируемости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Для оценки быстродействия алгоритмов рекомендаций в условиях эксплуатационных нагрузок было проведено сравнительное тестирование времени отклика при различном объеме базы векторов в Qdrant и различном состоянии кэша Redis. Серия из 500 запросов позволила зафиксировать показатели задержки, представленные в Таблице 4.2.</w:t>
      </w:r>
    </w:p>
    <w:p>
      <w:pPr>
        <w:spacing w:before="200" w:after="80" w:line="240" w:lineRule="auto"/>
        <w:ind w:firstLine="709"/>
        <w:jc w:val="left"/>
      </w:pPr>
      <w:r>
        <w:rPr>
          <w:rFonts w:ascii="Times New Roman" w:hAnsi="Times New Roman"/>
          <w:color w:val="000000"/>
          <w:sz w:val="28"/>
        </w:rPr>
        <w:t>Таблица 4.2 — Сравнительные показатели времени отклика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0A0A0"/>
          <w:insideV w:val="single" w:sz="4" w:space="0" w:color="A0A0A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70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Объем базы векторов</w:t>
            </w:r>
          </w:p>
        </w:tc>
        <w:tc>
          <w:tcPr>
            <w:tcW w:type="dxa" w:w="204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Режим генерации</w:t>
            </w:r>
          </w:p>
        </w:tc>
        <w:tc>
          <w:tcPr>
            <w:tcW w:type="dxa" w:w="136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Мин. (мс)</w:t>
            </w:r>
          </w:p>
        </w:tc>
        <w:tc>
          <w:tcPr>
            <w:tcW w:type="dxa" w:w="147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Среднее (мс)</w:t>
            </w:r>
          </w:p>
        </w:tc>
        <w:tc>
          <w:tcPr>
            <w:tcW w:type="dxa" w:w="136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Макс. (мс)</w:t>
            </w:r>
          </w:p>
        </w:tc>
        <w:tc>
          <w:tcPr>
            <w:tcW w:type="dxa" w:w="147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Эффективность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1 000 сущностей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Qdrant, прямой поиск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11.2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14.8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24.1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Базовый уровень</w:t>
            </w:r>
          </w:p>
        </w:tc>
      </w:tr>
      <w:tr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1 000 сущностей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Redis, из кэша</w:t>
            </w:r>
          </w:p>
        </w:tc>
        <w:tc>
          <w:tcPr>
            <w:tcW w:type="dxa" w:w="136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1.1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1.4</w:t>
            </w:r>
          </w:p>
        </w:tc>
        <w:tc>
          <w:tcPr>
            <w:tcW w:type="dxa" w:w="136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2.8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Ускорение в 10.5 раз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10 000 сущностей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Qdrant, прямой поиск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14.5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18.2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31.6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Базовый уровень</w:t>
            </w:r>
          </w:p>
        </w:tc>
      </w:tr>
      <w:tr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10 000 сущностей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Redis, из кэша</w:t>
            </w:r>
          </w:p>
        </w:tc>
        <w:tc>
          <w:tcPr>
            <w:tcW w:type="dxa" w:w="136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1.2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1.6</w:t>
            </w:r>
          </w:p>
        </w:tc>
        <w:tc>
          <w:tcPr>
            <w:tcW w:type="dxa" w:w="136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3.1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Ускорение в 11.3 раз</w:t>
            </w:r>
          </w:p>
        </w:tc>
      </w:tr>
      <w:tr>
        <w:tc>
          <w:tcPr>
            <w:tcW w:type="dxa" w:w="170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50 000 сущностей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Qdrant, прямой поиск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19.8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26.4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48.2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Базовый уровень</w:t>
            </w:r>
          </w:p>
        </w:tc>
      </w:tr>
      <w:tr>
        <w:tc>
          <w:tcPr>
            <w:tcW w:type="dxa" w:w="170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50 000 сущностей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Redis, из кэша</w:t>
            </w:r>
          </w:p>
        </w:tc>
        <w:tc>
          <w:tcPr>
            <w:tcW w:type="dxa" w:w="136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1.3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1.7</w:t>
            </w:r>
          </w:p>
        </w:tc>
        <w:tc>
          <w:tcPr>
            <w:tcW w:type="dxa" w:w="136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3.4</w:t>
            </w:r>
          </w:p>
        </w:tc>
        <w:tc>
          <w:tcPr>
            <w:tcW w:type="dxa" w:w="147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Ускорение в 15.5 раз</w:t>
            </w:r>
          </w:p>
        </w:tc>
      </w:tr>
    </w:tbl>
    <w:p>
      <w:pPr>
        <w:spacing w:before="80" w:after="0"/>
        <w:ind w:firstLine="0"/>
      </w:pP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Наглядное сопоставление времени отклика сервиса представлено на Рисунке 4.1.</w:t>
      </w:r>
    </w:p>
    <w:p>
      <w:pPr>
        <w:spacing w:before="160" w:after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4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4.1. – Сравнительный график времени отклика рекомендаций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Результаты замеров доказывают, что слой оперативного кэширования Redis снижает задержку отклика до 1.4–1.7 мс. При типовом сценарии навигации покупателя доля попаданий в кэш составила 87.4%, что гарантирует стабильную работу при высокой интенсивности посещений.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4.3 Надежность механизмов отказоустойчивости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Проверка надежности механизмов защиты ядра от сбоев подтвердила безотказность подсистемы StopKran: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Сценарий фатальной синтаксической ошибки: обработчик Watchdog перехватил аварийный останов PHP, изолировал сбойный модуль и зафиксировал инцидент в журнале stopkran_crash.log.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Сценарий экстренного восстановления: веб-запрос с секретным сервисным токеном выполнил сброс сбойных модификаций и очистку файлового кэша за 0.42 секунды.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Сценарий консольного восстановления: команда php cli/stopkran.php восстановила работоспособность сайта через прямое PDO-подключение за 0.18 секунды.</w:t>
      </w:r>
    </w:p>
    <w:p>
      <w:pPr>
        <w:spacing w:before="280" w:after="16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4.4 Практическая апробация в магазине «Synthesia»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Разработанный рекомендательный модуль и подсистема сбора данных были успешно развернуты в интернет-магазине «Synthesia». Каталог магазина наполнен ассортиментом музыкальных инструментов и релизов с треклистами.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Практическая апробация показала рост средней длительности пребывания пользователей на сайте в 2.2 раза за счет взаимодействия с блоком рекомендаций и карточками треклистов.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ЗАКЛЮЧЕНИЕ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 ходе выполнения исследовательского проекта по теме «Разработка модуля персонализированных рекомендаций на основе машинного обучения (на примере музыкальной индустрии)» был разработан и всесторонне исследован программный комплекс интеллектуальных рекомендаций для электронной коммерции в музыкальной сфере на базе интернет-магазина «Synthesia». Проведенная работа объединила теоретический анализ современных алгоритмов машинного обучения с практической реализацией распределенного программного комплекса, включающего подсистему автоматизированного сбора данных, сервис векторного поиска и транзакционное ядро электронной коммерции.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 соответствии с поставленной целью и задачами исследования были получены следующие научно-практические результаты: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Выполнен аналитический обзор отечественного рынка музыкального ритейла на примере торговых платформ Muz.by, Tvoyzvuk.by, «Музторг» и «Аудиомания». Выявлена строгая изоляция каталогов инструментов и фонотек, обоснована необходимость сквозного связывания музыкальных альбомов с инструментами для их создания.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Спроектирована архитектура программного комплекса интернет-магазина «Synthesia» на базе разделения контуров сбора данных, машинного обучения и транзакционного ядра, обеспечивающая масштабируемость и изоляцию вычислительных нагрузок.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Разработана математическая модель плотного векторного пространства размерности 384 на базе предобученной языковой модели MiniLM-L12-v2 и спроектирован алгоритм агрегации треков релиза в нормализованный центроидный вектор по метрике косинусного сходства.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Реализована подсистема автоматизированного сбора данных synesthesia-parser (Python 3.13), обеспечивающая сбор характеристик инструментов с pop-music.ru через библиотеку curl_cffi с обходом TLS-защиты, извлечение релизов из базы Discogs с контролем rate-limit и консольный импорт в базу данных через скрипт cli/catalog_ingest.php.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Разработан высокопроизводительный микросервис машинного обучения на базе FastAPI и векторной базы данных Qdrant, реализующий быстрый поиск методом k ближайших соседей по графовому индексу HNSW.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6. Создан модуль структурированного треклиста soundnet_tracklist для OpenCart LiveStore, исключающий необходимость медиа-хостинга тяжелых аудиофайлов, и адаптивная витрина магазина в темной цветовой гамме с интерактивным блоком персональных рекомендаций.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7. Внедрена многоуровневая подсистема контроля отказоустойчивости StopKran (перехватчик фатальных ошибок Watchdog, механизм автоматического отключения сбойных модификаторов и аварийный консольный инструмент восстановления cli/stopkran.php).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8. Проведен комплекс экспериментальных исследований: доказано сокращение задержки формирования рекомендаций более чем в 10 раз — до уровня 1.4–1.7 мс благодаря оперативной памяти Redis при доле попаданий в кэш 87.4%, и подтверждена 100% надежность прохождения автоматизированных тестов.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Выдвинутая в исследовании гипотеза о том, что использование методов машинного обучения на основе векторных представлений и метрического анализа позволит построить устойчивую модель персонализированного подбора товаров в музыкальной сфере, связывающую фонографические релизы с инструментами звукового синтеза, а разработка специализированной программы сбора данных обеспечит автоматизированное наполнение структурированного каталога, полностью подтвердилась.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СПИСОК ИСПОЛЬЗОВАННЫХ ИСТОЧНИКОВ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Анализ потребительского поведения в сегменте музыкального оборудования и цифрового ритейла [Электронный ресурс] // Журнал «Электронная коммерция в Беларуси». – 2025. – № 4. – Режим доступа: https://e-commerce.by/research/music-retail-2025/. – Дата доступа: 15.02.2026.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Аудиомания: Hi-Fi аппаратура и виниловые пластинки [Электронный ресурс]. – М., 2026. – Режим доступа: https://www.audiomania.ru/. – Дата доступа: 10.02.2026.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ГОСТ 2.105-95. Единая система конструкторской документации. Общие требования к текстовым документам. – Введ. 01.07.1996. – Минск : Межгос. совет по стандартизации, метрологии и сертификации, 1996. – 31 с.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ГОСТ 7.32-2001. Система стандартов по информации, библиотечному и издательскому делу. Отчет о научно-исследовательской работе. Структура и правила оформления. – Минск : Госстандарт Республики Беларусь, 2002. – 21 с.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Гребенюк, М. Онлайн-ритейл: сущность, структура и современные тренды [Электронный ресурс] / М. Гребенюк. – Режим доступа: https://grebenukresulting.ru/encyclopedia/onlajn-ritejl/. – Дата доступа: 12.02.2026.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6. Дюбуа, П. MySQL. Сборник рецептов / П. Дюбуа. – М. : Символ-Плюс, 2020. – 1056 с.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7. Инструкция по оформлению диссертации, автореферата и публикаций по теме диссертации : утв. постановлением президиума ВАК РБ от 28.02.2014 № 3. – Минск : ВАК РБ, 2016. – 18 с.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8. Котлер, Ф. Маркетинг 5.0. Технологии следующего поколения / Ф. Котлер, Х. Картаджайя, А. Сетиаван. – М. : Бомбора, 2022. – 352 с.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9. Маннинг, К. Д. Введение в информационный поиск / К. Д. Маннинг, П. Рагхаван, Х. Шютце. – М. : Вильямс, 2021. – 520 с.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10. Музыкальный интернет-магазин Muz.by [Электронный ресурс] / ООО «Музыка». – Минск, 2026. – Режим доступа: https://muz.by/. – Дата доступа: 10.02.2026.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11. Нильсен, Я. Веб-дизайн. Удобство использования сайтов / Я. Нильсен, Х. Лоранжер. – М. : Вильямс, 2022. – 368 с.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12. Салон музыкальных инструментов «Твой Звук» [Электронный ресурс]. – Минск, 2026. – Режим доступа: https://tvoyzvuk.by/. – Дата доступа: 10.02.2026.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13. Фаулер, М. Создание микросервисных архитектур / М. Фаулер. – СПб. : Диалектика, 2021. – 288 с.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14. Malkov, Y. A. Efficient and robust approximate nearest neighbor search using Hierarchical Navigable Small World graphs / Y. A. Malkov, D. A. Yashunin // IEEE TPAMI. – 2020. – Vol. 42, № 4. – P. 824–836.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15. OpenCart 3: Developer Documentation &amp; Architecture Guide [Electronic resource] // OpenCart Docs. – 2026. – Mode of access: https://docs.opencart.com/en-gb/developer/. – Date of access: 01.02.2026.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16. Qdrant: Vector Database for the Next Generation of AI [Electronic resource] // Qdrant Docs. – 2026. – Mode of access: https://qdrant.tech/documentation/. – Date of access: 15.01.2026.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17. Redis In-Memory Data Structure Store: Documentation [Electronic resource] // Redis.io. – 2026. – Mode of access: https://redis.io/docs/. – Date of access: 20.01.2026.</w:t>
      </w:r>
    </w:p>
    <w:p>
      <w:pPr>
        <w:spacing w:before="20" w:after="2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18. Reimers, N. Sentence-BERT: Sentence Embeddings using Siamese BERT-Networks / N. Reimers, I. Gurevych // Proceedings of EMNLP 2019. – Hong Kong, 2019. – P. 3982–3992.</w:t>
      </w:r>
    </w:p>
    <w:p>
      <w:pPr>
        <w:pageBreakBefore/>
        <w:spacing w:before="320" w:after="28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А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Наименование: </w:t>
      </w:r>
      <w:r>
        <w:rPr>
          <w:rFonts w:ascii="Times New Roman" w:hAnsi="Times New Roman"/>
          <w:color w:val="000000"/>
          <w:sz w:val="28"/>
        </w:rPr>
        <w:t>Спецификация программных компонентов и сетевых параметров комплекса</w:t>
      </w:r>
    </w:p>
    <w:p>
      <w:pPr>
        <w:spacing w:before="200" w:after="80" w:line="240" w:lineRule="auto"/>
        <w:ind w:firstLine="709"/>
        <w:jc w:val="left"/>
      </w:pPr>
      <w:r>
        <w:rPr>
          <w:rFonts w:ascii="Times New Roman" w:hAnsi="Times New Roman"/>
          <w:color w:val="000000"/>
          <w:sz w:val="28"/>
        </w:rPr>
        <w:t>Таблица А.1 — Реестр программных компонентов комплекса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0A0A0"/>
          <w:insideV w:val="single" w:sz="4" w:space="0" w:color="A0A0A0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15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Компонент комплекса</w:t>
            </w:r>
          </w:p>
        </w:tc>
        <w:tc>
          <w:tcPr>
            <w:tcW w:type="dxa" w:w="2494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Файл / модуль</w:t>
            </w:r>
          </w:p>
        </w:tc>
        <w:tc>
          <w:tcPr>
            <w:tcW w:type="dxa" w:w="2268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Технологический стек</w:t>
            </w:r>
          </w:p>
        </w:tc>
        <w:tc>
          <w:tcPr>
            <w:tcW w:type="dxa" w:w="3402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Функциональное назначение</w:t>
            </w:r>
          </w:p>
        </w:tc>
      </w:tr>
      <w:tr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Сбор каталога pop-music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scraper/gear_engine.py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Python 3.13, curl_cffi, bs4</w:t>
            </w:r>
          </w:p>
        </w:tc>
        <w:tc>
          <w:tcPr>
            <w:tcW w:type="dxa" w:w="340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Сбор параметров и цен инструментов с обходом TLS</w:t>
            </w:r>
          </w:p>
        </w:tc>
      </w:tr>
      <w:tr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Интеграция с Discogs</w:t>
            </w:r>
          </w:p>
        </w:tc>
        <w:tc>
          <w:tcPr>
            <w:tcW w:type="dxa" w:w="249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scraper/discogs_client.py</w:t>
            </w:r>
          </w:p>
        </w:tc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Python 3.13, requests</w:t>
            </w:r>
          </w:p>
        </w:tc>
        <w:tc>
          <w:tcPr>
            <w:tcW w:type="dxa" w:w="3402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Извлечение релизов и треклистов с контролем частоты</w:t>
            </w:r>
          </w:p>
        </w:tc>
      </w:tr>
      <w:tr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Нормализация атрибутов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scraper/normalizer.py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Python 3.13, Pydantic</w:t>
            </w:r>
          </w:p>
        </w:tc>
        <w:tc>
          <w:tcPr>
            <w:tcW w:type="dxa" w:w="340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Приведение параметров к каноническим атрибутам OpenCart</w:t>
            </w:r>
          </w:p>
        </w:tc>
      </w:tr>
      <w:tr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Векторное кодирование</w:t>
            </w:r>
          </w:p>
        </w:tc>
        <w:tc>
          <w:tcPr>
            <w:tcW w:type="dxa" w:w="249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scraper/encoder.py</w:t>
            </w:r>
          </w:p>
        </w:tc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MiniLM-L12-v2, ST</w:t>
            </w:r>
          </w:p>
        </w:tc>
        <w:tc>
          <w:tcPr>
            <w:tcW w:type="dxa" w:w="3402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Вычисление 384-мерных плотных векторных эмбеддингов</w:t>
            </w:r>
          </w:p>
        </w:tc>
      </w:tr>
      <w:tr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Классификатор разделов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scraper/category_resolver.py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Python 3.13</w:t>
            </w:r>
          </w:p>
        </w:tc>
        <w:tc>
          <w:tcPr>
            <w:tcW w:type="dxa" w:w="340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Определение принадлежности товара к веткам каталога</w:t>
            </w:r>
          </w:p>
        </w:tc>
      </w:tr>
      <w:tr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Векторный поиск REST API</w:t>
            </w:r>
          </w:p>
        </w:tc>
        <w:tc>
          <w:tcPr>
            <w:tcW w:type="dxa" w:w="249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synesthesia-ai/app/api/</w:t>
            </w:r>
          </w:p>
        </w:tc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Python 3.13, FastAPI, Qdrant</w:t>
            </w:r>
          </w:p>
        </w:tc>
        <w:tc>
          <w:tcPr>
            <w:tcW w:type="dxa" w:w="3402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k-NN поиск по индексу HNSW и расчет центроидов</w:t>
            </w:r>
          </w:p>
        </w:tc>
      </w:tr>
      <w:tr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Оперативное кэширование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synesthesia-ai/app/core/redis.py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Redis In-Memory Key-Value</w:t>
            </w:r>
          </w:p>
        </w:tc>
        <w:tc>
          <w:tcPr>
            <w:tcW w:type="dxa" w:w="340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Кэширование ответов со временем отдачи до 1.5 мс</w:t>
            </w:r>
          </w:p>
        </w:tc>
      </w:tr>
      <w:tr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Пакетный импорт данных</w:t>
            </w:r>
          </w:p>
        </w:tc>
        <w:tc>
          <w:tcPr>
            <w:tcW w:type="dxa" w:w="249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cli/catalog_ingest.php</w:t>
            </w:r>
          </w:p>
        </w:tc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PHP 7.4/8.x CLI, MySQL</w:t>
            </w:r>
          </w:p>
        </w:tc>
        <w:tc>
          <w:tcPr>
            <w:tcW w:type="dxa" w:w="3402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Атомарное добавление товаров и конвертация цен</w:t>
            </w:r>
          </w:p>
        </w:tc>
      </w:tr>
      <w:tr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Отображение треклиста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catalog/controller/.../tracklist.php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PHP, OpenCart 3, Twig</w:t>
            </w:r>
          </w:p>
        </w:tc>
        <w:tc>
          <w:tcPr>
            <w:tcW w:type="dxa" w:w="340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Формирование и вывод структурированного списка треков</w:t>
            </w:r>
          </w:p>
        </w:tc>
      </w:tr>
      <w:tr>
        <w:tc>
          <w:tcPr>
            <w:tcW w:type="dxa" w:w="215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Персонализированная витрина</w:t>
            </w:r>
          </w:p>
        </w:tc>
        <w:tc>
          <w:tcPr>
            <w:tcW w:type="dxa" w:w="2494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catalog/view/.../storefront.js</w:t>
            </w:r>
          </w:p>
        </w:tc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JS ES6, CSS3 Dark Theme</w:t>
            </w:r>
          </w:p>
        </w:tc>
        <w:tc>
          <w:tcPr>
            <w:tcW w:type="dxa" w:w="3402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Интерфейс рекомендаций и интерактивные карточки</w:t>
            </w:r>
          </w:p>
        </w:tc>
      </w:tr>
      <w:tr>
        <w:tc>
          <w:tcPr>
            <w:tcW w:type="dxa" w:w="215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Защита и восстановление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system/library/stopkran/watchdog.php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PHP, PDO, shutdown_func</w:t>
            </w:r>
          </w:p>
        </w:tc>
        <w:tc>
          <w:tcPr>
            <w:tcW w:type="dxa" w:w="340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Ранний перехват сбоев и аварийный сброс модификаций</w:t>
            </w:r>
          </w:p>
        </w:tc>
      </w:tr>
    </w:tbl>
    <w:p>
      <w:pPr>
        <w:spacing w:before="80" w:after="0"/>
        <w:ind w:firstLine="0"/>
      </w:pP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Параметры сетевого взаимодействия сервисов и конфигурационные константы представлены в Таблице А.2.</w:t>
      </w:r>
    </w:p>
    <w:p>
      <w:pPr>
        <w:spacing w:before="200" w:after="80" w:line="240" w:lineRule="auto"/>
        <w:ind w:firstLine="709"/>
        <w:jc w:val="left"/>
      </w:pPr>
      <w:r>
        <w:rPr>
          <w:rFonts w:ascii="Times New Roman" w:hAnsi="Times New Roman"/>
          <w:color w:val="000000"/>
          <w:sz w:val="28"/>
        </w:rPr>
        <w:t>Таблица А.2 — Спецификация конфигурационных параметров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0A0A0"/>
          <w:insideV w:val="single" w:sz="4" w:space="0" w:color="A0A0A0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268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Параметр конфигурации</w:t>
            </w:r>
          </w:p>
        </w:tc>
        <w:tc>
          <w:tcPr>
            <w:tcW w:type="dxa" w:w="204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Область применения</w:t>
            </w:r>
          </w:p>
        </w:tc>
        <w:tc>
          <w:tcPr>
            <w:tcW w:type="dxa" w:w="2381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Значение / формат</w:t>
            </w:r>
          </w:p>
        </w:tc>
        <w:tc>
          <w:tcPr>
            <w:tcW w:type="dxa" w:w="3628"/>
            <w:shd w:fill="F0F4F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Назначение параметра</w:t>
            </w:r>
          </w:p>
        </w:tc>
      </w:tr>
      <w:tr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DB_DRIVER / DB_DATABASE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СУБД MySQL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mysqli / synthesia_db</w:t>
            </w:r>
          </w:p>
        </w:tc>
        <w:tc>
          <w:tcPr>
            <w:tcW w:type="dxa" w:w="362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Драйвер подключения и имя рабочей базы данных каталога</w:t>
            </w:r>
          </w:p>
        </w:tc>
      </w:tr>
      <w:tr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DB_PORT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СУБД MySQL</w:t>
            </w:r>
          </w:p>
        </w:tc>
        <w:tc>
          <w:tcPr>
            <w:tcW w:type="dxa" w:w="238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3306 (локальный порт)</w:t>
            </w:r>
          </w:p>
        </w:tc>
        <w:tc>
          <w:tcPr>
            <w:tcW w:type="dxa" w:w="36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Сетевой порт взаимодействия ядра с базой данных</w:t>
            </w:r>
          </w:p>
        </w:tc>
      </w:tr>
      <w:tr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qdrant_collection_name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Векторный сервис Qdrant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music_catalog</w:t>
            </w:r>
          </w:p>
        </w:tc>
        <w:tc>
          <w:tcPr>
            <w:tcW w:type="dxa" w:w="362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Имя коллекции векторов в базе размерности 384</w:t>
            </w:r>
          </w:p>
        </w:tc>
      </w:tr>
      <w:tr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distance_metric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Векторный сервис Qdrant</w:t>
            </w:r>
          </w:p>
        </w:tc>
        <w:tc>
          <w:tcPr>
            <w:tcW w:type="dxa" w:w="238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Distance.COSINE</w:t>
            </w:r>
          </w:p>
        </w:tc>
        <w:tc>
          <w:tcPr>
            <w:tcW w:type="dxa" w:w="36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Метрика вычисления расстояния между объектами</w:t>
            </w:r>
          </w:p>
        </w:tc>
      </w:tr>
      <w:tr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redis_url / cache_ttl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Кэширование Redis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redis://localhost:6379 / 86400</w:t>
            </w:r>
          </w:p>
        </w:tc>
        <w:tc>
          <w:tcPr>
            <w:tcW w:type="dxa" w:w="362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Сетевой адрес кэша и время жизни ключа рекомендаций (с)</w:t>
            </w:r>
          </w:p>
        </w:tc>
      </w:tr>
      <w:tr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discogs_rate_limit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Парсер synesthesia-parser</w:t>
            </w:r>
          </w:p>
        </w:tc>
        <w:tc>
          <w:tcPr>
            <w:tcW w:type="dxa" w:w="238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60 req/min (0.05-0.15s jitter)</w:t>
            </w:r>
          </w:p>
        </w:tc>
        <w:tc>
          <w:tcPr>
            <w:tcW w:type="dxa" w:w="36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Ограничение частоты обращений к официальному Discogs API</w:t>
            </w:r>
          </w:p>
        </w:tc>
      </w:tr>
      <w:tr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currency_rate_rub_byn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Модуль catalog_ingest.php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0.0385 (курс BYN)</w:t>
            </w:r>
          </w:p>
        </w:tc>
        <w:tc>
          <w:tcPr>
            <w:tcW w:type="dxa" w:w="362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Коэффициент конвертации цен оборудования в белорусские рубли</w:t>
            </w:r>
          </w:p>
        </w:tc>
      </w:tr>
      <w:tr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table_tracklist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Таблица OpenCart</w:t>
            </w:r>
          </w:p>
        </w:tc>
        <w:tc>
          <w:tcPr>
            <w:tcW w:type="dxa" w:w="238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oc_product_tracklist</w:t>
            </w:r>
          </w:p>
        </w:tc>
        <w:tc>
          <w:tcPr>
            <w:tcW w:type="dxa" w:w="36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Таблица реляционной базы данных для хранения треклистов</w:t>
            </w:r>
          </w:p>
        </w:tc>
      </w:tr>
      <w:tr>
        <w:tc>
          <w:tcPr>
            <w:tcW w:type="dxa" w:w="22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2"/>
              </w:rPr>
              <w:t>table_vector_status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Таблица OpenCart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oc_product_vector_status</w:t>
            </w:r>
          </w:p>
        </w:tc>
        <w:tc>
          <w:tcPr>
            <w:tcW w:type="dxa" w:w="362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Таблица контроля состояния векторной индексации товаров</w:t>
            </w:r>
          </w:p>
        </w:tc>
      </w:tr>
      <w:tr>
        <w:tc>
          <w:tcPr>
            <w:tcW w:type="dxa" w:w="226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stopkran_bypass_token</w:t>
            </w:r>
          </w:p>
        </w:tc>
        <w:tc>
          <w:tcPr>
            <w:tcW w:type="dxa" w:w="204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Модуль StopKran</w:t>
            </w:r>
          </w:p>
        </w:tc>
        <w:tc>
          <w:tcPr>
            <w:tcW w:type="dxa" w:w="2381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64-char sha256 hex</w:t>
            </w:r>
          </w:p>
        </w:tc>
        <w:tc>
          <w:tcPr>
            <w:tcW w:type="dxa" w:w="36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Криптографический токен аварийного веб-сброса модификаций</w:t>
            </w:r>
          </w:p>
        </w:tc>
      </w:tr>
    </w:tbl>
    <w:p>
      <w:pPr>
        <w:spacing w:before="80" w:after="0"/>
        <w:ind w:firstLine="0"/>
      </w:pPr>
    </w:p>
    <w:sectPr w:rsidR="00FC693F" w:rsidRPr="0006063C" w:rsidSect="00034616">
      <w:footerReference w:type="default" r:id="rId9"/>
      <w:pgSz w:w="11906" w:h="16838"/>
      <w:pgMar w:top="1134" w:right="567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2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 w:before="0"/>
      <w:ind w:firstLine="709"/>
      <w:jc w:val="both"/>
    </w:pPr>
    <w:rPr>
      <w:rFonts w:ascii="Times New Roman" w:hAnsi="Times New Roman"/>
      <w:color w:val="000000"/>
      <w:sz w:val="28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