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Design</w:t>
      </w:r>
      <w:r>
        <w:t xml:space="preserve"> </w:t>
      </w:r>
      <w:r>
        <w:t xml:space="preserve">and</w:t>
      </w:r>
      <w:r>
        <w:t xml:space="preserve"> </w:t>
      </w:r>
      <w:r>
        <w:t xml:space="preserve">Evaluation</w:t>
      </w:r>
      <w:r>
        <w:t xml:space="preserve"> </w:t>
      </w:r>
      <w:r>
        <w:t xml:space="preserve">of</w:t>
      </w:r>
      <w:r>
        <w:t xml:space="preserve"> </w:t>
      </w:r>
      <w:r>
        <w:t xml:space="preserve">Multi-Agentic</w:t>
      </w:r>
      <w:r>
        <w:t xml:space="preserve"> </w:t>
      </w:r>
      <w:r>
        <w:t xml:space="preserve">AI</w:t>
      </w:r>
      <w:r>
        <w:t xml:space="preserve"> </w:t>
      </w:r>
      <w:r>
        <w:t xml:space="preserve">Systems</w:t>
      </w:r>
      <w:r>
        <w:t xml:space="preserve"> </w:t>
      </w:r>
      <w:r>
        <w:t xml:space="preserve">for</w:t>
      </w:r>
      <w:r>
        <w:t xml:space="preserve"> </w:t>
      </w:r>
      <w:r>
        <w:t xml:space="preserve">Contract</w:t>
      </w:r>
      <w:r>
        <w:t xml:space="preserve"> </w:t>
      </w:r>
      <w:r>
        <w:t xml:space="preserve">Lifecycle</w:t>
      </w:r>
      <w:r>
        <w:t xml:space="preserve"> </w:t>
      </w:r>
      <w:r>
        <w:t xml:space="preserve">Management</w:t>
      </w:r>
      <w:r>
        <w:t xml:space="preserve"> </w:t>
      </w:r>
      <w:r>
        <w:t xml:space="preserve">SaaS</w:t>
      </w:r>
      <w:r>
        <w:t xml:space="preserve"> </w:t>
      </w:r>
      <w:r>
        <w:t xml:space="preserve">Platforms</w:t>
      </w:r>
    </w:p>
    <w:p>
      <w:pPr>
        <w:pStyle w:val="Author"/>
      </w:pPr>
      <w:r>
        <w:t xml:space="preserve">Nguyen,</w:t>
      </w:r>
      <w:r>
        <w:t xml:space="preserve"> </w:t>
      </w:r>
      <w:r>
        <w:t xml:space="preserve">Duc</w:t>
      </w:r>
      <w:r>
        <w:t xml:space="preserve"> </w:t>
      </w:r>
      <w:r>
        <w:t xml:space="preserve">Trung,</w:t>
      </w:r>
      <w:r>
        <w:t xml:space="preserve"> </w:t>
      </w:r>
      <w:r>
        <w:t xml:space="preserve">B.Sc.</w:t>
      </w:r>
    </w:p>
    <w:p>
      <w:pPr>
        <w:pStyle w:val="Date"/>
      </w:pPr>
      <w:r>
        <w:t xml:space="preserve">May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abstract"/>
      <w:r>
        <w:t xml:space="preserve">Abstract</w:t>
      </w:r>
      <w:bookmarkEnd w:id="20"/>
    </w:p>
    <w:p>
      <w:pPr>
        <w:pStyle w:val="FirstParagraph"/>
      </w:pPr>
      <w:r>
        <w:t xml:space="preserve">Contract Lifecycle Management platforms increasingly rely on large language models to</w:t>
      </w:r>
      <w:r>
        <w:t xml:space="preserve"> </w:t>
      </w:r>
      <w:r>
        <w:t xml:space="preserve">automate clause extraction from commercial contracts.</w:t>
      </w:r>
      <w:r>
        <w:t xml:space="preserve"> </w:t>
      </w:r>
      <w:r>
        <w:t xml:space="preserve">Both research and vendor communities have advocated multi-agent architectures as a</w:t>
      </w:r>
      <w:r>
        <w:t xml:space="preserve"> </w:t>
      </w:r>
      <w:r>
        <w:t xml:space="preserve">superior alternative to single-prompt deployments. The empirical case is thin: every existing legal multi-agent system evaluates a single</w:t>
      </w:r>
      <w:r>
        <w:t xml:space="preserve"> </w:t>
      </w:r>
      <w:r>
        <w:t xml:space="preserve">architecture on a single benchmark, and no published work ablates multi-agent patterns</w:t>
      </w:r>
      <w:r>
        <w:t xml:space="preserve"> </w:t>
      </w:r>
      <w:r>
        <w:t xml:space="preserve">against single-agent baselines across frontier-model families.</w:t>
      </w:r>
      <w:r>
        <w:t xml:space="preserve"> </w:t>
      </w:r>
      <w:r>
        <w:t xml:space="preserve">Recent cross-domain evidence (Gao et al. 2025; Bogavelli et al. 2025)</w:t>
      </w:r>
      <w:r>
        <w:t xml:space="preserve"> </w:t>
      </w:r>
      <w:r>
        <w:t xml:space="preserve">reports diminishing multi-agent gains as base-model capability rises.</w:t>
      </w:r>
    </w:p>
    <w:p>
      <w:pPr>
        <w:pStyle w:val="BodyText"/>
      </w:pPr>
      <w:r>
        <w:t xml:space="preserve">This thesis presents a controlled cross-architecture cross-model comparison of</w:t>
      </w:r>
      <w:r>
        <w:t xml:space="preserve"> </w:t>
      </w:r>
      <w:r>
        <w:t xml:space="preserve">multi-agent designs for clause extraction on the CUAD benchmark. Five configurations</w:t>
      </w:r>
      <w:r>
        <w:t xml:space="preserve"> </w:t>
      </w:r>
      <w:r>
        <w:t xml:space="preserve">spanning zero-shot, chain-of-thought, pipeline decomposition, LLM-routed specialists,</w:t>
      </w:r>
      <w:r>
        <w:t xml:space="preserve"> </w:t>
      </w:r>
      <w:r>
        <w:t xml:space="preserve">and a consolidated single-agent ablation are evaluated across eleven frontier models from</w:t>
      </w:r>
      <w:r>
        <w:t xml:space="preserve"> </w:t>
      </w:r>
      <w:r>
        <w:t xml:space="preserve">three providers, yielding 163</w:t>
      </w:r>
      <w:r>
        <w:t xml:space="preserve">,</w:t>
      </w:r>
      <w:r>
        <w:t xml:space="preserve">644 paired predictions on the 102-contract CUAD test</w:t>
      </w:r>
      <w:r>
        <w:t xml:space="preserve"> </w:t>
      </w:r>
      <w:r>
        <w:t xml:space="preserve">split, analysed with McNemar exact tests, paired bootstrap confidence intervals, and</w:t>
      </w:r>
      <w:r>
        <w:t xml:space="preserve"> </w:t>
      </w:r>
      <w:r>
        <w:t xml:space="preserve">Benjamini–Hochberg correction.</w:t>
      </w:r>
    </w:p>
    <w:p>
      <w:pPr>
        <w:pStyle w:val="BodyText"/>
      </w:pPr>
      <w:r>
        <w:t xml:space="preserve">No multi-agent configuration consistently outperforms the strongest single-agent</w:t>
      </w:r>
      <w:r>
        <w:t xml:space="preserve"> </w:t>
      </w:r>
      <w:r>
        <w:t xml:space="preserve">baseline. Pooled accuracy falls within a</w:t>
      </w:r>
      <w:r>
        <w:t xml:space="preserve"> </w:t>
      </w:r>
      <m:oMath>
        <m:r>
          <m:t>0.011</m:t>
        </m:r>
      </m:oMath>
      <w:r>
        <w:t xml:space="preserve">-point band. Each provider</w:t>
      </w:r>
      <w:r>
        <w:t xml:space="preserve"> </w:t>
      </w:r>
      <w:r>
        <w:t xml:space="preserve">family peaks under a different configuration: Anthropic under</w:t>
      </w:r>
      <w:r>
        <w:t xml:space="preserve"> </w:t>
      </w:r>
      <w:r>
        <w:t xml:space="preserve">chain-of-thought, Google under zero-shot, OpenAI under classify-then-extract.</w:t>
      </w:r>
      <w:r>
        <w:t xml:space="preserve"> </w:t>
      </w:r>
      <w:r>
        <w:t xml:space="preserve">Lighter models gain from decomposition where heavier ones do not,</w:t>
      </w:r>
      <w:r>
        <w:t xml:space="preserve"> </w:t>
      </w:r>
      <w:r>
        <w:t xml:space="preserve">across the eleven-model frontier-proprietary panel evaluated here.</w:t>
      </w:r>
      <w:r>
        <w:t xml:space="preserve"> </w:t>
      </w:r>
      <w:r>
        <w:t xml:space="preserve">Two mechanisms explain the null result. The pipeline architecture</w:t>
      </w:r>
      <w:r>
        <w:t xml:space="preserve"> </w:t>
      </w:r>
      <w:r>
        <w:t xml:space="preserve">exhibits a</w:t>
      </w:r>
      <w:r>
        <w:t xml:space="preserve"> </w:t>
      </w:r>
      <w:r>
        <w:rPr>
          <w:i/>
        </w:rPr>
        <w:t xml:space="preserve">classification-gate rejection cascade</w:t>
      </w:r>
      <w:r>
        <w:t xml:space="preserve"> </w:t>
      </w:r>
      <w:r>
        <w:t xml:space="preserve">(its upstream classifier</w:t>
      </w:r>
      <w:r>
        <w:t xml:space="preserve"> </w:t>
      </w:r>
      <w:r>
        <w:t xml:space="preserve">silently overrejects on some models), and the LLM router in the specialist</w:t>
      </w:r>
      <w:r>
        <w:t xml:space="preserve"> </w:t>
      </w:r>
      <w:r>
        <w:t xml:space="preserve">architecture is empirically redundant: it converges to a deterministic category</w:t>
      </w:r>
      <w:r>
        <w:t xml:space="preserve"> </w:t>
      </w:r>
      <w:r>
        <w:t xml:space="preserve">lookup and produces lower-quality span outputs than the consolidated ablation.</w:t>
      </w:r>
      <w:r>
        <w:t xml:space="preserve"> </w:t>
      </w:r>
      <w:r>
        <w:t xml:space="preserve">Multi-agent configurations carry a</w:t>
      </w:r>
      <w:r>
        <w:t xml:space="preserve"> </w:t>
      </w:r>
      <m:oMath>
        <m:r>
          <m:t>23</m:t>
        </m:r>
        <m:r>
          <m:t>%</m:t>
        </m:r>
      </m:oMath>
      <w:r>
        <w:t xml:space="preserve">–</w:t>
      </w:r>
      <m:oMath>
        <m:r>
          <m:t>67</m:t>
        </m:r>
        <m:r>
          <m:t>%</m:t>
        </m:r>
      </m:oMath>
      <w:r>
        <w:t xml:space="preserve"> </w:t>
      </w:r>
      <w:r>
        <w:t xml:space="preserve">cost premium under per-call</w:t>
      </w:r>
      <w:r>
        <w:t xml:space="preserve"> </w:t>
      </w:r>
      <w:r>
        <w:t xml:space="preserve">provider billing without prompt caching, and this premium is not offset by</w:t>
      </w:r>
      <w:r>
        <w:t xml:space="preserve"> </w:t>
      </w:r>
      <w:r>
        <w:t xml:space="preserve">aggregate accuracy gains.</w:t>
      </w:r>
    </w:p>
    <w:p>
      <w:pPr>
        <w:pStyle w:val="BodyText"/>
      </w:pPr>
      <w:r>
        <w:t xml:space="preserve">The results identify which model–architecture combinations gain, lose, or are</w:t>
      </w:r>
      <w:r>
        <w:t xml:space="preserve"> </w:t>
      </w:r>
      <w:r>
        <w:t xml:space="preserve">unchanged 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 quantify the auditability surplus</w:t>
      </w:r>
      <w:r>
        <w:t xml:space="preserve"> </w:t>
      </w:r>
      <w:r>
        <w:t xml:space="preserve">(M1:</w:t>
      </w:r>
      <w:r>
        <w:t xml:space="preserve"> </w:t>
      </w:r>
      <m:oMath>
        <m:r>
          <m:t>1.000</m:t>
        </m:r>
      </m:oMath>
      <w:r>
        <w:t xml:space="preserve"> </w:t>
      </w:r>
      <w:r>
        <w:t xml:space="preserve">verbatim grounding) that survives the null result.</w:t>
      </w:r>
    </w:p>
    <w:p>
      <w:pPr>
        <w:pStyle w:val="BodyText"/>
      </w:pPr>
      <w:r>
        <w:t xml:space="preserve">For teams building contract-review software, this means a well-prompted</w:t>
      </w:r>
      <w:r>
        <w:t xml:space="preserve"> </w:t>
      </w:r>
      <w:r>
        <w:t xml:space="preserve">single model is usually the right default, and the case for adding agents</w:t>
      </w:r>
      <w:r>
        <w:t xml:space="preserve"> </w:t>
      </w:r>
      <w:r>
        <w:t xml:space="preserve">rests on auditability and traceable review rather than on accuracy gains.</w:t>
      </w:r>
    </w:p>
    <w:p>
      <w:pPr>
        <w:pStyle w:val="Heading1"/>
      </w:pPr>
      <w:bookmarkStart w:id="21" w:name="chapter:introduction"/>
      <w:r>
        <w:t xml:space="preserve">Introduction</w:t>
      </w:r>
      <w:bookmarkEnd w:id="21"/>
    </w:p>
    <w:p>
      <w:pPr>
        <w:pStyle w:val="Heading2"/>
      </w:pPr>
      <w:bookmarkStart w:id="22" w:name="sec:motivation"/>
      <w:r>
        <w:t xml:space="preserve">Motivation</w:t>
      </w:r>
      <w:bookmarkEnd w:id="22"/>
    </w:p>
    <w:p>
      <w:pPr>
        <w:pStyle w:val="FirstParagraph"/>
      </w:pPr>
      <w:r>
        <w:t xml:space="preserve">Contract Lifecycle Management (CLM) is the workflow through which an organisation authors,</w:t>
      </w:r>
      <w:r>
        <w:t xml:space="preserve"> </w:t>
      </w:r>
      <w:r>
        <w:t xml:space="preserve">negotiates, executes, monitors, and retires its contractual instruments. The scale of the problem is substantial: organisations forfeit value equivalent to roughly</w:t>
      </w:r>
      <w:r>
        <w:t xml:space="preserve"> </w:t>
      </w:r>
      <w:r>
        <w:t xml:space="preserve">9% of annual revenue through poor contracting practices, with contract data dispersed</w:t>
      </w:r>
      <w:r>
        <w:t xml:space="preserve"> </w:t>
      </w:r>
      <w:r>
        <w:t xml:space="preserve">across an average of 24 systems and 83% of executives reporting their contracts too rigid</w:t>
      </w:r>
      <w:r>
        <w:t xml:space="preserve"> </w:t>
      </w:r>
      <w:r>
        <w:t xml:space="preserve">to accommodate change [worldcc2025benchmark]. Goldman Sachs estimates 44% of</w:t>
      </w:r>
      <w:r>
        <w:t xml:space="preserve"> </w:t>
      </w:r>
      <w:r>
        <w:t xml:space="preserve">U.S. legal-task time is technically automatable by generative AI, the second-highest</w:t>
      </w:r>
      <w:r>
        <w:t xml:space="preserve"> </w:t>
      </w:r>
      <w:r>
        <w:t xml:space="preserve">exposure across all professions [goldmansachs2023ai].</w:t>
      </w:r>
    </w:p>
    <w:p>
      <w:pPr>
        <w:pStyle w:val="BodyText"/>
      </w:pPr>
      <w:r>
        <w:t xml:space="preserve">Frontier large language models (LLMs) match junior lawyers on issue-identification</w:t>
      </w:r>
      <w:r>
        <w:t xml:space="preserve"> </w:t>
      </w:r>
      <m:oMath>
        <m:r>
          <m:t>F</m:t>
        </m:r>
      </m:oMath>
      <w:r>
        <w:t xml:space="preserve">-scores (</w:t>
      </w:r>
      <m:oMath>
        <m:r>
          <m:t>0.87</m:t>
        </m:r>
      </m:oMath>
      <w:r>
        <w:t xml:space="preserve"> </w:t>
      </w:r>
      <w:r>
        <w:t xml:space="preserve">vs. </w:t>
      </w:r>
      <m:oMath>
        <m:r>
          <m:t>0.88</m:t>
        </m:r>
      </m:oMath>
      <w:r>
        <w:t xml:space="preserve">) while reducing review time by</w:t>
      </w:r>
      <w:r>
        <w:t xml:space="preserve"> </w:t>
      </w:r>
      <m:oMath>
        <m:r>
          <m:t>≈</m:t>
        </m:r>
        <m:r>
          <m:t>​</m:t>
        </m:r>
        <m:r>
          <m:t>100</m:t>
        </m:r>
        <m:r>
          <m:t>×</m:t>
        </m:r>
      </m:oMath>
      <w:r>
        <w:t xml:space="preserve"> [martin2024bettercallgpt], and independent benchmarks confirm</w:t>
      </w:r>
      <w:r>
        <w:t xml:space="preserve"> </w:t>
      </w:r>
      <w:r>
        <w:t xml:space="preserve">competitiveness on standardised clause-extraction</w:t>
      </w:r>
      <w:r>
        <w:t xml:space="preserve"> </w:t>
      </w:r>
      <w:r>
        <w:t xml:space="preserve">tasks [hendrycks2021cuad,liu2025contracteval]. Single-prompt deployments nonetheless</w:t>
      </w:r>
      <w:r>
        <w:t xml:space="preserve"> </w:t>
      </w:r>
      <w:r>
        <w:t xml:space="preserve">dominate commercial CLM, and three production failures persist: hallucination, prompt</w:t>
      </w:r>
      <w:r>
        <w:t xml:space="preserve"> </w:t>
      </w:r>
      <w:r>
        <w:t xml:space="preserve">sensitivity [chatterjee2024posix], and laziness: the silent default to</w:t>
      </w:r>
      <w:r>
        <w:t xml:space="preserve"> </w:t>
      </w:r>
      <w:r>
        <w:t xml:space="preserve">“</w:t>
      </w:r>
      <w:r>
        <w:t xml:space="preserve">no related clause</w:t>
      </w:r>
      <w:r>
        <w:t xml:space="preserve">”</w:t>
      </w:r>
      <w:r>
        <w:t xml:space="preserve"> </w:t>
      </w:r>
      <w:r>
        <w:t xml:space="preserve">even when the clause is present in the</w:t>
      </w:r>
      <w:r>
        <w:t xml:space="preserve"> </w:t>
      </w:r>
      <w:r>
        <w:t xml:space="preserve">contract [liu2025contracteval].</w:t>
      </w:r>
    </w:p>
    <w:p>
      <w:pPr>
        <w:pStyle w:val="BodyText"/>
      </w:pPr>
      <w:r>
        <w:t xml:space="preserve">Multi-agent architectures are the proposed remedy. Decomposing clause analysis into</w:t>
      </w:r>
      <w:r>
        <w:t xml:space="preserve"> </w:t>
      </w:r>
      <w:r>
        <w:t xml:space="preserve">specialised agents promises higher recall through specialisation and inspectable</w:t>
      </w:r>
      <w:r>
        <w:t xml:space="preserve"> </w:t>
      </w:r>
      <w:r>
        <w:t xml:space="preserve">per-decision provenance traces of the kind required under Article 13 of the</w:t>
      </w:r>
      <w:r>
        <w:t xml:space="preserve"> </w:t>
      </w:r>
      <w:r>
        <w:t xml:space="preserve">EU AI Act [euaiact2024] and Article 22 of the GDPR [gdpr2016].</w:t>
      </w:r>
      <w:r>
        <w:t xml:space="preserve"> </w:t>
      </w:r>
      <w:r>
        <w:t xml:space="preserve">Frameworks including AutoGen [wu2023autogen],</w:t>
      </w:r>
      <w:r>
        <w:t xml:space="preserve"> </w:t>
      </w:r>
      <w:r>
        <w:t xml:space="preserve">MetaGPT [hong2024metagpt], and Mixture-of-Agents [wang2024moa] have made such</w:t>
      </w:r>
      <w:r>
        <w:t xml:space="preserve"> </w:t>
      </w:r>
      <w:r>
        <w:t xml:space="preserve">architectures straightforward to instantiate. Whether they improve contract analysis</w:t>
      </w:r>
      <w:r>
        <w:t xml:space="preserve"> </w:t>
      </w:r>
      <w:r>
        <w:t xml:space="preserve">is an open empirical question.</w:t>
      </w:r>
    </w:p>
    <w:p>
      <w:pPr>
        <w:pStyle w:val="Heading2"/>
      </w:pPr>
      <w:bookmarkStart w:id="23" w:name="sec:gap"/>
      <w:r>
        <w:t xml:space="preserve">Research Gap</w:t>
      </w:r>
      <w:bookmarkEnd w:id="23"/>
    </w:p>
    <w:p>
      <w:pPr>
        <w:pStyle w:val="FirstParagraph"/>
      </w:pPr>
      <w:r>
        <w:t xml:space="preserve">Existing legal multi-agent systems (ChatLaw [cui2024chatlaw],</w:t>
      </w:r>
      <w:r>
        <w:t xml:space="preserve"> </w:t>
      </w:r>
      <w:r>
        <w:t xml:space="preserve">PAKTON [raptopoulos2025pakton], L-MARS [wang2025lmars]) each evaluate a single</w:t>
      </w:r>
      <w:r>
        <w:t xml:space="preserve"> </w:t>
      </w:r>
      <w:r>
        <w:t xml:space="preserve">architecture on a single benchmark without ablating the architectural choice itself. The</w:t>
      </w:r>
      <w:r>
        <w:t xml:space="preserve"> </w:t>
      </w:r>
      <w:r>
        <w:t xml:space="preserve">empirical question of which multi-agent pattern is preferable for clause-level contract</w:t>
      </w:r>
      <w:r>
        <w:t xml:space="preserve"> </w:t>
      </w:r>
      <w:r>
        <w:t xml:space="preserve">analysis under a fixed model and task remains unresolved.</w:t>
      </w:r>
    </w:p>
    <w:p>
      <w:pPr>
        <w:pStyle w:val="BodyText"/>
      </w:pPr>
      <w:r>
        <w:t xml:space="preserve">gao2025single show diminishing returns for frontier</w:t>
      </w:r>
      <w:r>
        <w:t xml:space="preserve"> </w:t>
      </w:r>
      <w:r>
        <w:t xml:space="preserve">models whose long-context reasoning absorbs the workload that previously required</w:t>
      </w:r>
      <w:r>
        <w:t xml:space="preserve"> </w:t>
      </w:r>
      <w:r>
        <w:t xml:space="preserve">decomposition. cemri2025why construct a 14-mode failure taxonomy</w:t>
      </w:r>
      <w:r>
        <w:t xml:space="preserve"> </w:t>
      </w:r>
      <w:r>
        <w:t xml:space="preserve">across seven multi-agent frameworks and report only modest 14–15% recovery from simple</w:t>
      </w:r>
      <w:r>
        <w:t xml:space="preserve"> </w:t>
      </w:r>
      <w:r>
        <w:t xml:space="preserve">interventions, suggesting structural rather than prompt-level causes.</w:t>
      </w:r>
      <w:r>
        <w:t xml:space="preserve"> </w:t>
      </w:r>
      <w:r>
        <w:t xml:space="preserve">bogavelli2025agentarch find no universally optimal architecture across frontier</w:t>
      </w:r>
      <w:r>
        <w:t xml:space="preserve"> </w:t>
      </w:r>
      <w:r>
        <w:t xml:space="preserve">models on enterprise tasks, with model–architecture interaction dominating absolute</w:t>
      </w:r>
      <w:r>
        <w:t xml:space="preserve"> </w:t>
      </w:r>
      <w:r>
        <w:t xml:space="preserve">architectural ranking.</w:t>
      </w:r>
    </w:p>
    <w:p>
      <w:pPr>
        <w:pStyle w:val="BodyText"/>
      </w:pPr>
      <w:r>
        <w:t xml:space="preserve">Prior CUAD evaluations [liu2025contracteval] have used inconsistent sampling</w:t>
      </w:r>
      <w:r>
        <w:t xml:space="preserve"> </w:t>
      </w:r>
      <w:r>
        <w:t xml:space="preserve">designs: inflated positive ratios produce optimistic precision estimates and mask</w:t>
      </w:r>
      <w:r>
        <w:t xml:space="preserve"> </w:t>
      </w:r>
      <w:r>
        <w:t xml:space="preserve">over-extraction as a failure mode (§</w:t>
      </w:r>
      <w:hyperlink w:anchor="sec:lit:cuad">
        <w:r>
          <w:rPr>
            <w:rStyle w:val="Hyperlink"/>
          </w:rPr>
          <w:t xml:space="preserve">3.4</w:t>
        </w:r>
      </w:hyperlink>
      <w:r>
        <w:t xml:space="preserve">).</w:t>
      </w:r>
    </w:p>
    <w:p>
      <w:pPr>
        <w:pStyle w:val="BodyText"/>
      </w:pPr>
      <w:r>
        <w:t xml:space="preserve">No published study simultaneously (i) cross-varies multi-agent architecture and</w:t>
      </w:r>
      <w:r>
        <w:t xml:space="preserve"> </w:t>
      </w:r>
      <w:r>
        <w:t xml:space="preserve">frontier-model family on CUAD, (ii) reports both laziness and over-extraction as</w:t>
      </w:r>
      <w:r>
        <w:t xml:space="preserve"> </w:t>
      </w:r>
      <w:r>
        <w:t xml:space="preserve">paired failure-mode metrics, (iii) applies paired statistical tests with</w:t>
      </w:r>
      <w:r>
        <w:t xml:space="preserve"> </w:t>
      </w:r>
      <w:r>
        <w:t xml:space="preserve">multiple-comparison correction, and (iv) ablates the multi-agent design against a</w:t>
      </w:r>
      <w:r>
        <w:t xml:space="preserve"> </w:t>
      </w:r>
      <w:r>
        <w:t xml:space="preserve">consolidated single-agent prompt. This thesis addresses all four requirements.</w:t>
      </w:r>
    </w:p>
    <w:p>
      <w:pPr>
        <w:pStyle w:val="Heading2"/>
      </w:pPr>
      <w:bookmarkStart w:id="24" w:name="sec:rqs"/>
      <w:r>
        <w:t xml:space="preserve">Research Questions</w:t>
      </w:r>
      <w:bookmarkEnd w:id="24"/>
    </w:p>
    <w:p>
      <w:pPr>
        <w:pStyle w:val="FirstParagraph"/>
      </w:pPr>
      <w:r>
        <w:rPr>
          <w:b/>
        </w:rPr>
        <w:t xml:space="preserve">Main RQ.</w:t>
      </w:r>
      <w:r>
        <w:t xml:space="preserve"> </w:t>
      </w:r>
      <w:r>
        <w:t xml:space="preserve">Under what conditions, if any, do multi-agent architectures</w:t>
      </w:r>
      <w:r>
        <w:t xml:space="preserve"> </w:t>
      </w:r>
      <w:r>
        <w:t xml:space="preserve">improve contract analysis accuracy, efficiency, and explainability in enterprise CLM</w:t>
      </w:r>
      <w:r>
        <w:t xml:space="preserve"> </w:t>
      </w:r>
      <w:r>
        <w:t xml:space="preserve">systems, and which architectural patterns are most effective?</w:t>
      </w:r>
    </w:p>
    <w:p>
      <w:pPr>
        <w:pStyle w:val="DefinitionTerm"/>
      </w:pPr>
      <w:r>
        <w:rPr>
          <w:b/>
        </w:rPr>
        <w:t xml:space="preserve">RQ1.</w:t>
      </w:r>
    </w:p>
    <w:p>
      <w:pPr>
        <w:pStyle w:val="Definition"/>
      </w:pPr>
      <w:r>
        <w:t xml:space="preserve">Under what model-family and prevalence conditions does each</w:t>
      </w:r>
      <w:r>
        <w:t xml:space="preserve"> </w:t>
      </w:r>
      <w:r>
        <w:t xml:space="preserve">architectural pattern — pipeline decomposition, specialist routing, or consolidated</w:t>
      </w:r>
      <w:r>
        <w:t xml:space="preserve"> </w:t>
      </w:r>
      <w:r>
        <w:t xml:space="preserve">prompting — achieve the highest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DefinitionTerm"/>
      </w:pPr>
      <w:r>
        <w:rPr>
          <w:b/>
        </w:rPr>
        <w:t xml:space="preserve">RQ2.</w:t>
      </w:r>
    </w:p>
    <w:p>
      <w:pPr>
        <w:pStyle w:val="Definition"/>
      </w:pPr>
      <w:r>
        <w:t xml:space="preserve">How do multi-agent configurations compare to single-agent baselines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provider cost across clause categories and contract lengths?</w:t>
      </w:r>
    </w:p>
    <w:p>
      <w:pPr>
        <w:pStyle w:val="DefinitionTerm"/>
      </w:pPr>
      <w:r>
        <w:rPr>
          <w:b/>
        </w:rPr>
        <w:t xml:space="preserve">RQ3.</w:t>
      </w:r>
    </w:p>
    <w:p>
      <w:pPr>
        <w:pStyle w:val="Definition"/>
      </w:pPr>
      <w:r>
        <w:t xml:space="preserve">Which auditability properties (trace completeness, decision</w:t>
      </w:r>
      <w:r>
        <w:t xml:space="preserve"> </w:t>
      </w:r>
      <w:r>
        <w:t xml:space="preserve">attribution, span grounding) does each architectural configuration enable?</w:t>
      </w:r>
    </w:p>
    <w:p>
      <w:pPr>
        <w:pStyle w:val="Heading2"/>
      </w:pPr>
      <w:bookmarkStart w:id="25" w:name="sec:hypotheses"/>
      <w:r>
        <w:t xml:space="preserve">Hypotheses</w:t>
      </w:r>
      <w:bookmarkEnd w:id="25"/>
    </w:p>
    <w:p>
      <w:pPr>
        <w:pStyle w:val="DefinitionTerm"/>
      </w:pPr>
      <w:r>
        <w:rPr>
          <w:b/>
        </w:rPr>
        <w:t xml:space="preserve">H1.</w:t>
      </w:r>
    </w:p>
    <w:p>
      <w:pPr>
        <w:pStyle w:val="Definition"/>
      </w:pPr>
      <w:r>
        <w:t xml:space="preserve">Multi-agent configurations consistently outperform the</w:t>
      </w:r>
      <w:r>
        <w:t xml:space="preserve"> </w:t>
      </w:r>
      <w:r>
        <w:t xml:space="preserve">strongest single-agent baseline 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across the model panel</w:t>
      </w:r>
      <w:r>
        <w:t xml:space="preserve"> </w:t>
      </w:r>
      <w:r>
        <w:t xml:space="preserve">(defined in §</w:t>
      </w:r>
      <w:hyperlink w:anchor="sec:lit:eval">
        <w:r>
          <w:rPr>
            <w:rStyle w:val="Hyperlink"/>
          </w:rPr>
          <w:t xml:space="preserve">3.8</w:t>
        </w:r>
      </w:hyperlink>
      <w:r>
        <w:t xml:space="preserve">; McNemar exact,</w:t>
      </w:r>
      <w:r>
        <w:t xml:space="preserve"> </w:t>
      </w:r>
      <m:oMath>
        <m:r>
          <m:t>α</m:t>
        </m:r>
        <m: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Benjamini–Hochberg corrected; consistency operationalised in §</w:t>
      </w:r>
      <w:hyperlink w:anchor="sec:meth:hypotheses">
        <w:r>
          <w:rPr>
            <w:rStyle w:val="Hyperlink"/>
          </w:rPr>
          <w:t xml:space="preserve">4.5</w:t>
        </w:r>
      </w:hyperlink>
      <w:r>
        <w:t xml:space="preserve">).</w:t>
      </w:r>
    </w:p>
    <w:p>
      <w:pPr>
        <w:pStyle w:val="DefinitionTerm"/>
      </w:pPr>
      <w:r>
        <w:rPr>
          <w:b/>
        </w:rPr>
        <w:t xml:space="preserve">H2.</w:t>
      </w:r>
    </w:p>
    <w:p>
      <w:pPr>
        <w:pStyle w:val="Definition"/>
      </w:pPr>
      <w:r>
        <w:t xml:space="preserve">Multi-agent configurations consistently reduce the rare–common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gap relative to single-agent baselines across the model panel</w:t>
      </w:r>
      <w:r>
        <w:t xml:space="preserve"> </w:t>
      </w:r>
      <w:r>
        <w:t xml:space="preserve">(paired bootstrap on gap difference, 95% CI).</w:t>
      </w:r>
    </w:p>
    <w:p>
      <w:pPr>
        <w:pStyle w:val="DefinitionTerm"/>
      </w:pPr>
      <w:r>
        <w:rPr>
          <w:b/>
        </w:rPr>
        <w:t xml:space="preserve">H3.</w:t>
      </w:r>
    </w:p>
    <w:p>
      <w:pPr>
        <w:pStyle w:val="Definition"/>
      </w:pPr>
      <w:r>
        <w:t xml:space="preserve"> (M1) is statistically distinguishable</w:t>
      </w:r>
      <w:r>
        <w:t xml:space="preserve"> </w:t>
      </w:r>
      <w:r>
        <w:t xml:space="preserve">from  (M2) 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(two-sided McNemar exact).</w:t>
      </w:r>
    </w:p>
    <w:p>
      <w:pPr>
        <w:pStyle w:val="FirstParagraph"/>
      </w:pPr>
      <w:r>
        <w:t xml:space="preserve">RQ3 is descriptive: it asks which auditability properties each configuration</w:t>
      </w:r>
      <w:r>
        <w:t xml:space="preserve"> </w:t>
      </w:r>
      <w:r>
        <w:t xml:space="preserve">enables, and is therefore addressed by system-design documentation rather</w:t>
      </w:r>
      <w:r>
        <w:t xml:space="preserve"> </w:t>
      </w:r>
      <w:r>
        <w:t xml:space="preserve">than statistical hypothesis test. The per-configuration trace primitives are</w:t>
      </w:r>
      <w:r>
        <w:t xml:space="preserve"> </w:t>
      </w:r>
      <w:r>
        <w:t xml:space="preserve">catalogued in Section </w:t>
      </w:r>
      <w:hyperlink w:anchor="sec:auditability">
        <w:r>
          <w:rPr>
            <w:rStyle w:val="Hyperlink"/>
          </w:rPr>
          <w:t xml:space="preserve">[sec:auditability]</w:t>
        </w:r>
      </w:hyperlink>
      <w:r>
        <w:t xml:space="preserve"> </w:t>
      </w:r>
      <w:r>
        <w:t xml:space="preserve">and the schema-enforced grounding rates</w:t>
      </w:r>
      <w:r>
        <w:t xml:space="preserve"> </w:t>
      </w:r>
      <w:r>
        <w:t xml:space="preserve">are reported in Table </w:t>
      </w:r>
      <w:hyperlink w:anchor="tab:grounding">
        <w:r>
          <w:rPr>
            <w:rStyle w:val="Hyperlink"/>
          </w:rPr>
          <w:t xml:space="preserve">6.9</w:t>
        </w:r>
      </w:hyperlink>
      <w:r>
        <w:t xml:space="preserve">.</w:t>
      </w:r>
    </w:p>
    <w:p>
      <w:pPr>
        <w:pStyle w:val="Heading2"/>
      </w:pPr>
      <w:bookmarkStart w:id="26" w:name="sec:contributions"/>
      <w:r>
        <w:t xml:space="preserve">Contributions</w:t>
      </w:r>
      <w:bookmarkEnd w:id="26"/>
    </w:p>
    <w:p>
      <w:pPr>
        <w:pStyle w:val="DefinitionTerm"/>
      </w:pPr>
      <w:r>
        <w:rPr>
          <w:b/>
        </w:rPr>
        <w:t xml:space="preserve">C1</w:t>
      </w:r>
    </w:p>
    <w:p>
      <w:pPr>
        <w:pStyle w:val="Definition"/>
      </w:pPr>
      <w:r>
        <w:rPr>
          <w:b/>
        </w:rPr>
        <w:t xml:space="preserve">Cross-architecture benchmark.</w:t>
      </w:r>
      <w:r>
        <w:t xml:space="preserve"> </w:t>
      </w:r>
      <w:r>
        <w:t xml:space="preserve">5 configurations</w:t>
      </w:r>
      <w:r>
        <w:t xml:space="preserve"> </w:t>
      </w:r>
      <m:oMath>
        <m:r>
          <m:t>×</m:t>
        </m:r>
      </m:oMath>
      <w:r>
        <w:t xml:space="preserve"> </w:t>
      </w:r>
      <w:r>
        <w:t xml:space="preserve">11 frontier models on CUAD, yielding 163</w:t>
      </w:r>
      <w:r>
        <w:t xml:space="preserve">,</w:t>
      </w:r>
      <w:r>
        <w:t xml:space="preserve">644 paired predictions</w:t>
      </w:r>
      <w:r>
        <w:t xml:space="preserve"> </w:t>
      </w:r>
      <w:r>
        <w:t xml:space="preserve">analysed under McNemar exact, paired bootstrap, and BH correction</w:t>
      </w:r>
      <w:r>
        <w:t xml:space="preserve"> </w:t>
      </w:r>
      <w:r>
        <w:t xml:space="preserve">(Chapter </w:t>
      </w:r>
      <w:hyperlink w:anchor="chapter:methodology">
        <w:r>
          <w:rPr>
            <w:rStyle w:val="Hyperlink"/>
          </w:rPr>
          <w:t xml:space="preserve">4</w:t>
        </w:r>
      </w:hyperlink>
      <w:r>
        <w:t xml:space="preserve">).</w:t>
      </w:r>
    </w:p>
    <w:p>
      <w:pPr>
        <w:pStyle w:val="DefinitionTerm"/>
      </w:pPr>
      <w:r>
        <w:rPr>
          <w:b/>
        </w:rPr>
        <w:t xml:space="preserve">C2</w:t>
      </w:r>
    </w:p>
    <w:p>
      <w:pPr>
        <w:pStyle w:val="Definition"/>
      </w:pPr>
      <w:r>
        <w:rPr>
          <w:b/>
        </w:rPr>
        <w:t xml:space="preserve">Family</w:t>
      </w:r>
      <w:r>
        <w:rPr>
          <w:b/>
        </w:rPr>
        <w:t xml:space="preserve"> </w:t>
      </w:r>
      <m:oMath>
        <m:r>
          <m:t>×</m:t>
        </m:r>
      </m:oMath>
      <w:r>
        <w:rPr>
          <w:b/>
        </w:rPr>
        <w:t xml:space="preserve"> </w:t>
      </w:r>
      <w:r>
        <w:rPr>
          <w:b/>
        </w:rPr>
        <w:t xml:space="preserve">tier interaction.</w:t>
      </w:r>
      <w:r>
        <w:t xml:space="preserve"> </w:t>
      </w:r>
      <w:r>
        <w:t xml:space="preserve">Pooled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spans a</w:t>
      </w:r>
      <w:r>
        <w:t xml:space="preserve"> </w:t>
      </w:r>
      <m:oMath>
        <m:r>
          <m:t>0.011</m:t>
        </m:r>
      </m:oMath>
      <w:r>
        <w:t xml:space="preserve">-point band across configurations; per-family and per-tier</w:t>
      </w:r>
      <w:r>
        <w:t xml:space="preserve"> </w:t>
      </w:r>
      <w:r>
        <w:t xml:space="preserve">winners differ, so no architecture is universally optimal</w:t>
      </w:r>
      <w:r>
        <w:t xml:space="preserve"> </w:t>
      </w:r>
      <w:r>
        <w:t xml:space="preserve">(Section </w:t>
      </w:r>
      <w:hyperlink w:anchor="sec:res:h1">
        <w:r>
          <w:rPr>
            <w:rStyle w:val="Hyperlink"/>
          </w:rPr>
          <w:t xml:space="preserve">6.2</w:t>
        </w:r>
      </w:hyperlink>
      <w:r>
        <w:t xml:space="preserve">).</w:t>
      </w:r>
    </w:p>
    <w:p>
      <w:pPr>
        <w:pStyle w:val="DefinitionTerm"/>
      </w:pPr>
      <w:r>
        <w:rPr>
          <w:b/>
        </w:rPr>
        <w:t xml:space="preserve">C3</w:t>
      </w:r>
    </w:p>
    <w:p>
      <w:pPr>
        <w:pStyle w:val="Definition"/>
      </w:pPr>
      <w:r>
        <w:rPr>
          <w:b/>
        </w:rPr>
        <w:t xml:space="preserve">Classification-gate cascade.</w:t>
      </w:r>
      <w:r>
        <w:t xml:space="preserve"> </w:t>
      </w:r>
      <w:r>
        <w:t xml:space="preserve">Pipeline</w:t>
      </w:r>
      <w:r>
        <w:t xml:space="preserve"> </w:t>
      </w:r>
      <w:r>
        <w:t xml:space="preserve">decomposition exhibits an upstream-rejection cascade: Gemini 2.5 Flash’s</w:t>
      </w:r>
      <w:r>
        <w:t xml:space="preserve"> </w:t>
      </w:r>
      <w:r>
        <w:t xml:space="preserve">false-negative rate rises from</w:t>
      </w:r>
      <w:r>
        <w:t xml:space="preserve"> </w:t>
      </w:r>
      <m:oMath>
        <m:r>
          <m:t>9.6</m:t>
        </m:r>
        <m:r>
          <m:t>%</m:t>
        </m:r>
      </m:oMath>
      <w:r>
        <w:t xml:space="preserve"> </w:t>
      </w:r>
      <w:r>
        <w:t xml:space="preserve">under  to</w:t>
      </w:r>
      <w:r>
        <w:t xml:space="preserve"> </w:t>
      </w:r>
      <m:oMath>
        <m:r>
          <m:t>42.2</m:t>
        </m:r>
        <m:r>
          <m:t>%</m:t>
        </m:r>
      </m:oMath>
      <w:r>
        <w:t xml:space="preserve"> </w:t>
      </w:r>
      <w:r>
        <w:t xml:space="preserve">under ,</w:t>
      </w:r>
      <w:r>
        <w:t xml:space="preserve"> </w:t>
      </w:r>
      <w:r>
        <w:t xml:space="preserve">of which</w:t>
      </w:r>
      <w:r>
        <w:t xml:space="preserve"> </w:t>
      </w:r>
      <m:oMath>
        <m:r>
          <m:t>97.9</m:t>
        </m:r>
        <m:r>
          <m:t>%</m:t>
        </m:r>
      </m:oMath>
      <w:r>
        <w:t xml:space="preserve"> </w:t>
      </w:r>
      <w:r>
        <w:t xml:space="preserve">is gate-attributable. Direction is predictable from a B0</w:t>
      </w:r>
      <w:r>
        <w:t xml:space="preserve"> </w:t>
      </w:r>
      <w:r>
        <w:t xml:space="preserve">calibration pass (Section </w:t>
      </w:r>
      <w:hyperlink w:anchor="sec:res:cascade">
        <w:r>
          <w:rPr>
            <w:rStyle w:val="Hyperlink"/>
          </w:rPr>
          <w:t xml:space="preserve">6.5</w:t>
        </w:r>
      </w:hyperlink>
      <w:r>
        <w:t xml:space="preserve">).</w:t>
      </w:r>
    </w:p>
    <w:p>
      <w:pPr>
        <w:pStyle w:val="DefinitionTerm"/>
      </w:pPr>
      <w:r>
        <w:rPr>
          <w:b/>
        </w:rPr>
        <w:t xml:space="preserve">C4</w:t>
      </w:r>
    </w:p>
    <w:p>
      <w:pPr>
        <w:pStyle w:val="Definition"/>
      </w:pPr>
      <w:r>
        <w:rPr>
          <w:b/>
        </w:rPr>
        <w:t xml:space="preserve">Routing redundancy.</w:t>
      </w:r>
      <w:r>
        <w:t xml:space="preserve"> </w:t>
      </w:r>
      <w:r>
        <w:t xml:space="preserve">The LLM router agrees with</w:t>
      </w:r>
      <w:r>
        <w:t xml:space="preserve"> </w:t>
      </w:r>
      <w:r>
        <w:t xml:space="preserve">a deterministic category-to-specialist mapping on</w:t>
      </w:r>
      <w:r>
        <w:t xml:space="preserve"> </w:t>
      </w:r>
      <m:oMath>
        <m:r>
          <m:t>99.91</m:t>
        </m:r>
        <m:r>
          <m:t>%</m:t>
        </m:r>
      </m:oMath>
      <w:r>
        <w:t xml:space="preserve"> </w:t>
      </w:r>
      <w:r>
        <w:t xml:space="preserve">of requests,</w:t>
      </w:r>
      <w:r>
        <w:t xml:space="preserve"> </w:t>
      </w:r>
      <w:r>
        <w:t xml:space="preserve">and the consolidated ablation matches it 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while producing tighter</w:t>
      </w:r>
      <w:r>
        <w:t xml:space="preserve"> </w:t>
      </w:r>
      <w:r>
        <w:t xml:space="preserve">spans (Section </w:t>
      </w:r>
      <w:hyperlink w:anchor="sec:res:h3">
        <w:r>
          <w:rPr>
            <w:rStyle w:val="Hyperlink"/>
          </w:rPr>
          <w:t xml:space="preserve">6.4</w:t>
        </w:r>
      </w:hyperlink>
      <w:r>
        <w:t xml:space="preserve">).</w:t>
      </w:r>
    </w:p>
    <w:p>
      <w:pPr>
        <w:pStyle w:val="FirstParagraph"/>
      </w:pPr>
      <w:r>
        <w:t xml:space="preserve">The full source code, prompt registry, experiment configurations, and run</w:t>
      </w:r>
      <w:r>
        <w:t xml:space="preserve"> </w:t>
      </w:r>
      <w:r>
        <w:t xml:space="preserve">artefacts underlying every table and figure are released at</w:t>
      </w:r>
      <w:r>
        <w:t xml:space="preserve"> </w:t>
      </w:r>
      <w:hyperlink r:id="rId27">
        <w:r>
          <w:rPr>
            <w:rStyle w:val="Hyperlink"/>
          </w:rPr>
          <w:t xml:space="preserve">https://github.com/ndtrung00/agentic-ai-for-clm</w:t>
        </w:r>
      </w:hyperlink>
      <w:r>
        <w:t xml:space="preserve"> </w:t>
      </w:r>
      <w:r>
        <w:t xml:space="preserve">(Section </w:t>
      </w:r>
      <w:hyperlink w:anchor="sec:sys:opensource">
        <w:r>
          <w:rPr>
            <w:rStyle w:val="Hyperlink"/>
          </w:rPr>
          <w:t xml:space="preserve">5.7.0.0.5</w:t>
        </w:r>
      </w:hyperlink>
      <w:r>
        <w:t xml:space="preserve">).</w:t>
      </w:r>
    </w:p>
    <w:p>
      <w:pPr>
        <w:pStyle w:val="Heading2"/>
      </w:pPr>
      <w:bookmarkStart w:id="28" w:name="sec:outline"/>
      <w:r>
        <w:t xml:space="preserve">Thesis Outline</w:t>
      </w:r>
      <w:bookmarkEnd w:id="28"/>
    </w:p>
    <w:p>
      <w:pPr>
        <w:pStyle w:val="FirstParagraph"/>
      </w:pPr>
      <w:r>
        <w:t xml:space="preserve">defines the foundational concepts (LLMs, agentic systems, CUAD, CLM) and surveys</w:t>
      </w:r>
      <w:r>
        <w:t xml:space="preserve"> </w:t>
      </w:r>
      <w:r>
        <w:t xml:space="preserve">prior multi-agent legal-AI systems along four dimensions: topology, routing,</w:t>
      </w:r>
      <w:r>
        <w:t xml:space="preserve"> </w:t>
      </w:r>
      <w:r>
        <w:t xml:space="preserve">specialisation granularity, and verification structure.</w:t>
      </w:r>
      <w:r>
        <w:t xml:space="preserve"> </w:t>
      </w:r>
      <w:r>
        <w:t xml:space="preserve">specifies the</w:t>
      </w:r>
      <w:r>
        <w:t xml:space="preserve"> </w:t>
      </w:r>
      <w:r>
        <w:t xml:space="preserve">five configurations (B0–M2), the 11-model panel, the sampling strategy, the three</w:t>
      </w:r>
      <w:r>
        <w:t xml:space="preserve"> </w:t>
      </w:r>
      <w:r>
        <w:t xml:space="preserve">pre-registered hypotheses, and the statistical test suite.</w:t>
      </w:r>
      <w:r>
        <w:t xml:space="preserve"> </w:t>
      </w:r>
      <w:r>
        <w:t xml:space="preserve">documents</w:t>
      </w:r>
      <w:r>
        <w:t xml:space="preserve"> </w:t>
      </w:r>
      <w:r>
        <w:t xml:space="preserve">the LangGraph implementation, the YAML prompt registry, the output schema, and the</w:t>
      </w:r>
      <w:r>
        <w:t xml:space="preserve"> </w:t>
      </w:r>
      <w:r>
        <w:t xml:space="preserve">reproducibility infrastructure.</w:t>
      </w:r>
      <w:r>
        <w:t xml:space="preserve"> </w:t>
      </w:r>
      <w:r>
        <w:t xml:space="preserve">reports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precision, recall, cost, and span-quality results across the 55-run grid and tests</w:t>
      </w:r>
      <w:r>
        <w:t xml:space="preserve"> </w:t>
      </w:r>
      <w:r>
        <w:t xml:space="preserve">H1–H3.</w:t>
      </w:r>
      <w:r>
        <w:t xml:space="preserve"> </w:t>
      </w:r>
      <w:r>
        <w:t xml:space="preserve">interprets the</w:t>
      </w:r>
      <w:r>
        <w:t xml:space="preserve"> </w:t>
      </w:r>
      <w:r>
        <w:t xml:space="preserve">headline null result, the classification-gate cascade, routing redundancy, and</w:t>
      </w:r>
      <w:r>
        <w:t xml:space="preserve"> </w:t>
      </w:r>
      <w:r>
        <w:t xml:space="preserve">operating-point sensitivity.</w:t>
      </w:r>
      <w:r>
        <w:t xml:space="preserve"> </w:t>
      </w:r>
      <w:r>
        <w:t xml:space="preserve">restates the four</w:t>
      </w:r>
      <w:r>
        <w:t xml:space="preserve"> </w:t>
      </w:r>
      <w:r>
        <w:t xml:space="preserve">contributions, answers the research questions, and identifies three open directions.</w:t>
      </w:r>
    </w:p>
    <w:p>
      <w:pPr>
        <w:pStyle w:val="Heading1"/>
      </w:pPr>
      <w:bookmarkStart w:id="29" w:name="chapter:literature-review"/>
      <w:r>
        <w:t xml:space="preserve">Background and Related Work</w:t>
      </w:r>
      <w:bookmarkEnd w:id="29"/>
    </w:p>
    <w:p>
      <w:pPr>
        <w:pStyle w:val="FirstParagraph"/>
      </w:pPr>
      <w:r>
        <w:t xml:space="preserve">Evaluating whether multi-agent architectures improve contract clause extraction</w:t>
      </w:r>
      <w:r>
        <w:t xml:space="preserve"> </w:t>
      </w:r>
      <w:r>
        <w:t xml:space="preserve">requires grounding in four technical areas: what CLM systems do and where</w:t>
      </w:r>
      <w:r>
        <w:t xml:space="preserve"> </w:t>
      </w:r>
      <w:r>
        <w:t xml:space="preserve">extraction fits within them (Section </w:t>
      </w:r>
      <w:hyperlink w:anchor="sec:lit:clm">
        <w:r>
          <w:rPr>
            <w:rStyle w:val="Hyperlink"/>
          </w:rPr>
          <w:t xml:space="preserve">3.1</w:t>
        </w:r>
      </w:hyperlink>
      <w:r>
        <w:t xml:space="preserve">), how LLMs generate text and</w:t>
      </w:r>
      <w:r>
        <w:t xml:space="preserve"> </w:t>
      </w:r>
      <w:r>
        <w:t xml:space="preserve">why long-context tasks are structurally different (Section </w:t>
      </w:r>
      <w:hyperlink w:anchor="sec:lit:llm-background">
        <w:r>
          <w:rPr>
            <w:rStyle w:val="Hyperlink"/>
          </w:rPr>
          <w:t xml:space="preserve">3.2</w:t>
        </w:r>
      </w:hyperlink>
      <w:r>
        <w:t xml:space="preserve">), what</w:t>
      </w:r>
      <w:r>
        <w:t xml:space="preserve"> </w:t>
      </w:r>
      <w:r>
        <w:t xml:space="preserve">agentic decomposition adds and at what cost (Section </w:t>
      </w:r>
      <w:hyperlink w:anchor="sec:lit:mas-background">
        <w:r>
          <w:rPr>
            <w:rStyle w:val="Hyperlink"/>
          </w:rPr>
          <w:t xml:space="preserve">3.3</w:t>
        </w:r>
      </w:hyperlink>
      <w:r>
        <w:t xml:space="preserve">),</w:t>
      </w:r>
      <w:r>
        <w:t xml:space="preserve"> </w:t>
      </w:r>
      <w:r>
        <w:t xml:space="preserve">and what CUAD measures and why its class distribution matters</w:t>
      </w:r>
      <w:r>
        <w:t xml:space="preserve"> </w:t>
      </w:r>
      <w:r>
        <w:t xml:space="preserve">(Section </w:t>
      </w:r>
      <w:hyperlink w:anchor="sec:lit:cuad">
        <w:r>
          <w:rPr>
            <w:rStyle w:val="Hyperlink"/>
          </w:rPr>
          <w:t xml:space="preserve">3.4</w:t>
        </w:r>
      </w:hyperlink>
      <w:r>
        <w:t xml:space="preserve">). Sections </w:t>
      </w:r>
      <w:hyperlink w:anchor="sec:lit:methods">
        <w:r>
          <w:rPr>
            <w:rStyle w:val="Hyperlink"/>
          </w:rPr>
          <w:t xml:space="preserve">3.5</w:t>
        </w:r>
      </w:hyperlink>
      <w:r>
        <w:t xml:space="preserve">–</w:t>
      </w:r>
      <w:hyperlink w:anchor="sec:lit:eval">
        <w:r>
          <w:rPr>
            <w:rStyle w:val="Hyperlink"/>
          </w:rPr>
          <w:t xml:space="preserve">3.8</w:t>
        </w:r>
      </w:hyperlink>
      <w:r>
        <w:t xml:space="preserve"> </w:t>
      </w:r>
      <w:r>
        <w:t xml:space="preserve">then place the five configurations studied here against prior single-agent and</w:t>
      </w:r>
      <w:r>
        <w:t xml:space="preserve"> </w:t>
      </w:r>
      <w:r>
        <w:t xml:space="preserve">multi-agent contract systems, survey evidence on when decomposition helps and</w:t>
      </w:r>
      <w:r>
        <w:t xml:space="preserve"> </w:t>
      </w:r>
      <w:r>
        <w:t xml:space="preserve">when it does not, and establish the evaluation conventions inherited from</w:t>
      </w:r>
      <w:r>
        <w:t xml:space="preserve"> </w:t>
      </w:r>
      <w:r>
        <w:t xml:space="preserve">ContractEval [liu2025contracteval].</w:t>
      </w:r>
      <w:r>
        <w:t xml:space="preserve"> </w:t>
      </w:r>
      <w:r>
        <w:t xml:space="preserve">Section </w:t>
      </w:r>
      <w:hyperlink w:anchor="sec:lit:synthesis">
        <w:r>
          <w:rPr>
            <w:rStyle w:val="Hyperlink"/>
          </w:rPr>
          <w:t xml:space="preserve">3.9</w:t>
        </w:r>
      </w:hyperlink>
      <w:r>
        <w:t xml:space="preserve"> </w:t>
      </w:r>
      <w:r>
        <w:t xml:space="preserve">consolidates the open empirical question this</w:t>
      </w:r>
      <w:r>
        <w:t xml:space="preserve"> </w:t>
      </w:r>
      <w:r>
        <w:t xml:space="preserve">thesis addresses.</w:t>
      </w:r>
    </w:p>
    <w:p>
      <w:pPr>
        <w:pStyle w:val="Heading2"/>
      </w:pPr>
      <w:bookmarkStart w:id="30" w:name="sec:lit:clm"/>
      <w:r>
        <w:t xml:space="preserve">Contract Lifecycle Management</w:t>
      </w:r>
      <w:bookmarkEnd w:id="30"/>
    </w:p>
    <w:p>
      <w:pPr>
        <w:pStyle w:val="FirstParagraph"/>
      </w:pPr>
      <w:r>
        <w:t xml:space="preserve">CLM denotes the systematic management of a contractual agreement across six</w:t>
      </w:r>
      <w:r>
        <w:t xml:space="preserve"> </w:t>
      </w:r>
      <w:r>
        <w:t xml:space="preserve">canonical stages: request, author, negotiate, execute, monitor, and renew or</w:t>
      </w:r>
      <w:r>
        <w:t xml:space="preserve"> </w:t>
      </w:r>
      <w:r>
        <w:t xml:space="preserve">retire [worldcc2025benchmark].</w:t>
      </w:r>
      <w:r>
        <w:t xml:space="preserve"> </w:t>
      </w:r>
      <w:r>
        <w:t xml:space="preserve">Each transition produces auditable artefacts (drafts, redlines, signature blocks,</w:t>
      </w:r>
      <w:r>
        <w:t xml:space="preserve"> </w:t>
      </w:r>
      <w:r>
        <w:t xml:space="preserve">obligation registers), and each stage admits distinct algorithmic interventions,</w:t>
      </w:r>
      <w:r>
        <w:t xml:space="preserve"> </w:t>
      </w:r>
      <w:r>
        <w:t xml:space="preserve">from clause assembly at the authoring stage to obligation extraction at the</w:t>
      </w:r>
      <w:r>
        <w:t xml:space="preserve"> </w:t>
      </w:r>
      <w:r>
        <w:t xml:space="preserve">monitoring stage. Figure </w:t>
      </w:r>
      <w:hyperlink w:anchor="fig:clm-lifecycle">
        <w:r>
          <w:rPr>
            <w:rStyle w:val="Hyperlink"/>
          </w:rPr>
          <w:t xml:space="preserve">[fig:clm-lifecycle]</w:t>
        </w:r>
      </w:hyperlink>
      <w:r>
        <w:t xml:space="preserve"> </w:t>
      </w:r>
      <w:r>
        <w:t xml:space="preserve">visualises the lifecycle;</w:t>
      </w:r>
      <w:r>
        <w:t xml:space="preserve"> </w:t>
      </w:r>
      <w:r>
        <w:t xml:space="preserve">the NLP-heavy stages are highlighted.</w:t>
      </w:r>
    </w:p>
    <w:p>
      <w:pPr>
        <w:pStyle w:val="BodyText"/>
      </w:pPr>
      <w:r>
        <w:rPr>
          <w:i/>
        </w:rPr>
        <w:t xml:space="preserve">[Figure/diagram in LaTeX source (tikzpicture); see PDF]</w:t>
      </w:r>
    </w:p>
    <w:p>
      <w:pPr>
        <w:pStyle w:val="BodyText"/>
      </w:pPr>
      <w:r>
        <w:t xml:space="preserve">World Commerce &amp; Contracting estimates that organisations forfeit</w:t>
      </w:r>
      <w:r>
        <w:t xml:space="preserve"> </w:t>
      </w:r>
      <m:oMath>
        <m:r>
          <m:t>≈</m:t>
        </m:r>
        <m:r>
          <m:t>​</m:t>
        </m:r>
        <m:r>
          <m:t>9</m:t>
        </m:r>
        <m:r>
          <m:t>%</m:t>
        </m:r>
      </m:oMath>
      <w:r>
        <w:t xml:space="preserve"> </w:t>
      </w:r>
      <w:r>
        <w:t xml:space="preserve">of annual contract value through poor contract management, with detection-stage</w:t>
      </w:r>
      <w:r>
        <w:t xml:space="preserve"> </w:t>
      </w:r>
      <w:r>
        <w:t xml:space="preserve">failures (missed clauses, unobserved obligations, undetected deviations) dominating</w:t>
      </w:r>
      <w:r>
        <w:t xml:space="preserve"> </w:t>
      </w:r>
      <w:r>
        <w:t xml:space="preserve">the loss distribution [worldcc2025benchmark]. Goldman Sachs places the total</w:t>
      </w:r>
      <w:r>
        <w:t xml:space="preserve"> </w:t>
      </w:r>
      <w:r>
        <w:t xml:space="preserve">addressable population of U.S. legal-services tasks exposed to generative AI at</w:t>
      </w:r>
      <w:r>
        <w:t xml:space="preserve"> </w:t>
      </w:r>
      <w:r>
        <w:t xml:space="preserve">approximately 44%, with contract review repeatedly identified as the</w:t>
      </w:r>
      <w:r>
        <w:t xml:space="preserve"> </w:t>
      </w:r>
      <w:r>
        <w:t xml:space="preserve">highest-exposure subset [goldmansachs2023ai].</w:t>
      </w:r>
    </w:p>
    <w:p>
      <w:pPr>
        <w:pStyle w:val="BodyText"/>
      </w:pPr>
      <w:r>
        <w:t xml:space="preserve">The commercial CLM market is consolidated around platforms documented in the</w:t>
      </w:r>
      <w:r>
        <w:t xml:space="preserve"> </w:t>
      </w:r>
      <w:r>
        <w:t xml:space="preserve">Gartner Magic Quadrant for Contract Life Cycle Management [gartner2024clm].</w:t>
      </w:r>
      <w:r>
        <w:t xml:space="preserve"> </w:t>
      </w:r>
      <w:r>
        <w:t xml:space="preserve">Sirion, Icertis, Ironclad, and</w:t>
      </w:r>
      <w:r>
        <w:t xml:space="preserve"> </w:t>
      </w:r>
      <w:r>
        <w:t xml:space="preserve">DocuSign are the four vendors consistently designated Leaders, each having rebuilt</w:t>
      </w:r>
      <w:r>
        <w:t xml:space="preserve"> </w:t>
      </w:r>
      <w:r>
        <w:t xml:space="preserve">portions of their analysis stack on LLMs since 2023. Sirion markets an Extraction</w:t>
      </w:r>
      <w:r>
        <w:t xml:space="preserve"> </w:t>
      </w:r>
      <w:r>
        <w:t xml:space="preserve">Agent and a Redline Agent under an</w:t>
      </w:r>
      <w:r>
        <w:t xml:space="preserve"> </w:t>
      </w:r>
      <w:r>
        <w:t xml:space="preserve">“</w:t>
      </w:r>
      <w:r>
        <w:t xml:space="preserve">agentic</w:t>
      </w:r>
      <w:r>
        <w:t xml:space="preserve">”</w:t>
      </w:r>
      <w:r>
        <w:t xml:space="preserve"> </w:t>
      </w:r>
      <w:r>
        <w:t xml:space="preserve">architecture. Icertis ships ICI Copilots</w:t>
      </w:r>
      <w:r>
        <w:t xml:space="preserve"> </w:t>
      </w:r>
      <w:r>
        <w:t xml:space="preserve">backed by the Microsoft Azure OpenAI Service. Ironclad embeds AI Assist for redlining</w:t>
      </w:r>
      <w:r>
        <w:t xml:space="preserve"> </w:t>
      </w:r>
      <w:r>
        <w:t xml:space="preserve">and Repository AI for post-signature search. DocuSign closed its US$165M acquisition</w:t>
      </w:r>
      <w:r>
        <w:t xml:space="preserve"> </w:t>
      </w:r>
      <w:r>
        <w:t xml:space="preserve">of Lexion in May 2024, folding Lexion’s analytics into the Intelligent Agreement</w:t>
      </w:r>
      <w:r>
        <w:t xml:space="preserve"> </w:t>
      </w:r>
      <w:r>
        <w:t xml:space="preserve">Management (IAM) platform. Adjacent vendors include Spellbook (in-Word drafting on</w:t>
      </w:r>
      <w:r>
        <w:t xml:space="preserve"> </w:t>
      </w:r>
      <w:r>
        <w:t xml:space="preserve">GPT-4 class models) and Harvey, whose contract-analysis workflow serves A&amp;O Shearman</w:t>
      </w:r>
      <w:r>
        <w:t xml:space="preserve"> </w:t>
      </w:r>
      <w:r>
        <w:t xml:space="preserve">and PwC [harvey2023ao,harvey2023pwc]. Across this set, public product</w:t>
      </w:r>
      <w:r>
        <w:t xml:space="preserve"> </w:t>
      </w:r>
      <w:r>
        <w:t xml:space="preserve">documentation describes single-prompt LLM calls, retrieval-augmented prompts, or</w:t>
      </w:r>
      <w:r>
        <w:t xml:space="preserve"> </w:t>
      </w:r>
      <w:r>
        <w:t xml:space="preserve">task-specific fine-tunes; as of the literature review conducted for this thesis</w:t>
      </w:r>
      <w:r>
        <w:t xml:space="preserve"> </w:t>
      </w:r>
      <w:r>
        <w:t xml:space="preserve">(April 2026), no Leader had publicly disclosed a deployed multi-agent architecture</w:t>
      </w:r>
      <w:r>
        <w:t xml:space="preserve"> </w:t>
      </w:r>
      <w:r>
        <w:t xml:space="preserve">for clause-level analysis.</w:t>
      </w:r>
    </w:p>
    <w:p>
      <w:pPr>
        <w:pStyle w:val="Heading2"/>
      </w:pPr>
      <w:bookmarkStart w:id="31" w:name="sec:lit:llm-background"/>
      <w:r>
        <w:t xml:space="preserve">Large Language Models</w:t>
      </w:r>
      <w:bookmarkEnd w:id="31"/>
    </w:p>
    <w:p>
      <w:pPr>
        <w:pStyle w:val="FirstParagraph"/>
      </w:pPr>
      <w:r>
        <w:t xml:space="preserve">An LLM is a neural language model parameterised by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factorises a token</w:t>
      </w:r>
      <w:r>
        <w:t xml:space="preserve"> </w:t>
      </w:r>
      <w:r>
        <w:t xml:space="preserve">sequence</w:t>
      </w:r>
      <w:r>
        <w:t xml:space="preserve"> </w:t>
      </w:r>
      <m:oMath>
        <m:r>
          <m:rPr>
            <m:sty m:val="b"/>
          </m:rPr>
          <m:t>x</m:t>
        </m:r>
        <m:r>
          <m:t>=</m:t>
        </m:r>
        <m: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,</m:t>
        </m:r>
        <m:r>
          <m:t>…</m:t>
        </m:r>
        <m: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)</m:t>
        </m:r>
      </m:oMath>
      <w:r>
        <w:t xml:space="preserve"> </w:t>
      </w:r>
      <w:r>
        <w:t xml:space="preserve">autoregressively: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θ</m:t>
              </m:r>
            </m:sub>
          </m:sSub>
          <m: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,</m:t>
          </m:r>
          <m:r>
            <m:t>…</m:t>
          </m:r>
          <m:r>
            <m:t>,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t>)</m:t>
          </m:r>
          <m:r>
            <m:t>=</m:t>
          </m:r>
          <m:nary>
            <m:naryPr>
              <m:chr m:val="∏"/>
              <m:limLoc m:val="undOvr"/>
              <m:subHide m:val="0"/>
              <m:supHide m:val="0"/>
            </m:naryPr>
            <m:sub>
              <m:r>
                <m:t>t</m:t>
              </m:r>
              <m:r>
                <m:t>=</m:t>
              </m:r>
              <m:r>
                <m:t>1</m:t>
              </m:r>
            </m:sub>
            <m:sup>
              <m:r>
                <m:t>T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θ</m:t>
                  </m:r>
                </m:sub>
              </m:sSub>
            </m:e>
          </m:nary>
          <m:r>
            <m:t>(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t>∣</m:t>
          </m:r>
          <m:sSub>
            <m:e>
              <m:r>
                <m:t>x</m:t>
              </m:r>
            </m:e>
            <m:sub>
              <m:r>
                <m:t>&lt;</m:t>
              </m:r>
              <m:r>
                <m:t>t</m:t>
              </m:r>
            </m:sub>
          </m:sSub>
          <m:r>
            <m:t>)</m:t>
          </m:r>
          <m:r>
            <m:t>.</m:t>
          </m:r>
        </m:oMath>
      </m:oMathPara>
    </w:p>
    <w:p>
      <w:pPr>
        <w:pStyle w:val="FirstParagraph"/>
      </w:pPr>
      <w:r>
        <w:t xml:space="preserve">Training minimises the negative log-likelihood</w:t>
      </w:r>
      <w:r>
        <w:t xml:space="preserve"> </w:t>
      </w:r>
      <m:oMath>
        <m:r>
          <m:rPr>
            <m:sty m:val="p"/>
            <m:scr m:val="script"/>
          </m:rPr>
          <m:t>L</m:t>
        </m:r>
        <m:r>
          <m:t>(</m:t>
        </m:r>
        <m:r>
          <m:t>θ</m:t>
        </m:r>
        <m:r>
          <m:t>)</m:t>
        </m:r>
        <m:r>
          <m:t>=</m:t>
        </m:r>
        <m:r>
          <m:t>−</m:t>
        </m:r>
        <m:nary>
          <m:naryPr>
            <m:chr m:val="∑"/>
            <m:limLoc m:val="undOvr"/>
            <m:subHide m:val="0"/>
            <m:supHide m:val="1"/>
          </m:naryPr>
          <m:sub>
            <m:r>
              <m:t>t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log</m:t>
            </m:r>
          </m:e>
        </m:nary>
        <m:sSub>
          <m:e>
            <m:r>
              <m:t>p</m:t>
            </m:r>
          </m:e>
          <m:sub>
            <m:r>
              <m:t>θ</m:t>
            </m:r>
          </m:sub>
        </m:sSub>
        <m:r>
          <m:t>(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t>∣</m:t>
        </m:r>
        <m:sSub>
          <m:e>
            <m:r>
              <m:t>x</m:t>
            </m:r>
          </m:e>
          <m:sub>
            <m:r>
              <m:t>&lt;</m:t>
            </m:r>
            <m:r>
              <m:t>t</m:t>
            </m:r>
          </m:sub>
        </m:sSub>
        <m:r>
          <m:t>)</m:t>
        </m:r>
      </m:oMath>
      <w:r>
        <w:t xml:space="preserve"> </w:t>
      </w:r>
      <w:r>
        <w:t xml:space="preserve">over large text corpora following the Transformer</w:t>
      </w:r>
      <w:r>
        <w:t xml:space="preserve"> </w:t>
      </w:r>
      <w:r>
        <w:t xml:space="preserve">derivation [devlin2019bert]. Modern frontier LLMs extend Eq. </w:t>
      </w:r>
      <w:hyperlink w:anchor="eq:autoreg">
        <w:r>
          <w:rPr>
            <w:rStyle w:val="Hyperlink"/>
          </w:rPr>
          <w:t xml:space="preserve">[eq:autoreg]</w:t>
        </w:r>
      </w:hyperlink>
      <w:r>
        <w:t xml:space="preserve"> </w:t>
      </w:r>
      <w:r>
        <w:t xml:space="preserve">with three post-training techniques used in every model in the panel: supervised</w:t>
      </w:r>
      <w:r>
        <w:t xml:space="preserve"> </w:t>
      </w:r>
      <w:r>
        <w:t xml:space="preserve">instruction tuning, preference alignment via reinforcement learning from human or AI</w:t>
      </w:r>
      <w:r>
        <w:t xml:space="preserve"> </w:t>
      </w:r>
      <w:r>
        <w:t xml:space="preserve">feedback (RLHF), and structured-output fine-tuning that turns free-form generation</w:t>
      </w:r>
      <w:r>
        <w:t xml:space="preserve"> </w:t>
      </w:r>
      <w:r>
        <w:t xml:space="preserve">into validated JSON and tool calls.</w:t>
      </w:r>
    </w:p>
    <w:p>
      <w:pPr>
        <w:pStyle w:val="BodyText"/>
      </w:pPr>
      <w:r>
        <w:t xml:space="preserve">Table </w:t>
      </w:r>
      <w:hyperlink w:anchor="tab:llm-frontier">
        <w:r>
          <w:rPr>
            <w:rStyle w:val="Hyperlink"/>
          </w:rPr>
          <w:t xml:space="preserve">3.1</w:t>
        </w:r>
      </w:hyperlink>
      <w:r>
        <w:t xml:space="preserve"> </w:t>
      </w:r>
      <w:r>
        <w:t xml:space="preserve">summarises the frontier-model releases relevant</w:t>
      </w:r>
      <w:r>
        <w:t xml:space="preserve"> </w:t>
      </w:r>
      <w:r>
        <w:t xml:space="preserve">to the experimental envelope of this thesis. Models included in the</w:t>
      </w:r>
      <w:r>
        <w:t xml:space="preserve"> </w:t>
      </w:r>
      <w:r>
        <w:t xml:space="preserve">experimental evaluation are specified in §</w:t>
      </w:r>
      <w:hyperlink w:anchor="sec:meth:models">
        <w:r>
          <w:rPr>
            <w:rStyle w:val="Hyperlink"/>
          </w:rPr>
          <w:t xml:space="preserve">4.3</w:t>
        </w:r>
      </w:hyperlink>
      <w:r>
        <w:t xml:space="preserve">; the remaining</w:t>
      </w:r>
      <w:r>
        <w:t xml:space="preserve"> </w:t>
      </w:r>
      <w:r>
        <w:t xml:space="preserve">entries provide background on the frontier model releases.</w:t>
      </w:r>
    </w:p>
    <w:bookmarkStart w:id="32" w:name="tab:llm-frontier"/>
    <w:p>
      <w:pPr>
        <w:pStyle w:val="TableCaption"/>
      </w:pPr>
      <w:r>
        <w:t xml:space="preserve">Frontier LLM releases referenced in this thesis. Context-window figures</w:t>
      </w:r>
      <w:r>
        <w:t xml:space="preserve"> </w:t>
      </w:r>
      <w:r>
        <w:t xml:space="preserve">denote the standard production context; beta long-context modes noted parenthetically.</w:t>
      </w:r>
      <w:r>
        <w:t xml:space="preserve"> </w:t>
      </w:r>
      <w:r>
        <w:t xml:space="preserve">Capabilities summarised from official announcements.</w:t>
      </w:r>
    </w:p>
    <w:tbl>
      <w:tblPr>
        <w:tblStyle w:val="Table"/>
        <w:tblW w:type="pct" w:w="0.0"/>
        <w:tblLook w:firstRow="1"/>
        <w:tblCaption w:val="Frontier LLM releases referenced in this thesis. Context-window figures denote the standard production context; beta long-context modes noted parenthetically. Capabilities summarised from official announcements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Provider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Release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Context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GPT-4</w:t>
            </w:r>
          </w:p>
        </w:tc>
        <w:tc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p>
            <w:pPr>
              <w:pStyle w:val="Compact"/>
              <w:jc w:val="left"/>
            </w:pPr>
            <w:r>
              <w:t xml:space="preserve">Mar 2023</w:t>
            </w:r>
          </w:p>
        </w:tc>
        <w:tc>
          <w:p>
            <w:pPr>
              <w:pStyle w:val="Compact"/>
              <w:jc w:val="left"/>
            </w:pPr>
            <w:r>
              <w:t xml:space="preserve">8K / 32K</w:t>
            </w:r>
          </w:p>
        </w:tc>
        <w:tc>
          <w:p>
            <w:pPr>
              <w:pStyle w:val="Compact"/>
              <w:jc w:val="left"/>
            </w:pPr>
            <w:r>
              <w:t xml:space="preserve">Multimodal preview, RLHF tuned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GPT-4 Turbo</w:t>
            </w:r>
          </w:p>
        </w:tc>
        <w:tc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p>
            <w:pPr>
              <w:pStyle w:val="Compact"/>
              <w:jc w:val="left"/>
            </w:pPr>
            <w:r>
              <w:t xml:space="preserve">Nov 2023</w:t>
            </w:r>
          </w:p>
        </w:tc>
        <w:tc>
          <w:p>
            <w:pPr>
              <w:pStyle w:val="Compact"/>
              <w:jc w:val="left"/>
            </w:pPr>
            <w:r>
              <w:t xml:space="preserve">128K</w:t>
            </w:r>
          </w:p>
        </w:tc>
        <w:tc>
          <w:p>
            <w:pPr>
              <w:pStyle w:val="Compact"/>
              <w:jc w:val="left"/>
            </w:pPr>
            <w:r>
              <w:t xml:space="preserve">Function calling GA, JSON mode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GPT-4o</w:t>
            </w:r>
          </w:p>
        </w:tc>
        <w:tc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p>
            <w:pPr>
              <w:pStyle w:val="Compact"/>
              <w:jc w:val="left"/>
            </w:pPr>
            <w:r>
              <w:t xml:space="preserve">May 2024</w:t>
            </w:r>
          </w:p>
        </w:tc>
        <w:tc>
          <w:p>
            <w:pPr>
              <w:pStyle w:val="Compact"/>
              <w:jc w:val="left"/>
            </w:pPr>
            <w:r>
              <w:t xml:space="preserve">128K</w:t>
            </w:r>
          </w:p>
        </w:tc>
        <w:tc>
          <w:p>
            <w:pPr>
              <w:pStyle w:val="Compact"/>
              <w:jc w:val="left"/>
            </w:pPr>
            <w:r>
              <w:t xml:space="preserve">Native multimodal I/O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GPT-5</w:t>
            </w:r>
          </w:p>
        </w:tc>
        <w:tc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p>
            <w:pPr>
              <w:pStyle w:val="Compact"/>
              <w:jc w:val="left"/>
            </w:pPr>
            <w:r>
              <w:t xml:space="preserve">Aug 2025</w:t>
            </w:r>
          </w:p>
        </w:tc>
        <w:tc>
          <w:p>
            <w:pPr>
              <w:pStyle w:val="Compact"/>
              <w:jc w:val="left"/>
            </w:pPr>
            <w:r>
              <w:t xml:space="preserve">400K</w:t>
            </w:r>
          </w:p>
        </w:tc>
        <w:tc>
          <w:p>
            <w:pPr>
              <w:pStyle w:val="Compact"/>
              <w:jc w:val="left"/>
            </w:pPr>
            <w:r>
              <w:t xml:space="preserve">Unified router over fast/thinking modes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Claude 3 Opus</w:t>
            </w:r>
          </w:p>
        </w:tc>
        <w:tc>
          <w:p>
            <w:pPr>
              <w:pStyle w:val="Compact"/>
              <w:jc w:val="left"/>
            </w:pPr>
            <w:r>
              <w:t xml:space="preserve">Anthropic</w:t>
            </w:r>
          </w:p>
        </w:tc>
        <w:tc>
          <w:p>
            <w:pPr>
              <w:pStyle w:val="Compact"/>
              <w:jc w:val="left"/>
            </w:pPr>
            <w:r>
              <w:t xml:space="preserve">Mar 2024</w:t>
            </w:r>
          </w:p>
        </w:tc>
        <w:tc>
          <w:p>
            <w:pPr>
              <w:pStyle w:val="Compact"/>
              <w:jc w:val="left"/>
            </w:pPr>
            <w:r>
              <w:t xml:space="preserve">200K</w:t>
            </w:r>
          </w:p>
        </w:tc>
        <w:tc>
          <w:p>
            <w:pPr>
              <w:pStyle w:val="Compact"/>
              <w:jc w:val="left"/>
            </w:pPr>
            <w:r>
              <w:t xml:space="preserve">Tool use 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Claude 3.5 Sonnet</w:t>
            </w:r>
          </w:p>
        </w:tc>
        <w:tc>
          <w:p>
            <w:pPr>
              <w:pStyle w:val="Compact"/>
              <w:jc w:val="left"/>
            </w:pPr>
            <w:r>
              <w:t xml:space="preserve">Anthropic</w:t>
            </w:r>
          </w:p>
        </w:tc>
        <w:tc>
          <w:p>
            <w:pPr>
              <w:pStyle w:val="Compact"/>
              <w:jc w:val="left"/>
            </w:pPr>
            <w:r>
              <w:t xml:space="preserve">Jun 2024</w:t>
            </w:r>
          </w:p>
        </w:tc>
        <w:tc>
          <w:p>
            <w:pPr>
              <w:pStyle w:val="Compact"/>
              <w:jc w:val="left"/>
            </w:pPr>
            <w:r>
              <w:t xml:space="preserve">200K</w:t>
            </w:r>
          </w:p>
        </w:tc>
        <w:tc>
          <w:p>
            <w:pPr>
              <w:pStyle w:val="Compact"/>
              <w:jc w:val="left"/>
            </w:pPr>
            <w:r>
              <w:t xml:space="preserve">Computer-use beta, artifacts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Claude Sonnet 4</w:t>
            </w:r>
          </w:p>
        </w:tc>
        <w:tc>
          <w:p>
            <w:pPr>
              <w:pStyle w:val="Compact"/>
              <w:jc w:val="left"/>
            </w:pPr>
            <w:r>
              <w:t xml:space="preserve">Anthropic</w:t>
            </w:r>
          </w:p>
        </w:tc>
        <w:tc>
          <w:p>
            <w:pPr>
              <w:pStyle w:val="Compact"/>
              <w:jc w:val="left"/>
            </w:pPr>
            <w:r>
              <w:t xml:space="preserve">May 2025</w:t>
            </w:r>
          </w:p>
        </w:tc>
        <w:tc>
          <w:p>
            <w:pPr>
              <w:pStyle w:val="Compact"/>
              <w:jc w:val="left"/>
            </w:pPr>
            <w:r>
              <w:t xml:space="preserve">200K</w:t>
            </w:r>
          </w:p>
        </w:tc>
        <w:tc>
          <w:p>
            <w:pPr>
              <w:pStyle w:val="Compact"/>
              <w:jc w:val="left"/>
            </w:pPr>
            <w:r>
              <w:t xml:space="preserve">Extended thinking; MCP code-exec tools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Claude Sonnet 4.5</w:t>
            </w:r>
          </w:p>
        </w:tc>
        <w:tc>
          <w:p>
            <w:pPr>
              <w:pStyle w:val="Compact"/>
              <w:jc w:val="left"/>
            </w:pPr>
            <w:r>
              <w:t xml:space="preserve">Anthropic</w:t>
            </w:r>
          </w:p>
        </w:tc>
        <w:tc>
          <w:p>
            <w:pPr>
              <w:pStyle w:val="Compact"/>
              <w:jc w:val="left"/>
            </w:pPr>
            <w:r>
              <w:t xml:space="preserve">Sep 2025</w:t>
            </w:r>
          </w:p>
        </w:tc>
        <w:tc>
          <w:p>
            <w:pPr>
              <w:pStyle w:val="Compact"/>
              <w:jc w:val="left"/>
            </w:pPr>
            <w:r>
              <w:t xml:space="preserve">200K (1M beta)</w:t>
            </w:r>
          </w:p>
        </w:tc>
        <w:tc>
          <w:p>
            <w:pPr>
              <w:pStyle w:val="Compact"/>
              <w:jc w:val="left"/>
            </w:pPr>
            <w:r>
              <w:t xml:space="preserve">Agentic/tool-orchestration focus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Claude Haiku 4.5</w:t>
            </w:r>
          </w:p>
        </w:tc>
        <w:tc>
          <w:p>
            <w:pPr>
              <w:pStyle w:val="Compact"/>
              <w:jc w:val="left"/>
            </w:pPr>
            <w:r>
              <w:t xml:space="preserve">Anthropic</w:t>
            </w:r>
          </w:p>
        </w:tc>
        <w:tc>
          <w:p>
            <w:pPr>
              <w:pStyle w:val="Compact"/>
              <w:jc w:val="left"/>
            </w:pPr>
            <w:r>
              <w:t xml:space="preserve">Oct 2025</w:t>
            </w:r>
          </w:p>
        </w:tc>
        <w:tc>
          <w:p>
            <w:pPr>
              <w:pStyle w:val="Compact"/>
              <w:jc w:val="left"/>
            </w:pPr>
            <w:r>
              <w:t xml:space="preserve">200K</w:t>
            </w:r>
          </w:p>
        </w:tc>
        <w:tc>
          <w:p>
            <w:pPr>
              <w:pStyle w:val="Compact"/>
              <w:jc w:val="left"/>
            </w:pPr>
            <w:r>
              <w:t xml:space="preserve">Cost-optimised agentic tier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Claude Opus 4.5</w:t>
            </w:r>
          </w:p>
        </w:tc>
        <w:tc>
          <w:p>
            <w:pPr>
              <w:pStyle w:val="Compact"/>
              <w:jc w:val="left"/>
            </w:pPr>
            <w:r>
              <w:t xml:space="preserve">Anthropic</w:t>
            </w:r>
          </w:p>
        </w:tc>
        <w:tc>
          <w:p>
            <w:pPr>
              <w:pStyle w:val="Compact"/>
              <w:jc w:val="left"/>
            </w:pPr>
            <w:r>
              <w:t xml:space="preserve">Nov 2025</w:t>
            </w:r>
          </w:p>
        </w:tc>
        <w:tc>
          <w:p>
            <w:pPr>
              <w:pStyle w:val="Compact"/>
              <w:jc w:val="left"/>
            </w:pPr>
            <w:r>
              <w:t xml:space="preserve">200K</w:t>
            </w:r>
          </w:p>
        </w:tc>
        <w:tc>
          <w:p>
            <w:pPr>
              <w:pStyle w:val="Compact"/>
              <w:jc w:val="left"/>
            </w:pPr>
            <w:r>
              <w:t xml:space="preserve">SWE-bench Verified</w:t>
            </w:r>
            <w:r>
              <w:t xml:space="preserve"> </w:t>
            </w:r>
            <m:oMath>
              <m:r>
                <m:t>&gt;</m:t>
              </m:r>
            </m:oMath>
            <w:r>
              <w:t xml:space="preserve">80%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Gemini 1.5 Pro</w:t>
            </w:r>
          </w:p>
        </w:tc>
        <w:tc>
          <w:p>
            <w:pPr>
              <w:pStyle w:val="Compact"/>
              <w:jc w:val="left"/>
            </w:pPr>
            <w:r>
              <w:t xml:space="preserve">Google</w:t>
            </w:r>
          </w:p>
        </w:tc>
        <w:tc>
          <w:p>
            <w:pPr>
              <w:pStyle w:val="Compact"/>
              <w:jc w:val="left"/>
            </w:pPr>
            <w:r>
              <w:t xml:space="preserve">Feb 2024</w:t>
            </w:r>
          </w:p>
        </w:tc>
        <w:tc>
          <w:p>
            <w:pPr>
              <w:pStyle w:val="Compact"/>
              <w:jc w:val="left"/>
            </w:pPr>
            <w:r>
              <w:t xml:space="preserve">1M</w:t>
            </w:r>
          </w:p>
        </w:tc>
        <w:tc>
          <w:p>
            <w:pPr>
              <w:pStyle w:val="Compact"/>
              <w:jc w:val="left"/>
            </w:pPr>
            <w:r>
              <w:t xml:space="preserve">Mixture-of-experts, long-context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Gemini 2.0 Flash</w:t>
            </w:r>
          </w:p>
        </w:tc>
        <w:tc>
          <w:p>
            <w:pPr>
              <w:pStyle w:val="Compact"/>
              <w:jc w:val="left"/>
            </w:pPr>
            <w:r>
              <w:t xml:space="preserve">Google</w:t>
            </w:r>
          </w:p>
        </w:tc>
        <w:tc>
          <w:p>
            <w:pPr>
              <w:pStyle w:val="Compact"/>
              <w:jc w:val="left"/>
            </w:pPr>
            <w:r>
              <w:t xml:space="preserve">Dec 2024</w:t>
            </w:r>
          </w:p>
        </w:tc>
        <w:tc>
          <w:p>
            <w:pPr>
              <w:pStyle w:val="Compact"/>
              <w:jc w:val="left"/>
            </w:pPr>
            <w:r>
              <w:t xml:space="preserve">1M</w:t>
            </w:r>
          </w:p>
        </w:tc>
        <w:tc>
          <w:p>
            <w:pPr>
              <w:pStyle w:val="Compact"/>
              <w:jc w:val="left"/>
            </w:pPr>
            <w:r>
              <w:t xml:space="preserve">Multimodal Live 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Gemini 2.5 Pro</w:t>
            </w:r>
          </w:p>
        </w:tc>
        <w:tc>
          <w:p>
            <w:pPr>
              <w:pStyle w:val="Compact"/>
              <w:jc w:val="left"/>
            </w:pPr>
            <w:r>
              <w:t xml:space="preserve">Google</w:t>
            </w:r>
          </w:p>
        </w:tc>
        <w:tc>
          <w:p>
            <w:pPr>
              <w:pStyle w:val="Compact"/>
              <w:jc w:val="left"/>
            </w:pPr>
            <w:r>
              <w:t xml:space="preserve">Jun 2025</w:t>
            </w:r>
          </w:p>
        </w:tc>
        <w:tc>
          <w:p>
            <w:pPr>
              <w:pStyle w:val="Compact"/>
              <w:jc w:val="left"/>
            </w:pPr>
            <w:r>
              <w:t xml:space="preserve">1M</w:t>
            </w:r>
          </w:p>
        </w:tc>
        <w:tc>
          <w:p>
            <w:pPr>
              <w:pStyle w:val="Compact"/>
              <w:jc w:val="left"/>
            </w:pPr>
            <w:r>
              <w:t xml:space="preserve">Thinking budget control, MCP support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Gemini 3 Pro</w:t>
            </w:r>
          </w:p>
        </w:tc>
        <w:tc>
          <w:p>
            <w:pPr>
              <w:pStyle w:val="Compact"/>
              <w:jc w:val="left"/>
            </w:pPr>
            <w:r>
              <w:t xml:space="preserve">Google</w:t>
            </w:r>
          </w:p>
        </w:tc>
        <w:tc>
          <w:p>
            <w:pPr>
              <w:pStyle w:val="Compact"/>
              <w:jc w:val="left"/>
            </w:pPr>
            <w:r>
              <w:t xml:space="preserve">Nov 2025</w:t>
            </w:r>
          </w:p>
        </w:tc>
        <w:tc>
          <w:p>
            <w:pPr>
              <w:pStyle w:val="Compact"/>
              <w:jc w:val="left"/>
            </w:pPr>
            <w:r>
              <w:t xml:space="preserve">1M</w:t>
            </w:r>
          </w:p>
        </w:tc>
        <w:tc>
          <w:p>
            <w:pPr>
              <w:pStyle w:val="Compact"/>
              <w:jc w:val="left"/>
            </w:pPr>
            <w:r>
              <w:t xml:space="preserve">Agentic/tool-use frontier</w:t>
            </w:r>
          </w:p>
        </w:tc>
      </w:tr>
    </w:tbl>
    <w:bookmarkEnd w:id="32"/>
    <w:p>
      <w:pPr>
        <w:pStyle w:val="BodyText"/>
      </w:pPr>
      <w:r>
        <w:t xml:space="preserve">A parallel layer of legal-domain products consumes these frontier models. Harvey</w:t>
      </w:r>
      <w:r>
        <w:t xml:space="preserve"> </w:t>
      </w:r>
      <w:r>
        <w:t xml:space="preserve">serves A&amp;O Shearman, PwC, O’Melveny &amp; Myers, and Macfarlanes, and has expanded</w:t>
      </w:r>
      <w:r>
        <w:t xml:space="preserve"> </w:t>
      </w:r>
      <w:r>
        <w:t xml:space="preserve">into Vault-based document review and Agent Builder workflows [harvey2023ao,harvey2023pwc].</w:t>
      </w:r>
      <w:r>
        <w:t xml:space="preserve"> </w:t>
      </w:r>
      <w:r>
        <w:t xml:space="preserve">Lexis+ AI and Thomson Reuters CoCounsel embed retrieval-augmented generation over</w:t>
      </w:r>
      <w:r>
        <w:t xml:space="preserve"> </w:t>
      </w:r>
      <w:r>
        <w:t xml:space="preserve">proprietary legal corpora. None of these systems publishes peer-reviewed evaluations</w:t>
      </w:r>
      <w:r>
        <w:t xml:space="preserve"> </w:t>
      </w:r>
      <w:r>
        <w:t xml:space="preserve">of clause-level extraction on public benchmarks as of this review. ContractEval [liu2025contracteval]</w:t>
      </w:r>
      <w:r>
        <w:t xml:space="preserve"> </w:t>
      </w:r>
      <w:r>
        <w:t xml:space="preserve">is the only large-scale academic evaluation of LLMs on contract clause extraction</w:t>
      </w:r>
      <w:r>
        <w:t xml:space="preserve"> </w:t>
      </w:r>
      <w:r>
        <w:t xml:space="preserve">conducted on a public benchmark with reproducible methodology.</w:t>
      </w:r>
    </w:p>
    <w:p>
      <w:pPr>
        <w:pStyle w:val="Heading2"/>
      </w:pPr>
      <w:bookmarkStart w:id="33" w:name="sec:lit:mas-background"/>
      <w:r>
        <w:t xml:space="preserve">Agentic AI and Multi-Agent Systems</w:t>
      </w:r>
      <w:bookmarkEnd w:id="33"/>
    </w:p>
    <w:p>
      <w:pPr>
        <w:pStyle w:val="FirstParagraph"/>
      </w:pPr>
      <w:r>
        <w:t xml:space="preserve">An LLM-based agent is a system in which one or more LLM calls are wrapped in a</w:t>
      </w:r>
      <w:r>
        <w:t xml:space="preserve"> </w:t>
      </w:r>
      <w:r>
        <w:t xml:space="preserve">control loop that observes state, plans, invokes tools, and updates</w:t>
      </w:r>
      <w:r>
        <w:t xml:space="preserve"> </w:t>
      </w:r>
      <w:r>
        <w:t xml:space="preserve">memory [yao2023react,wei2022cot]. A Multi-Agent System (MAS) replaces a single</w:t>
      </w:r>
      <w:r>
        <w:t xml:space="preserve"> </w:t>
      </w:r>
      <w:r>
        <w:t xml:space="preserve">such loop with multiple cooperating loops, each parameterised by a role, a tool</w:t>
      </w:r>
      <w:r>
        <w:t xml:space="preserve"> </w:t>
      </w:r>
      <w:r>
        <w:t xml:space="preserve">surface, and (often) a different model. Five design axes locate any MAS in the design</w:t>
      </w:r>
      <w:r>
        <w:t xml:space="preserve"> </w:t>
      </w:r>
      <w:r>
        <w:t xml:space="preserve">space; Figure </w:t>
      </w:r>
      <w:hyperlink w:anchor="fig:mas-design-space">
        <w:r>
          <w:rPr>
            <w:rStyle w:val="Hyperlink"/>
          </w:rPr>
          <w:t xml:space="preserve">[fig:mas-design-space]</w:t>
        </w:r>
      </w:hyperlink>
      <w:r>
        <w:t xml:space="preserve"> </w:t>
      </w:r>
      <w:r>
        <w:t xml:space="preserve">maps the options and marks those ablated in</w:t>
      </w:r>
      <w:r>
        <w:t xml:space="preserve"> </w:t>
      </w:r>
      <w:r>
        <w:t xml:space="preserve">this thesis.</w:t>
      </w:r>
    </w:p>
    <w:p>
      <w:pPr>
        <w:pStyle w:val="BodyText"/>
      </w:pPr>
      <w:r>
        <w:rPr>
          <w:i/>
        </w:rPr>
        <w:t xml:space="preserve">[Figure/diagram in LaTeX source (tikzpicture); see PDF]</w:t>
      </w:r>
    </w:p>
    <w:p>
      <w:pPr>
        <w:pStyle w:val="BodyText"/>
      </w:pPr>
      <w:r>
        <w:t xml:space="preserve">The empirical literature has converged on five design axes along which any MAS can be</w:t>
      </w:r>
      <w:r>
        <w:t xml:space="preserve"> </w:t>
      </w:r>
      <w:r>
        <w:t xml:space="preserve">located.</w:t>
      </w:r>
      <w:r>
        <w:t xml:space="preserve"> </w:t>
      </w:r>
      <w:r>
        <w:rPr>
          <w:i/>
        </w:rPr>
        <w:t xml:space="preserve">Topology</w:t>
      </w:r>
      <w:r>
        <w:t xml:space="preserve"> </w:t>
      </w:r>
      <w:r>
        <w:t xml:space="preserve">distinguishes hierarchical configurations (orchestrator</w:t>
      </w:r>
      <w:r>
        <w:t xml:space="preserve"> </w:t>
      </w:r>
      <w:r>
        <w:t xml:space="preserve">dispatches to subordinate workers) from peer configurations (agents communicate</w:t>
      </w:r>
      <w:r>
        <w:t xml:space="preserve"> </w:t>
      </w:r>
      <w:r>
        <w:t xml:space="preserve">without a central coordinator), as in MetaGPT’s role-pipeline [hong2024metagpt]</w:t>
      </w:r>
      <w:r>
        <w:t xml:space="preserve"> </w:t>
      </w:r>
      <w:r>
        <w:t xml:space="preserve">and CAMEL’s role-playing pairs [li2023camel].</w:t>
      </w:r>
      <w:r>
        <w:t xml:space="preserve"> </w:t>
      </w:r>
      <w:r>
        <w:rPr>
          <w:i/>
        </w:rPr>
        <w:t xml:space="preserve">Routing</w:t>
      </w:r>
      <w:r>
        <w:t xml:space="preserve"> </w:t>
      </w:r>
      <w:r>
        <w:t xml:space="preserve">distinguishes</w:t>
      </w:r>
      <w:r>
        <w:t xml:space="preserve"> </w:t>
      </w:r>
      <w:r>
        <w:t xml:space="preserve">static pipelines (fixed step order), LLM-mediated routing (a router agent selects a</w:t>
      </w:r>
      <w:r>
        <w:t xml:space="preserve"> </w:t>
      </w:r>
      <w:r>
        <w:t xml:space="preserve">downstream worker), and dictionary-based routing (a deterministic feature-to-worker</w:t>
      </w:r>
      <w:r>
        <w:t xml:space="preserve"> </w:t>
      </w:r>
      <w:r>
        <w:t xml:space="preserve">map).</w:t>
      </w:r>
      <w:r>
        <w:t xml:space="preserve"> </w:t>
      </w:r>
      <w:r>
        <w:rPr>
          <w:i/>
        </w:rPr>
        <w:t xml:space="preserve">Specialisation granularity</w:t>
      </w:r>
      <w:r>
        <w:t xml:space="preserve"> </w:t>
      </w:r>
      <w:r>
        <w:t xml:space="preserve">ranges from per-task agents (one per CUAD</w:t>
      </w:r>
      <w:r>
        <w:t xml:space="preserve"> </w:t>
      </w:r>
      <w:r>
        <w:t xml:space="preserve">category) through per-domain agents (one for risk, IP, temporal) to per-step agents</w:t>
      </w:r>
      <w:r>
        <w:t xml:space="preserve"> </w:t>
      </w:r>
      <w:r>
        <w:t xml:space="preserve">(extract, verify, format).</w:t>
      </w:r>
      <w:r>
        <w:t xml:space="preserve"> </w:t>
      </w:r>
      <w:r>
        <w:rPr>
          <w:i/>
        </w:rPr>
        <w:t xml:space="preserve">Verification structure</w:t>
      </w:r>
      <w:r>
        <w:t xml:space="preserve"> </w:t>
      </w:r>
      <w:r>
        <w:t xml:space="preserve">ranges from none, through</w:t>
      </w:r>
      <w:r>
        <w:t xml:space="preserve"> </w:t>
      </w:r>
      <w:r>
        <w:t xml:space="preserve">reflective self-critique [shinn2023reflexion], multi-agent debate, judge-agent</w:t>
      </w:r>
      <w:r>
        <w:t xml:space="preserve"> </w:t>
      </w:r>
      <w:r>
        <w:t xml:space="preserve">verification, tree search [yao2023tot], majority-vote ensembles such as</w:t>
      </w:r>
      <w:r>
        <w:t xml:space="preserve"> </w:t>
      </w:r>
      <w:r>
        <w:t xml:space="preserve">Mixture-of-Agents [wang2024moa], and self-consistency [wang2023selfconsistency].</w:t>
      </w:r>
      <w:r>
        <w:t xml:space="preserve"> </w:t>
      </w:r>
      <w:r>
        <w:t xml:space="preserve">The</w:t>
      </w:r>
      <w:r>
        <w:t xml:space="preserve"> </w:t>
      </w:r>
      <w:r>
        <w:rPr>
          <w:i/>
        </w:rPr>
        <w:t xml:space="preserve">communication protocol</w:t>
      </w:r>
      <w:r>
        <w:t xml:space="preserve"> </w:t>
      </w:r>
      <w:r>
        <w:t xml:space="preserve">is the lowest layer: function calling via vendor</w:t>
      </w:r>
      <w:r>
        <w:t xml:space="preserve"> </w:t>
      </w:r>
      <w:r>
        <w:t xml:space="preserve">APIs, the Model Context Protocol (MCP) released by Anthropic in November</w:t>
      </w:r>
      <w:r>
        <w:t xml:space="preserve"> </w:t>
      </w:r>
      <w:r>
        <w:t xml:space="preserve">2024 [anthropicmcp2024], the Agent2Agent (A2A) protocol released by Google in</w:t>
      </w:r>
      <w:r>
        <w:t xml:space="preserve"> </w:t>
      </w:r>
      <w:r>
        <w:t xml:space="preserve">April 2025 and donated to the Linux Foundation in June 2025 [googlea2a2025], or</w:t>
      </w:r>
      <w:r>
        <w:t xml:space="preserve"> </w:t>
      </w:r>
      <w:r>
        <w:t xml:space="preserve">framework-specific structured messages.</w:t>
      </w:r>
    </w:p>
    <w:p>
      <w:pPr>
        <w:pStyle w:val="BodyText"/>
      </w:pPr>
      <w:r>
        <w:t xml:space="preserve">Production-relevant orchestrators include AutoGen [wu2023autogen],</w:t>
      </w:r>
      <w:r>
        <w:t xml:space="preserve"> </w:t>
      </w:r>
      <w:r>
        <w:t xml:space="preserve">MetaGPT [hong2024metagpt], LangGraph [langgraph2024], CrewAI, and</w:t>
      </w:r>
      <w:r>
        <w:t xml:space="preserve"> </w:t>
      </w:r>
      <w:r>
        <w:t xml:space="preserve">OpenAI’s Agents SDK. Chapter 3 ablates the CLM-relevant slice of this design</w:t>
      </w:r>
      <w:r>
        <w:t xml:space="preserve"> </w:t>
      </w:r>
      <w:r>
        <w:t xml:space="preserve">space.</w:t>
      </w:r>
    </w:p>
    <w:p>
      <w:pPr>
        <w:pStyle w:val="Heading2"/>
      </w:pPr>
      <w:bookmarkStart w:id="34" w:name="sec:lit:cuad"/>
      <w:r>
        <w:t xml:space="preserve">The CUAD Benchmark</w:t>
      </w:r>
      <w:bookmarkEnd w:id="34"/>
    </w:p>
    <w:p>
      <w:pPr>
        <w:pStyle w:val="FirstParagraph"/>
      </w:pPr>
      <w:bookmarkStart w:id="35" w:name="sec:cuad"/>
      <w:r>
        <w:t xml:space="preserve">[sec:cuad]</w:t>
      </w:r>
      <w:bookmarkEnd w:id="35"/>
    </w:p>
    <w:p>
      <w:pPr>
        <w:pStyle w:val="BodyText"/>
      </w:pPr>
      <w:r>
        <w:t xml:space="preserve">The Contract Understanding Atticus Dataset (CUAD) is the canonical public benchmark</w:t>
      </w:r>
      <w:r>
        <w:t xml:space="preserve"> </w:t>
      </w:r>
      <w:r>
        <w:t xml:space="preserve">for clause-level contract review [hendrycks2021cuad]. It consists of 510</w:t>
      </w:r>
      <w:r>
        <w:t xml:space="preserve"> </w:t>
      </w:r>
      <w:r>
        <w:t xml:space="preserve">commercial contracts annotated against 41 categories of legal clauses. The annotation</w:t>
      </w:r>
      <w:r>
        <w:t xml:space="preserve"> </w:t>
      </w:r>
      <w:r>
        <w:t xml:space="preserve">pipeline employed law students who completed 70–100 hours of contract-review training</w:t>
      </w:r>
      <w:r>
        <w:t xml:space="preserve"> </w:t>
      </w:r>
      <w:r>
        <w:t xml:space="preserve">under the supervision of practising attorneys [hendrycks2021cuad], a provenance</w:t>
      </w:r>
      <w:r>
        <w:t xml:space="preserve"> </w:t>
      </w:r>
      <w:r>
        <w:t xml:space="preserve">restated by ContractEval as a strength relative to crowd-sourced legal</w:t>
      </w:r>
      <w:r>
        <w:t xml:space="preserve"> </w:t>
      </w:r>
      <w:r>
        <w:t xml:space="preserve">datasets [liu2025contracteval]. Table </w:t>
      </w:r>
      <w:hyperlink w:anchor="tab:cuad-stats">
        <w:r>
          <w:rPr>
            <w:rStyle w:val="Hyperlink"/>
          </w:rPr>
          <w:t xml:space="preserve">3.2</w:t>
        </w:r>
      </w:hyperlink>
      <w:r>
        <w:t xml:space="preserve"> </w:t>
      </w:r>
      <w:r>
        <w:t xml:space="preserve">reproduces the</w:t>
      </w:r>
      <w:r>
        <w:t xml:space="preserve"> </w:t>
      </w:r>
      <w:r>
        <w:t xml:space="preserve">dataset statistics.</w:t>
      </w:r>
    </w:p>
    <w:bookmarkStart w:id="36" w:name="tab:cuad-stats"/>
    <w:p>
      <w:pPr>
        <w:pStyle w:val="TableCaption"/>
      </w:pPr>
      <w:r>
        <w:t xml:space="preserve">CUAD dataset statistics [hendrycks2021cuad].</w:t>
      </w:r>
    </w:p>
    <w:tbl>
      <w:tblPr>
        <w:tblStyle w:val="Table"/>
        <w:tblW w:type="pct" w:w="0.0"/>
        <w:tblLook w:firstRow="1"/>
        <w:tblCaption w:val="CUAD dataset statistics [hendrycks2021cuad]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Property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Contracts</w:t>
            </w:r>
          </w:p>
        </w:tc>
        <w:tc>
          <w:p>
            <w:pPr>
              <w:pStyle w:val="Compact"/>
              <w:jc w:val="left"/>
            </w:pPr>
            <w:r>
              <w:t xml:space="preserve">510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Clause categories</w:t>
            </w:r>
          </w:p>
        </w:tc>
        <w:tc>
          <w:p>
            <w:pPr>
              <w:pStyle w:val="Compact"/>
              <w:jc w:val="left"/>
            </w:pPr>
            <w:r>
              <w:t xml:space="preserve">41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Expert annotations</w:t>
            </w:r>
          </w:p>
        </w:tc>
        <w:tc>
          <w:p>
            <w:pPr>
              <w:pStyle w:val="Compact"/>
              <w:jc w:val="left"/>
            </w:pPr>
            <m:oMath>
              <m:r>
                <m:t>&gt;</m:t>
              </m:r>
            </m:oMath>
            <w:r>
              <w:t xml:space="preserve">13</w:t>
            </w:r>
            <w:r>
              <w:t xml:space="preserve">,</w:t>
            </w:r>
            <w:r>
              <w:t xml:space="preserve">000 spans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EDGAR commercial filings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Train / test split</w:t>
            </w:r>
          </w:p>
        </w:tc>
        <w:tc>
          <w:p>
            <w:pPr>
              <w:pStyle w:val="Compact"/>
              <w:jc w:val="left"/>
            </w:pPr>
            <w:r>
              <w:t xml:space="preserve">399 / 102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 formulation</w:t>
            </w:r>
          </w:p>
        </w:tc>
        <w:tc>
          <w:p>
            <w:pPr>
              <w:pStyle w:val="Compact"/>
              <w:jc w:val="left"/>
            </w:pPr>
            <w:r>
              <w:t xml:space="preserve">Span extraction + binary presence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p>
            <w:pPr>
              <w:pStyle w:val="Compact"/>
              <w:jc w:val="left"/>
            </w:pPr>
            <w:r>
              <w:t xml:space="preserve">CC BY 4.0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Long contracts (</w:t>
            </w:r>
            <m:oMath>
              <m:r>
                <m:t>&gt;</m:t>
              </m:r>
            </m:oMath>
            <w:r>
              <w:t xml:space="preserve">100k chars)</w:t>
            </w:r>
          </w:p>
        </w:tc>
        <w:tc>
          <w:p>
            <w:pPr>
              <w:pStyle w:val="Compact"/>
              <w:jc w:val="left"/>
            </w:pPr>
            <w:r>
              <w:t xml:space="preserve">14 (in test split)</w:t>
            </w:r>
          </w:p>
        </w:tc>
      </w:tr>
    </w:tbl>
    <w:bookmarkEnd w:id="36"/>
    <w:p>
      <w:pPr>
        <w:pStyle w:val="BodyText"/>
      </w:pPr>
      <w:r>
        <w:t xml:space="preserve">The instance count is highly imbalanced: at the (contract, category) level, the</w:t>
      </w:r>
      <w:r>
        <w:t xml:space="preserve"> </w:t>
      </w:r>
      <w:r>
        <w:t xml:space="preserve">natural prevalence of positive instances is</w:t>
      </w:r>
      <w:r>
        <w:t xml:space="preserve"> </w:t>
      </w:r>
      <m:oMath>
        <m:r>
          <m:t>≈</m:t>
        </m:r>
        <m:r>
          <m:t>​</m:t>
        </m:r>
        <m:r>
          <m:t>30</m:t>
        </m:r>
        <m:r>
          <m:t>%</m:t>
        </m:r>
      </m:oMath>
      <w:r>
        <w:t xml:space="preserve">, a structural property</w:t>
      </w:r>
      <w:r>
        <w:t xml:space="preserve"> </w:t>
      </w:r>
      <w:r>
        <w:t xml:space="preserve">of contract review rather than a sampling artefact. This thesis evaluates on the</w:t>
      </w:r>
      <w:r>
        <w:t xml:space="preserve"> </w:t>
      </w:r>
      <w:r>
        <w:t xml:space="preserve">full 102-contract CUAD test split (character lengths 645 – 300</w:t>
      </w:r>
      <w:r>
        <w:t xml:space="preserve">,</w:t>
      </w:r>
      <w:r>
        <w:t xml:space="preserve">768; median</w:t>
      </w:r>
      <w:r>
        <w:t xml:space="preserve"> </w:t>
      </w:r>
      <w:r>
        <w:t xml:space="preserve">25</w:t>
      </w:r>
      <w:r>
        <w:t xml:space="preserve">,</w:t>
      </w:r>
      <w:r>
        <w:t xml:space="preserve">657), of which 14 contracts exceed 100</w:t>
      </w:r>
      <w:r>
        <w:t xml:space="preserve">,</w:t>
      </w:r>
      <w:r>
        <w:t xml:space="preserve">000 characters. The full split</w:t>
      </w:r>
      <w:r>
        <w:t xml:space="preserve"> </w:t>
      </w:r>
      <w:r>
        <w:t xml:space="preserve">preserves the long-contract tail, where context-window pressure is highest.</w:t>
      </w:r>
      <w:r>
        <w:t xml:space="preserve"> </w:t>
      </w:r>
      <w:r>
        <w:t xml:space="preserve">The short-contract regime is also retained so that the contract-length</w:t>
      </w:r>
      <w:r>
        <w:t xml:space="preserve"> </w:t>
      </w:r>
      <w:r>
        <w:t xml:space="preserve">moderation analysis (Section </w:t>
      </w:r>
      <w:hyperlink w:anchor="sec:res:length">
        <w:r>
          <w:rPr>
            <w:rStyle w:val="Hyperlink"/>
          </w:rPr>
          <w:t xml:space="preserve">6.8</w:t>
        </w:r>
      </w:hyperlink>
      <w:r>
        <w:t xml:space="preserve">) can identify the length range</w:t>
      </w:r>
      <w:r>
        <w:t xml:space="preserve"> </w:t>
      </w:r>
      <w:r>
        <w:t xml:space="preserve">over which architectural decomposition is favourable.</w:t>
      </w:r>
      <w:r>
        <w:t xml:space="preserve"> </w:t>
      </w:r>
      <w:r>
        <w:t xml:space="preserve">Figure </w:t>
      </w:r>
      <w:hyperlink w:anchor="fig:cuad-tiers">
        <w:r>
          <w:rPr>
            <w:rStyle w:val="Hyperlink"/>
          </w:rPr>
          <w:t xml:space="preserve">[fig:cuad-tiers]</w:t>
        </w:r>
      </w:hyperlink>
      <w:r>
        <w:t xml:space="preserve"> </w:t>
      </w:r>
      <w:r>
        <w:t xml:space="preserve">shows pooled per-category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13</w:t>
      </w:r>
      <w:r>
        <w:t xml:space="preserve"> </w:t>
      </w:r>
      <w:r>
        <w:t xml:space="preserve">representative categories under the zero-shot baseline (B0) across the</w:t>
      </w:r>
      <w:r>
        <w:t xml:space="preserve"> </w:t>
      </w:r>
      <w:r>
        <w:t xml:space="preserve">11-model panel of this thesis (Section </w:t>
      </w:r>
      <w:hyperlink w:anchor="sec:meth:models">
        <w:r>
          <w:rPr>
            <w:rStyle w:val="Hyperlink"/>
          </w:rPr>
          <w:t xml:space="preserve">4.3</w:t>
        </w:r>
      </w:hyperlink>
      <w:r>
        <w:t xml:space="preserve">); error bars span</w:t>
      </w:r>
      <w:r>
        <w:t xml:space="preserve"> </w:t>
      </w:r>
      <m:oMath>
        <m:r>
          <m:t>±</m:t>
        </m:r>
        <m:r>
          <m:t>1</m:t>
        </m:r>
      </m:oMath>
      <w:r>
        <w:t xml:space="preserve"> </w:t>
      </w:r>
      <w:r>
        <w:t xml:space="preserve">standard deviation across models.</w:t>
      </w:r>
    </w:p>
    <w:p>
      <w:pPr>
        <w:pStyle w:val="BodyText"/>
      </w:pPr>
      <w:r>
        <w:rPr>
          <w:i/>
        </w:rPr>
        <w:t xml:space="preserve">[Figure/diagram in LaTeX source (tikzpicture); see PDF]</w:t>
      </w:r>
    </w:p>
    <w:p>
      <w:pPr>
        <w:pStyle w:val="Heading2"/>
      </w:pPr>
      <w:bookmarkStart w:id="37" w:name="sec:lit:methods"/>
      <w:r>
        <w:t xml:space="preserve">Contract Analysis Methods</w:t>
      </w:r>
      <w:bookmarkEnd w:id="37"/>
    </w:p>
    <w:p>
      <w:pPr>
        <w:pStyle w:val="FirstParagraph"/>
      </w:pPr>
      <w:r>
        <w:t xml:space="preserve">The methodological lineage of automated contract analysis runs from rule-based</w:t>
      </w:r>
      <w:r>
        <w:t xml:space="preserve"> </w:t>
      </w:r>
      <w:r>
        <w:t xml:space="preserve">extractors through statistical sequence labellers to fine-tuned and prompted</w:t>
      </w:r>
      <w:r>
        <w:t xml:space="preserve"> </w:t>
      </w:r>
      <w:r>
        <w:t xml:space="preserve">Transformers. Early systems used hand-written regular expressions and gazetteers over</w:t>
      </w:r>
      <w:r>
        <w:t xml:space="preserve"> </w:t>
      </w:r>
      <w:r>
        <w:t xml:space="preserve">part-of-speech (POS)-tagged text. Linear-chain Conditional Random Fields [lafferty2001crf] and</w:t>
      </w:r>
      <w:r>
        <w:t xml:space="preserve"> </w:t>
      </w:r>
      <w:r>
        <w:t xml:space="preserve">BiLSTM–CRF taggers [lample2016neural] formalised the task as token-level</w:t>
      </w:r>
      <w:r>
        <w:t xml:space="preserve"> </w:t>
      </w:r>
      <w:r>
        <w:t xml:space="preserve">sequence labelling and dominated the LEDGAR [tuggener2020ledgar] and</w:t>
      </w:r>
      <w:r>
        <w:t xml:space="preserve"> </w:t>
      </w:r>
      <w:r>
        <w:t xml:space="preserve">ContractNLI (Natural Language Inference) [koreeda2021contractnli] eras. The release of BERT [devlin2019bert]</w:t>
      </w:r>
      <w:r>
        <w:t xml:space="preserve"> </w:t>
      </w:r>
      <w:r>
        <w:t xml:space="preserve">and legal-domain LEGAL-BERT [chalkidis2020legalbert] shifted the regime from</w:t>
      </w:r>
      <w:r>
        <w:t xml:space="preserve"> </w:t>
      </w:r>
      <w:r>
        <w:t xml:space="preserve">feature engineering to pre-train-and-fine-tune. CUAD’s reference numbers were obtained</w:t>
      </w:r>
      <w:r>
        <w:t xml:space="preserve"> </w:t>
      </w:r>
      <w:r>
        <w:t xml:space="preserve">with RoBERTa-style extractive question answering [hendrycks2021cuad]. MAUD [wang2023maud]</w:t>
      </w:r>
      <w:r>
        <w:t xml:space="preserve"> </w:t>
      </w:r>
      <w:r>
        <w:t xml:space="preserve">extended the paradigm to merger-agreement understanding.</w:t>
      </w:r>
    </w:p>
    <w:p>
      <w:pPr>
        <w:pStyle w:val="BodyText"/>
      </w:pPr>
      <w:r>
        <w:t xml:space="preserve">The LLM-prompting regime is characterised by two reproducible studies.</w:t>
      </w:r>
      <w:r>
        <w:t xml:space="preserve"> </w:t>
      </w:r>
      <w:r>
        <w:t xml:space="preserve">Better Call GPT [martin2024bettercallgpt] reported that GPT-4 with structured</w:t>
      </w:r>
      <w:r>
        <w:t xml:space="preserve"> </w:t>
      </w:r>
      <w:r>
        <w:t xml:space="preserve">prompting can match or exceed human associates on contract-review subtasks under</w:t>
      </w:r>
      <w:r>
        <w:t xml:space="preserve"> </w:t>
      </w:r>
      <w:r>
        <w:t xml:space="preserve">controlled conditions. ContractEval [liu2025contracteval] evaluated 19 LLMs</w:t>
      </w:r>
      <w:r>
        <w:t xml:space="preserve"> </w:t>
      </w:r>
      <w:r>
        <w:t xml:space="preserve">(4 proprietary, 15 open-source) on CUAD, found a persistent gap between proprietary</w:t>
      </w:r>
      <w:r>
        <w:t xml:space="preserve"> </w:t>
      </w:r>
      <w:r>
        <w:t xml:space="preserve">and open-source models, and identified the named failure mode of</w:t>
      </w:r>
      <w:r>
        <w:t xml:space="preserve"> </w:t>
      </w:r>
      <w:r>
        <w:rPr>
          <w:i/>
        </w:rPr>
        <w:t xml:space="preserve">laziness</w:t>
      </w:r>
      <w:r>
        <w:t xml:space="preserve">:</w:t>
      </w:r>
      <w:r>
        <w:t xml:space="preserve"> </w:t>
      </w:r>
      <w:r>
        <w:t xml:space="preserve">the model declines to extract any span when the clause is present. ContractEval also</w:t>
      </w:r>
      <w:r>
        <w:t xml:space="preserve"> </w:t>
      </w:r>
      <w:r>
        <w:t xml:space="preserve">documented a tension between reasoning mode and correctness: chain-of-thought-style</w:t>
      </w:r>
      <w:r>
        <w:t xml:space="preserve"> </w:t>
      </w:r>
      <w:r>
        <w:t xml:space="preserve">decoding improved Jaccard span overlap on positive instances but degraded overall</w:t>
      </w:r>
      <w:r>
        <w:t xml:space="preserve"> </w:t>
      </w:r>
      <w:r>
        <w:t xml:space="preserve">correctness, particularly on negative instances.</w:t>
      </w:r>
    </w:p>
    <w:p>
      <w:pPr>
        <w:pStyle w:val="BodyText"/>
      </w:pPr>
      <w:r>
        <w:t xml:space="preserve">Table </w:t>
      </w:r>
      <w:hyperlink w:anchor="tab:datasets">
        <w:r>
          <w:rPr>
            <w:rStyle w:val="Hyperlink"/>
          </w:rPr>
          <w:t xml:space="preserve">3.3</w:t>
        </w:r>
      </w:hyperlink>
      <w:r>
        <w:t xml:space="preserve"> </w:t>
      </w:r>
      <w:r>
        <w:t xml:space="preserve">compares the main contract-analysis benchmarks.</w:t>
      </w:r>
    </w:p>
    <w:bookmarkStart w:id="38" w:name="tab:datasets"/>
    <w:p>
      <w:pPr>
        <w:pStyle w:val="TableCaption"/>
      </w:pPr>
      <w:r>
        <w:t xml:space="preserve">Main contract-analysis benchmarks.</w:t>
      </w:r>
    </w:p>
    <w:tbl>
      <w:tblPr>
        <w:tblStyle w:val="Table"/>
        <w:tblW w:type="pct" w:w="0.0"/>
        <w:tblLook w:firstRow="1"/>
        <w:tblCaption w:val="Main contract-analysis benchmarks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Dataset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Categories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In evaluation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CUAD [hendrycks2021cuad]</w:t>
            </w:r>
          </w:p>
        </w:tc>
        <w:tc>
          <w:p>
            <w:pPr>
              <w:pStyle w:val="Compact"/>
              <w:jc w:val="left"/>
            </w:pPr>
            <w:r>
              <w:t xml:space="preserve">Span extraction</w:t>
            </w:r>
          </w:p>
        </w:tc>
        <w:tc>
          <w:p>
            <w:pPr>
              <w:pStyle w:val="Compact"/>
              <w:jc w:val="left"/>
            </w:pPr>
            <w:r>
              <w:t xml:space="preserve">510 contracts</w:t>
            </w:r>
          </w:p>
        </w:tc>
        <w:tc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ContractNLI [koreeda2021contractnli]</w:t>
            </w:r>
          </w:p>
        </w:tc>
        <w:tc>
          <w:p>
            <w:pPr>
              <w:pStyle w:val="Compact"/>
              <w:jc w:val="left"/>
            </w:pPr>
            <w:r>
              <w:t xml:space="preserve">Doc-level NLI</w:t>
            </w:r>
          </w:p>
        </w:tc>
        <w:tc>
          <w:p>
            <w:pPr>
              <w:pStyle w:val="Compact"/>
              <w:jc w:val="left"/>
            </w:pPr>
            <w:r>
              <w:t xml:space="preserve">607 NDAs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MAUD [wang2023maud]</w:t>
            </w:r>
          </w:p>
        </w:tc>
        <w:tc>
          <w:p>
            <w:pPr>
              <w:pStyle w:val="Compact"/>
              <w:jc w:val="left"/>
            </w:pPr>
            <w:r>
              <w:t xml:space="preserve">Reading comp.</w:t>
            </w:r>
          </w:p>
        </w:tc>
        <w:tc>
          <w:p>
            <w:pPr>
              <w:pStyle w:val="Compact"/>
              <w:jc w:val="left"/>
            </w:pPr>
            <w:r>
              <w:t xml:space="preserve">152 M&amp;A agmt.</w:t>
            </w:r>
          </w:p>
        </w:tc>
        <w:tc>
          <w:p>
            <w:pPr>
              <w:pStyle w:val="Compact"/>
              <w:jc w:val="left"/>
            </w:pPr>
            <w:r>
              <w:t xml:space="preserve">152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LEDGAR [tuggener2020ledgar]</w:t>
            </w:r>
          </w:p>
        </w:tc>
        <w:tc>
          <w:p>
            <w:pPr>
              <w:pStyle w:val="Compact"/>
              <w:jc w:val="left"/>
            </w:pPr>
            <w:r>
              <w:t xml:space="preserve">Multi-label cls.</w:t>
            </w:r>
          </w:p>
        </w:tc>
        <w:tc>
          <w:p>
            <w:pPr>
              <w:pStyle w:val="Compact"/>
              <w:jc w:val="left"/>
            </w:pPr>
            <w:r>
              <w:t xml:space="preserve">60k contracts</w:t>
            </w:r>
          </w:p>
        </w:tc>
        <w:tc>
          <w:p>
            <w:pPr>
              <w:pStyle w:val="Compact"/>
              <w:jc w:val="left"/>
            </w:pPr>
            <w:r>
              <w:t xml:space="preserve">100+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38"/>
    <w:p>
      <w:pPr>
        <w:pStyle w:val="Heading5"/>
      </w:pPr>
      <w:bookmarkStart w:id="39" w:name="why-multi-agent-for-contract-analysis."/>
      <w:r>
        <w:t xml:space="preserve">Why multi-agent for contract analysis.</w:t>
      </w:r>
      <w:bookmarkEnd w:id="39"/>
    </w:p>
    <w:p>
      <w:pPr>
        <w:pStyle w:val="FirstParagraph"/>
      </w:pPr>
      <w:r>
        <w:t xml:space="preserve">The long-contract tail of the CUAD test split exceeds 100</w:t>
      </w:r>
      <w:r>
        <w:t xml:space="preserve">,</w:t>
      </w:r>
      <w:r>
        <w:t xml:space="preserve">000 characters; explicit</w:t>
      </w:r>
      <w:r>
        <w:t xml:space="preserve"> </w:t>
      </w:r>
      <w:r>
        <w:t xml:space="preserve">decomposition makes per-call context tractable where single-prompt formulations</w:t>
      </w:r>
      <w:r>
        <w:t xml:space="preserve"> </w:t>
      </w:r>
      <w:r>
        <w:t xml:space="preserve">must truncate or chunk silently. The 41 CUAD categories partition into risk-oriented,</w:t>
      </w:r>
      <w:r>
        <w:t xml:space="preserve"> </w:t>
      </w:r>
      <w:r>
        <w:t xml:space="preserve">IP/commercial, temporal, and consideration-oriented clusters, providing a natural basis</w:t>
      </w:r>
      <w:r>
        <w:t xml:space="preserve"> </w:t>
      </w:r>
      <w:r>
        <w:t xml:space="preserve">for domain specialisation. Legal review is recall-asymmetric: a missed clause exposes</w:t>
      </w:r>
      <w:r>
        <w:t xml:space="preserve"> </w:t>
      </w:r>
      <w:r>
        <w:t xml:space="preserve">the client to undisclosed obligations whereas a spurious extraction is corrected during</w:t>
      </w:r>
      <w:r>
        <w:t xml:space="preserve"> </w:t>
      </w:r>
      <w:r>
        <w:t xml:space="preserve">attorney review at lower cost, motivating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-weighted evaluation</w:t>
      </w:r>
      <w:r>
        <w:t xml:space="preserve"> </w:t>
      </w:r>
      <w:r>
        <w:t xml:space="preserve">(Section </w:t>
      </w:r>
      <w:hyperlink w:anchor="sec:lit:eval">
        <w:r>
          <w:rPr>
            <w:rStyle w:val="Hyperlink"/>
          </w:rPr>
          <w:t xml:space="preserve">3.8</w:t>
        </w:r>
      </w:hyperlink>
      <w:r>
        <w:t xml:space="preserve">) and architectures that boost recall at controlled precision</w:t>
      </w:r>
      <w:r>
        <w:t xml:space="preserve"> </w:t>
      </w:r>
      <w:r>
        <w:t xml:space="preserve">cost. Regulated environments additionally require traceable per-decision provenance:</w:t>
      </w:r>
      <w:r>
        <w:t xml:space="preserve"> </w:t>
      </w:r>
      <w:r>
        <w:t xml:space="preserve">the EU AI Act treats certain legal AI uses as high-risk [euaiact2024] and GDPR</w:t>
      </w:r>
      <w:r>
        <w:t xml:space="preserve"> </w:t>
      </w:r>
      <w:r>
        <w:t xml:space="preserve">requires data-protection accountability [gdpr2016]; multi-agent architectures with</w:t>
      </w:r>
      <w:r>
        <w:t xml:space="preserve"> </w:t>
      </w:r>
      <w:r>
        <w:t xml:space="preserve">explicit verifier or judge agents produce that trace at the architectural level.</w:t>
      </w:r>
    </w:p>
    <w:p>
      <w:pPr>
        <w:pStyle w:val="Heading2"/>
      </w:pPr>
      <w:bookmarkStart w:id="40" w:name="sec:lit:mas"/>
      <w:r>
        <w:t xml:space="preserve">Multi-Agent Legal AI</w:t>
      </w:r>
      <w:bookmarkEnd w:id="40"/>
    </w:p>
    <w:p>
      <w:pPr>
        <w:pStyle w:val="FirstParagraph"/>
      </w:pPr>
      <w:r>
        <w:t xml:space="preserve">Table </w:t>
      </w:r>
      <w:hyperlink w:anchor="tab:mas">
        <w:r>
          <w:rPr>
            <w:rStyle w:val="Hyperlink"/>
          </w:rPr>
          <w:t xml:space="preserve">3.4</w:t>
        </w:r>
      </w:hyperlink>
      <w:r>
        <w:t xml:space="preserve"> </w:t>
      </w:r>
      <w:r>
        <w:t xml:space="preserve">codes the published multi-agent legal systems most directly</w:t>
      </w:r>
      <w:r>
        <w:t xml:space="preserve"> </w:t>
      </w:r>
      <w:r>
        <w:t xml:space="preserve">comparable to this thesis along the five design axes introduced in</w:t>
      </w:r>
      <w:r>
        <w:t xml:space="preserve"> </w:t>
      </w:r>
      <w:r>
        <w:t xml:space="preserve">Section </w:t>
      </w:r>
      <w:hyperlink w:anchor="sec:lit:mas-background">
        <w:r>
          <w:rPr>
            <w:rStyle w:val="Hyperlink"/>
          </w:rPr>
          <w:t xml:space="preserve">3.3</w:t>
        </w:r>
      </w:hyperlink>
      <w:r>
        <w:t xml:space="preserve">.</w:t>
      </w:r>
    </w:p>
    <w:bookmarkStart w:id="41" w:name="tab:mas"/>
    <w:p>
      <w:pPr>
        <w:pStyle w:val="TableCaption"/>
      </w:pPr>
      <w:r>
        <w:t xml:space="preserve">Multi-agent legal AI systems coded against the five design-space axes of</w:t>
      </w:r>
      <w:r>
        <w:t xml:space="preserve"> </w:t>
      </w:r>
      <w:r>
        <w:t xml:space="preserve">Section </w:t>
      </w:r>
      <w:hyperlink w:anchor="sec:lit:mas-background">
        <w:r>
          <w:rPr>
            <w:rStyle w:val="Hyperlink"/>
          </w:rPr>
          <w:t xml:space="preserve">3.3</w:t>
        </w:r>
      </w:hyperlink>
      <w:r>
        <w:t xml:space="preserve">. All prior systems evaluate a single architecture</w:t>
      </w:r>
      <w:r>
        <w:t xml:space="preserve"> </w:t>
      </w:r>
      <w:r>
        <w:t xml:space="preserve">without ablation.</w:t>
      </w:r>
    </w:p>
    <w:tbl>
      <w:tblPr>
        <w:tblStyle w:val="Table"/>
        <w:tblW w:type="pct" w:w="0.0"/>
        <w:tblLook w:firstRow="1"/>
        <w:tblCaption w:val="Multi-agent legal AI systems coded against the five design-space axes of Section 3.3. All prior systems evaluate a single architecture without abla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System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Topology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Routing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Specialisation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Verification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ChatLaw v2 [cui2024chatlaw]</w:t>
            </w:r>
          </w:p>
        </w:tc>
        <w:tc>
          <w:p>
            <w:pPr>
              <w:pStyle w:val="Compact"/>
              <w:jc w:val="left"/>
            </w:pPr>
            <w:r>
              <w:t xml:space="preserve">Legal QA (CN)</w:t>
            </w:r>
          </w:p>
        </w:tc>
        <w:tc>
          <w:p>
            <w:pPr>
              <w:pStyle w:val="Compact"/>
              <w:jc w:val="left"/>
            </w:pPr>
            <w:r>
              <w:t xml:space="preserve">Hierarchical</w:t>
            </w:r>
          </w:p>
        </w:tc>
        <w:tc>
          <w:p>
            <w:pPr>
              <w:pStyle w:val="Compact"/>
              <w:jc w:val="left"/>
            </w:pPr>
            <w:r>
              <w:t xml:space="preserve">LLM-mediated</w:t>
            </w:r>
          </w:p>
        </w:tc>
        <w:tc>
          <w:p>
            <w:pPr>
              <w:pStyle w:val="Compact"/>
              <w:jc w:val="left"/>
            </w:pPr>
            <w:r>
              <w:t xml:space="preserve">Per-domain</w:t>
            </w:r>
          </w:p>
        </w:tc>
        <w:tc>
          <w:p>
            <w:pPr>
              <w:pStyle w:val="Compact"/>
              <w:jc w:val="left"/>
            </w:pPr>
            <w:r>
              <w:t xml:space="preserve">Self-check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PAKTON [raptopoulos2025pakton]</w:t>
            </w:r>
          </w:p>
        </w:tc>
        <w:tc>
          <w:p>
            <w:pPr>
              <w:pStyle w:val="Compact"/>
              <w:jc w:val="left"/>
            </w:pPr>
            <w:r>
              <w:t xml:space="preserve">Contract review</w:t>
            </w:r>
          </w:p>
        </w:tc>
        <w:tc>
          <w:p>
            <w:pPr>
              <w:pStyle w:val="Compact"/>
              <w:jc w:val="left"/>
            </w:pPr>
            <w:r>
              <w:t xml:space="preserve">Hierarchical</w:t>
            </w:r>
          </w:p>
        </w:tc>
        <w:tc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p>
            <w:pPr>
              <w:pStyle w:val="Compact"/>
              <w:jc w:val="left"/>
            </w:pPr>
            <w:r>
              <w:t xml:space="preserve">Per-step (3)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L-MARS [wang2025lmars]</w:t>
            </w:r>
          </w:p>
        </w:tc>
        <w:tc>
          <w:p>
            <w:pPr>
              <w:pStyle w:val="Compact"/>
              <w:jc w:val="left"/>
            </w:pPr>
            <w:r>
              <w:t xml:space="preserve">Statutory research</w:t>
            </w:r>
          </w:p>
        </w:tc>
        <w:tc>
          <w:p>
            <w:pPr>
              <w:pStyle w:val="Compact"/>
              <w:jc w:val="left"/>
            </w:pPr>
            <w:r>
              <w:t xml:space="preserve">Hierarchical</w:t>
            </w:r>
          </w:p>
        </w:tc>
        <w:tc>
          <w:p>
            <w:pPr>
              <w:pStyle w:val="Compact"/>
              <w:jc w:val="left"/>
            </w:pPr>
            <w:r>
              <w:t xml:space="preserve">LLM-mediated</w:t>
            </w:r>
          </w:p>
        </w:tc>
        <w:tc>
          <w:p>
            <w:pPr>
              <w:pStyle w:val="Compact"/>
              <w:jc w:val="left"/>
            </w:pPr>
            <w:r>
              <w:t xml:space="preserve">Per-step + retrieval</w:t>
            </w:r>
          </w:p>
        </w:tc>
        <w:tc>
          <w:p>
            <w:pPr>
              <w:pStyle w:val="Compact"/>
              <w:jc w:val="left"/>
            </w:pPr>
            <w:r>
              <w:t xml:space="preserve">Judge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Lawma [dominguezolmedo2024lawma]</w:t>
            </w:r>
          </w:p>
        </w:tc>
        <w:tc>
          <w:p>
            <w:pPr>
              <w:pStyle w:val="Compact"/>
              <w:jc w:val="left"/>
            </w:pPr>
            <w:r>
              <w:t xml:space="preserve">Legal annotation</w:t>
            </w:r>
          </w:p>
        </w:tc>
        <w:tc>
          <w:p>
            <w:pPr>
              <w:pStyle w:val="Compact"/>
              <w:jc w:val="left"/>
            </w:pPr>
            <w:r>
              <w:t xml:space="preserve">Single-agent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Per-task (fine-tune)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Layered CoT [sanwal2025layered]</w:t>
            </w:r>
          </w:p>
        </w:tc>
        <w:tc>
          <w:p>
            <w:pPr>
              <w:pStyle w:val="Compact"/>
              <w:jc w:val="left"/>
            </w:pPr>
            <w:r>
              <w:t xml:space="preserve">Statutory reasoning</w:t>
            </w:r>
          </w:p>
        </w:tc>
        <w:tc>
          <w:p>
            <w:pPr>
              <w:pStyle w:val="Compact"/>
              <w:jc w:val="left"/>
            </w:pPr>
            <w:r>
              <w:t xml:space="preserve">Single-agent</w:t>
            </w:r>
          </w:p>
        </w:tc>
        <w:tc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p>
            <w:pPr>
              <w:pStyle w:val="Compact"/>
              <w:jc w:val="left"/>
            </w:pPr>
            <w:r>
              <w:t xml:space="preserve">Per-step CoT layers</w:t>
            </w:r>
          </w:p>
        </w:tc>
        <w:tc>
          <w:p>
            <w:pPr>
              <w:pStyle w:val="Compact"/>
              <w:jc w:val="left"/>
            </w:pPr>
            <w:r>
              <w:t xml:space="preserve">Self-consistency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This thesis</w:t>
            </w:r>
          </w:p>
        </w:tc>
        <w:tc>
          <w:p>
            <w:pPr>
              <w:pStyle w:val="Compact"/>
              <w:jc w:val="left"/>
            </w:pPr>
            <w:r>
              <w:t xml:space="preserve">CUAD test split (102)</w:t>
            </w:r>
          </w:p>
        </w:tc>
        <w:tc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p>
            <w:pPr>
              <w:pStyle w:val="Compact"/>
              <w:jc w:val="left"/>
            </w:pPr>
            <w:r>
              <w:t xml:space="preserve">All three</w:t>
            </w:r>
          </w:p>
        </w:tc>
        <w:tc>
          <w:p>
            <w:pPr>
              <w:pStyle w:val="Compact"/>
              <w:jc w:val="left"/>
            </w:pPr>
            <w:r>
              <w:t xml:space="preserve">All three</w:t>
            </w:r>
          </w:p>
        </w:tc>
        <w:tc>
          <w:p>
            <w:pPr>
              <w:pStyle w:val="Compact"/>
              <w:jc w:val="left"/>
            </w:pPr>
            <w:r>
              <w:t xml:space="preserve">None (M0/M1); reflective verifier untested, Section </w:t>
            </w:r>
            <w:hyperlink w:anchor="sec:concl:outlook">
              <w:r>
                <w:rPr>
                  <w:rStyle w:val="Hyperlink"/>
                </w:rPr>
                <w:t xml:space="preserve">8.4</w:t>
              </w:r>
            </w:hyperlink>
          </w:p>
        </w:tc>
      </w:tr>
    </w:tbl>
    <w:bookmarkEnd w:id="41"/>
    <w:p>
      <w:pPr>
        <w:pStyle w:val="BodyText"/>
      </w:pPr>
      <w:r>
        <w:t xml:space="preserve">ChatLaw v2 [cui2024chatlaw] couples a Mixture-of-Experts router with</w:t>
      </w:r>
      <w:r>
        <w:t xml:space="preserve"> </w:t>
      </w:r>
      <w:r>
        <w:t xml:space="preserve">role-conditioned domain agents for Chinese legal consultation; verification is a</w:t>
      </w:r>
      <w:r>
        <w:t xml:space="preserve"> </w:t>
      </w:r>
      <w:r>
        <w:t xml:space="preserve">self-check pass and there is no public ablation against single-agent variants.</w:t>
      </w:r>
      <w:r>
        <w:t xml:space="preserve"> </w:t>
      </w:r>
      <w:r>
        <w:t xml:space="preserve">PAKTON [raptopoulos2025pakton] pipelines a reading agent, an analysis agent,</w:t>
      </w:r>
      <w:r>
        <w:t xml:space="preserve"> </w:t>
      </w:r>
      <w:r>
        <w:t xml:space="preserve">and a drafting agent over open-ended contract-review prompts; the system is evaluated</w:t>
      </w:r>
      <w:r>
        <w:t xml:space="preserve"> </w:t>
      </w:r>
      <w:r>
        <w:t xml:space="preserve">qualitatively and not on CUAD. L-MARS [wang2025lmars] combines a planner, a</w:t>
      </w:r>
      <w:r>
        <w:t xml:space="preserve"> </w:t>
      </w:r>
      <w:r>
        <w:t xml:space="preserve">retriever, and a judge agent on statutory research; performance is reported at system</w:t>
      </w:r>
      <w:r>
        <w:t xml:space="preserve"> </w:t>
      </w:r>
      <w:r>
        <w:t xml:space="preserve">level without architectural decomposition. Lawma [dominguezolmedo2024lawma],</w:t>
      </w:r>
      <w:r>
        <w:t xml:space="preserve"> </w:t>
      </w:r>
      <w:r>
        <w:t xml:space="preserve">while not multi-agent, provides the strongest counter-evidence to architectural</w:t>
      </w:r>
      <w:r>
        <w:t xml:space="preserve"> </w:t>
      </w:r>
      <w:r>
        <w:t xml:space="preserve">complexity in the legal domain: a fine-tuned 8B Llama 3 model exceeds GPT-4 by 20.0</w:t>
      </w:r>
      <w:r>
        <w:t xml:space="preserve"> </w:t>
      </w:r>
      <w:r>
        <w:t xml:space="preserve">accuracy points on legal annotation, and the smallest variant (135M) is competitive</w:t>
      </w:r>
      <w:r>
        <w:t xml:space="preserve"> </w:t>
      </w:r>
      <w:r>
        <w:t xml:space="preserve">with Claude 3.7 Sonnet. The layered chain-of-thought system of</w:t>
      </w:r>
      <w:r>
        <w:t xml:space="preserve"> </w:t>
      </w:r>
      <w:r>
        <w:t xml:space="preserve">Sanwal [sanwal2025layered] stays within a single agent but stacks specialist</w:t>
      </w:r>
      <w:r>
        <w:t xml:space="preserve"> </w:t>
      </w:r>
      <w:r>
        <w:t xml:space="preserve">prompts and self-consistency, reporting gains over flat prompting on statutory reasoning.</w:t>
      </w:r>
    </w:p>
    <w:p>
      <w:pPr>
        <w:pStyle w:val="BodyText"/>
      </w:pPr>
      <w:r>
        <w:t xml:space="preserve">Across this set, every prior system reports performance for a single chosen architecture</w:t>
      </w:r>
      <w:r>
        <w:t xml:space="preserve"> </w:t>
      </w:r>
      <w:r>
        <w:t xml:space="preserve">without ablating it against simpler or alternative configurations on the same evaluation</w:t>
      </w:r>
      <w:r>
        <w:t xml:space="preserve"> </w:t>
      </w:r>
      <w:r>
        <w:t xml:space="preserve">envelope. The question of whether the architecture or the model is responsible for</w:t>
      </w:r>
      <w:r>
        <w:t xml:space="preserve"> </w:t>
      </w:r>
      <w:r>
        <w:t xml:space="preserve">observed performance therefore remains open. This thesis addresses it directly through</w:t>
      </w:r>
      <w:r>
        <w:t xml:space="preserve"> </w:t>
      </w:r>
      <w:r>
        <w:t xml:space="preserve">cross-architecture ablation on a fixed CUAD evaluation harness.</w:t>
      </w:r>
    </w:p>
    <w:p>
      <w:pPr>
        <w:pStyle w:val="Heading2"/>
      </w:pPr>
      <w:bookmarkStart w:id="42" w:name="sec:lit:when"/>
      <w:r>
        <w:t xml:space="preserve">Conditions for Multi-Agent Effectiveness</w:t>
      </w:r>
      <w:bookmarkEnd w:id="42"/>
    </w:p>
    <w:p>
      <w:pPr>
        <w:pStyle w:val="FirstParagraph"/>
      </w:pPr>
      <w:r>
        <w:t xml:space="preserve">gao2025single show on a battery of</w:t>
      </w:r>
      <w:r>
        <w:t xml:space="preserve"> </w:t>
      </w:r>
      <w:r>
        <w:t xml:space="preserve">reasoning and tool-use tasks that single, well-prompted LLMs frequently match or exceed</w:t>
      </w:r>
      <w:r>
        <w:t xml:space="preserve"> </w:t>
      </w:r>
      <w:r>
        <w:t xml:space="preserve">multi-agent configurations once the latter are corrected for cost and prompting parity,</w:t>
      </w:r>
      <w:r>
        <w:t xml:space="preserve"> </w:t>
      </w:r>
      <w:r>
        <w:t xml:space="preserve">and that observed multi-agent gains often disappear under stronger single-agent baselines.</w:t>
      </w:r>
      <w:r>
        <w:t xml:space="preserve"> </w:t>
      </w:r>
      <w:r>
        <w:t xml:space="preserve">cemri2025why taxonomise multi-agent failure modes</w:t>
      </w:r>
      <w:r>
        <w:t xml:space="preserve"> </w:t>
      </w:r>
      <w:r>
        <w:t xml:space="preserve">(specification drift between agents, inter-agent verification gaps, lossy</w:t>
      </w:r>
      <w:r>
        <w:t xml:space="preserve"> </w:t>
      </w:r>
      <w:r>
        <w:t xml:space="preserve">summarisation across hand-offs) and document that these failures account for</w:t>
      </w:r>
      <w:r>
        <w:t xml:space="preserve"> </w:t>
      </w:r>
      <w:r>
        <w:t xml:space="preserve">the majority of regressions in the systems they audit. bogavelli2025agentarch</w:t>
      </w:r>
      <w:r>
        <w:t xml:space="preserve"> </w:t>
      </w:r>
      <w:r>
        <w:t xml:space="preserve">run a large architectural sweep across orchestration patterns and base models and find</w:t>
      </w:r>
      <w:r>
        <w:t xml:space="preserve"> </w:t>
      </w:r>
      <w:r>
        <w:t xml:space="preserve">substantial model-family</w:t>
      </w:r>
      <w:r>
        <w:t xml:space="preserve"> </w:t>
      </w:r>
      <m:oMath>
        <m:r>
          <m:t>×</m:t>
        </m:r>
      </m:oMath>
      <w:r>
        <w:t xml:space="preserve"> </w:t>
      </w:r>
      <w:r>
        <w:t xml:space="preserve">architecture interactions: an architecture that is</w:t>
      </w:r>
      <w:r>
        <w:t xml:space="preserve"> </w:t>
      </w:r>
      <w:r>
        <w:t xml:space="preserve">optimal under one model family is often dominated under another.</w:t>
      </w:r>
      <w:r>
        <w:t xml:space="preserve"> </w:t>
      </w:r>
      <w:r>
        <w:t xml:space="preserve">sanwal2025layered demonstrates that layered single-agent chain-of-thought</w:t>
      </w:r>
      <w:r>
        <w:t xml:space="preserve"> </w:t>
      </w:r>
      <w:r>
        <w:t xml:space="preserve">can recover much of the benefit attributed to multi-agent decomposition without paying</w:t>
      </w:r>
      <w:r>
        <w:t xml:space="preserve"> </w:t>
      </w:r>
      <w:r>
        <w:t xml:space="preserve">the coordination cost.</w:t>
      </w:r>
    </w:p>
    <w:p>
      <w:pPr>
        <w:pStyle w:val="BodyText"/>
      </w:pPr>
      <w:r>
        <w:t xml:space="preserve">These findings bear directly on the three working hypotheses. (H1) A generic claim of</w:t>
      </w:r>
      <w:r>
        <w:t xml:space="preserve"> </w:t>
      </w:r>
      <w:r>
        <w:t xml:space="preserve">multi-agent superiority on CUAD clause extraction is unlikely to survive a</w:t>
      </w:r>
      <w:r>
        <w:t xml:space="preserve"> </w:t>
      </w:r>
      <w:r>
        <w:t xml:space="preserve">properly normalised single-agent baseline [gao2025single], so the hypothesis is</w:t>
      </w:r>
      <w:r>
        <w:t xml:space="preserve"> </w:t>
      </w:r>
      <w:r>
        <w:t xml:space="preserve">stated and evaluated as conditional. (H2) The relative ordering of architectures will</w:t>
      </w:r>
      <w:r>
        <w:t xml:space="preserve"> </w:t>
      </w:r>
      <w:r>
        <w:t xml:space="preserve">depend on the underlying model family [bogavelli2025agentarch], encoded as an</w:t>
      </w:r>
      <w:r>
        <w:t xml:space="preserve"> </w:t>
      </w:r>
      <w:r>
        <w:t xml:space="preserve">explicit interaction term in the experimental design. (H3) Classification-gate</w:t>
      </w:r>
      <w:r>
        <w:t xml:space="preserve"> </w:t>
      </w:r>
      <w:r>
        <w:t xml:space="preserve">cascades (a router agent that decides whether to extract before invoking an</w:t>
      </w:r>
      <w:r>
        <w:t xml:space="preserve"> </w:t>
      </w:r>
      <w:r>
        <w:t xml:space="preserve">extractor) are a natural counter to the verification-gap and laziness failures</w:t>
      </w:r>
      <w:r>
        <w:t xml:space="preserve"> </w:t>
      </w:r>
      <w:r>
        <w:t xml:space="preserve">catalogued in [cemri2025why], motivating the M0 ablation in Chapter 3.</w:t>
      </w:r>
      <w:r>
        <w:t xml:space="preserve"> </w:t>
      </w:r>
      <w:r>
        <w:t xml:space="preserve">Whether this counter is effective is tested empirically in §</w:t>
      </w:r>
      <w:hyperlink w:anchor="sec:res:cascade">
        <w:r>
          <w:rPr>
            <w:rStyle w:val="Hyperlink"/>
          </w:rPr>
          <w:t xml:space="preserve">6.5</w:t>
        </w:r>
      </w:hyperlink>
      <w:r>
        <w:t xml:space="preserve">.</w:t>
      </w:r>
    </w:p>
    <w:p>
      <w:pPr>
        <w:pStyle w:val="Heading2"/>
      </w:pPr>
      <w:bookmarkStart w:id="43" w:name="sec:lit:eval"/>
      <w:r>
        <w:t xml:space="preserve">Evaluation Methodology</w:t>
      </w:r>
      <w:bookmarkEnd w:id="43"/>
    </w:p>
    <w:p>
      <w:pPr>
        <w:pStyle w:val="FirstParagraph"/>
      </w:pPr>
      <w:bookmarkStart w:id="44" w:name="sec:eval"/>
      <w:r>
        <w:t xml:space="preserve">[sec:eval]</w:t>
      </w:r>
      <w:bookmarkEnd w:id="44"/>
    </w:p>
    <w:p>
      <w:pPr>
        <w:pStyle w:val="BodyText"/>
      </w:pPr>
      <w:r>
        <w:t xml:space="preserve">This section consolidates the evaluation primitives used throughout the thesis.</w:t>
      </w:r>
      <w:r>
        <w:t xml:space="preserve"> </w:t>
      </w:r>
      <w:r>
        <w:t xml:space="preserve">Chapter 3 references these definitions without restating them.</w:t>
      </w:r>
    </w:p>
    <w:p>
      <w:pPr>
        <w:pStyle w:val="Heading5"/>
      </w:pPr>
      <w:bookmarkStart w:id="45" w:name="span-and-instance-metrics."/>
      <w:r>
        <w:t xml:space="preserve">Span and instance metrics.</w:t>
      </w:r>
      <w:bookmarkEnd w:id="45"/>
    </w:p>
    <w:p>
      <w:pPr>
        <w:pStyle w:val="FirstParagraph"/>
      </w:pPr>
      <w:r>
        <w:t xml:space="preserve">For a category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 a contract</w:t>
      </w:r>
      <w:r>
        <w:t xml:space="preserve"> </w:t>
      </w:r>
      <m:oMath>
        <m:r>
          <m:t>d</m:t>
        </m:r>
      </m:oMath>
      <w:r>
        <w:t xml:space="preserve">, let</w:t>
      </w:r>
      <w:r>
        <w:t xml:space="preserve"> </w:t>
      </w:r>
      <m:oMath>
        <m:sSubSup>
          <m:e>
            <m:r>
              <m:t>S</m:t>
            </m:r>
          </m:e>
          <m:sub>
            <m:r>
              <m:t>c</m:t>
            </m:r>
            <m:r>
              <m:t>,</m:t>
            </m:r>
            <m:r>
              <m:t>d</m:t>
            </m:r>
          </m:sub>
          <m:sup>
            <m:r>
              <m:t>*</m:t>
            </m:r>
          </m:sup>
        </m:sSubSup>
      </m:oMath>
      <w:r>
        <w:t xml:space="preserve"> </w:t>
      </w:r>
      <w:r>
        <w:t xml:space="preserve">be the set of gold spans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S</m:t>
                </m:r>
              </m:e>
            </m:acc>
          </m:e>
          <m:sub>
            <m:r>
              <m:t>c</m:t>
            </m:r>
            <m:r>
              <m:t>,</m:t>
            </m:r>
            <m:r>
              <m:t>d</m:t>
            </m:r>
          </m:sub>
        </m:sSub>
      </m:oMath>
      <w:r>
        <w:t xml:space="preserve"> </w:t>
      </w:r>
      <w:r>
        <w:t xml:space="preserve">the set of predicted spans. A predicted span</w:t>
      </w:r>
      <w:r>
        <w:t xml:space="preserve"> </w:t>
      </w:r>
      <m:oMath>
        <m:acc>
          <m:accPr>
            <m:chr m:val="̂"/>
          </m:accPr>
          <m:e>
            <m:r>
              <m:t>s</m:t>
            </m:r>
          </m:e>
        </m:acc>
      </m:oMath>
      <w:r>
        <w:t xml:space="preserve"> </w:t>
      </w:r>
      <w:r>
        <w:t xml:space="preserve">matches a gold</w:t>
      </w:r>
      <w:r>
        <w:t xml:space="preserve"> </w:t>
      </w:r>
      <w:r>
        <w:t xml:space="preserve">span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when their character-level Jaccard overlap exceeds threshold</w:t>
      </w:r>
      <w:r>
        <w:t xml:space="preserve"> </w:t>
      </w:r>
      <m:oMath>
        <m:r>
          <m:t>τ</m:t>
        </m:r>
        <m:r>
          <m:t>=</m:t>
        </m:r>
        <m:r>
          <m:t>0.5</m:t>
        </m:r>
      </m:oMath>
      <w:r>
        <w:t xml:space="preserve"> </w:t>
      </w:r>
      <w:r>
        <w:t xml:space="preserve">following [hendrycks2021cuad]: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t>(</m:t>
          </m:r>
          <m:acc>
            <m:accPr>
              <m:chr m:val="̂"/>
            </m:accPr>
            <m:e>
              <m:r>
                <m:t>s</m:t>
              </m:r>
            </m:e>
          </m:acc>
          <m:r>
            <m:t>,</m:t>
          </m:r>
          <m:r>
            <m:t>s</m:t>
          </m:r>
          <m:r>
            <m:t>)</m:t>
          </m:r>
          <m:r>
            <m:t>=</m:t>
          </m:r>
          <m:f>
            <m:fPr>
              <m:type m:val="bar"/>
            </m:fPr>
            <m:num>
              <m:r>
                <m:t>|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t>∩</m:t>
              </m:r>
              <m:r>
                <m:t>s</m:t>
              </m:r>
              <m:r>
                <m:t>|</m:t>
              </m:r>
            </m:num>
            <m:den>
              <m:r>
                <m:t>|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t>∪</m:t>
              </m:r>
              <m:r>
                <m:t>s</m:t>
              </m:r>
              <m:r>
                <m:t>|</m:t>
              </m:r>
            </m:den>
          </m:f>
          <m:r>
            <m:t>.</m:t>
          </m:r>
        </m:oMath>
      </m:oMathPara>
    </w:p>
    <w:p>
      <w:pPr>
        <w:pStyle w:val="FirstParagraph"/>
      </w:pPr>
      <w:r>
        <w:t xml:space="preserve">At the (contract, category) level, the prediction is true-positive if any predicted</w:t>
      </w:r>
      <w:r>
        <w:t xml:space="preserve"> </w:t>
      </w:r>
      <w:r>
        <w:t xml:space="preserve">span matches any gold span at threshold</w:t>
      </w:r>
      <w:r>
        <w:t xml:space="preserve"> </w:t>
      </w:r>
      <m:oMath>
        <m:r>
          <m:t>τ</m:t>
        </m:r>
      </m:oMath>
      <w:r>
        <w:t xml:space="preserve">, false-negative if gold spans exist</w:t>
      </w:r>
      <w:r>
        <w:t xml:space="preserve"> </w:t>
      </w:r>
      <w:r>
        <w:t xml:space="preserve">with no match, false-positive if predicted spans exist with no match, and true-negative</w:t>
      </w:r>
      <w:r>
        <w:t xml:space="preserve"> </w:t>
      </w:r>
      <w:r>
        <w:t xml:space="preserve">if both sets are empty. Precision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recall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aggregate over the natural class</w:t>
      </w:r>
      <w:r>
        <w:t xml:space="preserve"> </w:t>
      </w:r>
      <w:r>
        <w:t xml:space="preserve">distribution.</w:t>
      </w:r>
    </w:p>
    <w:p>
      <w:pPr>
        <w:pStyle w:val="Heading5"/>
      </w:pPr>
      <w:bookmarkStart w:id="46" w:name="f_beta."/>
      <m:oMath>
        <m:sSub>
          <m:e>
            <m:r>
              <m:t>F</m:t>
            </m:r>
          </m:e>
          <m:sub>
            <m:r>
              <m:t>β</m:t>
            </m:r>
          </m:sub>
        </m:sSub>
      </m:oMath>
      <w:r>
        <w:t xml:space="preserve">.</w:t>
      </w:r>
      <w:bookmarkEnd w:id="46"/>
    </w:p>
    <w:p>
      <w:pPr>
        <w:pStyle w:val="FirstParagraph"/>
      </w:pPr>
      <w:r>
        <w:t xml:space="preserve">Recall is privileged over precision in legal review by a factor commonly fixed at</w:t>
      </w:r>
      <w:r>
        <w:t xml:space="preserve"> </w:t>
      </w:r>
      <m:oMath>
        <m:r>
          <m:t>β</m:t>
        </m:r>
        <m: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β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(</m:t>
              </m:r>
              <m:r>
                <m:t>1</m:t>
              </m:r>
              <m:r>
                <m:t>+</m:t>
              </m:r>
              <m:sSup>
                <m:e>
                  <m:r>
                    <m:t>β</m:t>
                  </m:r>
                </m:e>
                <m:sup>
                  <m:r>
                    <m:t>2</m:t>
                  </m:r>
                </m:sup>
              </m:sSup>
              <m:r>
                <m:t>)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R</m:t>
              </m:r>
            </m:num>
            <m:den>
              <m:sSup>
                <m:e>
                  <m:r>
                    <m:t>β</m:t>
                  </m:r>
                </m:e>
                <m:sup>
                  <m:r>
                    <m:t>2</m:t>
                  </m:r>
                </m:sup>
              </m:sSup>
              <m:r>
                <m:t>P</m:t>
              </m:r>
              <m:r>
                <m:t>+</m:t>
              </m:r>
              <m:r>
                <m:t>R</m:t>
              </m:r>
            </m:den>
          </m:f>
          <m:r>
            <m:t>,</m:t>
          </m:r>
          <m:r>
            <m:t>  </m:t>
          </m:r>
          <m:r>
            <m:t>β</m:t>
          </m:r>
          <m:r>
            <m:t>=</m:t>
          </m:r>
          <m:r>
            <m:t>2</m:t>
          </m:r>
          <m:r>
            <m:t>.</m:t>
          </m:r>
        </m:oMath>
      </m:oMathPara>
    </w:p>
    <w:p>
      <w:pPr>
        <w:pStyle w:val="FirstParagraph"/>
      </w:pP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reported alongside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compatibility with prior CUAD work.</w:t>
      </w:r>
      <w:r>
        <w:t xml:space="preserve"> </w:t>
      </w:r>
      <w:r>
        <w:t xml:space="preserve">Instance-level</w:t>
      </w:r>
      <w:r>
        <w:t xml:space="preserve"> </w:t>
      </w:r>
      <m:oMath>
        <m:sSub>
          <m:e>
            <m:r>
              <m:t>F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at the (contract, category) granularity is the primary</w:t>
      </w:r>
      <w:r>
        <w:t xml:space="preserve"> </w:t>
      </w:r>
      <w:r>
        <w:t xml:space="preserve">metric reported in Chapter 4, as it aligns with the deployment unit (a reviewer’s</w:t>
      </w:r>
      <w:r>
        <w:t xml:space="preserve"> </w:t>
      </w:r>
      <w:r>
        <w:t xml:space="preserve">decision per category per contract).</w:t>
      </w:r>
    </w:p>
    <w:p>
      <w:pPr>
        <w:pStyle w:val="Heading5"/>
      </w:pPr>
      <w:bookmarkStart w:id="47" w:name="failure-mode-metrics."/>
      <w:r>
        <w:t xml:space="preserve">Failure-mode metrics.</w:t>
      </w:r>
      <w:bookmarkEnd w:id="47"/>
    </w:p>
    <w:p>
      <w:pPr>
        <w:pStyle w:val="FirstParagraph"/>
      </w:pPr>
      <w:r>
        <w:t xml:space="preserve">ContractEval [liu2025contracteval] introduced</w:t>
      </w:r>
      <w:r>
        <w:t xml:space="preserve"> </w:t>
      </w:r>
      <w:r>
        <w:rPr>
          <w:i/>
        </w:rPr>
        <w:t xml:space="preserve">laziness</w:t>
      </w:r>
      <w:r>
        <w:t xml:space="preserve"> </w:t>
      </w:r>
      <w:r>
        <w:t xml:space="preserve">as the per-model</w:t>
      </w:r>
      <w:r>
        <w:t xml:space="preserve"> </w:t>
      </w:r>
      <w:r>
        <w:t xml:space="preserve">rate at which an LLM declines to extract on instances where a gold span exists: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t>=</m:t>
          </m:r>
          <m:f>
            <m:fPr>
              <m:type m:val="bar"/>
            </m:fPr>
            <m:num>
              <m:r>
                <m:t>|</m:t>
              </m:r>
              <m:r>
                <m:t>{</m:t>
              </m:r>
              <m:r>
                <m:t>(</m:t>
              </m:r>
              <m:r>
                <m:t>c</m:t>
              </m:r>
              <m:r>
                <m:t>,</m:t>
              </m:r>
              <m:r>
                <m:t>d</m:t>
              </m:r>
              <m:r>
                <m:t>)</m:t>
              </m:r>
              <m:r>
                <m:t>:</m:t>
              </m:r>
              <m:r>
                <m:t>|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</m:e>
                <m:sub>
                  <m:r>
                    <m:t>c</m:t>
                  </m:r>
                  <m:r>
                    <m:t>,</m:t>
                  </m:r>
                  <m:r>
                    <m:t>d</m:t>
                  </m:r>
                </m:sub>
              </m:sSub>
              <m:r>
                <m:t>|</m:t>
              </m:r>
              <m:r>
                <m:t>=</m:t>
              </m:r>
              <m:r>
                <m:t>0</m:t>
              </m:r>
              <m:r>
                <m:t> </m:t>
              </m:r>
              <m:r>
                <m:t>∧</m:t>
              </m:r>
              <m:r>
                <m:t> </m:t>
              </m:r>
              <m:r>
                <m:t>|</m:t>
              </m:r>
              <m:sSubSup>
                <m:e>
                  <m:r>
                    <m:t>S</m:t>
                  </m:r>
                </m:e>
                <m:sub>
                  <m:r>
                    <m:t>c</m:t>
                  </m:r>
                  <m:r>
                    <m:t>,</m:t>
                  </m:r>
                  <m:r>
                    <m:t>d</m:t>
                  </m:r>
                </m:sub>
                <m:sup>
                  <m:r>
                    <m:t>*</m:t>
                  </m:r>
                </m:sup>
              </m:sSubSup>
              <m:r>
                <m:t>|</m:t>
              </m:r>
              <m:r>
                <m:t>&gt;</m:t>
              </m:r>
              <m:r>
                <m:t>0</m:t>
              </m:r>
              <m:r>
                <m:t>}</m:t>
              </m:r>
              <m:r>
                <m:t>|</m:t>
              </m:r>
            </m:num>
            <m:den>
              <m:r>
                <m:t>|</m:t>
              </m:r>
              <m:r>
                <m:t>{</m:t>
              </m:r>
              <m:r>
                <m:t>(</m:t>
              </m:r>
              <m:r>
                <m:t>c</m:t>
              </m:r>
              <m:r>
                <m:t>,</m:t>
              </m:r>
              <m:r>
                <m:t>d</m:t>
              </m:r>
              <m:r>
                <m:t>)</m:t>
              </m:r>
              <m:r>
                <m:t>:</m:t>
              </m:r>
              <m:r>
                <m:t>|</m:t>
              </m:r>
              <m:sSubSup>
                <m:e>
                  <m:r>
                    <m:t>S</m:t>
                  </m:r>
                </m:e>
                <m:sub>
                  <m:r>
                    <m:t>c</m:t>
                  </m:r>
                  <m:r>
                    <m:t>,</m:t>
                  </m:r>
                  <m:r>
                    <m:t>d</m:t>
                  </m:r>
                </m:sub>
                <m:sup>
                  <m:r>
                    <m:t>*</m:t>
                  </m:r>
                </m:sup>
              </m:sSubSup>
              <m:r>
                <m:t>|</m:t>
              </m:r>
              <m:r>
                <m:t>&gt;</m:t>
              </m:r>
              <m:r>
                <m:t>0</m:t>
              </m:r>
              <m:r>
                <m:t>}</m:t>
              </m:r>
              <m:r>
                <m:t>|</m:t>
              </m:r>
            </m:den>
          </m:f>
          <m:r>
            <m:t>.</m:t>
          </m:r>
        </m:oMath>
      </m:oMathPara>
    </w:p>
    <w:p>
      <w:pPr>
        <w:pStyle w:val="FirstParagraph"/>
      </w:pPr>
      <w:r>
        <w:t xml:space="preserve">The dual failure mode is</w:t>
      </w:r>
      <w:r>
        <w:t xml:space="preserve"> </w:t>
      </w:r>
      <w:r>
        <w:rPr>
          <w:i/>
        </w:rPr>
        <w:t xml:space="preserve">over-extraction</w:t>
      </w:r>
      <w:r>
        <w:t xml:space="preserve">: the per-model rate of producing</w:t>
      </w:r>
      <w:r>
        <w:t xml:space="preserve"> </w:t>
      </w:r>
      <w:r>
        <w:t xml:space="preserve">spans on negative instances: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r>
            <m:t>=</m:t>
          </m:r>
          <m:f>
            <m:fPr>
              <m:type m:val="bar"/>
            </m:fPr>
            <m:num>
              <m:r>
                <m:t>|</m:t>
              </m:r>
              <m:r>
                <m:t>{</m:t>
              </m:r>
              <m:r>
                <m:t>(</m:t>
              </m:r>
              <m:r>
                <m:t>c</m:t>
              </m:r>
              <m:r>
                <m:t>,</m:t>
              </m:r>
              <m:r>
                <m:t>d</m:t>
              </m:r>
              <m:r>
                <m:t>)</m:t>
              </m:r>
              <m:r>
                <m:t>:</m:t>
              </m:r>
              <m:r>
                <m:t>|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</m:e>
                <m:sub>
                  <m:r>
                    <m:t>c</m:t>
                  </m:r>
                  <m:r>
                    <m:t>,</m:t>
                  </m:r>
                  <m:r>
                    <m:t>d</m:t>
                  </m:r>
                </m:sub>
              </m:sSub>
              <m:r>
                <m:t>|</m:t>
              </m:r>
              <m:r>
                <m:t>&gt;</m:t>
              </m:r>
              <m:r>
                <m:t>0</m:t>
              </m:r>
              <m:r>
                <m:t> </m:t>
              </m:r>
              <m:r>
                <m:t>∧</m:t>
              </m:r>
              <m:r>
                <m:t> </m:t>
              </m:r>
              <m:r>
                <m:t>|</m:t>
              </m:r>
              <m:sSubSup>
                <m:e>
                  <m:r>
                    <m:t>S</m:t>
                  </m:r>
                </m:e>
                <m:sub>
                  <m:r>
                    <m:t>c</m:t>
                  </m:r>
                  <m:r>
                    <m:t>,</m:t>
                  </m:r>
                  <m:r>
                    <m:t>d</m:t>
                  </m:r>
                </m:sub>
                <m:sup>
                  <m:r>
                    <m:t>*</m:t>
                  </m:r>
                </m:sup>
              </m:sSubSup>
              <m:r>
                <m:t>|</m:t>
              </m:r>
              <m:r>
                <m:t>=</m:t>
              </m:r>
              <m:r>
                <m:t>0</m:t>
              </m:r>
              <m:r>
                <m:t>}</m:t>
              </m:r>
              <m:r>
                <m:t>|</m:t>
              </m:r>
            </m:num>
            <m:den>
              <m:r>
                <m:t>|</m:t>
              </m:r>
              <m:r>
                <m:t>{</m:t>
              </m:r>
              <m:r>
                <m:t>(</m:t>
              </m:r>
              <m:r>
                <m:t>c</m:t>
              </m:r>
              <m:r>
                <m:t>,</m:t>
              </m:r>
              <m:r>
                <m:t>d</m:t>
              </m:r>
              <m:r>
                <m:t>)</m:t>
              </m:r>
              <m:r>
                <m:t>:</m:t>
              </m:r>
              <m:r>
                <m:t>|</m:t>
              </m:r>
              <m:sSubSup>
                <m:e>
                  <m:r>
                    <m:t>S</m:t>
                  </m:r>
                </m:e>
                <m:sub>
                  <m:r>
                    <m:t>c</m:t>
                  </m:r>
                  <m:r>
                    <m:t>,</m:t>
                  </m:r>
                  <m:r>
                    <m:t>d</m:t>
                  </m:r>
                </m:sub>
                <m:sup>
                  <m:r>
                    <m:t>*</m:t>
                  </m:r>
                </m:sup>
              </m:sSubSup>
              <m:r>
                <m:t>|</m:t>
              </m:r>
              <m:r>
                <m:t>=</m:t>
              </m:r>
              <m:r>
                <m:t>0</m:t>
              </m:r>
              <m:r>
                <m:t>}</m:t>
              </m:r>
              <m:r>
                <m:t>|</m:t>
              </m:r>
            </m:den>
          </m:f>
          <m:r>
            <m:t>.</m:t>
          </m:r>
        </m:oMath>
      </m:oMathPara>
    </w:p>
    <w:p>
      <w:pPr>
        <w:pStyle w:val="FirstParagraph"/>
      </w:pPr>
      <w:r>
        <w:t xml:space="preserve">Equations </w:t>
      </w:r>
      <w:hyperlink w:anchor="eq:laziness">
        <w:r>
          <w:rPr>
            <w:rStyle w:val="Hyperlink"/>
          </w:rPr>
          <w:t xml:space="preserve">[eq:laziness]</w:t>
        </w:r>
      </w:hyperlink>
      <w:r>
        <w:t xml:space="preserve"> </w:t>
      </w:r>
      <w:r>
        <w:t xml:space="preserve">and </w:t>
      </w:r>
      <w:hyperlink w:anchor="eq:overextract">
        <w:r>
          <w:rPr>
            <w:rStyle w:val="Hyperlink"/>
          </w:rPr>
          <w:t xml:space="preserve">[eq:overextract]</w:t>
        </w:r>
      </w:hyperlink>
      <w:r>
        <w:t xml:space="preserve"> </w:t>
      </w:r>
      <w:r>
        <w:t xml:space="preserve">are a coupled pair:</w:t>
      </w:r>
      <w:r>
        <w:t xml:space="preserve"> </w:t>
      </w:r>
      <w:r>
        <w:t xml:space="preserve">evaluations that resample to a balanced class distribution suppress</w:t>
      </w:r>
      <w:r>
        <w:t xml:space="preserve"> </w:t>
      </w:r>
      <w:r>
        <w:t xml:space="preserve">Eq. </w:t>
      </w:r>
      <w:hyperlink w:anchor="eq:overextract">
        <w:r>
          <w:rPr>
            <w:rStyle w:val="Hyperlink"/>
          </w:rPr>
          <w:t xml:space="preserve">[eq:overextract]</w:t>
        </w:r>
      </w:hyperlink>
      <w:r>
        <w:t xml:space="preserve"> </w:t>
      </w:r>
      <w:r>
        <w:t xml:space="preserve">and hide the precision cost of recall-boosting</w:t>
      </w:r>
      <w:r>
        <w:t xml:space="preserve"> </w:t>
      </w:r>
      <w:r>
        <w:t xml:space="preserve">interventions. The evaluation therefore uses exclusively the natural CUAD class</w:t>
      </w:r>
      <w:r>
        <w:t xml:space="preserve"> </w:t>
      </w:r>
      <w:r>
        <w:t xml:space="preserve">distribution and reports both metrics.</w:t>
      </w:r>
    </w:p>
    <w:p>
      <w:pPr>
        <w:pStyle w:val="Heading5"/>
      </w:pPr>
      <w:bookmarkStart w:id="48" w:name="statistical-testing."/>
      <w:r>
        <w:t xml:space="preserve">Statistical testing.</w:t>
      </w:r>
      <w:bookmarkEnd w:id="48"/>
    </w:p>
    <w:p>
      <w:pPr>
        <w:pStyle w:val="FirstParagraph"/>
      </w:pPr>
      <w:r>
        <w:t xml:space="preserve">Every architecture comparison is paired on the same contract set; McNemar’s test</w:t>
      </w:r>
      <w:r>
        <w:t xml:space="preserve"> </w:t>
      </w:r>
      <w:r>
        <w:t xml:space="preserve">handles instance-level binary outcomes [mcnemar1947note] and the paired bootstrap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t>=</m:t>
        </m:r>
        <m:r>
          <m:t>300</m:t>
        </m:r>
      </m:oMath>
      <w:r>
        <w:t xml:space="preserve"> </w:t>
      </w:r>
      <w:r>
        <w:t xml:space="preserve">resamples handles span-level continuous</w:t>
      </w:r>
      <w:r>
        <w:t xml:space="preserve"> </w:t>
      </w:r>
      <w:r>
        <w:t xml:space="preserve">metrics [efron1979bootstrap,riezler2005pitfalls]. Multiple-comparison control</w:t>
      </w:r>
      <w:r>
        <w:t xml:space="preserve"> </w:t>
      </w:r>
      <w:r>
        <w:t xml:space="preserve">across the architecture grid uses Benjamini–Hochberg false-discovery-rate correction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t>=</m:t>
        </m:r>
        <m:r>
          <m:t>0.05</m:t>
        </m:r>
      </m:oMath>
      <w:r>
        <w:t xml:space="preserve"> [benjamini1995controlling]. Sample-size and power considerations</w:t>
      </w:r>
      <w:r>
        <w:t xml:space="preserve"> </w:t>
      </w:r>
      <w:r>
        <w:t xml:space="preserve">follow dror2018hitchhikers and card2020little;</w:t>
      </w:r>
      <w:r>
        <w:t xml:space="preserve"> </w:t>
      </w:r>
      <w:r>
        <w:t xml:space="preserve">the 102-contract test split gives</w:t>
      </w:r>
      <w:r>
        <w:t xml:space="preserve"> </w:t>
      </w:r>
      <m:oMath>
        <m:r>
          <m:t>≥</m:t>
        </m:r>
        <m:r>
          <m:t>0.8</m:t>
        </m:r>
      </m:oMath>
      <w:r>
        <w:t xml:space="preserve"> </w:t>
      </w:r>
      <w:r>
        <w:t xml:space="preserve">power to detect absolute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differences of</w:t>
      </w:r>
      <w:r>
        <w:t xml:space="preserve"> </w:t>
      </w:r>
      <m:oMath>
        <m:r>
          <m:t>≈</m:t>
        </m:r>
        <m:r>
          <m:t>​</m:t>
        </m:r>
        <m:r>
          <m:t>2.5</m:t>
        </m:r>
      </m:oMath>
      <w:r>
        <w:t xml:space="preserve"> </w:t>
      </w:r>
      <w:r>
        <w:t xml:space="preserve">percentage points at the instance level under the</w:t>
      </w:r>
      <w:r>
        <w:t xml:space="preserve"> </w:t>
      </w:r>
      <w:r>
        <w:t xml:space="preserve">bootstrap.</w:t>
      </w:r>
    </w:p>
    <w:p>
      <w:pPr>
        <w:pStyle w:val="Heading5"/>
      </w:pPr>
      <w:bookmarkStart w:id="49" w:name="sampling-design."/>
      <w:r>
        <w:t xml:space="preserve">Sampling design.</w:t>
      </w:r>
      <w:bookmarkEnd w:id="49"/>
    </w:p>
    <w:p>
      <w:pPr>
        <w:pStyle w:val="FirstParagraph"/>
      </w:pPr>
      <w:r>
        <w:t xml:space="preserve">CUAD’s natural clause-presence rate is</w:t>
      </w:r>
      <w:r>
        <w:t xml:space="preserve"> </w:t>
      </w:r>
      <m:oMath>
        <m:r>
          <m:t>≈</m:t>
        </m:r>
        <m:r>
          <m:t>​</m:t>
        </m:r>
        <m:r>
          <m:t>30</m:t>
        </m:r>
        <m:r>
          <m:t>%</m:t>
        </m:r>
      </m:oMath>
      <w:r>
        <w:t xml:space="preserve"> </w:t>
      </w:r>
      <w:r>
        <w:t xml:space="preserve">positive at the instance level.</w:t>
      </w:r>
      <w:r>
        <w:t xml:space="preserve"> </w:t>
      </w:r>
      <w:r>
        <w:t xml:space="preserve">Resampling to balance positive and negative instances inflates apparent precision and</w:t>
      </w:r>
      <w:r>
        <w:t xml:space="preserve"> </w:t>
      </w:r>
      <w:r>
        <w:t xml:space="preserve">suppresses Eq. </w:t>
      </w:r>
      <w:hyperlink w:anchor="eq:overextract">
        <w:r>
          <w:rPr>
            <w:rStyle w:val="Hyperlink"/>
          </w:rPr>
          <w:t xml:space="preserve">[eq:overextract]</w:t>
        </w:r>
      </w:hyperlink>
      <w:r>
        <w:t xml:space="preserve">, detaching the evaluation from any deployable</w:t>
      </w:r>
      <w:r>
        <w:t xml:space="preserve"> </w:t>
      </w:r>
      <w:r>
        <w:t xml:space="preserve">distribution where 41 categories are scanned per contract and most are absent. The</w:t>
      </w:r>
      <w:r>
        <w:t xml:space="preserve"> </w:t>
      </w:r>
      <w:r>
        <w:t xml:space="preserve">present evaluation retains every positive (contract, category) pair and downsamples</w:t>
      </w:r>
      <w:r>
        <w:t xml:space="preserve"> </w:t>
      </w:r>
      <w:r>
        <w:t xml:space="preserve">negatives to a measured</w:t>
      </w:r>
      <w:r>
        <w:t xml:space="preserve"> </w:t>
      </w:r>
      <m:oMath>
        <m:r>
          <m:t>41.5</m:t>
        </m:r>
        <m:r>
          <m:t>%</m:t>
        </m:r>
      </m:oMath>
      <w:r>
        <w:t xml:space="preserve"> </w:t>
      </w:r>
      <w:r>
        <w:t xml:space="preserve">positive rate (Section </w:t>
      </w:r>
      <w:hyperlink w:anchor="sec:meth:sampling">
        <w:r>
          <w:rPr>
            <w:rStyle w:val="Hyperlink"/>
          </w:rPr>
          <w:t xml:space="preserve">4.2.0.0.1</w:t>
        </w:r>
      </w:hyperlink>
      <w:r>
        <w:t xml:space="preserve">); this</w:t>
      </w:r>
      <w:r>
        <w:t xml:space="preserve"> </w:t>
      </w:r>
      <w:r>
        <w:t xml:space="preserve">preserves rare-tier statistical power while keeping over-extraction</w:t>
      </w:r>
      <w:r>
        <w:t xml:space="preserve"> </w:t>
      </w:r>
      <w:r>
        <w:t xml:space="preserve">(Eq. </w:t>
      </w:r>
      <w:hyperlink w:anchor="eq:overextract">
        <w:r>
          <w:rPr>
            <w:rStyle w:val="Hyperlink"/>
          </w:rPr>
          <w:t xml:space="preserve">[eq:overextract]</w:t>
        </w:r>
      </w:hyperlink>
      <w:r>
        <w:t xml:space="preserve">) observable [liu2025contracteval].</w:t>
      </w:r>
    </w:p>
    <w:p>
      <w:pPr>
        <w:pStyle w:val="Heading5"/>
      </w:pPr>
      <w:bookmarkStart w:id="50" w:name="X515b01277e45b15dd821aa1e2ebdd4bfc7de3d3"/>
      <w:r>
        <w:t xml:space="preserve">ContractEval as direct empirical predecessor.</w:t>
      </w:r>
      <w:bookmarkEnd w:id="50"/>
    </w:p>
    <w:p>
      <w:pPr>
        <w:pStyle w:val="FirstParagraph"/>
      </w:pPr>
      <w:r>
        <w:t xml:space="preserve">ContractEval [liu2025contracteval] evaluates 19 LLMs (4 proprietary, 15</w:t>
      </w:r>
      <w:r>
        <w:t xml:space="preserve"> </w:t>
      </w:r>
      <w:r>
        <w:t xml:space="preserve">open-source) on 4</w:t>
      </w:r>
      <w:r>
        <w:t xml:space="preserve">,</w:t>
      </w:r>
      <w:r>
        <w:t xml:space="preserve">128 (contract, category) samples across the full 41-category CUAD</w:t>
      </w:r>
      <w:r>
        <w:t xml:space="preserve"> </w:t>
      </w:r>
      <w:r>
        <w:t xml:space="preserve">schema, holding prompt and decoding constants across models, and reporting Jaccard span</w:t>
      </w:r>
      <w:r>
        <w:t xml:space="preserve"> </w:t>
      </w:r>
      <w:r>
        <w:t xml:space="preserve">overlap, instance-level correctness, and laziness. Its principal findings are: a</w:t>
      </w:r>
      <w:r>
        <w:t xml:space="preserve"> </w:t>
      </w:r>
      <w:r>
        <w:t xml:space="preserve">persistent proprietary–open-source gap on legal extraction; a non-monotonic effect of</w:t>
      </w:r>
      <w:r>
        <w:t xml:space="preserve"> </w:t>
      </w:r>
      <w:r>
        <w:t xml:space="preserve">explicit reasoning (chain-of-thought improves Jaccard on positive instances while</w:t>
      </w:r>
      <w:r>
        <w:t xml:space="preserve"> </w:t>
      </w:r>
      <w:r>
        <w:t xml:space="preserve">degrading correctness through inflated false positives); and laziness as a persistent,</w:t>
      </w:r>
      <w:r>
        <w:t xml:space="preserve"> </w:t>
      </w:r>
      <w:r>
        <w:t xml:space="preserve">model-dependent and category-dependent failure mode. Three properties of the</w:t>
      </w:r>
      <w:r>
        <w:t xml:space="preserve"> </w:t>
      </w:r>
      <w:r>
        <w:t xml:space="preserve">ContractEval design define the gaps the present thesis closes: the architectural axis</w:t>
      </w:r>
      <w:r>
        <w:t xml:space="preserve"> </w:t>
      </w:r>
      <w:r>
        <w:t xml:space="preserve">is held fixed at single-prompt single-model; model-family interactions are not</w:t>
      </w:r>
      <w:r>
        <w:t xml:space="preserve"> </w:t>
      </w:r>
      <w:r>
        <w:t xml:space="preserve">analysed; and over-extraction (Eq. </w:t>
      </w:r>
      <w:hyperlink w:anchor="eq:overextract">
        <w:r>
          <w:rPr>
            <w:rStyle w:val="Hyperlink"/>
          </w:rPr>
          <w:t xml:space="preserve">[eq:overextract]</w:t>
        </w:r>
      </w:hyperlink>
      <w:r>
        <w:t xml:space="preserve">) is not tracked as a</w:t>
      </w:r>
      <w:r>
        <w:t xml:space="preserve"> </w:t>
      </w:r>
      <w:r>
        <w:t xml:space="preserve">first-class metric. The present thesis retains ContractEval’s instance-level</w:t>
      </w:r>
      <w:r>
        <w:t xml:space="preserve"> </w:t>
      </w:r>
      <w:r>
        <w:t xml:space="preserve">scoring, laziness reporting, and</w:t>
      </w:r>
      <w:r>
        <w:t xml:space="preserve"> </w:t>
      </w:r>
      <m:oMath>
        <m:r>
          <m:t>τ</m:t>
        </m:r>
        <m:r>
          <m:t>=</m:t>
        </m:r>
        <m:r>
          <m:t>0.5</m:t>
        </m:r>
      </m:oMath>
      <w:r>
        <w:t xml:space="preserve"> </w:t>
      </w:r>
      <w:r>
        <w:t xml:space="preserve">Jaccard threshold; departs on</w:t>
      </w:r>
      <w:r>
        <w:t xml:space="preserve"> </w:t>
      </w:r>
      <w:r>
        <w:t xml:space="preserve">class distribution (upsampled to</w:t>
      </w:r>
      <w:r>
        <w:t xml:space="preserve"> </w:t>
      </w:r>
      <m:oMath>
        <m:r>
          <m:t>41.5</m:t>
        </m:r>
        <m:r>
          <m:t>%</m:t>
        </m:r>
      </m:oMath>
      <w:r>
        <w:t xml:space="preserve"> </w:t>
      </w:r>
      <w:r>
        <w:t xml:space="preserve">positive, Section </w:t>
      </w:r>
      <w:hyperlink w:anchor="sec:meth:sampling">
        <w:r>
          <w:rPr>
            <w:rStyle w:val="Hyperlink"/>
          </w:rPr>
          <w:t xml:space="preserve">4.2.0.0.1</w:t>
        </w:r>
      </w:hyperlink>
      <w:r>
        <w:t xml:space="preserve">);</w:t>
      </w:r>
      <w:r>
        <w:t xml:space="preserve"> </w:t>
      </w:r>
      <w:r>
        <w:t xml:space="preserve">and adds over-extraction (Eq. </w:t>
      </w:r>
      <w:hyperlink w:anchor="eq:overextract">
        <w:r>
          <w:rPr>
            <w:rStyle w:val="Hyperlink"/>
          </w:rPr>
          <w:t xml:space="preserve">[eq:overextract]</w:t>
        </w:r>
      </w:hyperlink>
      <w:r>
        <w:t xml:space="preserve">) and a model-family</w:t>
      </w:r>
      <w:r>
        <w:t xml:space="preserve"> </w:t>
      </w:r>
      <w:r>
        <w:t xml:space="preserve">interaction term as first-class evaluation axes.</w:t>
      </w:r>
    </w:p>
    <w:p>
      <w:pPr>
        <w:pStyle w:val="Heading5"/>
      </w:pPr>
      <w:bookmarkStart w:id="51" w:name="prompt-sensitivity-as-a-validity-threat."/>
      <w:r>
        <w:t xml:space="preserve">Prompt sensitivity as a validity threat.</w:t>
      </w:r>
      <w:bookmarkEnd w:id="51"/>
    </w:p>
    <w:p>
      <w:pPr>
        <w:pStyle w:val="FirstParagraph"/>
      </w:pPr>
      <w:r>
        <w:t xml:space="preserve">The prompt-sensitivity index of chatterjee2024posix</w:t>
      </w:r>
      <w:r>
        <w:t xml:space="preserve"> </w:t>
      </w:r>
      <w:r>
        <w:t xml:space="preserve">quantifies the sensitivity of LLM outputs to semantically equivalent prompt</w:t>
      </w:r>
      <w:r>
        <w:t xml:space="preserve"> </w:t>
      </w:r>
      <w:r>
        <w:t xml:space="preserve">rewrites and reports non-trivial sensitivity even on well-defined tasks.</w:t>
      </w:r>
      <w:r>
        <w:t xml:space="preserve"> </w:t>
      </w:r>
      <w:r>
        <w:t xml:space="preserve">Prompt sensitivity is therefore a first-order validity threat for any</w:t>
      </w:r>
      <w:r>
        <w:t xml:space="preserve"> </w:t>
      </w:r>
      <w:r>
        <w:t xml:space="preserve">architecture comparison in which architectures differ in the number, role,</w:t>
      </w:r>
      <w:r>
        <w:t xml:space="preserve"> </w:t>
      </w:r>
      <w:r>
        <w:t xml:space="preserve">or wording of agent prompts. Chapter 3 controls this threat by holding</w:t>
      </w:r>
      <w:r>
        <w:t xml:space="preserve"> </w:t>
      </w:r>
      <w:r>
        <w:t xml:space="preserve">system-prompt scaffolds fixed across architectures where the role permits,</w:t>
      </w:r>
      <w:r>
        <w:t xml:space="preserve"> </w:t>
      </w:r>
      <w:r>
        <w:t xml:space="preserve">and reports an analogous sensitivity check on the architectural ablations.</w:t>
      </w:r>
      <w:r>
        <w:t xml:space="preserve"> </w:t>
      </w:r>
      <w:r>
        <w:t xml:space="preserve">Observability and trace inspection use Langfuse [langfuse2024];</w:t>
      </w:r>
      <w:r>
        <w:t xml:space="preserve"> </w:t>
      </w:r>
      <w:r>
        <w:t xml:space="preserve">orchestration uses LangGraph [langgraph2024].</w:t>
      </w:r>
    </w:p>
    <w:p>
      <w:pPr>
        <w:pStyle w:val="Heading2"/>
      </w:pPr>
      <w:bookmarkStart w:id="52" w:name="sec:lit:synthesis"/>
      <w:r>
        <w:t xml:space="preserve">Research Gap</w:t>
      </w:r>
      <w:bookmarkEnd w:id="52"/>
    </w:p>
    <w:p>
      <w:pPr>
        <w:pStyle w:val="FirstParagraph"/>
      </w:pPr>
      <w:r>
        <w:t xml:space="preserve">(i) No published study</w:t>
      </w:r>
      <w:r>
        <w:t xml:space="preserve"> </w:t>
      </w:r>
      <w:r>
        <w:t xml:space="preserve">performs a controlled cross-architecture ablation on CUAD-class clause extraction; the</w:t>
      </w:r>
      <w:r>
        <w:t xml:space="preserve"> </w:t>
      </w:r>
      <w:r>
        <w:t xml:space="preserve">closest predecessor [liu2025contracteval] varies model identity only.</w:t>
      </w:r>
      <w:r>
        <w:t xml:space="preserve"> </w:t>
      </w:r>
      <w:r>
        <w:t xml:space="preserve">(ii) No published study reports a model-family</w:t>
      </w:r>
      <w:r>
        <w:t xml:space="preserve"> </w:t>
      </w:r>
      <m:oMath>
        <m:r>
          <m:t>×</m:t>
        </m:r>
      </m:oMath>
      <w:r>
        <w:t xml:space="preserve"> </w:t>
      </w:r>
      <w:r>
        <w:t xml:space="preserve">architecture interaction</w:t>
      </w:r>
      <w:r>
        <w:t xml:space="preserve"> </w:t>
      </w:r>
      <w:r>
        <w:t xml:space="preserve">analysis on this task, despite the prediction in [bogavelli2025agentarch] that</w:t>
      </w:r>
      <w:r>
        <w:t xml:space="preserve"> </w:t>
      </w:r>
      <w:r>
        <w:t xml:space="preserve">such interactions dominate single-axis effects. (iii) No published study tracks both</w:t>
      </w:r>
      <w:r>
        <w:t xml:space="preserve"> </w:t>
      </w:r>
      <w:r>
        <w:t xml:space="preserve">Eq. </w:t>
      </w:r>
      <w:hyperlink w:anchor="eq:laziness">
        <w:r>
          <w:rPr>
            <w:rStyle w:val="Hyperlink"/>
          </w:rPr>
          <w:t xml:space="preserve">[eq:laziness]</w:t>
        </w:r>
      </w:hyperlink>
      <w:r>
        <w:t xml:space="preserve"> </w:t>
      </w:r>
      <w:r>
        <w:t xml:space="preserve">and Eq. </w:t>
      </w:r>
      <w:hyperlink w:anchor="eq:overextract">
        <w:r>
          <w:rPr>
            <w:rStyle w:val="Hyperlink"/>
          </w:rPr>
          <w:t xml:space="preserve">[eq:overextract]</w:t>
        </w:r>
      </w:hyperlink>
      <w:r>
        <w:t xml:space="preserve"> </w:t>
      </w:r>
      <w:r>
        <w:t xml:space="preserve">under any deployable</w:t>
      </w:r>
      <w:r>
        <w:t xml:space="preserve"> </w:t>
      </w:r>
      <w:r>
        <w:t xml:space="preserve">class distribution that preserves over-extraction as observable, leaving the</w:t>
      </w:r>
      <w:r>
        <w:t xml:space="preserve"> </w:t>
      </w:r>
      <w:r>
        <w:t xml:space="preserve">recall–precision asymmetry intrinsic to legal review unobserved. (iv) Production CLM platforms (Sirion, Icertis, Ironclad, DocuSign)</w:t>
      </w:r>
      <w:r>
        <w:t xml:space="preserve"> </w:t>
      </w:r>
      <w:r>
        <w:t xml:space="preserve">disclose single-prompt or retrieval-augmented LLM deployments with no public</w:t>
      </w:r>
      <w:r>
        <w:t xml:space="preserve"> </w:t>
      </w:r>
      <w:r>
        <w:t xml:space="preserve">multi-agent ablation, leaving the architectural design space untested in the regime</w:t>
      </w:r>
      <w:r>
        <w:t xml:space="preserve"> </w:t>
      </w:r>
      <w:r>
        <w:t xml:space="preserve">where the question is commercially decisive.</w:t>
      </w:r>
    </w:p>
    <w:p>
      <w:pPr>
        <w:pStyle w:val="BodyText"/>
      </w:pPr>
      <w:r>
        <w:t xml:space="preserve">This thesis designs and evaluates a slice of the multi-agent design space (topology</w:t>
      </w:r>
      <w:r>
        <w:t xml:space="preserve"> </w:t>
      </w:r>
      <m:oMath>
        <m:r>
          <m:t>×</m:t>
        </m:r>
      </m:oMath>
      <w:r>
        <w:t xml:space="preserve"> </w:t>
      </w:r>
      <w:r>
        <w:t xml:space="preserve">routing</w:t>
      </w:r>
      <w:r>
        <w:t xml:space="preserve"> </w:t>
      </w:r>
      <m:oMath>
        <m:r>
          <m:t>×</m:t>
        </m:r>
      </m:oMath>
      <w:r>
        <w:t xml:space="preserve"> </w:t>
      </w:r>
      <w:r>
        <w:t xml:space="preserve">specialisation</w:t>
      </w:r>
      <w:r>
        <w:t xml:space="preserve"> </w:t>
      </w:r>
      <m:oMath>
        <m:r>
          <m:t>×</m:t>
        </m:r>
      </m:oMath>
      <w:r>
        <w:t xml:space="preserve"> </w:t>
      </w:r>
      <w:r>
        <w:t xml:space="preserve">verification) on the 102-contract</w:t>
      </w:r>
      <w:r>
        <w:t xml:space="preserve"> </w:t>
      </w:r>
      <w:r>
        <w:t xml:space="preserve">CUAD test split under the ContractEval protocol extended with</w:t>
      </w:r>
      <w:r>
        <w:t xml:space="preserve"> </w:t>
      </w:r>
      <w:r>
        <w:t xml:space="preserve">Eq. </w:t>
      </w:r>
      <w:hyperlink w:anchor="eq:overextract">
        <w:r>
          <w:rPr>
            <w:rStyle w:val="Hyperlink"/>
          </w:rPr>
          <w:t xml:space="preserve">[eq:overextract]</w:t>
        </w:r>
      </w:hyperlink>
      <w:r>
        <w:t xml:space="preserve"> </w:t>
      </w:r>
      <w:r>
        <w:t xml:space="preserve">and a model-family interaction term, in order to determine, with statistical control</w:t>
      </w:r>
      <w:r>
        <w:t xml:space="preserve"> </w:t>
      </w:r>
      <w:r>
        <w:t xml:space="preserve">across the architecture grid [benjamini1995controlling,dror2018hitchhikers],</w:t>
      </w:r>
      <w:r>
        <w:t xml:space="preserve"> </w:t>
      </w:r>
      <w:r>
        <w:t xml:space="preserve">under which conditions multi-agent decomposition is justified for CLM deployment and</w:t>
      </w:r>
      <w:r>
        <w:t xml:space="preserve"> </w:t>
      </w:r>
      <w:r>
        <w:t xml:space="preserve">under which conditions it is dominated by a stronger single-agent baseline.</w:t>
      </w:r>
    </w:p>
    <w:p>
      <w:pPr>
        <w:pStyle w:val="Heading1"/>
      </w:pPr>
      <w:bookmarkStart w:id="53" w:name="chapter:methodology"/>
      <w:r>
        <w:t xml:space="preserve">Methodology</w:t>
      </w:r>
      <w:bookmarkEnd w:id="53"/>
    </w:p>
    <w:p>
      <w:pPr>
        <w:pStyle w:val="FirstParagraph"/>
      </w:pPr>
      <w:r>
        <w:t xml:space="preserve">Each architectural comparison holds one axis constant while varying one: B1 vs. B0</w:t>
      </w:r>
      <w:r>
        <w:t xml:space="preserve"> </w:t>
      </w:r>
      <w:r>
        <w:t xml:space="preserve">isolates chain-of-thought reasoning, M0 vs. B0 isolates the classification gate,</w:t>
      </w:r>
      <w:r>
        <w:t xml:space="preserve"> </w:t>
      </w:r>
      <w:r>
        <w:t xml:space="preserve">and M1 vs. M2 isolates routing from prompt content. This controlled design allows</w:t>
      </w:r>
      <w:r>
        <w:t xml:space="preserve"> </w:t>
      </w:r>
      <w:r>
        <w:t xml:space="preserve">performance differences to be attributed to architecture rather than model or data</w:t>
      </w:r>
      <w:r>
        <w:t xml:space="preserve"> </w:t>
      </w:r>
      <w:r>
        <w:t xml:space="preserve">variation across</w:t>
      </w:r>
      <w:r>
        <w:t xml:space="preserve"> </w:t>
      </w:r>
      <m:oMath>
        <m:r>
          <m:t>5</m:t>
        </m:r>
        <m:r>
          <m:t>×</m:t>
        </m:r>
        <m:r>
          <m:t>11</m:t>
        </m:r>
        <m:r>
          <m:t>=</m:t>
        </m:r>
        <m:r>
          <m:t>55</m:t>
        </m:r>
      </m:oMath>
      <w:r>
        <w:t xml:space="preserve"> </w:t>
      </w:r>
      <w:r>
        <w:t xml:space="preserve">runs on the 102-contract CUAD test split.</w:t>
      </w:r>
    </w:p>
    <w:p>
      <w:pPr>
        <w:pStyle w:val="Heading2"/>
      </w:pPr>
      <w:bookmarkStart w:id="54" w:name="sec:meth:design"/>
      <w:r>
        <w:t xml:space="preserve">Research Design</w:t>
      </w:r>
      <w:bookmarkEnd w:id="54"/>
    </w:p>
    <w:p>
      <w:pPr>
        <w:pStyle w:val="FirstParagraph"/>
      </w:pPr>
      <w:r>
        <w:t xml:space="preserve">Five configurations are evaluated against 11 frontier LLMs on the 102 contracts of</w:t>
      </w:r>
      <w:r>
        <w:t xml:space="preserve"> </w:t>
      </w:r>
      <w:r>
        <w:t xml:space="preserve">the CUAD test split (character lengths 645 – 300</w:t>
      </w:r>
      <w:r>
        <w:t xml:space="preserve">,</w:t>
      </w:r>
      <w:r>
        <w:t xml:space="preserve">768; median 25</w:t>
      </w:r>
      <w:r>
        <w:t xml:space="preserve">,</w:t>
      </w:r>
      <w:r>
        <w:t xml:space="preserve">657),</w:t>
      </w:r>
      <w:r>
        <w:t xml:space="preserve"> </w:t>
      </w:r>
      <w:r>
        <w:t xml:space="preserve">yielding</w:t>
      </w:r>
      <w:r>
        <w:t xml:space="preserve"> </w:t>
      </w:r>
      <m:oMath>
        <m:r>
          <m:t>5</m:t>
        </m:r>
        <m:r>
          <m:t>×</m:t>
        </m:r>
        <m:r>
          <m:t>11</m:t>
        </m:r>
        <m:r>
          <m:t>=</m:t>
        </m:r>
        <m:r>
          <m:t>55</m:t>
        </m:r>
      </m:oMath>
      <w:r>
        <w:t xml:space="preserve"> </w:t>
      </w:r>
      <w:r>
        <w:t xml:space="preserve">official runs and 163</w:t>
      </w:r>
      <w:r>
        <w:t xml:space="preserve">,</w:t>
      </w:r>
      <w:r>
        <w:t xml:space="preserve">644</w:t>
      </w:r>
      <w:r>
        <w:t xml:space="preserve"> </w:t>
      </w:r>
      <w:r>
        <w:t xml:space="preserve">analysed predictions. Differences between configurations are minimised to a single</w:t>
      </w:r>
      <w:r>
        <w:t xml:space="preserve"> </w:t>
      </w:r>
      <w:r>
        <w:t xml:space="preserve">architectural axis per comparison (Table </w:t>
      </w:r>
      <w:hyperlink w:anchor="tab:configs">
        <w:r>
          <w:rPr>
            <w:rStyle w:val="Hyperlink"/>
          </w:rPr>
          <w:t xml:space="preserve">4.1</w:t>
        </w:r>
      </w:hyperlink>
      <w:r>
        <w:t xml:space="preserve">), following the controlled</w:t>
      </w:r>
      <w:r>
        <w:t xml:space="preserve"> </w:t>
      </w:r>
      <w:r>
        <w:t xml:space="preserve">comparative protocol of [dror2018hitchhikers,card2020little]. Every statistical</w:t>
      </w:r>
      <w:r>
        <w:t xml:space="preserve"> </w:t>
      </w:r>
      <w:r>
        <w:t xml:space="preserve">test is paired on the intersection of sample IDs, so performance differences are</w:t>
      </w:r>
      <w:r>
        <w:t xml:space="preserve"> </w:t>
      </w:r>
      <w:r>
        <w:t xml:space="preserve">attributable to architecture or model, not dataset drift.</w:t>
      </w:r>
    </w:p>
    <w:bookmarkStart w:id="55" w:name="tab:configs"/>
    <w:p>
      <w:pPr>
        <w:pStyle w:val="TableCaption"/>
      </w:pPr>
      <w:r>
        <w:t xml:space="preserve">Five evaluated configurations. B1 vs. B0 isolates chain-of-thought;</w:t>
      </w:r>
      <w:r>
        <w:t xml:space="preserve"> </w:t>
      </w:r>
      <w:r>
        <w:t xml:space="preserve">M0 vs. B0 isolates the classification gate; M1 vs. M2 isolates routing and</w:t>
      </w:r>
      <w:r>
        <w:t xml:space="preserve"> </w:t>
      </w:r>
      <w:r>
        <w:t xml:space="preserve">specialist decomposition (architecture ablation).</w:t>
      </w:r>
      <w:r>
        <w:t xml:space="preserve"> </w:t>
      </w:r>
      <m:oMath>
        <m:sSup>
          <m:e>
            <m:r>
              <m:t>​</m:t>
            </m:r>
          </m:e>
          <m:sup>
            <m:r>
              <m:t>†</m:t>
            </m:r>
          </m:sup>
        </m:sSup>
      </m:oMath>
      <w:r>
        <w:t xml:space="preserve">Artifact IDs used in the experiment repository: B0 = B1,</w:t>
      </w:r>
      <w:r>
        <w:t xml:space="preserve"> </w:t>
      </w:r>
      <w:r>
        <w:t xml:space="preserve">B1 = B4, M0 = M0, M1 = M1, M2 = M6.</w:t>
      </w:r>
    </w:p>
    <w:tbl>
      <w:tblPr>
        <w:tblStyle w:val="Table"/>
        <w:tblW w:type="pct" w:w="0.0"/>
        <w:tblLook w:firstRow="1"/>
        <w:tblCaption w:val="Five evaluated configurations. B1 vs. B0 isolates chain-of-thought; M0 vs. B0 isolates the classification gate; M1 vs. M2 isolates routing and specialist decomposition (architecture ablation). {}^\daggerArtifact IDs used in the experiment repository: B0 = B1, B1 = B4, M0 = M0, M1 = M1, M2 = M6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Stages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Routing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Specialisation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B0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Generalist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Generalist + chain-of-thought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M0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Static gate</w:t>
            </w:r>
          </w:p>
        </w:tc>
        <w:tc>
          <w:p>
            <w:pPr>
              <w:pStyle w:val="Compact"/>
              <w:jc w:val="left"/>
            </w:pPr>
            <w:r>
              <w:t xml:space="preserve">Generalist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LLM router</w:t>
            </w:r>
          </w:p>
        </w:tc>
        <w:tc>
          <w:p>
            <w:pPr>
              <w:pStyle w:val="Compact"/>
              <w:jc w:val="left"/>
            </w:pPr>
            <w:r>
              <w:t xml:space="preserve">Three domain specialists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Union of M1 specialist prompts</w:t>
            </w:r>
          </w:p>
        </w:tc>
      </w:tr>
    </w:tbl>
    <w:bookmarkEnd w:id="55"/>
    <w:p>
      <w:pPr>
        <w:pStyle w:val="BodyText"/>
      </w:pPr>
      <w:r>
        <w:t xml:space="preserve">Figure </w:t>
      </w:r>
      <w:hyperlink w:anchor="fig:pipelines">
        <w:r>
          <w:rPr>
            <w:rStyle w:val="Hyperlink"/>
          </w:rPr>
          <w:t xml:space="preserve">[fig:pipelines]</w:t>
        </w:r>
      </w:hyperlink>
      <w:r>
        <w:t xml:space="preserve"> </w:t>
      </w:r>
      <w:r>
        <w:t xml:space="preserve">shows the message-flow diagram for each configuration.</w:t>
      </w:r>
    </w:p>
    <w:p>
      <w:pPr>
        <w:pStyle w:val="BodyText"/>
      </w:pPr>
      <w:r>
        <w:rPr>
          <w:i/>
        </w:rPr>
        <w:t xml:space="preserve">[Figure/diagram in LaTeX source (tikzpicture); see PDF]</w:t>
      </w:r>
    </w:p>
    <w:p>
      <w:pPr>
        <w:pStyle w:val="BodyText"/>
      </w:pPr>
      <w:r>
        <w:rPr>
          <w:i/>
        </w:rPr>
        <w:t xml:space="preserve">[Figure/diagram in LaTeX source (tikzpicture); see PDF]</w:t>
      </w:r>
    </w:p>
    <w:p>
      <w:pPr>
        <w:pStyle w:val="BodyText"/>
      </w:pPr>
      <w:r>
        <w:rPr>
          <w:i/>
        </w:rPr>
        <w:t xml:space="preserve">[Figure/diagram in LaTeX source (tikzpicture); see PDF]</w:t>
      </w:r>
    </w:p>
    <w:p>
      <w:pPr>
        <w:pStyle w:val="BodyText"/>
      </w:pPr>
      <w:r>
        <w:rPr>
          <w:i/>
        </w:rPr>
        <w:t xml:space="preserve">[Figure/diagram in LaTeX source (tikzpicture); see PDF]</w:t>
      </w:r>
    </w:p>
    <w:p>
      <w:pPr>
        <w:pStyle w:val="BodyText"/>
      </w:pPr>
      <w:r>
        <w:rPr>
          <w:i/>
        </w:rPr>
        <w:t xml:space="preserve">[Figure/diagram in LaTeX source (tikzpicture); see PDF]</w:t>
      </w:r>
    </w:p>
    <w:p>
      <w:pPr>
        <w:pStyle w:val="Heading2"/>
      </w:pPr>
      <w:bookmarkStart w:id="56" w:name="sec:meth:data"/>
      <w:r>
        <w:t xml:space="preserve">Dataset and Sampling</w:t>
      </w:r>
      <w:bookmarkEnd w:id="56"/>
    </w:p>
    <w:p>
      <w:pPr>
        <w:pStyle w:val="FirstParagraph"/>
      </w:pPr>
      <w:r>
        <w:t xml:space="preserve">CUAD [hendrycks2021cuad] is the evaluation corpus (see Table </w:t>
      </w:r>
      <w:hyperlink w:anchor="tab:cuad-stats">
        <w:r>
          <w:rPr>
            <w:rStyle w:val="Hyperlink"/>
          </w:rPr>
          <w:t xml:space="preserve">3.2</w:t>
        </w:r>
      </w:hyperlink>
      <w:r>
        <w:t xml:space="preserve"> </w:t>
      </w:r>
      <w:r>
        <w:t xml:space="preserve">for statistics). The full 102-contract CUAD test split is used; contract lengths</w:t>
      </w:r>
      <w:r>
        <w:t xml:space="preserve"> </w:t>
      </w:r>
      <w:r>
        <w:t xml:space="preserve">range from 645 to 300</w:t>
      </w:r>
      <w:r>
        <w:t xml:space="preserve">,</w:t>
      </w:r>
      <w:r>
        <w:t xml:space="preserve">768 characters (median 25</w:t>
      </w:r>
      <w:r>
        <w:t xml:space="preserve">,</w:t>
      </w:r>
      <w:r>
        <w:t xml:space="preserve">657), spanning short NDAs to</w:t>
      </w:r>
      <w:r>
        <w:t xml:space="preserve"> </w:t>
      </w:r>
      <w:r>
        <w:t xml:space="preserve">long master agreements. The 102-contract corpus yields</w:t>
      </w:r>
      <w:r>
        <w:t xml:space="preserve"> </w:t>
      </w:r>
      <m:oMath>
        <m:r>
          <m:t>102</m:t>
        </m:r>
        <m:r>
          <m:t>×</m:t>
        </m:r>
        <m:r>
          <m:t>41</m:t>
        </m:r>
        <m:r>
          <m:t>=</m:t>
        </m:r>
        <m:r>
          <m:t>4</m:t>
        </m:r>
        <m:r>
          <m:t>,</m:t>
        </m:r>
        <m:r>
          <m:t>182</m:t>
        </m:r>
      </m:oMath>
      <w:r>
        <w:t xml:space="preserve"> </w:t>
      </w:r>
      <w:r>
        <w:t xml:space="preserve">raw (contract, category) pairs per evaluation pass, of</w:t>
      </w:r>
      <w:r>
        <w:t xml:space="preserve"> </w:t>
      </w:r>
      <w:r>
        <w:t xml:space="preserve">which</w:t>
      </w:r>
      <w:r>
        <w:t xml:space="preserve"> </w:t>
      </w:r>
      <m:oMath>
        <m:r>
          <m:t>≈</m:t>
        </m:r>
        <m:r>
          <m:t>​</m:t>
        </m:r>
        <m:r>
          <m:t>2</m:t>
        </m:r>
        <m:r>
          <m:t>,</m:t>
        </m:r>
        <m:r>
          <m:t>999</m:t>
        </m:r>
      </m:oMath>
      <w:r>
        <w:t xml:space="preserve"> </w:t>
      </w:r>
      <w:r>
        <w:t xml:space="preserve">enter each run after the sampler described below.</w:t>
      </w:r>
    </w:p>
    <w:p>
      <w:pPr>
        <w:pStyle w:val="Heading5"/>
      </w:pPr>
      <w:bookmarkStart w:id="57" w:name="sec:meth:sampling"/>
      <w:r>
        <w:t xml:space="preserve">Sampling strategy.</w:t>
      </w:r>
      <w:bookmarkEnd w:id="57"/>
    </w:p>
    <w:p>
      <w:pPr>
        <w:pStyle w:val="FirstParagraph"/>
      </w:pPr>
      <w:bookmarkStart w:id="58" w:name="sec:sampling"/>
      <w:r>
        <w:t xml:space="preserve">[sec:sampling]</w:t>
      </w:r>
      <w:bookmarkEnd w:id="58"/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neg_ratio=0.7</w:t>
      </w:r>
      <w:r>
        <w:t xml:space="preserve"> </w:t>
      </w:r>
      <w:r>
        <w:t xml:space="preserve">sampler retains every positive (contract, category)</w:t>
      </w:r>
      <w:r>
        <w:t xml:space="preserve"> </w:t>
      </w:r>
      <w:r>
        <w:t xml:space="preserve">pair and approximately</w:t>
      </w:r>
      <w:r>
        <w:t xml:space="preserve"> </w:t>
      </w:r>
      <m:oMath>
        <m:r>
          <m:t>60</m:t>
        </m:r>
        <m:r>
          <m:t>%</m:t>
        </m:r>
      </m:oMath>
      <w:r>
        <w:t xml:space="preserve"> </w:t>
      </w:r>
      <w:r>
        <w:t xml:space="preserve">of the negative pairs, yielding</w:t>
      </w:r>
      <w:r>
        <w:t xml:space="preserve"> </w:t>
      </w:r>
      <m:oMath>
        <m:r>
          <m:t>≈</m:t>
        </m:r>
        <m:r>
          <m:t>​</m:t>
        </m:r>
        <m:r>
          <m:t>2</m:t>
        </m:r>
        <m:r>
          <m:t>,</m:t>
        </m:r>
        <m:r>
          <m:t>999</m:t>
        </m:r>
      </m:oMath>
      <w:r>
        <w:t xml:space="preserve"> </w:t>
      </w:r>
      <w:r>
        <w:t xml:space="preserve">samples per run with a measured positive rate of</w:t>
      </w:r>
      <w:r>
        <w:t xml:space="preserve"> </w:t>
      </w:r>
      <m:oMath>
        <m:r>
          <m:t>41.5</m:t>
        </m:r>
        <m:r>
          <m:t>%</m:t>
        </m:r>
      </m:oMath>
      <w:r>
        <w:t xml:space="preserve">. The sampler upsamples</w:t>
      </w:r>
      <w:r>
        <w:t xml:space="preserve"> </w:t>
      </w:r>
      <w:r>
        <w:t xml:space="preserve">the positive class relative to CUAD’s natural</w:t>
      </w:r>
      <w:r>
        <w:t xml:space="preserve"> </w:t>
      </w:r>
      <m:oMath>
        <m:r>
          <m:t>≈</m:t>
        </m:r>
        <m:r>
          <m:t>​</m:t>
        </m:r>
        <m:r>
          <m:t>30</m:t>
        </m:r>
        <m:r>
          <m:t>%</m:t>
        </m:r>
      </m:oMath>
      <w:r>
        <w:t xml:space="preserve"> </w:t>
      </w:r>
      <w:r>
        <w:t xml:space="preserve">prior to preserve</w:t>
      </w:r>
      <w:r>
        <w:t xml:space="preserve"> </w:t>
      </w:r>
      <w:r>
        <w:t xml:space="preserve">statistical power on rare-tier categories, where positive instances are sparse;</w:t>
      </w:r>
      <w:r>
        <w:t xml:space="preserve"> </w:t>
      </w:r>
      <w:r>
        <w:t xml:space="preserve">without upsampling, fewer than ten positive instances per rare category would</w:t>
      </w:r>
      <w:r>
        <w:t xml:space="preserve"> </w:t>
      </w:r>
      <w:r>
        <w:t xml:space="preserve">remain. Aggressive resampling toward a balanced class distribution is rejected</w:t>
      </w:r>
      <w:r>
        <w:t xml:space="preserve"> </w:t>
      </w:r>
      <w:r>
        <w:t xml:space="preserve">because it suppresses the false-positive denominator and masks over-extraction</w:t>
      </w:r>
      <w:r>
        <w:t xml:space="preserve"> </w:t>
      </w:r>
      <w:r>
        <w:t xml:space="preserve">(Eq. </w:t>
      </w:r>
      <w:hyperlink w:anchor="eq:overextract">
        <w:r>
          <w:rPr>
            <w:rStyle w:val="Hyperlink"/>
          </w:rPr>
          <w:t xml:space="preserve">[eq:overextract]</w:t>
        </w:r>
      </w:hyperlink>
      <w:r>
        <w:t xml:space="preserve">); the chosen</w:t>
      </w:r>
      <w:r>
        <w:t xml:space="preserve"> </w:t>
      </w:r>
      <m:oMath>
        <m:r>
          <m:t>41.5</m:t>
        </m:r>
        <m:r>
          <m:t>%</m:t>
        </m:r>
      </m:oMath>
      <w:r>
        <w:t xml:space="preserve"> </w:t>
      </w:r>
      <w:r>
        <w:t xml:space="preserve">rate keeps both laziness</w:t>
      </w:r>
      <w:r>
        <w:t xml:space="preserve"> </w:t>
      </w:r>
      <w:r>
        <w:t xml:space="preserve">(Eq. </w:t>
      </w:r>
      <w:hyperlink w:anchor="eq:laziness">
        <w:r>
          <w:rPr>
            <w:rStyle w:val="Hyperlink"/>
          </w:rPr>
          <w:t xml:space="preserve">[eq:laziness]</w:t>
        </w:r>
      </w:hyperlink>
      <w:r>
        <w:t xml:space="preserve">) and over-extraction observable. Sampling is seeded</w:t>
      </w:r>
      <w:r>
        <w:t xml:space="preserve"> </w:t>
      </w:r>
      <w:r>
        <w:t xml:space="preserve">(</w:t>
      </w:r>
      <w:r>
        <w:rPr>
          <w:rStyle w:val="VerbatimChar"/>
        </w:rPr>
        <w:t xml:space="preserve">seed=42</w:t>
      </w:r>
      <w:r>
        <w:t xml:space="preserve">) so the same (contract, category) pairs are evaluated across</w:t>
      </w:r>
      <w:r>
        <w:t xml:space="preserve"> </w:t>
      </w:r>
      <w:r>
        <w:t xml:space="preserve">all configurations, making every statistical test paired at the instance level.</w:t>
      </w:r>
      <w:r>
        <w:t xml:space="preserve"> </w:t>
      </w:r>
      <w:r>
        <w:t xml:space="preserve">Each run yields</w:t>
      </w:r>
      <w:r>
        <w:t xml:space="preserve"> </w:t>
      </w:r>
      <m:oMath>
        <m:r>
          <m:t>≈</m:t>
        </m:r>
        <m:r>
          <m:t>​</m:t>
        </m:r>
        <m:r>
          <m:t>2</m:t>
        </m:r>
        <m:r>
          <m:t>,</m:t>
        </m:r>
        <m:r>
          <m:t>999</m:t>
        </m:r>
      </m:oMath>
      <w:r>
        <w:t xml:space="preserve"> </w:t>
      </w:r>
      <w:r>
        <w:t xml:space="preserve">predictions; 1</w:t>
      </w:r>
      <w:r>
        <w:t xml:space="preserve">,</w:t>
      </w:r>
      <w:r>
        <w:t xml:space="preserve">297 of 164</w:t>
      </w:r>
      <w:r>
        <w:t xml:space="preserve">,</w:t>
      </w:r>
      <w:r>
        <w:t xml:space="preserve">941 total</w:t>
      </w:r>
      <w:r>
        <w:t xml:space="preserve"> </w:t>
      </w:r>
      <w:r>
        <w:t xml:space="preserve">(</w:t>
      </w:r>
      <m:oMath>
        <m:r>
          <m:t>0.79</m:t>
        </m:r>
        <m:r>
          <m:t>%</m:t>
        </m:r>
      </m:oMath>
      <w:r>
        <w:t xml:space="preserve">) were excluded for malformed classification tokens.</w:t>
      </w:r>
    </w:p>
    <w:p>
      <w:pPr>
        <w:pStyle w:val="Heading5"/>
      </w:pPr>
      <w:bookmarkStart w:id="59" w:name="prevalence-tiers."/>
      <w:r>
        <w:t xml:space="preserve">Prevalence tiers.</w:t>
      </w:r>
      <w:bookmarkEnd w:id="59"/>
    </w:p>
    <w:p>
      <w:pPr>
        <w:pStyle w:val="FirstParagraph"/>
      </w:pPr>
      <w:r>
        <w:t xml:space="preserve">The 41 CUAD categories are partitioned into three tiers (</w:t>
      </w:r>
      <w:r>
        <w:rPr>
          <w:i/>
        </w:rPr>
        <w:t xml:space="preserve">common</w:t>
      </w:r>
      <w:r>
        <w:t xml:space="preserve">,</w:t>
      </w:r>
      <w:r>
        <w:t xml:space="preserve"> </w:t>
      </w:r>
      <w:r>
        <w:rPr>
          <w:i/>
        </w:rPr>
        <w:t xml:space="preserve">moderate</w:t>
      </w:r>
      <w:r>
        <w:t xml:space="preserve">,</w:t>
      </w:r>
      <w:r>
        <w:t xml:space="preserve"> </w:t>
      </w:r>
      <w:r>
        <w:rPr>
          <w:i/>
        </w:rPr>
        <w:t xml:space="preserve">rare</w:t>
      </w:r>
      <w:r>
        <w:t xml:space="preserve">) by natural positive rate in the 102-contract test</w:t>
      </w:r>
      <w:r>
        <w:t xml:space="preserve"> </w:t>
      </w:r>
      <w:r>
        <w:t xml:space="preserve">split. Tier cutpoints are fixed before any model is run.</w:t>
      </w:r>
    </w:p>
    <w:p>
      <w:pPr>
        <w:pStyle w:val="Heading2"/>
      </w:pPr>
      <w:bookmarkStart w:id="60" w:name="sec:meth:models"/>
      <w:r>
        <w:t xml:space="preserve">Model Selection</w:t>
      </w:r>
      <w:bookmarkEnd w:id="60"/>
    </w:p>
    <w:p>
      <w:pPr>
        <w:pStyle w:val="FirstParagraph"/>
      </w:pPr>
      <w:r>
        <w:t xml:space="preserve">Table </w:t>
      </w:r>
      <w:hyperlink w:anchor="tab:models">
        <w:r>
          <w:rPr>
            <w:rStyle w:val="Hyperlink"/>
          </w:rPr>
          <w:t xml:space="preserve">4.2</w:t>
        </w:r>
      </w:hyperlink>
      <w:r>
        <w:t xml:space="preserve"> </w:t>
      </w:r>
      <w:r>
        <w:t xml:space="preserve">lists the 11 frontier proprietary models in the panel. Three</w:t>
      </w:r>
      <w:r>
        <w:t xml:space="preserve"> </w:t>
      </w:r>
      <w:r>
        <w:t xml:space="preserve">families span the providers used in commercial CLM (Anthropic, Google, OpenAI), so</w:t>
      </w:r>
      <w:r>
        <w:t xml:space="preserve"> </w:t>
      </w:r>
      <w:r>
        <w:t xml:space="preserve">model-family effects predicted by [bogavelli2025agentarch] can be observed; within</w:t>
      </w:r>
      <w:r>
        <w:t xml:space="preserve"> </w:t>
      </w:r>
      <w:r>
        <w:t xml:space="preserve">each family the panel spans a compute-tier range from light (Haiku, Flash, Nano) to</w:t>
      </w:r>
      <w:r>
        <w:t xml:space="preserve"> </w:t>
      </w:r>
      <w:r>
        <w:t xml:space="preserve">heavy (Opus, Pro), enabling capability</w:t>
      </w:r>
      <w:r>
        <w:t xml:space="preserve"> </w:t>
      </w:r>
      <m:oMath>
        <m:r>
          <m:t>×</m:t>
        </m:r>
      </m:oMath>
      <w:r>
        <w:t xml:space="preserve"> </w:t>
      </w:r>
      <w:r>
        <w:t xml:space="preserve">architecture interactions to be</w:t>
      </w:r>
      <w:r>
        <w:t xml:space="preserve"> </w:t>
      </w:r>
      <w:r>
        <w:t xml:space="preserve">observed. Model identifiers are pinned to specific snapshots (see §</w:t>
      </w:r>
      <w:hyperlink w:anchor="sec:sys:stack">
        <w:r>
          <w:rPr>
            <w:rStyle w:val="Hyperlink"/>
          </w:rPr>
          <w:t xml:space="preserve">5.2</w:t>
        </w:r>
      </w:hyperlink>
      <w:r>
        <w:t xml:space="preserve">)</w:t>
      </w:r>
      <w:r>
        <w:t xml:space="preserve"> </w:t>
      </w:r>
      <w:r>
        <w:t xml:space="preserve">for reproducibility.</w:t>
      </w:r>
    </w:p>
    <w:bookmarkStart w:id="61" w:name="tab:models"/>
    <w:p>
      <w:pPr>
        <w:pStyle w:val="TableCaption"/>
      </w:pPr>
      <w:r>
        <w:t xml:space="preserve">Eleven frontier proprietary models evaluated. Three families; compute-tier</w:t>
      </w:r>
      <w:r>
        <w:t xml:space="preserve"> </w:t>
      </w:r>
      <w:r>
        <w:t xml:space="preserve">range covers light-to-heavy within each family. Snapshot IDs are the exact</w:t>
      </w:r>
      <w:r>
        <w:t xml:space="preserve"> </w:t>
      </w:r>
      <w:r>
        <w:t xml:space="preserve">provider model strings used in all API calls.</w:t>
      </w:r>
    </w:p>
    <w:tbl>
      <w:tblPr>
        <w:tblStyle w:val="Table"/>
        <w:tblW w:type="pct" w:w="0.0"/>
        <w:tblLook w:firstRow="1"/>
        <w:tblCaption w:val="Eleven frontier proprietary models evaluated. Three families; compute-tier range covers light-to-heavy within each family. Snapshot IDs are the exact provider model strings used in all API calls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Family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Snapshot ID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Claude Haiku 4.5</w:t>
            </w:r>
          </w:p>
        </w:tc>
        <w:tc>
          <w:p>
            <w:pPr>
              <w:pStyle w:val="Compact"/>
              <w:jc w:val="left"/>
            </w:pPr>
            <w:r>
              <w:t xml:space="preserve">Light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claude-haiku-4-5-20251001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Claude Sonnet 4</w:t>
            </w:r>
          </w:p>
        </w:tc>
        <w:tc>
          <w:p>
            <w:pPr>
              <w:pStyle w:val="Compact"/>
              <w:jc w:val="left"/>
            </w:pPr>
            <w:r>
              <w:t xml:space="preserve">Mid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claude-sonnet-4-20250514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Claude Sonnet 4.6</w:t>
            </w:r>
          </w:p>
        </w:tc>
        <w:tc>
          <w:p>
            <w:pPr>
              <w:pStyle w:val="Compact"/>
              <w:jc w:val="left"/>
            </w:pPr>
            <w:r>
              <w:t xml:space="preserve">Mid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claude-sonnet-4-6-20251001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Claude Opus 4.6</w:t>
            </w:r>
          </w:p>
        </w:tc>
        <w:tc>
          <w:p>
            <w:pPr>
              <w:pStyle w:val="Compact"/>
              <w:jc w:val="left"/>
            </w:pPr>
            <w:r>
              <w:t xml:space="preserve">Heavy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claude-opus-4-6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Gemini 2.5 Flash</w:t>
            </w:r>
          </w:p>
        </w:tc>
        <w:tc>
          <w:p>
            <w:pPr>
              <w:pStyle w:val="Compact"/>
              <w:jc w:val="left"/>
            </w:pPr>
            <w:r>
              <w:t xml:space="preserve">Light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gemini-2.5-flash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Gemini 2.5 Pro</w:t>
            </w:r>
          </w:p>
        </w:tc>
        <w:tc>
          <w:p>
            <w:pPr>
              <w:pStyle w:val="Compact"/>
              <w:jc w:val="left"/>
            </w:pPr>
            <w:r>
              <w:t xml:space="preserve">Heavy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gemini-2.5-pro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Gemini 3 Flash</w:t>
            </w:r>
          </w:p>
        </w:tc>
        <w:tc>
          <w:p>
            <w:pPr>
              <w:pStyle w:val="Compact"/>
              <w:jc w:val="left"/>
            </w:pPr>
            <w:r>
              <w:t xml:space="preserve">Light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gemini-3-flash-preview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Gemini 3.1 Pro</w:t>
            </w:r>
          </w:p>
        </w:tc>
        <w:tc>
          <w:p>
            <w:pPr>
              <w:pStyle w:val="Compact"/>
              <w:jc w:val="left"/>
            </w:pPr>
            <w:r>
              <w:t xml:space="preserve">Heavy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gemini-3.1-pro-preview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GPT-4.1</w:t>
            </w:r>
          </w:p>
        </w:tc>
        <w:tc>
          <w:p>
            <w:pPr>
              <w:pStyle w:val="Compact"/>
              <w:jc w:val="left"/>
            </w:pPr>
            <w:r>
              <w:t xml:space="preserve">Mid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gpt-4.1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GPT-4.1 Mini</w:t>
            </w:r>
          </w:p>
        </w:tc>
        <w:tc>
          <w:p>
            <w:pPr>
              <w:pStyle w:val="Compact"/>
              <w:jc w:val="left"/>
            </w:pPr>
            <w:r>
              <w:t xml:space="preserve">Light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gpt-4.1-mini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GPT-4.1 Nano</w:t>
            </w:r>
          </w:p>
        </w:tc>
        <w:tc>
          <w:p>
            <w:pPr>
              <w:pStyle w:val="Compact"/>
              <w:jc w:val="left"/>
            </w:pPr>
            <w:r>
              <w:t xml:space="preserve">Light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gpt-4.1-nano</w:t>
            </w:r>
          </w:p>
        </w:tc>
      </w:tr>
    </w:tbl>
    <w:bookmarkEnd w:id="61"/>
    <w:p>
      <w:pPr>
        <w:pStyle w:val="Heading5"/>
      </w:pPr>
      <w:bookmarkStart w:id="62" w:name="inference-parameters."/>
      <w:r>
        <w:t xml:space="preserve">Inference parameters.</w:t>
      </w:r>
      <w:bookmarkEnd w:id="62"/>
    </w:p>
    <w:p>
      <w:pPr>
        <w:pStyle w:val="FirstParagraph"/>
      </w:pPr>
      <w:r>
        <w:t xml:space="preserve">All model calls used</w:t>
      </w:r>
      <w:r>
        <w:t xml:space="preserve"> </w:t>
      </w:r>
      <w:r>
        <w:rPr>
          <w:rStyle w:val="VerbatimChar"/>
        </w:rPr>
        <w:t xml:space="preserve">temperature=0</w:t>
      </w:r>
      <w:r>
        <w:t xml:space="preserve"> </w:t>
      </w:r>
      <w:r>
        <w:t xml:space="preserve">for deterministic output and</w:t>
      </w:r>
      <w:r>
        <w:t xml:space="preserve"> </w:t>
      </w:r>
      <w:r>
        <w:rPr>
          <w:rStyle w:val="VerbatimChar"/>
        </w:rPr>
        <w:t xml:space="preserve">max_tokens=4096</w:t>
      </w:r>
      <w:r>
        <w:t xml:space="preserve">. Official runs were executed between</w:t>
      </w:r>
      <w:r>
        <w:t xml:space="preserve"> </w:t>
      </w:r>
      <w:r>
        <w:rPr>
          <w:b/>
        </w:rPr>
        <w:t xml:space="preserve">14 April 2026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17 April 2026</w:t>
      </w:r>
      <w:r>
        <w:t xml:space="preserve">.</w:t>
      </w:r>
      <w:r>
        <w:t xml:space="preserve"> </w:t>
      </w:r>
      <w:r>
        <w:t xml:space="preserve">Snapshot IDs are listed in Table </w:t>
      </w:r>
      <w:hyperlink w:anchor="tab:models">
        <w:r>
          <w:rPr>
            <w:rStyle w:val="Hyperlink"/>
          </w:rPr>
          <w:t xml:space="preserve">4.2</w:t>
        </w:r>
      </w:hyperlink>
      <w:r>
        <w:t xml:space="preserve">; the three Google and two OpenAI</w:t>
      </w:r>
      <w:r>
        <w:t xml:space="preserve"> </w:t>
      </w:r>
      <w:r>
        <w:t xml:space="preserve">entries use unversioned aliases that resolve to the provider’s current release at</w:t>
      </w:r>
      <w:r>
        <w:t xml:space="preserve"> </w:t>
      </w:r>
      <w:r>
        <w:t xml:space="preserve">call time.</w:t>
      </w:r>
      <w:r>
        <w:rPr>
          <w:rStyle w:val="FootnoteReference"/>
        </w:rPr>
        <w:footnoteReference w:id="63"/>
      </w:r>
    </w:p>
    <w:p>
      <w:pPr>
        <w:pStyle w:val="BodyText"/>
      </w:pPr>
      <w:r>
        <w:t xml:space="preserve">Open-weights models are excluded from the main panel on two structural grounds: the</w:t>
      </w:r>
      <w:r>
        <w:t xml:space="preserve"> </w:t>
      </w:r>
      <w:r>
        <w:t xml:space="preserve">commercial CLM platforms surveyed in Section </w:t>
      </w:r>
      <w:hyperlink w:anchor="sec:lit:clm">
        <w:r>
          <w:rPr>
            <w:rStyle w:val="Hyperlink"/>
          </w:rPr>
          <w:t xml:space="preserve">3.1</w:t>
        </w:r>
      </w:hyperlink>
      <w:r>
        <w:t xml:space="preserve"> </w:t>
      </w:r>
      <w:r>
        <w:t xml:space="preserve">deploy proprietary APIs,</w:t>
      </w:r>
      <w:r>
        <w:t xml:space="preserve"> </w:t>
      </w:r>
      <w:r>
        <w:t xml:space="preserve">restricting external-validity claims to that deployment population; and the</w:t>
      </w:r>
      <w:r>
        <w:t xml:space="preserve"> </w:t>
      </w:r>
      <w:r>
        <w:t xml:space="preserve">long-contract tail of the corpus requires context windows of</w:t>
      </w:r>
      <w:r>
        <w:t xml:space="preserve"> </w:t>
      </w:r>
      <m:oMath>
        <m:r>
          <m:t>≥</m:t>
        </m:r>
        <m:r>
          <m:t>128</m:t>
        </m:r>
      </m:oMath>
      <w:r>
        <w:t xml:space="preserve">K tokens,</w:t>
      </w:r>
      <w:r>
        <w:t xml:space="preserve"> </w:t>
      </w:r>
      <w:r>
        <w:t xml:space="preserve">which most open-weights models do not support. ContractEval’s 19-model evaluation [liu2025contracteval] documents</w:t>
      </w:r>
      <w:r>
        <w:t xml:space="preserve"> </w:t>
      </w:r>
      <w:r>
        <w:t xml:space="preserve">a persistent proprietary-vs-open-source gap on extraction correctness; pilot work</w:t>
      </w:r>
      <w:r>
        <w:t xml:space="preserve"> </w:t>
      </w:r>
      <w:r>
        <w:t xml:space="preserve">(not formally reported) suggested this gap persists under multi-agent decomposition,</w:t>
      </w:r>
      <w:r>
        <w:t xml:space="preserve"> </w:t>
      </w:r>
      <w:r>
        <w:t xml:space="preserve">though that experiment should be understood as a scope decision rather than an empirical</w:t>
      </w:r>
      <w:r>
        <w:t xml:space="preserve"> </w:t>
      </w:r>
      <w:r>
        <w:t xml:space="preserve">claim. Open-weights extension is identified as future work in Chapter 7.</w:t>
      </w:r>
    </w:p>
    <w:p>
      <w:pPr>
        <w:pStyle w:val="Heading2"/>
      </w:pPr>
      <w:bookmarkStart w:id="64" w:name="sec:meth:metrics"/>
      <w:r>
        <w:t xml:space="preserve">Metrics</w:t>
      </w:r>
      <w:bookmarkEnd w:id="64"/>
    </w:p>
    <w:p>
      <w:pPr>
        <w:pStyle w:val="FirstParagraph"/>
      </w:pPr>
      <w:r>
        <w:t xml:space="preserve">All metrics are formally defined in Section </w:t>
      </w:r>
      <w:hyperlink w:anchor="sec:lit:eval">
        <w:r>
          <w:rPr>
            <w:rStyle w:val="Hyperlink"/>
          </w:rPr>
          <w:t xml:space="preserve">3.8</w:t>
        </w:r>
      </w:hyperlink>
      <w:r>
        <w:t xml:space="preserve"> </w:t>
      </w:r>
      <w:r>
        <w:t xml:space="preserve">(Equations </w:t>
      </w:r>
      <w:hyperlink w:anchor="eq:fbeta">
        <w:r>
          <w:rPr>
            <w:rStyle w:val="Hyperlink"/>
          </w:rPr>
          <w:t xml:space="preserve">[eq:fbeta]</w:t>
        </w:r>
      </w:hyperlink>
      <w:r>
        <w:t xml:space="preserve">–</w:t>
      </w:r>
      <w:hyperlink w:anchor="eq:overextract">
        <w:r>
          <w:rPr>
            <w:rStyle w:val="Hyperlink"/>
          </w:rPr>
          <w:t xml:space="preserve">[eq:overextract]</w:t>
        </w:r>
      </w:hyperlink>
      <w:r>
        <w:t xml:space="preserve">).</w:t>
      </w:r>
    </w:p>
    <w:p>
      <w:pPr>
        <w:pStyle w:val="Heading5"/>
      </w:pPr>
      <w:bookmarkStart w:id="65" w:name="f_2-primary."/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(primary).</w:t>
      </w:r>
      <w:bookmarkEnd w:id="65"/>
    </w:p>
    <w:p>
      <w:pPr>
        <w:pStyle w:val="FirstParagraph"/>
      </w:pPr>
      <m:oMath>
        <m:r>
          <m:t>β</m:t>
        </m:r>
        <m:r>
          <m:t>=</m:t>
        </m:r>
        <m:r>
          <m:t>2</m:t>
        </m:r>
      </m:oMath>
      <w:r>
        <w:t xml:space="preserve"> </w:t>
      </w:r>
      <w:r>
        <w:t xml:space="preserve">weights recall</w:t>
      </w:r>
      <w:r>
        <w:t xml:space="preserve"> </w:t>
      </w:r>
      <m:oMath>
        <m:r>
          <m:t>4</m:t>
        </m:r>
        <m:r>
          <m:t>×</m:t>
        </m:r>
      </m:oMath>
      <w:r>
        <w:t xml:space="preserve"> </w:t>
      </w:r>
      <w:r>
        <w:t xml:space="preserve">over precision. The asymmetry is justified by the</w:t>
      </w:r>
      <w:r>
        <w:t xml:space="preserve"> </w:t>
      </w:r>
      <w:r>
        <w:t xml:space="preserve">deployment cost structure of CLM: a missed clause passes undetected into a signed</w:t>
      </w:r>
      <w:r>
        <w:t xml:space="preserve"> </w:t>
      </w:r>
      <w:r>
        <w:t xml:space="preserve">contract, whereas a spurious extraction is caught by a reviewing lawyer.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primary hypothesis-testing metric and the basis for H1–H3.</w:t>
      </w:r>
    </w:p>
    <w:p>
      <w:pPr>
        <w:pStyle w:val="Heading5"/>
      </w:pPr>
      <w:bookmarkStart w:id="66" w:name="f_1-secondary."/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(secondary).</w:t>
      </w:r>
      <w:bookmarkEnd w:id="66"/>
    </w:p>
    <w:p>
      <w:pPr>
        <w:pStyle w:val="FirstParagraph"/>
      </w:pPr>
      <w:r>
        <w:t xml:space="preserve">Equal-weight</w:t>
      </w:r>
      <w:r>
        <w:t xml:space="preserve"> </w:t>
      </w:r>
      <m:oMath>
        <m:r>
          <m:t>F</m:t>
        </m:r>
      </m:oMath>
      <w:r>
        <w:t xml:space="preserve">-score, reported for comparability with prior work.</w:t>
      </w:r>
      <w:r>
        <w:t xml:space="preserve"> </w:t>
      </w:r>
      <w:r>
        <w:t xml:space="preserve">ContractEval reports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its headline metric [liu2025contracteval].</w:t>
      </w:r>
    </w:p>
    <w:p>
      <w:pPr>
        <w:pStyle w:val="Heading5"/>
      </w:pPr>
      <w:bookmarkStart w:id="67" w:name="jaccard-similarity-span-quality."/>
      <w:r>
        <w:t xml:space="preserve">Jaccard similarity (span quality).</w:t>
      </w:r>
      <w:bookmarkEnd w:id="67"/>
    </w:p>
    <w:p>
      <w:pPr>
        <w:pStyle w:val="FirstParagraph"/>
      </w:pPr>
      <m:oMath>
        <m:r>
          <m:t>|</m:t>
        </m:r>
        <m:r>
          <m:t>A</m:t>
        </m:r>
        <m:r>
          <m:t>∩</m:t>
        </m:r>
        <m:r>
          <m:t>B</m:t>
        </m:r>
        <m:r>
          <m:t>|</m:t>
        </m:r>
        <m:r>
          <m:t>/</m:t>
        </m:r>
        <m:r>
          <m:t>|</m:t>
        </m:r>
        <m:r>
          <m:t>A</m:t>
        </m:r>
        <m:r>
          <m:t>∪</m:t>
        </m:r>
        <m:r>
          <m:t>B</m:t>
        </m:r>
        <m:r>
          <m:t>|</m:t>
        </m:r>
      </m:oMath>
      <w:r>
        <w:t xml:space="preserve"> </w:t>
      </w:r>
      <w:r>
        <w:t xml:space="preserve">over token sets, computed conditional on a non-empty</w:t>
      </w:r>
      <w:r>
        <w:t xml:space="preserve"> </w:t>
      </w:r>
      <w:r>
        <w:t xml:space="preserve">prediction. Because the</w:t>
      </w:r>
      <w:r>
        <w:t xml:space="preserve"> </w:t>
      </w:r>
      <m:oMath>
        <m:r>
          <m:t>F</m:t>
        </m:r>
      </m:oMath>
      <w:r>
        <w:t xml:space="preserve">-score TP criterion requires full span coverage,</w:t>
      </w:r>
      <w:r>
        <w:t xml:space="preserve"> </w:t>
      </w:r>
      <w:r>
        <w:t xml:space="preserve">partial extractions that cover most of a clause register as false negatives; Jaccard</w:t>
      </w:r>
      <w:r>
        <w:t xml:space="preserve"> </w:t>
      </w:r>
      <w:r>
        <w:t xml:space="preserve">gives partial credit and diagnoses near-miss behaviour independently of the</w:t>
      </w:r>
      <w:r>
        <w:t xml:space="preserve"> </w:t>
      </w:r>
      <w:r>
        <w:t xml:space="preserve">binary correctness signal.</w:t>
      </w:r>
    </w:p>
    <w:p>
      <w:pPr>
        <w:pStyle w:val="Heading5"/>
      </w:pPr>
      <w:bookmarkStart w:id="68" w:name="laziness-rate-lambda-diagnostic."/>
      <w:r>
        <w:t xml:space="preserve">Laziness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(diagnostic).</w:t>
      </w:r>
      <w:bookmarkEnd w:id="68"/>
    </w:p>
    <w:p>
      <w:pPr>
        <w:pStyle w:val="FirstParagraph"/>
      </w:pPr>
      <w:r>
        <w:t xml:space="preserve">Fraction of positive-label instances on which the model returns</w:t>
      </w:r>
      <w:r>
        <w:t xml:space="preserve"> </w:t>
      </w:r>
      <w:r>
        <w:t xml:space="preserve">“</w:t>
      </w:r>
      <w:r>
        <w:t xml:space="preserve">no related</w:t>
      </w:r>
      <w:r>
        <w:t xml:space="preserve"> </w:t>
      </w:r>
      <w:r>
        <w:t xml:space="preserve">clause</w:t>
      </w:r>
      <w:r>
        <w:t xml:space="preserve">”</w:t>
      </w:r>
      <w:r>
        <w:t xml:space="preserve">. The dominant failure mode of single-agent LLMs on rare CUAD categories</w:t>
      </w:r>
      <w:r>
        <w:t xml:space="preserve"> </w:t>
      </w:r>
      <w:r>
        <w:t xml:space="preserve">is silent abstention rather than wrong extraction;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isolates this directly.</w:t>
      </w:r>
    </w:p>
    <w:p>
      <w:pPr>
        <w:pStyle w:val="Heading5"/>
      </w:pPr>
      <w:bookmarkStart w:id="69" w:name="over-extraction-rate-omega-diagnostic."/>
      <w:r>
        <w:t xml:space="preserve">Over-extraction rate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(diagnostic).</w:t>
      </w:r>
      <w:bookmarkEnd w:id="69"/>
    </w:p>
    <w:p>
      <w:pPr>
        <w:pStyle w:val="FirstParagraph"/>
      </w:pPr>
      <w:r>
        <w:t xml:space="preserve">Fraction of negative-label instances on which the model returns a non-empty span.</w:t>
      </w:r>
      <w:r>
        <w:t xml:space="preserve"> </w:t>
      </w:r>
      <w:r>
        <w:t xml:space="preserve">Complements</w:t>
      </w:r>
      <w:r>
        <w:t xml:space="preserve"> </w:t>
      </w:r>
      <m:oMath>
        <m:r>
          <m:t>λ</m:t>
        </m:r>
      </m:oMath>
      <w:r>
        <w:t xml:space="preserve">: together they decompose the false-negative and false-positive</w:t>
      </w:r>
      <w:r>
        <w:t xml:space="preserve"> </w:t>
      </w:r>
      <w:r>
        <w:t xml:space="preserve">error budgets without conflating them into a single</w:t>
      </w:r>
      <w:r>
        <w:t xml:space="preserve"> </w:t>
      </w:r>
      <m:oMath>
        <m:r>
          <m:t>F</m:t>
        </m:r>
      </m:oMath>
      <w:r>
        <w:t xml:space="preserve">-score.</w:t>
      </w:r>
    </w:p>
    <w:p>
      <w:pPr>
        <w:pStyle w:val="BodyText"/>
      </w:pPr>
      <w:r>
        <w:t xml:space="preserve">All metrics are reported pooled and per prevalence tier.</w:t>
      </w:r>
    </w:p>
    <w:p>
      <w:pPr>
        <w:pStyle w:val="Heading2"/>
      </w:pPr>
      <w:bookmarkStart w:id="70" w:name="sec:meth:hypotheses"/>
      <w:r>
        <w:t xml:space="preserve">Hypotheses</w:t>
      </w:r>
      <w:bookmarkEnd w:id="70"/>
    </w:p>
    <w:p>
      <w:pPr>
        <w:pStyle w:val="Heading5"/>
      </w:pPr>
      <w:bookmarkStart w:id="71" w:name="h1."/>
      <w:r>
        <w:t xml:space="preserve">H1.</w:t>
      </w:r>
      <w:bookmarkEnd w:id="71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  <m:r>
          <m:t>∈</m:t>
        </m:r>
        <m:r>
          <m:t>{</m:t>
        </m:r>
        <m:r>
          <m:rPr>
            <m:nor/>
            <m:sty m:val="p"/>
          </m:rPr>
          <m:t>M0</m:t>
        </m:r>
        <m:r>
          <m:t>,</m:t>
        </m:r>
        <m:r>
          <m:t> </m:t>
        </m:r>
        <m:r>
          <m:rPr>
            <m:nor/>
            <m:sty m:val="p"/>
          </m:rPr>
          <m:t>M1</m:t>
        </m:r>
        <m:r>
          <m:t>}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outperforms</w:t>
      </w:r>
      <w:r>
        <w:t xml:space="preserve"> </w:t>
      </w:r>
      <m:oMath>
        <m:sSup>
          <m:e>
            <m:r>
              <m:t>B</m:t>
            </m:r>
          </m:e>
          <m:sup>
            <m:r>
              <m:t>⋆</m:t>
            </m:r>
          </m:sup>
        </m:sSup>
        <m:r>
          <m:t>=</m:t>
        </m:r>
        <m:r>
          <m:rPr>
            <m:nor/>
            <m:sty m:val="p"/>
          </m:rPr>
          <m:t>B0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across the eleven-model panel.</w:t>
      </w:r>
      <w:r>
        <w:t xml:space="preserve"> </w:t>
      </w:r>
      <w:r>
        <w:t xml:space="preserve">Null: at least one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does not outperform B0 on the panel.</w:t>
      </w:r>
      <w:r>
        <w:t xml:space="preserve"> </w:t>
      </w:r>
      <w:r>
        <w:t xml:space="preserve">Decision rule: reject the null</w:t>
      </w:r>
      <w:r>
        <w:t xml:space="preserve"> </w:t>
      </w:r>
      <w:r>
        <w:rPr>
          <w:i/>
        </w:rPr>
        <w:t xml:space="preserve">in favour of H1</w:t>
      </w:r>
      <w:r>
        <w:t xml:space="preserve"> </w:t>
      </w:r>
      <w:r>
        <w:t xml:space="preserve">only if,</w:t>
      </w:r>
      <w:r>
        <w:t xml:space="preserve"> </w:t>
      </w:r>
      <w:r>
        <w:rPr>
          <w:i/>
        </w:rPr>
        <w:t xml:space="preserve">for both</w:t>
      </w:r>
      <w:r>
        <w:t xml:space="preserve"> </w:t>
      </w:r>
      <m:oMath>
        <m:r>
          <m:t>C</m:t>
        </m:r>
        <m:r>
          <m:t>∈</m:t>
        </m:r>
        <m:r>
          <m:t>{</m:t>
        </m:r>
        <m:r>
          <m:rPr>
            <m:nor/>
            <m:sty m:val="p"/>
          </m:rPr>
          <m:t>M0</m:t>
        </m:r>
        <m:r>
          <m:t>,</m:t>
        </m:r>
        <m:r>
          <m:t> </m:t>
        </m:r>
        <m:r>
          <m:rPr>
            <m:nor/>
            <m:sty m:val="p"/>
          </m:rPr>
          <m:t>M1</m:t>
        </m:r>
        <m:r>
          <m:t>}</m:t>
        </m:r>
      </m:oMath>
      <w:r>
        <w:t xml:space="preserve">, a majority of the 11 per-model</w:t>
      </w:r>
      <w:r>
        <w:t xml:space="preserve"> </w:t>
      </w:r>
      <m:oMath>
        <m:r>
          <m:t>C</m:t>
        </m:r>
      </m:oMath>
      <w:r>
        <w:t xml:space="preserve">-vs-B0 McNemar exact contrasts is BH-significant in</w:t>
      </w:r>
      <w:r>
        <w:t xml:space="preserve"> </w:t>
      </w:r>
      <w:r>
        <w:t xml:space="preserve">favour [benjamini1995controlling] at</w:t>
      </w:r>
      <w:r>
        <w:t xml:space="preserve"> </w:t>
      </w:r>
      <m:oMath>
        <m:r>
          <m:t>α</m:t>
        </m:r>
        <m:r>
          <m:t>=</m:t>
        </m:r>
        <m:r>
          <m:t>0.05</m:t>
        </m:r>
      </m:oMath>
      <w:r>
        <w:t xml:space="preserve"> </w:t>
      </w:r>
      <w:r>
        <w:t xml:space="preserve">within the combined</w:t>
      </w:r>
      <w:r>
        <w:t xml:space="preserve"> </w:t>
      </w:r>
      <m:oMath>
        <m:r>
          <m:t>m</m:t>
        </m:r>
        <m:r>
          <m:t>=</m:t>
        </m:r>
        <m:r>
          <m:t>22</m:t>
        </m:r>
      </m:oMath>
      <w:r>
        <w:t xml:space="preserve">-test family. Per-model BH-significant positive contrasts that do</w:t>
      </w:r>
      <w:r>
        <w:t xml:space="preserve"> </w:t>
      </w:r>
      <w:r>
        <w:t xml:space="preserve">not satisfy the per-config majority condition are reported as</w:t>
      </w:r>
      <w:r>
        <w:t xml:space="preserve"> </w:t>
      </w:r>
      <w:r>
        <w:rPr>
          <w:i/>
        </w:rPr>
        <w:t xml:space="preserve">conditional</w:t>
      </w:r>
      <w:r>
        <w:t xml:space="preserve"> </w:t>
      </w:r>
      <w:r>
        <w:t xml:space="preserve">improvements rather than as evidence for H1 itself.</w:t>
      </w:r>
      <w:r>
        <w:t xml:space="preserve"> </w:t>
      </w:r>
      <w:r>
        <w:t xml:space="preserve"> (M2) is excluded from the H1 family because it is the architecture-control</w:t>
      </w:r>
      <w:r>
        <w:t xml:space="preserve"> </w:t>
      </w:r>
      <w:r>
        <w:t xml:space="preserve">ablation for H3 (Section </w:t>
      </w:r>
      <w:hyperlink w:anchor="sec:meth:hypotheses">
        <w:r>
          <w:rPr>
            <w:rStyle w:val="Hyperlink"/>
          </w:rPr>
          <w:t xml:space="preserve">4.5</w:t>
        </w:r>
      </w:hyperlink>
      <w:r>
        <w:t xml:space="preserve">), not a candidate alternative</w:t>
      </w:r>
      <w:r>
        <w:t xml:space="preserve"> </w:t>
      </w:r>
      <w:r>
        <w:t xml:space="preserve">architecture;  (B1) is the chain-of-thought baseline against which the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comparisons are reported descriptively in Chapter </w:t>
      </w:r>
      <w:hyperlink w:anchor="chapter:results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but not used as the H1 reference baseline (B0 is the primary baseline per</w:t>
      </w:r>
      <w:r>
        <w:t xml:space="preserve"> </w:t>
      </w:r>
      <w:r>
        <w:t xml:space="preserve">ContractEval [liu2025contracteval]).</w:t>
      </w:r>
    </w:p>
    <w:p>
      <w:pPr>
        <w:pStyle w:val="Heading5"/>
      </w:pPr>
      <w:bookmarkStart w:id="72" w:name="h2."/>
      <w:r>
        <w:t xml:space="preserve">H2.</w:t>
      </w:r>
      <w:bookmarkEnd w:id="72"/>
    </w:p>
    <w:p>
      <w:pPr>
        <w:pStyle w:val="FirstParagraph"/>
      </w:pPr>
      <m:oMath>
        <m:r>
          <m:t>Δ</m:t>
        </m:r>
        <m:r>
          <m:rPr>
            <m:sty m:val="p"/>
          </m:rPr>
          <m:t>G</m:t>
        </m:r>
        <m:r>
          <m:rPr>
            <m:sty m:val="p"/>
          </m:rPr>
          <m:t>a</m:t>
        </m:r>
        <m:r>
          <m:rPr>
            <m:sty m:val="p"/>
          </m:rPr>
          <m:t>p</m:t>
        </m:r>
        <m:r>
          <m:t>(</m:t>
        </m:r>
        <m:sSub>
          <m:e>
            <m:r>
              <m:t>C</m:t>
            </m:r>
          </m:e>
          <m:sub>
            <m:r>
              <m:rPr>
                <m:nor/>
                <m:sty m:val="p"/>
              </m:rPr>
              <m:t>multi</m:t>
            </m:r>
          </m:sub>
        </m:sSub>
        <m:r>
          <m:t>,</m:t>
        </m:r>
        <m:sSup>
          <m:e>
            <m:r>
              <m:t>B</m:t>
            </m:r>
          </m:e>
          <m:sup>
            <m:r>
              <m:t>⋆</m:t>
            </m:r>
          </m:sup>
        </m:sSup>
        <m:r>
          <m:t>)</m:t>
        </m:r>
        <m:r>
          <m:t>&lt;</m:t>
        </m:r>
        <m:r>
          <m:t>0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G</m:t>
        </m:r>
        <m:r>
          <m:rPr>
            <m:sty m:val="p"/>
          </m:rPr>
          <m:t>a</m:t>
        </m:r>
        <m:r>
          <m:rPr>
            <m:sty m:val="p"/>
          </m:rPr>
          <m:t>p</m:t>
        </m:r>
        <m:r>
          <m:t>(</m:t>
        </m:r>
        <m:r>
          <m:t>C</m:t>
        </m:r>
        <m:r>
          <m:t>)</m:t>
        </m:r>
        <m:r>
          <m:t>=</m:t>
        </m:r>
        <m:sSubSup>
          <m:e>
            <m:r>
              <m:t>F</m:t>
            </m:r>
          </m:e>
          <m:sub>
            <m:r>
              <m:t>2</m:t>
            </m:r>
          </m:sub>
          <m:sup>
            <m:r>
              <m:rPr>
                <m:nor/>
                <m:sty m:val="p"/>
              </m:rPr>
              <m:t>common</m:t>
            </m:r>
          </m:sup>
        </m:sSubSup>
        <m:r>
          <m:t>(</m:t>
        </m:r>
        <m:r>
          <m:t>C</m:t>
        </m:r>
        <m:r>
          <m:t>)</m:t>
        </m:r>
        <m:r>
          <m:t>−</m:t>
        </m:r>
        <m:sSubSup>
          <m:e>
            <m:r>
              <m:t>F</m:t>
            </m:r>
          </m:e>
          <m:sub>
            <m:r>
              <m:t>2</m:t>
            </m:r>
          </m:sub>
          <m:sup>
            <m:r>
              <m:rPr>
                <m:nor/>
                <m:sty m:val="p"/>
              </m:rPr>
              <m:t>rare</m:t>
            </m:r>
          </m:sup>
        </m:sSubSup>
        <m:r>
          <m:t>(</m:t>
        </m:r>
        <m:r>
          <m:t>C</m:t>
        </m:r>
        <m:r>
          <m:t>)</m:t>
        </m:r>
      </m:oMath>
      <w:r>
        <w:t xml:space="preserve"> </w:t>
      </w:r>
      <w:r>
        <w:t xml:space="preserve">holds across</w:t>
      </w:r>
      <w:r>
        <w:t xml:space="preserve"> </w:t>
      </w:r>
      <w:r>
        <w:t xml:space="preserve">the eleven-model panel.</w:t>
      </w:r>
      <w:r>
        <w:t xml:space="preserve"> </w:t>
      </w:r>
      <w:r>
        <w:t xml:space="preserve">Null: H2 does not hold on the panel.</w:t>
      </w:r>
      <w:r>
        <w:t xml:space="preserve"> </w:t>
      </w:r>
      <w:r>
        <w:t xml:space="preserve">Decision rule: reject the null in favour of H2 for a given (model,</w:t>
      </w:r>
      <w:r>
        <w:t xml:space="preserve"> </w:t>
      </w:r>
      <w:r>
        <w:t xml:space="preserve">configuration) pair if the upper bound of the 95% paired bootstrap CI on</w:t>
      </w:r>
      <w:r>
        <w:t xml:space="preserve"> </w:t>
      </w:r>
      <m:oMath>
        <m:r>
          <m:t>Δ</m:t>
        </m:r>
        <m:r>
          <m:rPr>
            <m:sty m:val="p"/>
          </m:rPr>
          <m:t>G</m:t>
        </m:r>
        <m:r>
          <m:rPr>
            <m:sty m:val="p"/>
          </m:rPr>
          <m:t>a</m:t>
        </m:r>
        <m:r>
          <m:rPr>
            <m:sty m:val="p"/>
          </m:rPr>
          <m:t>p</m:t>
        </m:r>
      </m:oMath>
      <w:r>
        <w:t xml:space="preserve"> </w:t>
      </w:r>
      <w:r>
        <w:t xml:space="preserve">is strictly less than zero. H2 is supported pooled if</w:t>
      </w:r>
      <w:r>
        <w:t xml:space="preserve"> </w:t>
      </w:r>
      <w:r>
        <w:rPr>
          <w:i/>
        </w:rPr>
        <w:t xml:space="preserve">a majority</w:t>
      </w:r>
      <w:r>
        <w:t xml:space="preserve"> </w:t>
      </w:r>
      <w:r>
        <w:t xml:space="preserve">of the 22 (model, configuration) contrasts satisfy this rule;</w:t>
      </w:r>
      <w:r>
        <w:t xml:space="preserve"> </w:t>
      </w:r>
      <w:r>
        <w:t xml:space="preserve">otherwise H2 is rejected.</w:t>
      </w:r>
    </w:p>
    <w:p>
      <w:pPr>
        <w:pStyle w:val="Heading5"/>
      </w:pPr>
      <w:bookmarkStart w:id="73" w:name="h3."/>
      <w:r>
        <w:t xml:space="preserve">H3.</w:t>
      </w:r>
      <w:bookmarkEnd w:id="73"/>
    </w:p>
    <w:p>
      <w:pPr>
        <w:pStyle w:val="FirstParagraph"/>
      </w:pPr>
      <w:r>
        <w:t xml:space="preserve"> (M1) and  (M2) are statistically distinguishable 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Null:</w:t>
      </w:r>
      <w:r>
        <w:t xml:space="preserve"> </w:t>
      </w:r>
      <m:oMath>
        <m:r>
          <m:t>Δ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t>(</m:t>
        </m:r>
        <m:r>
          <m:rPr>
            <m:nor/>
            <m:sty m:val="p"/>
          </m:rPr>
          <m:t>M1</m:t>
        </m:r>
        <m:r>
          <m:t>,</m:t>
        </m:r>
        <m:r>
          <m:t> </m:t>
        </m:r>
        <m:r>
          <m:rPr>
            <m:nor/>
            <m:sty m:val="p"/>
          </m:rPr>
          <m:t>M2</m:t>
        </m:r>
        <m:r>
          <m:t>)</m:t>
        </m:r>
        <m: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Decision rule: reject the null (two-sided) if the McNemar exact</w:t>
      </w:r>
      <w:r>
        <w:t xml:space="preserve"> </w:t>
      </w:r>
      <m:oMath>
        <m:r>
          <m:t>p</m:t>
        </m:r>
      </m:oMath>
      <w:r>
        <w:t xml:space="preserve">-value is below</w:t>
      </w:r>
      <w:r>
        <w:t xml:space="preserve"> </w:t>
      </w:r>
      <m:oMath>
        <m:r>
          <m:t>α</m:t>
        </m:r>
        <m:r>
          <m:t>=</m:t>
        </m:r>
        <m:r>
          <m:t>0.05</m:t>
        </m:r>
      </m:oMath>
      <w:r>
        <w:t xml:space="preserve"> </w:t>
      </w:r>
      <w:r>
        <w:t xml:space="preserve">after BH correction (</w:t>
      </w:r>
      <m:oMath>
        <m:r>
          <m:t>m</m:t>
        </m:r>
        <m:r>
          <m:t>=</m:t>
        </m:r>
        <m:r>
          <m:t>11</m:t>
        </m:r>
      </m:oMath>
      <w:r>
        <w:t xml:space="preserve">, one M1 vs. M2 contrast per model).</w:t>
      </w:r>
      <w:r>
        <w:t xml:space="preserve"> </w:t>
      </w:r>
      <w:r>
        <w:t xml:space="preserve">The hypothesis is two-sided because direction is not pre-specified; if rejected, the</w:t>
      </w:r>
      <w:r>
        <w:t xml:space="preserve"> </w:t>
      </w:r>
      <w:r>
        <w:t xml:space="preserve">direction of the effect is reported separately because direction may be inconsistent</w:t>
      </w:r>
      <w:r>
        <w:t xml:space="preserve"> </w:t>
      </w:r>
      <w:r>
        <w:t xml:space="preserve">across the model panel.</w:t>
      </w:r>
    </w:p>
    <w:p>
      <w:pPr>
        <w:pStyle w:val="Heading2"/>
      </w:pPr>
      <w:bookmarkStart w:id="74" w:name="sec:meth:stats"/>
      <w:r>
        <w:t xml:space="preserve">Statistical Methodology</w:t>
      </w:r>
      <w:bookmarkEnd w:id="74"/>
    </w:p>
    <w:p>
      <w:pPr>
        <w:pStyle w:val="Heading5"/>
      </w:pPr>
      <w:bookmarkStart w:id="75" w:name="mcnemars-exact-test."/>
      <w:r>
        <w:t xml:space="preserve">McNemar’s exact test.</w:t>
      </w:r>
      <w:bookmarkEnd w:id="75"/>
    </w:p>
    <w:p>
      <w:pPr>
        <w:pStyle w:val="FirstParagraph"/>
      </w:pPr>
      <w:r>
        <w:t xml:space="preserve">For configurations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evaluated on the same instances, let</w:t>
      </w:r>
      <w:r>
        <w:t xml:space="preserve"> </w:t>
      </w:r>
      <m:oMath>
        <m:r>
          <m:t>b</m:t>
        </m:r>
        <m:r>
          <m:t>=</m:t>
        </m:r>
        <m:r>
          <m:t>|</m:t>
        </m:r>
        <m:r>
          <m:t>{</m:t>
        </m:r>
        <m:r>
          <m:t>i</m:t>
        </m:r>
        <m:r>
          <m:t>: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 correct</m:t>
        </m:r>
        <m:r>
          <m:t>,</m:t>
        </m:r>
        <m:r>
          <m:t> 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 wrong</m:t>
        </m:r>
        <m:r>
          <m:t>}</m:t>
        </m:r>
        <m:r>
          <m:t>|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=</m:t>
        </m:r>
        <m:r>
          <m:t>|</m:t>
        </m:r>
        <m:r>
          <m:t>{</m:t>
        </m:r>
        <m:r>
          <m:t>i</m:t>
        </m:r>
        <m:r>
          <m:t>: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 wrong</m:t>
        </m:r>
        <m:r>
          <m:t>,</m:t>
        </m:r>
        <m:r>
          <m:t> 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 correct</m:t>
        </m:r>
        <m:r>
          <m:t>}</m:t>
        </m:r>
        <m:r>
          <m:t>|</m:t>
        </m:r>
      </m:oMath>
      <w:r>
        <w:t xml:space="preserve">.</w:t>
      </w:r>
      <w:r>
        <w:t xml:space="preserve"> </w:t>
      </w:r>
      <w:r>
        <w:t xml:space="preserve">The two-sided exact</w:t>
      </w:r>
      <w:r>
        <w:t xml:space="preserve"> </w:t>
      </w:r>
      <m:oMath>
        <m:r>
          <m:t>p</m:t>
        </m:r>
      </m:oMath>
      <w:r>
        <w:t xml:space="preserve">-value is: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=</m:t>
          </m:r>
          <m:r>
            <m:t>2</m:t>
          </m:r>
          <m:r>
            <m:t> </m:t>
          </m:r>
          <m:r>
            <m:rPr>
              <m:sty m:val="p"/>
              <m:scr m:val="double-struck"/>
            </m:rPr>
            <m:t>P</m:t>
          </m:r>
          <m:r>
            <m:t>​</m:t>
          </m:r>
          <m:d>
            <m:dPr>
              <m:begChr m:val="["/>
              <m:endChr m:val="]"/>
              <m:grow/>
            </m:dPr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endChr m:val=")"/>
                  <m:grow/>
                </m:dPr>
                <m:e>
                  <m:r>
                    <m:t>b</m:t>
                  </m:r>
                  <m:r>
                    <m:t>+</m:t>
                  </m:r>
                  <m:r>
                    <m:t>c</m:t>
                  </m:r>
                  <m:r>
                    <m:t>,</m:t>
                  </m:r>
                  <m:r>
                    <m:t> 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≤</m:t>
              </m:r>
              <m:r>
                <m:rPr>
                  <m:nor/>
                  <m:sty m:val="p"/>
                </m:rPr>
                <m:t>min</m:t>
              </m:r>
              <m:r>
                <m:t>(</m:t>
              </m:r>
              <m:r>
                <m:t>b</m:t>
              </m:r>
              <m:r>
                <m:t>,</m:t>
              </m:r>
              <m:r>
                <m:t>c</m:t>
              </m:r>
              <m:r>
                <m:t>)</m:t>
              </m:r>
            </m:e>
          </m:d>
        </m:oMath>
      </m:oMathPara>
    </w:p>
    <w:p>
      <w:pPr>
        <w:pStyle w:val="FirstParagraph"/>
      </w:pPr>
      <w:r>
        <w:t xml:space="preserve">implemented via</w:t>
      </w:r>
      <w:r>
        <w:t xml:space="preserve"> </w:t>
      </w:r>
      <w:r>
        <w:rPr>
          <w:rStyle w:val="VerbatimChar"/>
        </w:rPr>
        <w:t xml:space="preserve">scipy.stats.binomtest</w:t>
      </w:r>
      <w:r>
        <w:t xml:space="preserve"> [virtanen2020scipy]. The exact</w:t>
      </w:r>
      <w:r>
        <w:t xml:space="preserve"> </w:t>
      </w:r>
      <w:r>
        <w:t xml:space="preserve">form is preferred over the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approximation because discordant counts are small</w:t>
      </w:r>
      <w:r>
        <w:t xml:space="preserve"> </w:t>
      </w:r>
      <w:r>
        <w:t xml:space="preserve">on rare-tier subsets [mcnemar1947note].</w:t>
      </w:r>
    </w:p>
    <w:p>
      <w:pPr>
        <w:pStyle w:val="Heading5"/>
      </w:pPr>
      <w:bookmarkStart w:id="76" w:name="paired-bootstrap."/>
      <w:r>
        <w:t xml:space="preserve">Paired bootstrap.</w:t>
      </w:r>
      <w:bookmarkEnd w:id="76"/>
    </w:p>
    <w:p>
      <w:pPr>
        <w:pStyle w:val="FirstParagraph"/>
      </w:pPr>
      <w:r>
        <w:t xml:space="preserve">For continuous metrics (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 Jaccard, gap differences), Algorithm </w:t>
      </w:r>
      <w:hyperlink w:anchor="alg:bootstrap">
        <w:r>
          <w:rPr>
            <w:rStyle w:val="Hyperlink"/>
          </w:rPr>
          <w:t xml:space="preserve">[alg:bootstrap]</w:t>
        </w:r>
      </w:hyperlink>
      <w:r>
        <w:t xml:space="preserve"> </w:t>
      </w:r>
      <w:r>
        <w:t xml:space="preserve">gives the paired bootstrap CI [efron1979bootstrap,riezler2005pitfalls].</w:t>
      </w:r>
      <w:r>
        <w:t xml:space="preserve"> </w:t>
      </w:r>
      <w:r>
        <w:t xml:space="preserve">We use</w:t>
      </w:r>
      <w:r>
        <w:t xml:space="preserve"> </w:t>
      </w:r>
      <m:oMath>
        <m:r>
          <m:t>B</m:t>
        </m:r>
        <m:r>
          <m:t>=</m:t>
        </m:r>
        <m:r>
          <m:t>300</m:t>
        </m:r>
      </m:oMath>
      <w:r>
        <w:t xml:space="preserve"> </w:t>
      </w:r>
      <w:r>
        <w:t xml:space="preserve">resamples and seed the bootstrap RNG independently of the</w:t>
      </w:r>
      <w:r>
        <w:t xml:space="preserve"> </w:t>
      </w:r>
      <w:r>
        <w:t xml:space="preserve">sampler with</w:t>
      </w:r>
      <w:r>
        <w:t xml:space="preserve"> </w:t>
      </w:r>
      <w:r>
        <w:rPr>
          <w:rStyle w:val="VerbatimChar"/>
        </w:rPr>
        <w:t xml:space="preserve">numpy.random.default_rng(42)</w:t>
      </w:r>
      <w:r>
        <w:t xml:space="preserve"> </w:t>
      </w:r>
      <w:r>
        <w:t xml:space="preserve">so the data partition seed</w:t>
      </w:r>
      <w:r>
        <w:t xml:space="preserve"> </w:t>
      </w:r>
      <w:r>
        <w:t xml:space="preserve">and the bootstrap resample seed are both pinned to the same numerical value</w:t>
      </w:r>
      <w:r>
        <w:t xml:space="preserve"> </w:t>
      </w:r>
      <w:r>
        <w:t xml:space="preserve">but instantiated as separate generator objects (the bootstrap percentile CIs</w:t>
      </w:r>
      <w:r>
        <w:t xml:space="preserve"> </w:t>
      </w:r>
      <w:r>
        <w:t xml:space="preserve">in Table </w:t>
      </w:r>
      <w:hyperlink w:anchor="tab:h1-stats">
        <w:r>
          <w:rPr>
            <w:rStyle w:val="Hyperlink"/>
          </w:rPr>
          <w:t xml:space="preserve">6.4</w:t>
        </w:r>
      </w:hyperlink>
      <w:r>
        <w:t xml:space="preserve"> </w:t>
      </w:r>
      <w:r>
        <w:t xml:space="preserve">are bit-reproducible from the artefact bundle</w:t>
      </w:r>
      <w:r>
        <w:t xml:space="preserve"> </w:t>
      </w:r>
      <w:r>
        <w:t xml:space="preserve">under this convention). The percentile method’s robustness to small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</w:t>
      </w:r>
      <w:r>
        <w:t xml:space="preserve"> </w:t>
      </w:r>
      <w:r>
        <w:t xml:space="preserve">bounded statistics is documented as a sensitivity threat in</w:t>
      </w:r>
      <w:r>
        <w:t xml:space="preserve"> </w:t>
      </w:r>
      <w:r>
        <w:t xml:space="preserve">Section </w:t>
      </w:r>
      <w:hyperlink w:anchor="sec:meth:threats">
        <w:r>
          <w:rPr>
            <w:rStyle w:val="Hyperlink"/>
          </w:rPr>
          <w:t xml:space="preserve">4.7</w:t>
        </w:r>
      </w:hyperlink>
      <w:r>
        <w:t xml:space="preserve">.</w:t>
      </w:r>
    </w:p>
    <w:p>
      <w:pPr>
        <w:pStyle w:val="BodyText"/>
      </w:pPr>
      <w:r>
        <w:rPr>
          <w:i/>
        </w:rPr>
        <w:t xml:space="preserve">[Figure/diagram in LaTeX source (algorithm); see PDF]</w:t>
      </w:r>
    </w:p>
    <w:p>
      <w:pPr>
        <w:pStyle w:val="Heading5"/>
      </w:pPr>
      <w:bookmarkStart w:id="77" w:name="multiple-comparison-correction."/>
      <w:r>
        <w:t xml:space="preserve">Multiple-comparison correction.</w:t>
      </w:r>
      <w:bookmarkEnd w:id="77"/>
    </w:p>
    <w:p>
      <w:pPr>
        <w:pStyle w:val="FirstParagraph"/>
      </w:pPr>
      <w:r>
        <w:t xml:space="preserve">Within each hypothesis family, Benjamini–Hochberg [benjamini1995controlling]</w:t>
      </w:r>
      <w:r>
        <w:t xml:space="preserve"> </w:t>
      </w:r>
      <w:r>
        <w:t xml:space="preserve">controls the false discovery rate (FDR) at</w:t>
      </w:r>
      <w:r>
        <w:t xml:space="preserve"> </w:t>
      </w:r>
      <m:oMath>
        <m:r>
          <m:t>α</m:t>
        </m:r>
        <m:r>
          <m:t>=</m:t>
        </m:r>
        <m:r>
          <m:t>0.05</m:t>
        </m:r>
      </m:oMath>
      <w:r>
        <w:t xml:space="preserve">: reject</w:t>
      </w:r>
      <w:r>
        <w:t xml:space="preserve"> </w:t>
      </w:r>
      <m:oMath>
        <m:sSubSup>
          <m:e>
            <m:r>
              <m:t>H</m:t>
            </m:r>
          </m:e>
          <m:sub>
            <m:r>
              <m:t>0</m:t>
            </m:r>
          </m:sub>
          <m:sup>
            <m:r>
              <m:t>(</m:t>
            </m:r>
            <m:r>
              <m:t>i</m:t>
            </m:r>
            <m:r>
              <m:t>)</m:t>
            </m:r>
          </m:sup>
        </m:sSubSup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(</m:t>
              </m:r>
              <m:r>
                <m:t>i</m:t>
              </m:r>
              <m:r>
                <m:t>)</m:t>
              </m:r>
            </m:sub>
          </m:sSub>
          <m:r>
            <m:t>≤</m:t>
          </m:r>
          <m:f>
            <m:fPr>
              <m:type m:val="bar"/>
            </m:fPr>
            <m:num>
              <m:r>
                <m:t>i</m:t>
              </m:r>
            </m:num>
            <m:den>
              <m:r>
                <m:t>m</m:t>
              </m:r>
            </m:den>
          </m:f>
          <m:r>
            <m:t> </m:t>
          </m:r>
          <m:r>
            <m:t>α</m:t>
          </m:r>
          <m:r>
            <m:t>,</m:t>
          </m:r>
          <m:r>
            <m:t> </m:t>
          </m:r>
          <m:sSub>
            <m:e>
              <m:r>
                <m:t>p</m:t>
              </m:r>
            </m:e>
            <m:sub>
              <m:r>
                <m:t>(</m:t>
              </m:r>
              <m:r>
                <m:t>1</m:t>
              </m:r>
              <m:r>
                <m:t>)</m:t>
              </m:r>
            </m:sub>
          </m:sSub>
          <m:r>
            <m:t>≤</m:t>
          </m:r>
          <m:r>
            <m:t>⋯</m:t>
          </m:r>
          <m:r>
            <m:t>≤</m:t>
          </m:r>
          <m:sSub>
            <m:e>
              <m:r>
                <m:t>p</m:t>
              </m:r>
            </m:e>
            <m:sub>
              <m:r>
                <m:t>(</m:t>
              </m:r>
              <m:r>
                <m:t>m</m:t>
              </m:r>
              <m:r>
                <m:t>)</m:t>
              </m:r>
            </m:sub>
          </m:sSub>
          <m:r>
            <m:t>.</m:t>
          </m:r>
        </m:oMath>
      </m:oMathPara>
    </w:p>
    <w:p>
      <w:pPr>
        <w:pStyle w:val="FirstParagraph"/>
      </w:pPr>
      <w:r>
        <w:t xml:space="preserve">The H1 family has</w:t>
      </w:r>
      <w:r>
        <w:t xml:space="preserve"> </w:t>
      </w:r>
      <m:oMath>
        <m:r>
          <m:t>m</m:t>
        </m:r>
        <m:r>
          <m:t>=</m:t>
        </m:r>
        <m:r>
          <m:t>22</m:t>
        </m:r>
      </m:oMath>
      <w:r>
        <w:t xml:space="preserve"> </w:t>
      </w:r>
      <w:r>
        <w:t xml:space="preserve">tests (2 multi-agent configurations</w:t>
      </w:r>
      <w:r>
        <w:t xml:space="preserve"> </w:t>
      </w:r>
      <m:oMath>
        <m:r>
          <m:t>×</m:t>
        </m:r>
      </m:oMath>
      <w:r>
        <w:t xml:space="preserve"> </w:t>
      </w:r>
      <w:r>
        <w:t xml:space="preserve">11 models, with B0 as reference baseline); the H3 family has</w:t>
      </w:r>
      <w:r>
        <w:t xml:space="preserve"> </w:t>
      </w:r>
      <m:oMath>
        <m:r>
          <m:t>m</m:t>
        </m:r>
        <m:r>
          <m:t>=</m:t>
        </m:r>
        <m:r>
          <m:t>11</m:t>
        </m:r>
      </m:oMath>
      <w:r>
        <w:t xml:space="preserve"> </w:t>
      </w:r>
      <w:r>
        <w:t xml:space="preserve">tests (one M1 vs. M2 contrast per model). Raw and BH-corrected</w:t>
      </w:r>
      <w:r>
        <w:t xml:space="preserve"> </w:t>
      </w:r>
      <m:oMath>
        <m:r>
          <m:t>p</m:t>
        </m:r>
      </m:oMath>
      <w:r>
        <w:t xml:space="preserve">-values</w:t>
      </w:r>
      <w:r>
        <w:t xml:space="preserve"> </w:t>
      </w:r>
      <w:r>
        <w:t xml:space="preserve">are both reported.</w:t>
      </w:r>
    </w:p>
    <w:p>
      <w:pPr>
        <w:pStyle w:val="Heading5"/>
      </w:pPr>
      <w:bookmarkStart w:id="78" w:name="effect-size."/>
      <w:r>
        <w:t xml:space="preserve">Effect size.</w:t>
      </w:r>
      <w:bookmarkEnd w:id="78"/>
    </w:p>
    <w:p>
      <w:pPr>
        <w:pStyle w:val="FirstParagraph"/>
      </w:pPr>
      <w:r>
        <w:t xml:space="preserve">For paired binary comparisons (McNemar’s), we report Cohen’s</w:t>
      </w:r>
      <w:r>
        <w:t xml:space="preserve"> </w:t>
      </w:r>
      <m:oMath>
        <m:r>
          <m:t>g</m:t>
        </m:r>
        <m:r>
          <m:t>=</m:t>
        </m:r>
        <m:r>
          <m:t>b</m:t>
        </m:r>
        <m:r>
          <m:t>/</m:t>
        </m:r>
        <m:r>
          <m:t>(</m:t>
        </m:r>
        <m:r>
          <m:t>b</m:t>
        </m:r>
        <m:r>
          <m:t>+</m:t>
        </m:r>
        <m:r>
          <m:t>c</m:t>
        </m:r>
        <m:r>
          <m:t>)</m:t>
        </m:r>
        <m:r>
          <m:t>−</m:t>
        </m:r>
        <m:r>
          <m:t>0.5</m:t>
        </m:r>
      </m:oMath>
      <w:r>
        <w:t xml:space="preserve">, the deviation of the discordant proportion from</w:t>
      </w:r>
      <w:r>
        <w:t xml:space="preserve"> </w:t>
      </w:r>
      <w:r>
        <w:t xml:space="preserve">chance [cohen1988statistical]. For continuous metrics, we report absolute</w:t>
      </w:r>
      <w:r>
        <w:t xml:space="preserve"> </w:t>
      </w:r>
      <m:oMath>
        <m:r>
          <m:t>Δ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the paired bootstrap 95% CI. We follow Cohen’s interpretive</w:t>
      </w:r>
      <w:r>
        <w:t xml:space="preserve"> </w:t>
      </w:r>
      <w:r>
        <w:t xml:space="preserve">thresholds (</w:t>
      </w:r>
      <m:oMath>
        <m:r>
          <m:t>g</m:t>
        </m:r>
        <m:r>
          <m:t>≥</m:t>
        </m:r>
        <m:r>
          <m:t>0.05</m:t>
        </m:r>
      </m:oMath>
      <w:r>
        <w:t xml:space="preserve"> </w:t>
      </w:r>
      <w:r>
        <w:t xml:space="preserve">small,</w:t>
      </w:r>
      <w:r>
        <w:t xml:space="preserve"> </w:t>
      </w:r>
      <m:oMath>
        <m:r>
          <m:t>≥</m:t>
        </m:r>
        <m:r>
          <m:t>0.15</m:t>
        </m:r>
      </m:oMath>
      <w:r>
        <w:t xml:space="preserve"> </w:t>
      </w:r>
      <w:r>
        <w:t xml:space="preserve">medium,</w:t>
      </w:r>
      <w:r>
        <w:t xml:space="preserve"> </w:t>
      </w:r>
      <m:oMath>
        <m:r>
          <m:t>≥</m:t>
        </m:r>
        <m:r>
          <m:t>0.25</m:t>
        </m:r>
      </m:oMath>
      <w:r>
        <w:t xml:space="preserve"> </w:t>
      </w:r>
      <w:r>
        <w:t xml:space="preserve">large;</w:t>
      </w:r>
      <w:r>
        <w:t xml:space="preserve"> </w:t>
      </w:r>
      <m:oMath>
        <m:r>
          <m:t>|</m:t>
        </m:r>
        <m:r>
          <m:t>Δ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t>|</m:t>
        </m:r>
        <m:r>
          <m:t>≥</m:t>
        </m:r>
        <m:r>
          <m:t>0.02</m:t>
        </m:r>
      </m:oMath>
      <w:r>
        <w:t xml:space="preserve"> </w:t>
      </w:r>
      <w:r>
        <w:t xml:space="preserve">small,</w:t>
      </w:r>
      <w:r>
        <w:t xml:space="preserve"> </w:t>
      </w:r>
      <m:oMath>
        <m:r>
          <m:t>≥</m:t>
        </m:r>
        <m:r>
          <m:t>0.05</m:t>
        </m:r>
      </m:oMath>
      <w:r>
        <w:t xml:space="preserve"> </w:t>
      </w:r>
      <w:r>
        <w:t xml:space="preserve">medium,</w:t>
      </w:r>
      <w:r>
        <w:t xml:space="preserve"> </w:t>
      </w:r>
      <m:oMath>
        <m:r>
          <m:t>≥</m:t>
        </m:r>
        <m:r>
          <m:t>0.08</m:t>
        </m:r>
      </m:oMath>
      <w:r>
        <w:t xml:space="preserve"> </w:t>
      </w:r>
      <w:r>
        <w:t xml:space="preserve">large) [cohen1988statistical], and report effect size alongside</w:t>
      </w:r>
      <w:r>
        <w:t xml:space="preserve"> </w:t>
      </w:r>
      <m:oMath>
        <m:r>
          <m:t>p</m:t>
        </m:r>
      </m:oMath>
      <w:r>
        <w:t xml:space="preserve">-values in</w:t>
      </w:r>
      <w:r>
        <w:t xml:space="preserve"> </w:t>
      </w:r>
      <w:r>
        <w:t xml:space="preserve">accordance with the recommendation that the magnitude of difference is the primary</w:t>
      </w:r>
      <w:r>
        <w:t xml:space="preserve"> </w:t>
      </w:r>
      <w:r>
        <w:t xml:space="preserve">research output, not statistical significance per se [sullivan2012effect].</w:t>
      </w:r>
    </w:p>
    <w:p>
      <w:pPr>
        <w:pStyle w:val="Heading5"/>
      </w:pPr>
      <w:bookmarkStart w:id="79" w:name="power."/>
      <w:r>
        <w:t xml:space="preserve">Power.</w:t>
      </w:r>
      <w:bookmarkEnd w:id="79"/>
    </w:p>
    <w:p>
      <w:pPr>
        <w:pStyle w:val="FirstParagraph"/>
      </w:pPr>
      <w:r>
        <w:t xml:space="preserve">card2020little caution that NLP comparisons are frequently</w:t>
      </w:r>
      <w:r>
        <w:t xml:space="preserve"> </w:t>
      </w:r>
      <w:r>
        <w:t xml:space="preserve">under-powered. The pairwise sample size after intersection is</w:t>
      </w:r>
      <w:r>
        <w:t xml:space="preserve"> </w:t>
      </w:r>
      <m:oMath>
        <m:r>
          <m:t>≈</m:t>
        </m:r>
        <m:r>
          <m:t> </m:t>
        </m:r>
        <m:r>
          <m:t>2</m:t>
        </m:r>
        <m:r>
          <m:t>,</m:t>
        </m:r>
        <m:r>
          <m:t>900</m:t>
        </m:r>
      </m:oMath>
      <w:r>
        <w:t xml:space="preserve">–</w:t>
      </w:r>
      <m:oMath>
        <m:r>
          <m:t>3</m:t>
        </m:r>
        <m:r>
          <m:t>,</m:t>
        </m:r>
        <m:r>
          <m:t>000</m:t>
        </m:r>
      </m:oMath>
      <w:r>
        <w:t xml:space="preserve"> </w:t>
      </w:r>
      <w:r>
        <w:t xml:space="preserve">per (configuration, model) pair, of which</w:t>
      </w:r>
      <w:r>
        <w:t xml:space="preserve"> </w:t>
      </w:r>
      <w:r>
        <w:t xml:space="preserve">the discordant-pair count</w:t>
      </w:r>
      <w:r>
        <w:t xml:space="preserve"> </w:t>
      </w:r>
      <m:oMath>
        <m:r>
          <m:t>b</m:t>
        </m:r>
        <m:r>
          <m:t>+</m:t>
        </m:r>
        <m:r>
          <m:t>c</m:t>
        </m:r>
      </m:oMath>
      <w:r>
        <w:t xml:space="preserve"> </w:t>
      </w:r>
      <w:r>
        <w:t xml:space="preserve">on M0-vs-B0 contrasts ranges from</w:t>
      </w:r>
      <w:r>
        <w:t xml:space="preserve"> </w:t>
      </w:r>
      <m:oMath>
        <m:r>
          <m:t>236</m:t>
        </m:r>
      </m:oMath>
      <w:r>
        <w:t xml:space="preserve"> </w:t>
      </w:r>
      <w:r>
        <w:t xml:space="preserve">(</w:t>
      </w:r>
      <w:r>
        <w:rPr>
          <w:i/>
        </w:rPr>
        <w:t xml:space="preserve">Claude Opus 4.6</w:t>
      </w:r>
      <w:r>
        <w:t xml:space="preserve">) to</w:t>
      </w:r>
      <w:r>
        <w:t xml:space="preserve"> </w:t>
      </w:r>
      <m:oMath>
        <m:r>
          <m:t>1</m:t>
        </m:r>
        <m:r>
          <m:t>,</m:t>
        </m:r>
        <m:r>
          <m:t>030</m:t>
        </m:r>
      </m:oMath>
      <w:r>
        <w:t xml:space="preserve"> </w:t>
      </w:r>
      <w:r>
        <w:t xml:space="preserve">(</w:t>
      </w:r>
      <w:r>
        <w:rPr>
          <w:i/>
        </w:rPr>
        <w:t xml:space="preserve">Gemini 2.5 Flash</w:t>
      </w:r>
      <w:r>
        <w:t xml:space="preserve">) across</w:t>
      </w:r>
      <w:r>
        <w:t xml:space="preserve"> </w:t>
      </w:r>
      <w:r>
        <w:t xml:space="preserve">the 11 models, with median</w:t>
      </w:r>
      <w:r>
        <w:t xml:space="preserve"> </w:t>
      </w:r>
      <m:oMath>
        <m:r>
          <m:t>b</m:t>
        </m:r>
        <m:r>
          <m:t>+</m:t>
        </m:r>
        <m:r>
          <m:t>c</m:t>
        </m:r>
        <m:r>
          <m:t>≈</m:t>
        </m:r>
        <m:r>
          <m:t>551</m:t>
        </m:r>
      </m:oMath>
      <w:r>
        <w:t xml:space="preserve">. Under McNemar’s exact two-sided</w:t>
      </w:r>
      <w:r>
        <w:t xml:space="preserve"> </w:t>
      </w:r>
      <w:r>
        <w:t xml:space="preserve">test at</w:t>
      </w:r>
      <w:r>
        <w:t xml:space="preserve"> </w:t>
      </w:r>
      <m:oMath>
        <m:r>
          <m:t>α</m:t>
        </m:r>
        <m:r>
          <m:t>=</m:t>
        </m:r>
        <m:r>
          <m:t>0.05</m:t>
        </m:r>
      </m:oMath>
      <w:r>
        <w:t xml:space="preserve"> </w:t>
      </w:r>
      <w:r>
        <w:t xml:space="preserve">and target power</w:t>
      </w:r>
      <w:r>
        <w:t xml:space="preserve"> </w:t>
      </w:r>
      <m:oMath>
        <m:r>
          <m:t>0.80</m:t>
        </m:r>
      </m:oMath>
      <w:r>
        <w:t xml:space="preserve">, the median discordant-pair</w:t>
      </w:r>
      <w:r>
        <w:t xml:space="preserve"> </w:t>
      </w:r>
      <w:r>
        <w:t xml:space="preserve">count corresponds to a minimum detectable proportion of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t>=</m:t>
        </m:r>
        <m:r>
          <m:t>b</m:t>
        </m:r>
        <m:r>
          <m:t>/</m:t>
        </m:r>
        <m:r>
          <m:t>(</m:t>
        </m:r>
        <m:r>
          <m:t>b</m:t>
        </m:r>
        <m:r>
          <m:t>+</m:t>
        </m:r>
        <m:r>
          <m:t>c</m:t>
        </m:r>
        <m:r>
          <m:t>)</m:t>
        </m:r>
        <m:r>
          <m:t>≥</m:t>
        </m:r>
        <m:r>
          <m:t>0.56</m:t>
        </m:r>
      </m:oMath>
      <w:r>
        <w:t xml:space="preserve"> </w:t>
      </w:r>
      <w:r>
        <w:t xml:space="preserve">(equivalently</w:t>
      </w:r>
      <w:r>
        <w:t xml:space="preserve"> </w:t>
      </w:r>
      <m:oMath>
        <m:r>
          <m:t>(</m:t>
        </m:r>
        <m:r>
          <m:t>b</m:t>
        </m:r>
        <m:r>
          <m:t>−</m:t>
        </m:r>
        <m:r>
          <m:t>c</m:t>
        </m:r>
        <m:r>
          <m:t>)</m:t>
        </m:r>
        <m:r>
          <m:t>/</m:t>
        </m:r>
        <m:r>
          <m:t>(</m:t>
        </m:r>
        <m:r>
          <m:t>b</m:t>
        </m:r>
        <m:r>
          <m:t>+</m:t>
        </m:r>
        <m:r>
          <m:t>c</m:t>
        </m:r>
        <m:r>
          <m:t>)</m:t>
        </m:r>
        <m:r>
          <m:t>≥</m:t>
        </m:r>
        <m:r>
          <m:t>0.12</m:t>
        </m:r>
      </m:oMath>
      <w:r>
        <w:t xml:space="preserve">, computed</w:t>
      </w:r>
      <w:r>
        <w:t xml:space="preserve"> </w:t>
      </w:r>
      <w:r>
        <w:t xml:space="preserve">via the binomial-distribution power formula [connor1987sample]). Mapping</w:t>
      </w:r>
      <w:r>
        <w:t xml:space="preserve"> </w:t>
      </w:r>
      <w:r>
        <w:t xml:space="preserve">discordant proportion to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 the dominant pooled-precision regime of the</w:t>
      </w:r>
      <w:r>
        <w:t xml:space="preserve"> </w:t>
      </w:r>
      <w:r>
        <w:t xml:space="preserve">panel yields a minimum detectable</w:t>
      </w:r>
      <w:r>
        <w:t xml:space="preserve"> </w:t>
      </w:r>
      <m:oMath>
        <m:r>
          <m:t>|</m:t>
        </m:r>
        <m:r>
          <m:t>Δ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t>|</m:t>
        </m:r>
      </m:oMath>
      <w:r>
        <w:t xml:space="preserve"> </w:t>
      </w:r>
      <w:r>
        <w:t xml:space="preserve">of approximately</w:t>
      </w:r>
      <w:r>
        <w:t xml:space="preserve"> </w:t>
      </w:r>
      <m:oMath>
        <m:r>
          <m:t>0.025</m:t>
        </m:r>
      </m:oMath>
      <w:r>
        <w:t xml:space="preserve">.</w:t>
      </w:r>
      <w:r>
        <w:t xml:space="preserve"> </w:t>
      </w:r>
      <w:r>
        <w:t xml:space="preserve">Effects below this threshold are treated as inconclusive rather than as</w:t>
      </w:r>
      <w:r>
        <w:t xml:space="preserve"> </w:t>
      </w:r>
      <w:r>
        <w:t xml:space="preserve">evidence of equivalence; the headline pooled spread of</w:t>
      </w:r>
      <w:r>
        <w:t xml:space="preserve"> </w:t>
      </w:r>
      <m:oMath>
        <m:r>
          <m:t>0.011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across the five configurations sits within the inconclusive band by design.</w:t>
      </w:r>
    </w:p>
    <w:p>
      <w:pPr>
        <w:pStyle w:val="Heading5"/>
      </w:pPr>
      <w:bookmarkStart w:id="80" w:name="paired-comparison-protocol."/>
      <w:r>
        <w:t xml:space="preserve">Paired comparison protocol.</w:t>
      </w:r>
      <w:bookmarkEnd w:id="80"/>
    </w:p>
    <w:p>
      <w:pPr>
        <w:pStyle w:val="FirstParagraph"/>
      </w:pPr>
      <w:r>
        <w:t xml:space="preserve">Intersection of sample IDs is taken symmetrically when partial runs differ in coverage;</w:t>
      </w:r>
      <w:r>
        <w:t xml:space="preserve"> </w:t>
      </w:r>
      <w:r>
        <w:t xml:space="preserve">intersection size is reported with each test.</w:t>
      </w:r>
    </w:p>
    <w:p>
      <w:pPr>
        <w:pStyle w:val="Heading2"/>
      </w:pPr>
      <w:bookmarkStart w:id="81" w:name="sec:meth:threats"/>
      <w:r>
        <w:t xml:space="preserve">Threats to Validity</w:t>
      </w:r>
      <w:bookmarkEnd w:id="81"/>
    </w:p>
    <w:p>
      <w:pPr>
        <w:pStyle w:val="Heading5"/>
      </w:pPr>
      <w:bookmarkStart w:id="82" w:name="internal."/>
      <w:r>
        <w:t xml:space="preserve">Internal.</w:t>
      </w:r>
      <w:bookmarkEnd w:id="82"/>
    </w:p>
    <w:p>
      <w:pPr>
        <w:pStyle w:val="FirstParagraph"/>
      </w:pPr>
      <w:r>
        <w:t xml:space="preserve">Configuration parity is maintained by holding the CUAD loader,</w:t>
      </w:r>
      <w:r>
        <w:t xml:space="preserve"> </w:t>
      </w:r>
      <w:r>
        <w:t xml:space="preserve">sampling seed, prompt registry, and trace schema constant across configurations.</w:t>
      </w:r>
      <w:r>
        <w:t xml:space="preserve"> </w:t>
      </w:r>
      <w:r>
        <w:t xml:space="preserve">The M1 vs. M2 contrast is the most architecturally informative but not a</w:t>
      </w:r>
      <w:r>
        <w:t xml:space="preserve"> </w:t>
      </w:r>
      <w:r>
        <w:t xml:space="preserve">clean single-axis ablation: M1 differs from M2 on three jointly-varied</w:t>
      </w:r>
      <w:r>
        <w:t xml:space="preserve"> </w:t>
      </w:r>
      <w:r>
        <w:t xml:space="preserve">components: prompt-format split (one focused specialist preamble vs. the textual union of three), dispatch overhead (router LLM call plus</w:t>
      </w:r>
      <w:r>
        <w:t xml:space="preserve"> </w:t>
      </w:r>
      <w:r>
        <w:t xml:space="preserve">orchestrator hop), and per-call latency. Effects observed on the M1 vs. M2</w:t>
      </w:r>
      <w:r>
        <w:t xml:space="preserve"> </w:t>
      </w:r>
      <w:r>
        <w:t xml:space="preserve">contrast are therefore attributable to the joint architectural delta, not</w:t>
      </w:r>
      <w:r>
        <w:t xml:space="preserve"> </w:t>
      </w:r>
      <w:r>
        <w:t xml:space="preserve">to any one component in isolation; a within-M1 ablation that disables</w:t>
      </w:r>
      <w:r>
        <w:t xml:space="preserve"> </w:t>
      </w:r>
      <w:r>
        <w:t xml:space="preserve">the router decision while retaining the topology is left to future work</w:t>
      </w:r>
      <w:r>
        <w:t xml:space="preserve"> </w:t>
      </w:r>
      <w:r>
        <w:t xml:space="preserve">(Section </w:t>
      </w:r>
      <w:hyperlink w:anchor="sec:concl:outlook">
        <w:r>
          <w:rPr>
            <w:rStyle w:val="Hyperlink"/>
          </w:rPr>
          <w:t xml:space="preserve">8.4</w:t>
        </w:r>
      </w:hyperlink>
      <w:r>
        <w:t xml:space="preserve">).</w:t>
      </w:r>
    </w:p>
    <w:p>
      <w:pPr>
        <w:pStyle w:val="Heading5"/>
      </w:pPr>
      <w:bookmarkStart w:id="83" w:name="external."/>
      <w:r>
        <w:t xml:space="preserve">External.</w:t>
      </w:r>
      <w:bookmarkEnd w:id="83"/>
    </w:p>
    <w:p>
      <w:pPr>
        <w:pStyle w:val="FirstParagraph"/>
      </w:pPr>
      <w:r>
        <w:t xml:space="preserve">Single language (English), single jurisdiction (predominantly</w:t>
      </w:r>
      <w:r>
        <w:t xml:space="preserve"> </w:t>
      </w:r>
      <w:r>
        <w:t xml:space="preserve">U.S. commercial contracts), single corpus (CUAD). Findings on the 102-contract</w:t>
      </w:r>
      <w:r>
        <w:t xml:space="preserve"> </w:t>
      </w:r>
      <w:r>
        <w:t xml:space="preserve">test split may not extrapolate to non-CUAD clause taxonomies; the contract-length</w:t>
      </w:r>
      <w:r>
        <w:t xml:space="preserve"> </w:t>
      </w:r>
      <w:r>
        <w:t xml:space="preserve">moderation analysis (Section </w:t>
      </w:r>
      <w:hyperlink w:anchor="sec:res:length">
        <w:r>
          <w:rPr>
            <w:rStyle w:val="Hyperlink"/>
          </w:rPr>
          <w:t xml:space="preserve">6.8</w:t>
        </w:r>
      </w:hyperlink>
      <w:r>
        <w:t xml:space="preserve">) shows that the architectural ranking</w:t>
      </w:r>
      <w:r>
        <w:t xml:space="preserve"> </w:t>
      </w:r>
      <w:r>
        <w:t xml:space="preserve">itself shifts across length quartiles within the corpus. Open-weights</w:t>
      </w:r>
      <w:r>
        <w:t xml:space="preserve"> </w:t>
      </w:r>
      <w:r>
        <w:t xml:space="preserve">models are excluded; inference does not generalise beyond the 11 proprietary models</w:t>
      </w:r>
      <w:r>
        <w:t xml:space="preserve"> </w:t>
      </w:r>
      <w:r>
        <w:t xml:space="preserve">studied. Model snapshots are pinned; provider updates can shift behaviour.</w:t>
      </w:r>
    </w:p>
    <w:p>
      <w:pPr>
        <w:pStyle w:val="Heading5"/>
      </w:pPr>
      <w:bookmarkStart w:id="84" w:name="construct."/>
      <w:r>
        <w:t xml:space="preserve">Construct.</w:t>
      </w:r>
      <w:bookmarkEnd w:id="84"/>
    </w:p>
    <w:p>
      <w:pPr>
        <w:pStyle w:val="FirstParagraph"/>
      </w:pP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proxy for legal-review utility, not a direct</w:t>
      </w:r>
      <w:r>
        <w:t xml:space="preserve"> </w:t>
      </w:r>
      <w:r>
        <w:t xml:space="preserve">measurement. Reviewer cost of inspecting a spurious span is workflow-dependent; this</w:t>
      </w:r>
      <w:r>
        <w:t xml:space="preserve"> </w:t>
      </w:r>
      <w:r>
        <w:t xml:space="preserve">is mitigated by reporting precision, recall,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separately so</w:t>
      </w:r>
      <w:r>
        <w:t xml:space="preserve"> </w:t>
      </w:r>
      <w:r>
        <w:t xml:space="preserve">that a reviewer with a different cost ratio can re-rank architectures.</w:t>
      </w:r>
    </w:p>
    <w:p>
      <w:pPr>
        <w:pStyle w:val="Heading5"/>
      </w:pPr>
      <w:bookmarkStart w:id="85" w:name="conclusion."/>
      <w:r>
        <w:t xml:space="preserve">Conclusion.</w:t>
      </w:r>
      <w:bookmarkEnd w:id="85"/>
    </w:p>
    <w:p>
      <w:pPr>
        <w:pStyle w:val="FirstParagraph"/>
      </w:pPr>
      <w:r>
        <w:t xml:space="preserve">The prompt-sensitivity threat is established in Section </w:t>
      </w:r>
      <w:hyperlink w:anchor="sec:lit:eval">
        <w:r>
          <w:rPr>
            <w:rStyle w:val="Hyperlink"/>
          </w:rPr>
          <w:t xml:space="preserve">3.8</w:t>
        </w:r>
      </w:hyperlink>
      <w:r>
        <w:t xml:space="preserve">.</w:t>
      </w:r>
      <w:r>
        <w:t xml:space="preserve"> </w:t>
      </w:r>
      <w:r>
        <w:t xml:space="preserve">We mitigate it by holding prompt templates fixed</w:t>
      </w:r>
      <w:r>
        <w:t xml:space="preserve"> </w:t>
      </w:r>
      <w:r>
        <w:t xml:space="preserve">across models per configuration, documenting them in full in Chapter 4, and treating</w:t>
      </w:r>
      <w:r>
        <w:t xml:space="preserve"> </w:t>
      </w:r>
      <w:r>
        <w:t xml:space="preserve">prompt-perturbation analysis as future work.</w:t>
      </w:r>
    </w:p>
    <w:p>
      <w:pPr>
        <w:pStyle w:val="Heading5"/>
      </w:pPr>
      <w:bookmarkStart w:id="86" w:name="statistical."/>
      <w:r>
        <w:t xml:space="preserve">Statistical.</w:t>
      </w:r>
      <w:bookmarkEnd w:id="86"/>
    </w:p>
    <w:p>
      <w:pPr>
        <w:pStyle w:val="FirstParagraph"/>
      </w:pPr>
      <w:r>
        <w:t xml:space="preserve">Bootstrap percentile CIs under-cover for small samples and</w:t>
      </w:r>
      <w:r>
        <w:t xml:space="preserve"> </w:t>
      </w:r>
      <w:r>
        <w:t xml:space="preserve">skewed statistics [efron1979bootstrap];</w:t>
      </w:r>
      <w:r>
        <w:t xml:space="preserve"> </w:t>
      </w:r>
      <m:oMath>
        <m:r>
          <m:t>p</m:t>
        </m:r>
      </m:oMath>
      <w:r>
        <w:t xml:space="preserve">-values are treated as decisive only</w:t>
      </w:r>
      <w:r>
        <w:t xml:space="preserve"> </w:t>
      </w:r>
      <w:r>
        <w:t xml:space="preserve">when corroborated by the McNemar exact test. The bootstrap resample count (</w:t>
      </w:r>
      <m:oMath>
        <m:r>
          <m:t>B</m:t>
        </m:r>
        <m:r>
          <m:t>=</m:t>
        </m:r>
        <m:r>
          <m:t>300</m:t>
        </m:r>
      </m:oMath>
      <w:r>
        <w:t xml:space="preserve">)</w:t>
      </w:r>
      <w:r>
        <w:t xml:space="preserve"> </w:t>
      </w:r>
      <w:r>
        <w:t xml:space="preserve">is below the 1</w:t>
      </w:r>
      <w:r>
        <w:t xml:space="preserve">,</w:t>
      </w:r>
      <w:r>
        <w:t xml:space="preserve">000 conservative recommendation [dror2018hitchhikers];</w:t>
      </w:r>
      <w:r>
        <w:t xml:space="preserve"> </w:t>
      </w:r>
      <w:r>
        <w:t xml:space="preserve">a sensitivity check on the M0-vs-B0 contrasts for the four-model Anthropic family</w:t>
      </w:r>
      <w:r>
        <w:t xml:space="preserve"> </w:t>
      </w:r>
      <w:r>
        <w:t xml:space="preserve">(</w:t>
      </w:r>
      <w:r>
        <w:rPr>
          <w:i/>
        </w:rPr>
        <w:t xml:space="preserve">Claude Haiku 4.5</w:t>
      </w:r>
      <w:r>
        <w:t xml:space="preserve">,</w:t>
      </w:r>
      <w:r>
        <w:t xml:space="preserve"> </w:t>
      </w:r>
      <w:r>
        <w:rPr>
          <w:i/>
        </w:rPr>
        <w:t xml:space="preserve">Sonnet 4</w:t>
      </w:r>
      <w:r>
        <w:t xml:space="preserve">,</w:t>
      </w:r>
      <w:r>
        <w:t xml:space="preserve"> </w:t>
      </w:r>
      <w:r>
        <w:rPr>
          <w:i/>
        </w:rPr>
        <w:t xml:space="preserve">Sonnet 4.6</w:t>
      </w:r>
      <w:r>
        <w:t xml:space="preserve">,</w:t>
      </w:r>
      <w:r>
        <w:t xml:space="preserve"> </w:t>
      </w:r>
      <w:r>
        <w:rPr>
          <w:i/>
        </w:rPr>
        <w:t xml:space="preserve">Opus 4.6</w:t>
      </w:r>
      <w:r>
        <w:t xml:space="preserve">;</w:t>
      </w:r>
      <w:r>
        <w:t xml:space="preserve"> </w:t>
      </w:r>
      <w:r>
        <w:t xml:space="preserve">chosen because all four runs are complete and the contrast spans the panel’s</w:t>
      </w:r>
      <w:r>
        <w:t xml:space="preserve"> </w:t>
      </w:r>
      <w:r>
        <w:t xml:space="preserve">capability range from light to heavy) compared the percentile CI on</w:t>
      </w:r>
      <w:r>
        <w:t xml:space="preserve"> </w:t>
      </w:r>
      <m:oMath>
        <m:r>
          <m:t>Δ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t>=</m:t>
        </m:r>
        <m:r>
          <m:t>300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B</m:t>
        </m:r>
        <m:r>
          <m:t>=</m:t>
        </m:r>
        <m:r>
          <m:t>1</m:t>
        </m:r>
        <m:r>
          <m:t>,</m:t>
        </m:r>
        <m:r>
          <m:t>000</m:t>
        </m:r>
      </m:oMath>
      <w:r>
        <w:t xml:space="preserve"> </w:t>
      </w:r>
      <w:r>
        <w:t xml:space="preserve">under the same bootstrap seed</w:t>
      </w:r>
      <w:r>
        <w:t xml:space="preserve"> </w:t>
      </w:r>
      <w:r>
        <w:t xml:space="preserve">(</w:t>
      </w:r>
      <w:r>
        <w:rPr>
          <w:rStyle w:val="VerbatimChar"/>
        </w:rPr>
        <w:t xml:space="preserve">seed=42</w:t>
      </w:r>
      <w:r>
        <w:t xml:space="preserve">,</w:t>
      </w:r>
      <w:r>
        <w:t xml:space="preserve"> </w:t>
      </w:r>
      <w:r>
        <w:rPr>
          <w:rStyle w:val="VerbatimChar"/>
        </w:rPr>
        <w:t xml:space="preserve">numpy.random.default_rng</w:t>
      </w:r>
      <w:r>
        <w:t xml:space="preserve">). The maximum endpoint</w:t>
      </w:r>
      <w:r>
        <w:t xml:space="preserve"> </w:t>
      </w:r>
      <w:r>
        <w:t xml:space="preserve">shift was</w:t>
      </w:r>
      <w:r>
        <w:t xml:space="preserve"> </w:t>
      </w:r>
      <m:oMath>
        <m:r>
          <m:t>0.0026</m:t>
        </m:r>
      </m:oMath>
      <w:r>
        <w:t xml:space="preserve"> </w:t>
      </w:r>
      <w:r>
        <w:t xml:space="preserve">on the lower bound and</w:t>
      </w:r>
      <w:r>
        <w:t xml:space="preserve"> </w:t>
      </w:r>
      <m:oMath>
        <m:r>
          <m:t>0.0013</m:t>
        </m:r>
      </m:oMath>
      <w:r>
        <w:t xml:space="preserve"> </w:t>
      </w:r>
      <w:r>
        <w:t xml:space="preserve">on the upper bound, well</w:t>
      </w:r>
      <w:r>
        <w:t xml:space="preserve"> </w:t>
      </w:r>
      <w:r>
        <w:t xml:space="preserve">within the</w:t>
      </w:r>
      <w:r>
        <w:t xml:space="preserve"> </w:t>
      </w:r>
      <m:oMath>
        <m:r>
          <m:t>±</m:t>
        </m:r>
        <m:r>
          <m:t>0.005</m:t>
        </m:r>
      </m:oMath>
      <w:r>
        <w:t xml:space="preserve"> </w:t>
      </w:r>
      <w:r>
        <w:t xml:space="preserve">tolerance the headline reporting precision requires.</w:t>
      </w:r>
      <w:r>
        <w:t xml:space="preserve"> </w:t>
      </w:r>
      <w:r>
        <w:t xml:space="preserve">The replication script is released alongside the experiment artefacts</w:t>
      </w:r>
      <w:r>
        <w:t xml:space="preserve"> </w:t>
      </w:r>
      <w:r>
        <w:t xml:space="preserve">(Section </w:t>
      </w:r>
      <w:hyperlink w:anchor="sec:sys:opensource">
        <w:r>
          <w:rPr>
            <w:rStyle w:val="Hyperlink"/>
          </w:rPr>
          <w:t xml:space="preserve">5.7.0.0.5</w:t>
        </w:r>
      </w:hyperlink>
      <w:r>
        <w:t xml:space="preserve">). Model identity is a fixed factor; inference does</w:t>
      </w:r>
      <w:r>
        <w:t xml:space="preserve"> </w:t>
      </w:r>
      <w:r>
        <w:t xml:space="preserve">not generalise beyond the 11 models studied.</w:t>
      </w:r>
    </w:p>
    <w:p>
      <w:pPr>
        <w:pStyle w:val="Heading1"/>
      </w:pPr>
      <w:bookmarkStart w:id="87" w:name="chapter:system-design"/>
      <w:r>
        <w:t xml:space="preserve">System Design and Implementation</w:t>
      </w:r>
      <w:bookmarkEnd w:id="87"/>
    </w:p>
    <w:p>
      <w:pPr>
        <w:pStyle w:val="FirstParagraph"/>
      </w:pPr>
      <w:r>
        <w:t xml:space="preserve">All five configurations share a common parser, sampler, and metrics layer; only the</w:t>
      </w:r>
      <w:r>
        <w:t xml:space="preserve"> </w:t>
      </w:r>
      <w:r>
        <w:t xml:space="preserve">LangGraph topology and prompt registry entries differ. This design isolates</w:t>
      </w:r>
      <w:r>
        <w:t xml:space="preserve"> </w:t>
      </w:r>
      <w:r>
        <w:t xml:space="preserve">architectural variation and enables the controlled comparisons of</w:t>
      </w:r>
      <w:r>
        <w:t xml:space="preserve"> </w:t>
      </w:r>
      <w:r>
        <w:t xml:space="preserve">Chapter </w:t>
      </w:r>
      <w:hyperlink w:anchor="chapter:methodology">
        <w:r>
          <w:rPr>
            <w:rStyle w:val="Hyperlink"/>
          </w:rPr>
          <w:t xml:space="preserve">4</w:t>
        </w:r>
      </w:hyperlink>
      <w:r>
        <w:t xml:space="preserve">.</w:t>
      </w:r>
    </w:p>
    <w:p>
      <w:pPr>
        <w:pStyle w:val="Heading2"/>
      </w:pPr>
      <w:bookmarkStart w:id="88" w:name="sec:sys:components"/>
      <w:r>
        <w:t xml:space="preserve">System Components and Data Flow</w:t>
      </w:r>
      <w:bookmarkEnd w:id="88"/>
    </w:p>
    <w:p>
      <w:pPr>
        <w:pStyle w:val="FirstParagraph"/>
      </w:pPr>
      <w:r>
        <w:t xml:space="preserve">Figure </w:t>
      </w:r>
      <w:hyperlink w:anchor="fig:sys-components">
        <w:r>
          <w:rPr>
            <w:rStyle w:val="Hyperlink"/>
          </w:rPr>
          <w:t xml:space="preserve">[fig:sys-components]</w:t>
        </w:r>
      </w:hyperlink>
      <w:r>
        <w:t xml:space="preserve"> </w:t>
      </w:r>
      <w:r>
        <w:t xml:space="preserve">shows the static component view. A run is initiated</w:t>
      </w:r>
      <w:r>
        <w:t xml:space="preserve"> </w:t>
      </w:r>
      <w:r>
        <w:t xml:space="preserve">by the experiment driver, which loads CUAD samples through the deterministic loader,</w:t>
      </w:r>
      <w:r>
        <w:t xml:space="preserve"> </w:t>
      </w:r>
      <w:r>
        <w:t xml:space="preserve">resolves prompts through the registry, and dispatches each sample to one of the five</w:t>
      </w:r>
      <w:r>
        <w:t xml:space="preserve"> </w:t>
      </w:r>
      <w:r>
        <w:t xml:space="preserve">LangGraph state machines via a unified model client. Every model call is mirrored to</w:t>
      </w:r>
      <w:r>
        <w:t xml:space="preserve"> </w:t>
      </w:r>
      <w:r>
        <w:t xml:space="preserve">the trace store; final answers are persisted as JSONL (JSON Lines: one JSON object per</w:t>
      </w:r>
      <w:r>
        <w:t xml:space="preserve"> </w:t>
      </w:r>
      <w:r>
        <w:t xml:space="preserve">line) records consumed by the</w:t>
      </w:r>
      <w:r>
        <w:t xml:space="preserve"> </w:t>
      </w:r>
      <w:r>
        <w:t xml:space="preserve">statistical pipeline and the inspection dashboard.</w:t>
      </w:r>
    </w:p>
    <w:p>
      <w:pPr>
        <w:pStyle w:val="BodyText"/>
      </w:pPr>
      <w:r>
        <w:rPr>
          <w:i/>
        </w:rPr>
        <w:t xml:space="preserve">[Figure/diagram in LaTeX source (tikzpicture); see PDF]</w:t>
      </w:r>
    </w:p>
    <w:p>
      <w:pPr>
        <w:pStyle w:val="Heading2"/>
      </w:pPr>
      <w:bookmarkStart w:id="89" w:name="sec:sys:stack"/>
      <w:r>
        <w:t xml:space="preserve">Implementation Stack</w:t>
      </w:r>
      <w:bookmarkEnd w:id="89"/>
    </w:p>
    <w:p>
      <w:pPr>
        <w:pStyle w:val="FirstParagraph"/>
      </w:pPr>
      <w:r>
        <w:t xml:space="preserve">The codebase is Python 3.11, managed with</w:t>
      </w:r>
      <w:r>
        <w:t xml:space="preserve"> </w:t>
      </w:r>
      <w:r>
        <w:rPr>
          <w:rStyle w:val="VerbatimChar"/>
        </w:rPr>
        <w:t xml:space="preserve">uv</w:t>
      </w:r>
      <w:r>
        <w:t xml:space="preserve">. Orchestration uses</w:t>
      </w:r>
      <w:r>
        <w:t xml:space="preserve"> </w:t>
      </w:r>
      <w:r>
        <w:t xml:space="preserve">LangGraph [langgraph2024]; observability uses Langfuse [langfuse2024];</w:t>
      </w:r>
      <w:r>
        <w:t xml:space="preserve"> </w:t>
      </w:r>
      <w:r>
        <w:t xml:space="preserve">the statistical pipeline uses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 [pandas2020],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 [harris2020array], and</w:t>
      </w:r>
      <w:r>
        <w:t xml:space="preserve"> </w:t>
      </w:r>
      <w:r>
        <w:rPr>
          <w:rStyle w:val="VerbatimChar"/>
        </w:rPr>
        <w:t xml:space="preserve">scipy</w:t>
      </w:r>
      <w:r>
        <w:t xml:space="preserve"> [virtanen2020scipy].</w:t>
      </w:r>
      <w:r>
        <w:t xml:space="preserve"> </w:t>
      </w:r>
      <w:r>
        <w:t xml:space="preserve">Provider SDKs are wrapped in a unified</w:t>
      </w:r>
      <w:r>
        <w:t xml:space="preserve"> </w:t>
      </w:r>
      <w:r>
        <w:rPr>
          <w:rStyle w:val="VerbatimChar"/>
        </w:rPr>
        <w:t xml:space="preserve">ModelClient</w:t>
      </w:r>
      <w:r>
        <w:t xml:space="preserve"> </w:t>
      </w:r>
      <w:r>
        <w:t xml:space="preserve">that records, per call,</w:t>
      </w:r>
      <w:r>
        <w:t xml:space="preserve"> </w:t>
      </w:r>
      <w:r>
        <w:t xml:space="preserve">prompt tokens, completion tokens, cache-read tokens (where supported), wall-clock</w:t>
      </w:r>
      <w:r>
        <w:t xml:space="preserve"> </w:t>
      </w:r>
      <w:r>
        <w:t xml:space="preserve">latency, and provider-billed cost. The wrapper supports 19 model identifiers; only the 11 listed in</w:t>
      </w:r>
      <w:r>
        <w:t xml:space="preserve"> </w:t>
      </w:r>
      <w:r>
        <w:t xml:space="preserve">Table </w:t>
      </w:r>
      <w:hyperlink w:anchor="tab:models">
        <w:r>
          <w:rPr>
            <w:rStyle w:val="Hyperlink"/>
          </w:rPr>
          <w:t xml:space="preserve">4.2</w:t>
        </w:r>
      </w:hyperlink>
      <w:r>
        <w:t xml:space="preserve"> </w:t>
      </w:r>
      <w:r>
        <w:t xml:space="preserve">are exercised in official runs. The remaining 8 identifiers</w:t>
      </w:r>
      <w:r>
        <w:t xml:space="preserve"> </w:t>
      </w:r>
      <w:r>
        <w:t xml:space="preserve">cover open-weights models excluded per Section </w:t>
      </w:r>
      <w:hyperlink w:anchor="sec:meth:models">
        <w:r>
          <w:rPr>
            <w:rStyle w:val="Hyperlink"/>
          </w:rPr>
          <w:t xml:space="preserve">4.3</w:t>
        </w:r>
      </w:hyperlink>
      <w:r>
        <w:t xml:space="preserve"> </w:t>
      </w:r>
      <w:r>
        <w:t xml:space="preserve">and two</w:t>
      </w:r>
      <w:r>
        <w:t xml:space="preserve"> </w:t>
      </w:r>
      <w:r>
        <w:t xml:space="preserve">non-CUAD test configurations not evaluated in this study.</w:t>
      </w:r>
    </w:p>
    <w:p>
      <w:pPr>
        <w:pStyle w:val="Heading5"/>
      </w:pPr>
      <w:bookmarkStart w:id="90" w:name="inference-parameters.-1"/>
      <w:r>
        <w:t xml:space="preserve">Inference parameters.</w:t>
      </w:r>
      <w:bookmarkEnd w:id="90"/>
    </w:p>
    <w:p>
      <w:pPr>
        <w:pStyle w:val="FirstParagraph"/>
      </w:pPr>
      <w:r>
        <w:t xml:space="preserve">All official model calls used</w:t>
      </w:r>
      <w:r>
        <w:t xml:space="preserve"> </w:t>
      </w:r>
      <w:r>
        <w:rPr>
          <w:rStyle w:val="VerbatimChar"/>
        </w:rPr>
        <w:t xml:space="preserve">temperature=0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max_tokens=4096</w:t>
      </w:r>
      <w:r>
        <w:t xml:space="preserve">.</w:t>
      </w:r>
      <w:r>
        <w:t xml:space="preserve"> </w:t>
      </w:r>
      <w:r>
        <w:t xml:space="preserve">Official runs were executed between</w:t>
      </w:r>
      <w:r>
        <w:t xml:space="preserve"> </w:t>
      </w:r>
      <w:r>
        <w:rPr>
          <w:b/>
        </w:rPr>
        <w:t xml:space="preserve">14 April 2026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17 April 2026</w:t>
      </w:r>
      <w:r>
        <w:t xml:space="preserve">. Provider snapshot identifiers for each of the 11</w:t>
      </w:r>
      <w:r>
        <w:t xml:space="preserve"> </w:t>
      </w:r>
      <w:r>
        <w:t xml:space="preserve">models are listed in Table </w:t>
      </w:r>
      <w:hyperlink w:anchor="tab:models">
        <w:r>
          <w:rPr>
            <w:rStyle w:val="Hyperlink"/>
          </w:rPr>
          <w:t xml:space="preserve">4.2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Chapter </w:t>
      </w:r>
      <w:hyperlink w:anchor="chapter:methodology">
        <w:r>
          <w:rPr>
            <w:rStyle w:val="Hyperlink"/>
          </w:rPr>
          <w:t xml:space="preserve">4</w:t>
        </w:r>
      </w:hyperlink>
      <w:r>
        <w:t xml:space="preserve">.</w:t>
      </w:r>
    </w:p>
    <w:p>
      <w:pPr>
        <w:pStyle w:val="Heading2"/>
      </w:pPr>
      <w:bookmarkStart w:id="91" w:name="sec:sys:shared"/>
      <w:r>
        <w:t xml:space="preserve">Shared Abstractions</w:t>
      </w:r>
      <w:bookmarkEnd w:id="91"/>
    </w:p>
    <w:p>
      <w:pPr>
        <w:pStyle w:val="Heading5"/>
      </w:pPr>
      <w:bookmarkStart w:id="92" w:name="graph-state."/>
      <w:r>
        <w:t xml:space="preserve">Graph state.</w:t>
      </w:r>
      <w:bookmarkEnd w:id="92"/>
    </w:p>
    <w:p>
      <w:pPr>
        <w:pStyle w:val="FirstParagraph"/>
      </w:pPr>
      <w:r>
        <w:t xml:space="preserve">Every configuration is a LangGraph</w:t>
      </w:r>
      <w:r>
        <w:t xml:space="preserve"> </w:t>
      </w:r>
      <w:r>
        <w:rPr>
          <w:rStyle w:val="VerbatimChar"/>
        </w:rPr>
        <w:t xml:space="preserve">StateGraph</w:t>
      </w:r>
      <w:r>
        <w:t xml:space="preserve"> </w:t>
      </w:r>
      <w:r>
        <w:t xml:space="preserve">over a shared</w:t>
      </w:r>
      <w:r>
        <w:t xml:space="preserve"> </w:t>
      </w:r>
      <w:r>
        <w:rPr>
          <w:rStyle w:val="VerbatimChar"/>
        </w:rPr>
        <w:t xml:space="preserve">GraphState</w:t>
      </w:r>
      <w:r>
        <w:t xml:space="preserve"> </w:t>
      </w:r>
      <w:r>
        <w:t xml:space="preserve">object (Listing </w:t>
      </w:r>
      <w:hyperlink w:anchor="lst:state">
        <w:r>
          <w:rPr>
            <w:rStyle w:val="Hyperlink"/>
          </w:rPr>
          <w:t xml:space="preserve">[lst:state]</w:t>
        </w:r>
      </w:hyperlink>
      <w:r>
        <w:t xml:space="preserve">). Using a shared schema enforces</w:t>
      </w:r>
      <w:r>
        <w:t xml:space="preserve"> </w:t>
      </w:r>
      <w:r>
        <w:t xml:space="preserve">configuration parity: no configuration has access to fields another lacks, and the</w:t>
      </w:r>
      <w:r>
        <w:t xml:space="preserve"> </w:t>
      </w:r>
      <w:r>
        <w:t xml:space="preserve">JSONL persistence format is identical across all five configurations.</w:t>
      </w:r>
    </w:p>
    <w:p>
      <w:pPr>
        <w:pStyle w:val="BodyText"/>
      </w:pPr>
      <w:r>
        <w:rPr>
          <w:i/>
        </w:rPr>
        <w:t xml:space="preserve">[Code listing; see PDF]</w:t>
      </w:r>
    </w:p>
    <w:p>
      <w:pPr>
        <w:pStyle w:val="Heading5"/>
      </w:pPr>
      <w:bookmarkStart w:id="93" w:name="prompt-registry."/>
      <w:r>
        <w:t xml:space="preserve">Prompt registry.</w:t>
      </w:r>
      <w:bookmarkEnd w:id="93"/>
    </w:p>
    <w:p>
      <w:pPr>
        <w:pStyle w:val="FirstParagraph"/>
      </w:pPr>
      <w:r>
        <w:t xml:space="preserve">Prompts are stored as YAML and loaded once per run; the schema version hash is</w:t>
      </w:r>
      <w:r>
        <w:t xml:space="preserve"> </w:t>
      </w:r>
      <w:r>
        <w:t xml:space="preserve">written to the run metadata so prompt drift is detectable post-hoc. Two roots:</w:t>
      </w:r>
      <w:r>
        <w:t xml:space="preserve"> </w:t>
      </w:r>
      <w:r>
        <w:rPr>
          <w:rStyle w:val="VerbatimChar"/>
        </w:rPr>
        <w:t xml:space="preserve">prompts/baselines/</w:t>
      </w:r>
      <w:r>
        <w:t xml:space="preserve"> </w:t>
      </w:r>
      <w:r>
        <w:t xml:space="preserve">(B0, B1, and the M0 classifier and extractor) and</w:t>
      </w:r>
      <w:r>
        <w:t xml:space="preserve"> </w:t>
      </w:r>
      <w:r>
        <w:rPr>
          <w:rStyle w:val="VerbatimChar"/>
        </w:rPr>
        <w:t xml:space="preserve">prompts/specialists/</w:t>
      </w:r>
      <w:r>
        <w:t xml:space="preserve"> </w:t>
      </w:r>
      <w:r>
        <w:t xml:space="preserve">(the three M1 domain specialists and the M2</w:t>
      </w:r>
      <w:r>
        <w:t xml:space="preserve"> </w:t>
      </w:r>
      <w:r>
        <w:t xml:space="preserve">consolidated prompt). A shared</w:t>
      </w:r>
      <w:r>
        <w:t xml:space="preserve"> </w:t>
      </w:r>
      <w:r>
        <w:rPr>
          <w:rStyle w:val="VerbatimChar"/>
        </w:rPr>
        <w:t xml:space="preserve">system/</w:t>
      </w:r>
      <w:r>
        <w:t xml:space="preserve"> </w:t>
      </w:r>
      <w:r>
        <w:t xml:space="preserve">directory holds anti-laziness</w:t>
      </w:r>
      <w:r>
        <w:t xml:space="preserve"> </w:t>
      </w:r>
      <w:r>
        <w:t xml:space="preserve">instructions and the verbatim-span output contract, referenced by all configurations,</w:t>
      </w:r>
      <w:r>
        <w:t xml:space="preserve"> </w:t>
      </w:r>
      <w:r>
        <w:t xml:space="preserve">ensuring that the anti-laziness and verbatim-span output instructions are identical</w:t>
      </w:r>
      <w:r>
        <w:t xml:space="preserve"> </w:t>
      </w:r>
      <w:r>
        <w:t xml:space="preserve">across B0, B1, M0, M1, and M2.</w:t>
      </w:r>
    </w:p>
    <w:p>
      <w:pPr>
        <w:pStyle w:val="Heading5"/>
      </w:pPr>
      <w:bookmarkStart w:id="94" w:name="common-parser."/>
      <w:r>
        <w:t xml:space="preserve">Common parser.</w:t>
      </w:r>
      <w:bookmarkEnd w:id="94"/>
    </w:p>
    <w:p>
      <w:pPr>
        <w:pStyle w:val="FirstParagraph"/>
      </w:pPr>
      <w:r>
        <w:t xml:space="preserve">A single parser converts every model completion to a canonical</w:t>
      </w:r>
      <w:r>
        <w:t xml:space="preserve"> </w:t>
      </w:r>
      <w:r>
        <w:rPr>
          <w:rStyle w:val="VerbatimChar"/>
        </w:rPr>
        <w:t xml:space="preserve">(spans: list[str] | None)</w:t>
      </w:r>
      <w:r>
        <w:t xml:space="preserve"> </w:t>
      </w:r>
      <w:r>
        <w:t xml:space="preserve">representation. For B0, the parser accepts</w:t>
      </w:r>
      <w:r>
        <w:t xml:space="preserve"> </w:t>
      </w:r>
      <w:r>
        <w:t xml:space="preserve">verbatim quoted spans or the literal string</w:t>
      </w:r>
      <w:r>
        <w:t xml:space="preserve"> </w:t>
      </w:r>
      <w:r>
        <w:t xml:space="preserve">“</w:t>
      </w:r>
      <w:r>
        <w:t xml:space="preserve">no related clause</w:t>
      </w:r>
      <w:r>
        <w:t xml:space="preserve">”</w:t>
      </w:r>
      <w:r>
        <w:t xml:space="preserve">. For B1 and</w:t>
      </w:r>
      <w:r>
        <w:t xml:space="preserve"> </w:t>
      </w:r>
      <w:r>
        <w:t xml:space="preserve">M0-extractor, the parser additionally requires a</w:t>
      </w:r>
      <w:r>
        <w:t xml:space="preserve"> </w:t>
      </w:r>
      <w:r>
        <w:rPr>
          <w:rStyle w:val="VerbatimChar"/>
        </w:rPr>
        <w:t xml:space="preserve">&lt;answer&gt;...&lt;/answer&gt;</w:t>
      </w:r>
      <w:r>
        <w:t xml:space="preserve"> </w:t>
      </w:r>
      <w:r>
        <w:t xml:space="preserve">tag</w:t>
      </w:r>
      <w:r>
        <w:t xml:space="preserve"> </w:t>
      </w:r>
      <w:r>
        <w:t xml:space="preserve">and issues a single repair re-prompt if the tag is absent. On persistent failure the</w:t>
      </w:r>
      <w:r>
        <w:t xml:space="preserve"> </w:t>
      </w:r>
      <w:r>
        <w:t xml:space="preserve">record is marked</w:t>
      </w:r>
      <w:r>
        <w:t xml:space="preserve"> </w:t>
      </w:r>
      <w:r>
        <w:rPr>
          <w:rStyle w:val="VerbatimChar"/>
        </w:rPr>
        <w:t xml:space="preserve">parser_status="rejected"</w:t>
      </w:r>
      <w:r>
        <w:t xml:space="preserve"> </w:t>
      </w:r>
      <w:r>
        <w:t xml:space="preserve">and excluded from official</w:t>
      </w:r>
      <w:r>
        <w:t xml:space="preserve"> </w:t>
      </w:r>
      <w:r>
        <w:t xml:space="preserve">statistics (1</w:t>
      </w:r>
      <w:r>
        <w:t xml:space="preserve">,</w:t>
      </w:r>
      <w:r>
        <w:t xml:space="preserve">297 of 164</w:t>
      </w:r>
      <w:r>
        <w:t xml:space="preserve">,</w:t>
      </w:r>
      <w:r>
        <w:t xml:space="preserve">941 predictions,</w:t>
      </w:r>
      <w:r>
        <w:t xml:space="preserve"> </w:t>
      </w:r>
      <m:oMath>
        <m:r>
          <m:t>0.79</m:t>
        </m:r>
        <m:r>
          <m:t>%</m:t>
        </m:r>
      </m:oMath>
      <w:r>
        <w:t xml:space="preserve">).</w:t>
      </w:r>
    </w:p>
    <w:p>
      <w:pPr>
        <w:pStyle w:val="Heading2"/>
      </w:pPr>
      <w:bookmarkStart w:id="95" w:name="sec:sys:baselines"/>
      <w:r>
        <w:t xml:space="preserve">Baseline Architectures</w:t>
      </w:r>
      <w:bookmarkEnd w:id="95"/>
    </w:p>
    <w:p>
      <w:pPr>
        <w:pStyle w:val="Heading5"/>
      </w:pPr>
      <w:bookmarkStart w:id="96" w:name="b0-zero-shot-single-agent."/>
      <w:r>
        <w:t xml:space="preserve">B0 — Zero-shot single agent.</w:t>
      </w:r>
      <w:bookmarkEnd w:id="96"/>
    </w:p>
    <w:p>
      <w:pPr>
        <w:pStyle w:val="FirstParagraph"/>
      </w:pPr>
      <w:r>
        <w:t xml:space="preserve">B0 replicates the zero-shot prompt protocol of [liu2025contracteval]. The model</w:t>
      </w:r>
      <w:r>
        <w:t xml:space="preserve"> </w:t>
      </w:r>
      <w:r>
        <w:t xml:space="preserve">receives one user message containing the contract text, the target category name, the</w:t>
      </w:r>
      <w:r>
        <w:t xml:space="preserve"> </w:t>
      </w:r>
      <w:r>
        <w:t xml:space="preserve">category indicator, and an explicit instruction to return verbatim span(s) or the</w:t>
      </w:r>
      <w:r>
        <w:t xml:space="preserve"> </w:t>
      </w:r>
      <w:r>
        <w:t xml:space="preserve">literal string</w:t>
      </w:r>
      <w:r>
        <w:t xml:space="preserve"> </w:t>
      </w:r>
      <w:r>
        <w:t xml:space="preserve">“</w:t>
      </w:r>
      <w:r>
        <w:t xml:space="preserve">no related clause</w:t>
      </w:r>
      <w:r>
        <w:t xml:space="preserve">”</w:t>
      </w:r>
      <w:r>
        <w:t xml:space="preserve">. No examples, no chain-of-thought directives.</w:t>
      </w:r>
    </w:p>
    <w:p>
      <w:pPr>
        <w:pStyle w:val="BodyText"/>
      </w:pPr>
      <w:r>
        <w:t xml:space="preserve">B0: zero-shot user template</w:t>
      </w:r>
      <w:r>
        <w:t xml:space="preserve"> </w:t>
      </w:r>
      <w:r>
        <w:t xml:space="preserve">You are reviewing a commercial contract. Determine whether the contract contains</w:t>
      </w:r>
      <w:r>
        <w:t xml:space="preserve"> </w:t>
      </w:r>
      <w:r>
        <w:t xml:space="preserve">any clause(s) of the category below. If yes, return the verbatim span(s); each span</w:t>
      </w:r>
      <w:r>
        <w:t xml:space="preserve"> </w:t>
      </w:r>
      <w:r>
        <w:t xml:space="preserve">must appear exactly as in the contract. If no, return exactly:</w:t>
      </w:r>
      <w:r>
        <w:t xml:space="preserve"> </w:t>
      </w:r>
      <w:r>
        <w:t xml:space="preserve">“</w:t>
      </w:r>
      <w:r>
        <w:t xml:space="preserve">no related clause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Category:</w:t>
      </w:r>
      <w:r>
        <w:t xml:space="preserve"> </w:t>
      </w:r>
      <w:r>
        <w:t xml:space="preserve">{{category}}</w:t>
      </w:r>
      <w:r>
        <w:t xml:space="preserve"> </w:t>
      </w:r>
      <w:r>
        <w:rPr>
          <w:b/>
        </w:rPr>
        <w:t xml:space="preserve">Description:</w:t>
      </w:r>
      <w:r>
        <w:t xml:space="preserve"> </w:t>
      </w:r>
      <w:r>
        <w:t xml:space="preserve">{{category_indicator}}</w:t>
      </w:r>
    </w:p>
    <w:p>
      <w:pPr>
        <w:pStyle w:val="BodyText"/>
      </w:pPr>
      <w:r>
        <w:rPr>
          <w:b/>
        </w:rPr>
        <w:t xml:space="preserve">Contract:</w:t>
      </w:r>
      <w:r>
        <w:t xml:space="preserve"> </w:t>
      </w:r>
      <w:r>
        <w:t xml:space="preserve">{{contract_text}}</w:t>
      </w:r>
    </w:p>
    <w:p>
      <w:pPr>
        <w:pStyle w:val="Heading5"/>
      </w:pPr>
      <w:bookmarkStart w:id="97" w:name="b1-chain-of-thought-single-agent."/>
      <w:r>
        <w:t xml:space="preserve">B1 — Chain-of-thought single agent.</w:t>
      </w:r>
      <w:bookmarkEnd w:id="97"/>
    </w:p>
    <w:p>
      <w:pPr>
        <w:pStyle w:val="FirstParagraph"/>
      </w:pPr>
      <w:r>
        <w:t xml:space="preserve">B1 retains B0’s task framing but elicits explicit step-by-step reasoning before a</w:t>
      </w:r>
      <w:r>
        <w:t xml:space="preserve"> </w:t>
      </w:r>
      <w:r>
        <w:t xml:space="preserve">final structured answer. The model is instructed to restate what the category covers,</w:t>
      </w:r>
      <w:r>
        <w:t xml:space="preserve"> </w:t>
      </w:r>
      <w:r>
        <w:t xml:space="preserve">scan for candidate spans, weigh ambiguous matches against the indicator, and emit a</w:t>
      </w:r>
      <w:r>
        <w:t xml:space="preserve"> </w:t>
      </w:r>
      <w:r>
        <w:t xml:space="preserve">final</w:t>
      </w:r>
      <w:r>
        <w:t xml:space="preserve"> </w:t>
      </w:r>
      <w:r>
        <w:rPr>
          <w:rStyle w:val="VerbatimChar"/>
        </w:rPr>
        <w:t xml:space="preserve">&lt;answer&gt;...&lt;/answer&gt;</w:t>
      </w:r>
      <w:r>
        <w:t xml:space="preserve"> </w:t>
      </w:r>
      <w:r>
        <w:t xml:space="preserve">block. A parsing bug in pilot work caused</w:t>
      </w:r>
      <w:r>
        <w:t xml:space="preserve"> </w:t>
      </w:r>
      <w:r>
        <w:t xml:space="preserve">contract passages quoted inside the chain-of-thought to be harvested as answers,</w:t>
      </w:r>
      <w:r>
        <w:t xml:space="preserve"> </w:t>
      </w:r>
      <w:r>
        <w:t xml:space="preserve">inflating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(Eq. </w:t>
      </w:r>
      <w:hyperlink w:anchor="eq:overextract">
        <w:r>
          <w:rPr>
            <w:rStyle w:val="Hyperlink"/>
          </w:rPr>
          <w:t xml:space="preserve">[eq:overextract]</w:t>
        </w:r>
      </w:hyperlink>
      <w:r>
        <w:t xml:space="preserve">); the fix enforces the answer tag via</w:t>
      </w:r>
      <w:r>
        <w:t xml:space="preserve"> </w:t>
      </w:r>
      <w:r>
        <w:t xml:space="preserve">the common parser of Section </w:t>
      </w:r>
      <w:hyperlink w:anchor="sec:sys:shared">
        <w:r>
          <w:rPr>
            <w:rStyle w:val="Hyperlink"/>
          </w:rPr>
          <w:t xml:space="preserve">5.3</w:t>
        </w:r>
      </w:hyperlink>
      <w:r>
        <w:t xml:space="preserve">. The fix was deployed in commit</w:t>
      </w:r>
      <w:r>
        <w:t xml:space="preserve"> </w:t>
      </w:r>
      <w:r>
        <w:rPr>
          <w:rStyle w:val="VerbatimChar"/>
        </w:rPr>
        <w:t xml:space="preserve">1cf08536</w:t>
      </w:r>
      <w:r>
        <w:t xml:space="preserve"> </w:t>
      </w:r>
      <w:r>
        <w:t xml:space="preserve">on</w:t>
      </w:r>
      <w:r>
        <w:t xml:space="preserve"> </w:t>
      </w:r>
      <w:r>
        <w:rPr>
          <w:b/>
        </w:rPr>
        <w:t xml:space="preserve">14 April 2026</w:t>
      </w:r>
      <w:r>
        <w:t xml:space="preserve">; only post-fix</w:t>
      </w:r>
      <w:r>
        <w:t xml:space="preserve"> </w:t>
      </w:r>
      <w:r>
        <w:t xml:space="preserve">runs enter official statistics.</w:t>
      </w:r>
    </w:p>
    <w:p>
      <w:pPr>
        <w:pStyle w:val="Heading2"/>
      </w:pPr>
      <w:bookmarkStart w:id="98" w:name="sec:sys:multiagent"/>
      <w:r>
        <w:t xml:space="preserve">Multi-Agent Architectures</w:t>
      </w:r>
      <w:bookmarkEnd w:id="98"/>
    </w:p>
    <w:p>
      <w:pPr>
        <w:pStyle w:val="Heading5"/>
      </w:pPr>
      <w:bookmarkStart w:id="99" w:name="m0-classify-then-extract."/>
      <w:r>
        <w:t xml:space="preserve">M0 — Classify-then-extract.</w:t>
      </w:r>
      <w:bookmarkEnd w:id="99"/>
    </w:p>
    <w:p>
      <w:pPr>
        <w:pStyle w:val="FirstParagraph"/>
      </w:pPr>
      <w:r>
        <w:t xml:space="preserve">M0 decomposes each (contract, category) task into two sequential LLM calls. The</w:t>
      </w:r>
      <w:r>
        <w:t xml:space="preserve"> </w:t>
      </w:r>
      <w:r>
        <w:rPr>
          <w:i/>
        </w:rPr>
        <w:t xml:space="preserve">classifier</w:t>
      </w:r>
      <w:r>
        <w:t xml:space="preserve"> </w:t>
      </w:r>
      <w:r>
        <w:t xml:space="preserve">returns a single yes/no token; the</w:t>
      </w:r>
      <w:r>
        <w:t xml:space="preserve"> </w:t>
      </w:r>
      <w:r>
        <w:rPr>
          <w:i/>
        </w:rPr>
        <w:t xml:space="preserve">extractor</w:t>
      </w:r>
      <w:r>
        <w:t xml:space="preserve"> </w:t>
      </w:r>
      <w:r>
        <w:t xml:space="preserve">is invoked</w:t>
      </w:r>
      <w:r>
        <w:t xml:space="preserve"> </w:t>
      </w:r>
      <w:r>
        <w:t xml:space="preserve">only if the classifier returns yes. The two agents share the category indicator but</w:t>
      </w:r>
      <w:r>
        <w:t xml:space="preserve"> </w:t>
      </w:r>
      <w:r>
        <w:t xml:space="preserve">have disjoint prompts: the classifier is forbidden to emit spans, the extractor</w:t>
      </w:r>
      <w:r>
        <w:t xml:space="preserve"> </w:t>
      </w:r>
      <w:r>
        <w:t xml:space="preserve">assumes presence. Listing </w:t>
      </w:r>
      <w:hyperlink w:anchor="lst:m0-prompts">
        <w:r>
          <w:rPr>
            <w:rStyle w:val="Hyperlink"/>
          </w:rPr>
          <w:t xml:space="preserve">[lst:m0-prompts]</w:t>
        </w:r>
      </w:hyperlink>
      <w:r>
        <w:t xml:space="preserve"> </w:t>
      </w:r>
      <w:r>
        <w:t xml:space="preserve">excerpts both prompts;</w:t>
      </w:r>
      <w:r>
        <w:t xml:space="preserve"> </w:t>
      </w:r>
      <w:r>
        <w:t xml:space="preserve">Listing </w:t>
      </w:r>
      <w:hyperlink w:anchor="lst:m0-graph">
        <w:r>
          <w:rPr>
            <w:rStyle w:val="Hyperlink"/>
          </w:rPr>
          <w:t xml:space="preserve">[lst:m0-graph]</w:t>
        </w:r>
      </w:hyperlink>
      <w:r>
        <w:t xml:space="preserve"> </w:t>
      </w:r>
      <w:r>
        <w:t xml:space="preserve">shows the LangGraph construction. Non-binary classifier</w:t>
      </w:r>
      <w:r>
        <w:t xml:space="preserve"> </w:t>
      </w:r>
      <w:r>
        <w:t xml:space="preserve">responses (e.g. capitalised</w:t>
      </w:r>
      <w:r>
        <w:t xml:space="preserve"> </w:t>
      </w:r>
      <w:r>
        <w:t xml:space="preserve">“</w:t>
      </w:r>
      <w:r>
        <w:t xml:space="preserve">Yes</w:t>
      </w:r>
      <w:r>
        <w:t xml:space="preserve">”</w:t>
      </w:r>
      <w:r>
        <w:t xml:space="preserve">, punctuated</w:t>
      </w:r>
      <w:r>
        <w:t xml:space="preserve"> </w:t>
      </w:r>
      <w:r>
        <w:t xml:space="preserve">“</w:t>
      </w:r>
      <w:r>
        <w:t xml:space="preserve">no.</w:t>
      </w:r>
      <w:r>
        <w:t xml:space="preserve">”</w:t>
      </w:r>
      <w:r>
        <w:t xml:space="preserve">, or free-form text) are</w:t>
      </w:r>
      <w:r>
        <w:t xml:space="preserve"> </w:t>
      </w:r>
      <w:r>
        <w:t xml:space="preserve">normalised by case-folding and stripping punctuation before matching; responses that</w:t>
      </w:r>
      <w:r>
        <w:t xml:space="preserve"> </w:t>
      </w:r>
      <w:r>
        <w:t xml:space="preserve">do not resolve to</w:t>
      </w:r>
      <w:r>
        <w:t xml:space="preserve"> </w:t>
      </w:r>
      <w:r>
        <w:t xml:space="preserve">“</w:t>
      </w:r>
      <w:r>
        <w:t xml:space="preserve">yes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 </w:t>
      </w:r>
      <w:r>
        <w:t xml:space="preserve">after normalisation are treated as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 </w:t>
      </w:r>
      <w:r>
        <w:t xml:space="preserve">and the</w:t>
      </w:r>
      <w:r>
        <w:t xml:space="preserve"> </w:t>
      </w:r>
      <w:r>
        <w:t xml:space="preserve">record is flagged</w:t>
      </w:r>
      <w:r>
        <w:t xml:space="preserve"> </w:t>
      </w:r>
      <w:r>
        <w:rPr>
          <w:rStyle w:val="VerbatimChar"/>
        </w:rPr>
        <w:t xml:space="preserve">parser_status="rejected"</w:t>
      </w:r>
      <w:r>
        <w:t xml:space="preserve">, contributing to the 1</w:t>
      </w:r>
      <w:r>
        <w:t xml:space="preserve">,</w:t>
      </w:r>
      <w:r>
        <w:t xml:space="preserve">297</w:t>
      </w:r>
      <w:r>
        <w:t xml:space="preserve"> </w:t>
      </w:r>
      <w:r>
        <w:t xml:space="preserve">excluded predictions (</w:t>
      </w:r>
      <m:oMath>
        <m:r>
          <m:t>0.79</m:t>
        </m:r>
        <m:r>
          <m:t>%</m:t>
        </m:r>
      </m:oMath>
      <w:r>
        <w:t xml:space="preserve">).</w:t>
      </w:r>
    </w:p>
    <w:p>
      <w:pPr>
        <w:pStyle w:val="BodyText"/>
      </w:pPr>
      <w:r>
        <w:rPr>
          <w:i/>
        </w:rPr>
        <w:t xml:space="preserve">[Code listing; see PDF]</w:t>
      </w:r>
    </w:p>
    <w:p>
      <w:pPr>
        <w:pStyle w:val="BodyText"/>
      </w:pPr>
      <w:r>
        <w:rPr>
          <w:i/>
        </w:rPr>
        <w:t xml:space="preserve">[Code listing; see PDF]</w:t>
      </w:r>
    </w:p>
    <w:p>
      <w:pPr>
        <w:pStyle w:val="Heading5"/>
      </w:pPr>
      <w:bookmarkStart w:id="100" w:name="m1-orchestrator-with-three-specialists."/>
      <w:r>
        <w:t xml:space="preserve">M1 — Orchestrator with three specialists.</w:t>
      </w:r>
      <w:bookmarkEnd w:id="100"/>
    </w:p>
    <w:p>
      <w:pPr>
        <w:pStyle w:val="FirstParagraph"/>
      </w:pPr>
      <w:r>
        <w:t xml:space="preserve">M1 routes each request to one of three domain specialists via an LLM router. The</w:t>
      </w:r>
      <w:r>
        <w:t xml:space="preserve"> </w:t>
      </w:r>
      <w:r>
        <w:t xml:space="preserve">category-to-specialist assignment is documented in Table </w:t>
      </w:r>
      <w:hyperlink w:anchor="tab:specialist-map">
        <w:r>
          <w:rPr>
            <w:rStyle w:val="Hyperlink"/>
          </w:rPr>
          <w:t xml:space="preserve">5.1</w:t>
        </w:r>
      </w:hyperlink>
      <w:r>
        <w:t xml:space="preserve">;</w:t>
      </w:r>
      <w:r>
        <w:t xml:space="preserve"> </w:t>
      </w:r>
      <w:r>
        <w:t xml:space="preserve">it is fixed before any model is run and is committed as</w:t>
      </w:r>
      <w:r>
        <w:t xml:space="preserve"> </w:t>
      </w:r>
      <w:r>
        <w:rPr>
          <w:rStyle w:val="VerbatimChar"/>
        </w:rPr>
        <w:t xml:space="preserve">CATEGORY_ROUTING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src/agents/orchestrator.py</w:t>
      </w:r>
      <w:r>
        <w:t xml:space="preserve">.</w:t>
      </w:r>
    </w:p>
    <w:bookmarkStart w:id="101" w:name="tab:specialist-map"/>
    <w:p>
      <w:pPr>
        <w:pStyle w:val="TableCaption"/>
      </w:pPr>
      <w:r>
        <w:t xml:space="preserve">Category-to-specialist assignment used by M1. All 41 CUAD categories are</w:t>
      </w:r>
      <w:r>
        <w:t xml:space="preserve"> </w:t>
      </w:r>
      <w:r>
        <w:t xml:space="preserve">listed; the mapping is fixed before any model is run.</w:t>
      </w:r>
    </w:p>
    <w:tbl>
      <w:tblPr>
        <w:tblStyle w:val="Table"/>
        <w:tblW w:type="pct" w:w="0.0"/>
        <w:tblLook w:firstRow="1"/>
        <w:tblCaption w:val="Category-to-specialist assignment used by M1. All 41 CUAD categories are listed; the mapping is fixed before any model is ru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Risk/Liability (13)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Temporal/Renewal (11)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IP/Commercial (17)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 on Liability</w:t>
            </w:r>
          </w:p>
        </w:tc>
        <w:tc>
          <w:p>
            <w:pPr>
              <w:pStyle w:val="Compact"/>
              <w:jc w:val="left"/>
            </w:pPr>
            <w:r>
              <w:t xml:space="preserve">Document Name</w:t>
            </w:r>
          </w:p>
        </w:tc>
        <w:tc>
          <w:p>
            <w:pPr>
              <w:pStyle w:val="Compact"/>
              <w:jc w:val="left"/>
            </w:pPr>
            <w:r>
              <w:t xml:space="preserve">IP Ownership Assignment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Uncapped Liability</w:t>
            </w:r>
          </w:p>
        </w:tc>
        <w:tc>
          <w:p>
            <w:pPr>
              <w:pStyle w:val="Compact"/>
              <w:jc w:val="left"/>
            </w:pPr>
            <w:r>
              <w:t xml:space="preserve">Parties</w:t>
            </w:r>
          </w:p>
        </w:tc>
        <w:tc>
          <w:p>
            <w:pPr>
              <w:pStyle w:val="Compact"/>
              <w:jc w:val="left"/>
            </w:pPr>
            <w:r>
              <w:t xml:space="preserve">Joint IP Ownership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Liquidated Damages</w:t>
            </w:r>
          </w:p>
        </w:tc>
        <w:tc>
          <w:p>
            <w:pPr>
              <w:pStyle w:val="Compact"/>
              <w:jc w:val="left"/>
            </w:pPr>
            <w:r>
              <w:t xml:space="preserve">Agreement Date</w:t>
            </w:r>
          </w:p>
        </w:tc>
        <w:tc>
          <w:p>
            <w:pPr>
              <w:pStyle w:val="Compact"/>
              <w:jc w:val="left"/>
            </w:pPr>
            <w:r>
              <w:t xml:space="preserve">License Grant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Insurance</w:t>
            </w:r>
          </w:p>
        </w:tc>
        <w:tc>
          <w:p>
            <w:pPr>
              <w:pStyle w:val="Compact"/>
              <w:jc w:val="left"/>
            </w:pPr>
            <w:r>
              <w:t xml:space="preserve">Effective Date</w:t>
            </w:r>
          </w:p>
        </w:tc>
        <w:tc>
          <w:p>
            <w:pPr>
              <w:pStyle w:val="Compact"/>
              <w:jc w:val="left"/>
            </w:pPr>
            <w:r>
              <w:t xml:space="preserve">Non-Transferable License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Warranty Duration</w:t>
            </w:r>
          </w:p>
        </w:tc>
        <w:tc>
          <w:p>
            <w:pPr>
              <w:pStyle w:val="Compact"/>
              <w:jc w:val="left"/>
            </w:pPr>
            <w:r>
              <w:t xml:space="preserve">Expiration Date</w:t>
            </w:r>
          </w:p>
        </w:tc>
        <w:tc>
          <w:p>
            <w:pPr>
              <w:pStyle w:val="Compact"/>
              <w:jc w:val="left"/>
            </w:pPr>
            <w:r>
              <w:t xml:space="preserve">Affiliate License-Licensor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Audit Rights</w:t>
            </w:r>
          </w:p>
        </w:tc>
        <w:tc>
          <w:p>
            <w:pPr>
              <w:pStyle w:val="Compact"/>
              <w:jc w:val="left"/>
            </w:pPr>
            <w:r>
              <w:t xml:space="preserve">Renewal Term</w:t>
            </w:r>
          </w:p>
        </w:tc>
        <w:tc>
          <w:p>
            <w:pPr>
              <w:pStyle w:val="Compact"/>
              <w:jc w:val="left"/>
            </w:pPr>
            <w:r>
              <w:t xml:space="preserve">Affiliate License-Licensee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Non-Disparagement</w:t>
            </w:r>
          </w:p>
        </w:tc>
        <w:tc>
          <w:p>
            <w:pPr>
              <w:pStyle w:val="Compact"/>
              <w:jc w:val="left"/>
            </w:pPr>
            <w:r>
              <w:t xml:space="preserve">Notice Period to Terminate Renewal</w:t>
            </w:r>
          </w:p>
        </w:tc>
        <w:tc>
          <w:p>
            <w:pPr>
              <w:pStyle w:val="Compact"/>
              <w:jc w:val="left"/>
            </w:pPr>
            <w:r>
              <w:t xml:space="preserve">Unlimited License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Covenant Not to Sue</w:t>
            </w:r>
          </w:p>
        </w:tc>
        <w:tc>
          <w:p>
            <w:pPr>
              <w:pStyle w:val="Compact"/>
              <w:jc w:val="left"/>
            </w:pPr>
            <w:r>
              <w:t xml:space="preserve">Termination for Convenience</w:t>
            </w:r>
          </w:p>
        </w:tc>
        <w:tc>
          <w:p>
            <w:pPr>
              <w:pStyle w:val="Compact"/>
              <w:jc w:val="left"/>
            </w:pPr>
            <w:r>
              <w:t xml:space="preserve">Irrevocable or Perpetual License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Third Party Beneficiary</w:t>
            </w:r>
          </w:p>
        </w:tc>
        <w:tc>
          <w:p>
            <w:pPr>
              <w:pStyle w:val="Compact"/>
              <w:jc w:val="left"/>
            </w:pPr>
            <w:r>
              <w:t xml:space="preserve">Anti-Assignment</w:t>
            </w:r>
          </w:p>
        </w:tc>
        <w:tc>
          <w:p>
            <w:pPr>
              <w:pStyle w:val="Compact"/>
              <w:jc w:val="left"/>
            </w:pPr>
            <w:r>
              <w:t xml:space="preserve">Source Code Escrow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Most Favored Nation</w:t>
            </w:r>
          </w:p>
        </w:tc>
        <w:tc>
          <w:p>
            <w:pPr>
              <w:pStyle w:val="Compact"/>
              <w:jc w:val="left"/>
            </w:pPr>
            <w:r>
              <w:t xml:space="preserve">ROFR/ROFO/ROFN</w:t>
            </w:r>
          </w:p>
        </w:tc>
        <w:tc>
          <w:p>
            <w:pPr>
              <w:pStyle w:val="Compact"/>
              <w:jc w:val="left"/>
            </w:pPr>
            <w:r>
              <w:t xml:space="preserve">Exclusivity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Change of Control</w:t>
            </w:r>
          </w:p>
        </w:tc>
        <w:tc>
          <w:p>
            <w:pPr>
              <w:pStyle w:val="Compact"/>
              <w:jc w:val="left"/>
            </w:pPr>
            <w:r>
              <w:t xml:space="preserve">Governing Law</w:t>
            </w:r>
          </w:p>
        </w:tc>
        <w:tc>
          <w:p>
            <w:pPr>
              <w:pStyle w:val="Compact"/>
              <w:jc w:val="left"/>
            </w:pPr>
            <w:r>
              <w:t xml:space="preserve">Non-Compete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Post-Termination Services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No-Solicit of Customers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Minimum Commitment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No-Solicit of Employees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Competitive Restriction Exception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Revenue/Profit Sharing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Price Restrictions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Volume Restriction</w:t>
            </w:r>
          </w:p>
        </w:tc>
      </w:tr>
    </w:tbl>
    <w:bookmarkEnd w:id="101"/>
    <w:p>
      <w:pPr>
        <w:pStyle w:val="BodyText"/>
      </w:pPr>
      <w:r>
        <w:t xml:space="preserve">The router system prompt is reproduced verbatim below from</w:t>
      </w:r>
      <w:r>
        <w:t xml:space="preserve"> </w:t>
      </w:r>
      <w:r>
        <w:rPr>
          <w:rStyle w:val="VerbatimChar"/>
        </w:rPr>
        <w:t xml:space="preserve">ROUTING_SYSTEM_PROMPT</w:t>
      </w:r>
      <w:r>
        <w:t xml:space="preserve"> </w:t>
      </w:r>
      <w:r>
        <w:t xml:space="preserve">in the artefact. Routing accuracy across the</w:t>
      </w:r>
      <w:r>
        <w:t xml:space="preserve"> </w:t>
      </w:r>
      <w:r>
        <w:t xml:space="preserve">11-model panel is reported in Section </w:t>
      </w:r>
      <w:hyperlink w:anchor="sec:res:h3">
        <w:r>
          <w:rPr>
            <w:rStyle w:val="Hyperlink"/>
          </w:rPr>
          <w:t xml:space="preserve">6.4</w:t>
        </w:r>
      </w:hyperlink>
      <w:r>
        <w:t xml:space="preserve">.</w:t>
      </w:r>
    </w:p>
    <w:p>
      <w:pPr>
        <w:pStyle w:val="BodyText"/>
      </w:pPr>
      <w:r>
        <w:t xml:space="preserve">M1 router system prompt (verbatim from</w:t>
      </w:r>
      <w:r>
        <w:t xml:space="preserve"> </w:t>
      </w:r>
      <w:r>
        <w:rPr>
          <w:rStyle w:val="VerbatimChar"/>
        </w:rPr>
        <w:t xml:space="preserve">src/agents/orchestrator.py</w:t>
      </w:r>
      <w:r>
        <w:t xml:space="preserve">)</w:t>
      </w:r>
      <w:r>
        <w:t xml:space="preserve"> </w:t>
      </w:r>
      <w:r>
        <w:t xml:space="preserve">You are a routing agent for a contract analysis system. Your job is to read a</w:t>
      </w:r>
      <w:r>
        <w:t xml:space="preserve"> </w:t>
      </w:r>
      <w:r>
        <w:t xml:space="preserve">question about a contract clause and decide which specialist should handle it.</w:t>
      </w:r>
    </w:p>
    <w:p>
      <w:pPr>
        <w:pStyle w:val="BodyText"/>
      </w:pPr>
      <w:r>
        <w:rPr>
          <w:b/>
        </w:rPr>
        <w:t xml:space="preserve">risk_liability</w:t>
      </w:r>
      <w:r>
        <w:t xml:space="preserve"> </w:t>
      </w:r>
      <w:r>
        <w:t xml:space="preserve">— Expert in risk allocation, liability, and protective</w:t>
      </w:r>
      <w:r>
        <w:t xml:space="preserve"> </w:t>
      </w:r>
      <w:r>
        <w:t xml:space="preserve">provisions. Covers: liability caps and uncapped liability, liquidated damages,</w:t>
      </w:r>
      <w:r>
        <w:t xml:space="preserve"> </w:t>
      </w:r>
      <w:r>
        <w:t xml:space="preserve">insurance requirements, warranty duration, audit rights, non-disparagement, covenants</w:t>
      </w:r>
      <w:r>
        <w:t xml:space="preserve"> </w:t>
      </w:r>
      <w:r>
        <w:t xml:space="preserve">not to sue, third-party beneficiaries, most favored nation clauses, change of control</w:t>
      </w:r>
      <w:r>
        <w:t xml:space="preserve"> </w:t>
      </w:r>
      <w:r>
        <w:t xml:space="preserve">provisions, post-termination services, and minimum commitments.</w:t>
      </w:r>
    </w:p>
    <w:p>
      <w:pPr>
        <w:pStyle w:val="BodyText"/>
      </w:pPr>
      <w:r>
        <w:rPr>
          <w:b/>
        </w:rPr>
        <w:t xml:space="preserve">temporal_renewal</w:t>
      </w:r>
      <w:r>
        <w:t xml:space="preserve"> </w:t>
      </w:r>
      <w:r>
        <w:t xml:space="preserve">— Expert in temporal aspects, document identification,</w:t>
      </w:r>
      <w:r>
        <w:t xml:space="preserve"> </w:t>
      </w:r>
      <w:r>
        <w:t xml:space="preserve">and contract lifecycle. Covers: document name and party identification,</w:t>
      </w:r>
      <w:r>
        <w:t xml:space="preserve"> </w:t>
      </w:r>
      <w:r>
        <w:t xml:space="preserve">agreement/effective/expiration dates, renewal terms and notice periods for renewal</w:t>
      </w:r>
      <w:r>
        <w:t xml:space="preserve"> </w:t>
      </w:r>
      <w:r>
        <w:t xml:space="preserve">termination, termination for convenience, anti-assignment provisions, rights of first</w:t>
      </w:r>
      <w:r>
        <w:t xml:space="preserve"> </w:t>
      </w:r>
      <w:r>
        <w:t xml:space="preserve">refusal/offer/negotiation, and governing law.</w:t>
      </w:r>
    </w:p>
    <w:p>
      <w:pPr>
        <w:pStyle w:val="BodyText"/>
      </w:pPr>
      <w:r>
        <w:rPr>
          <w:b/>
        </w:rPr>
        <w:t xml:space="preserve">ip_commercial</w:t>
      </w:r>
      <w:r>
        <w:t xml:space="preserve"> </w:t>
      </w:r>
      <w:r>
        <w:t xml:space="preserve">— Expert in intellectual property rights and commercial</w:t>
      </w:r>
      <w:r>
        <w:t xml:space="preserve"> </w:t>
      </w:r>
      <w:r>
        <w:t xml:space="preserve">restrictions. Covers: IP ownership and assignment, joint IP ownership, license grants</w:t>
      </w:r>
      <w:r>
        <w:t xml:space="preserve"> </w:t>
      </w:r>
      <w:r>
        <w:t xml:space="preserve">(transferability, affiliate licenses, unlimited/perpetual licenses), source code</w:t>
      </w:r>
      <w:r>
        <w:t xml:space="preserve"> </w:t>
      </w:r>
      <w:r>
        <w:t xml:space="preserve">escrow, exclusivity, non-compete and non-solicitation clauses, competitive restriction</w:t>
      </w:r>
      <w:r>
        <w:t xml:space="preserve"> </w:t>
      </w:r>
      <w:r>
        <w:t xml:space="preserve">exceptions, revenue/profit sharing, price restrictions, and volume restrictions.</w:t>
      </w:r>
    </w:p>
    <w:p>
      <w:pPr>
        <w:pStyle w:val="BodyText"/>
      </w:pPr>
      <w:r>
        <w:t xml:space="preserve">Respond with ONLY a JSON object:</w:t>
      </w:r>
      <w:r>
        <w:t xml:space="preserve"> </w:t>
      </w:r>
      <w:r>
        <w:t xml:space="preserve">{"specialist": "&lt;name&gt;", "reasoning": "&lt;brief explanation&gt;"}</w:t>
      </w:r>
    </w:p>
    <w:p>
      <w:pPr>
        <w:pStyle w:val="BodyText"/>
      </w:pPr>
      <w:r>
        <w:t xml:space="preserve">Each specialist’s prompt is a focused reading instruction for its cluster. The</w:t>
      </w:r>
      <w:r>
        <w:t xml:space="preserve"> </w:t>
      </w:r>
      <w:r>
        <w:t xml:space="preserve">Risk/Liability specialist is shown below; Temporal and IP/Commercial follow the same</w:t>
      </w:r>
      <w:r>
        <w:t xml:space="preserve"> </w:t>
      </w:r>
      <w:r>
        <w:t xml:space="preserve">template.</w:t>
      </w:r>
    </w:p>
    <w:p>
      <w:pPr>
        <w:pStyle w:val="BodyText"/>
      </w:pPr>
      <w:r>
        <w:t xml:space="preserve">M1 Risk/Liability specialist system prompt (abridged)</w:t>
      </w:r>
      <w:r>
        <w:t xml:space="preserve"> </w:t>
      </w:r>
      <w:r>
        <w:t xml:space="preserve">You are a contract analyst specialising in risk-allocation provisions: liability</w:t>
      </w:r>
      <w:r>
        <w:t xml:space="preserve"> </w:t>
      </w:r>
      <w:r>
        <w:t xml:space="preserve">caps, uncapped exclusions, indemnification, insurance, warranty, audit rights,</w:t>
      </w:r>
      <w:r>
        <w:t xml:space="preserve"> </w:t>
      </w:r>
      <w:r>
        <w:t xml:space="preserve">non-disparagement, third-party beneficiaries, most-favored-nation, change of control,</w:t>
      </w:r>
      <w:r>
        <w:t xml:space="preserve"> </w:t>
      </w:r>
      <w:r>
        <w:t xml:space="preserve">post-termination services, and minimum commitments. For these categories, recall of</w:t>
      </w:r>
      <w:r>
        <w:t xml:space="preserve"> </w:t>
      </w:r>
      <w:r>
        <w:t xml:space="preserve">monetary thresholds and explicit carve-outs (</w:t>
      </w:r>
      <w:r>
        <w:t xml:space="preserve">“</w:t>
      </w:r>
      <w:r>
        <w:t xml:space="preserve">except for...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not in excess</w:t>
      </w:r>
      <w:r>
        <w:t xml:space="preserve"> </w:t>
      </w:r>
      <w:r>
        <w:t xml:space="preserve">of...</w:t>
      </w:r>
      <w:r>
        <w:t xml:space="preserve">”</w:t>
      </w:r>
      <w:r>
        <w:t xml:space="preserve">) is critical and preferred over summary paraphrase.</w:t>
      </w:r>
    </w:p>
    <w:p>
      <w:pPr>
        <w:pStyle w:val="BodyText"/>
      </w:pPr>
      <w:r>
        <w:t xml:space="preserve">Return the verbatim span(s) of any clause of the category below, or</w:t>
      </w:r>
      <w:r>
        <w:t xml:space="preserve"> </w:t>
      </w:r>
      <w:r>
        <w:t xml:space="preserve">“</w:t>
      </w:r>
      <w:r>
        <w:t xml:space="preserve">no related</w:t>
      </w:r>
      <w:r>
        <w:t xml:space="preserve"> </w:t>
      </w:r>
      <w:r>
        <w:t xml:space="preserve">clause</w:t>
      </w:r>
      <w:r>
        <w:t xml:space="preserve">”</w:t>
      </w:r>
      <w:r>
        <w:t xml:space="preserve"> </w:t>
      </w:r>
      <w:r>
        <w:t xml:space="preserve">if none is present.</w:t>
      </w:r>
    </w:p>
    <w:p>
      <w:pPr>
        <w:pStyle w:val="BodyText"/>
      </w:pPr>
      <w:r>
        <w:rPr>
          <w:b/>
        </w:rPr>
        <w:t xml:space="preserve">Category:</w:t>
      </w:r>
      <w:r>
        <w:t xml:space="preserve"> </w:t>
      </w:r>
      <w:r>
        <w:t xml:space="preserve">{{category}}</w:t>
      </w:r>
      <w:r>
        <w:t xml:space="preserve"> </w:t>
      </w:r>
      <w:r>
        <w:rPr>
          <w:b/>
        </w:rPr>
        <w:t xml:space="preserve">Description:</w:t>
      </w:r>
      <w:r>
        <w:t xml:space="preserve"> </w:t>
      </w:r>
      <w:r>
        <w:t xml:space="preserve">{{category_indicator}}</w:t>
      </w:r>
    </w:p>
    <w:p>
      <w:pPr>
        <w:pStyle w:val="BodyText"/>
      </w:pPr>
      <w:r>
        <w:rPr>
          <w:b/>
        </w:rPr>
        <w:t xml:space="preserve">Contract:</w:t>
      </w:r>
      <w:r>
        <w:t xml:space="preserve"> </w:t>
      </w:r>
      <w:r>
        <w:t xml:space="preserve">{{contract_text}}</w:t>
      </w:r>
    </w:p>
    <w:p>
      <w:pPr>
        <w:pStyle w:val="BodyText"/>
      </w:pPr>
      <w:r>
        <w:t xml:space="preserve">Figure </w:t>
      </w:r>
      <w:hyperlink w:anchor="fig:m1-sequence">
        <w:r>
          <w:rPr>
            <w:rStyle w:val="Hyperlink"/>
          </w:rPr>
          <w:t xml:space="preserve">[fig:m1-sequence]</w:t>
        </w:r>
      </w:hyperlink>
      <w:r>
        <w:t xml:space="preserve"> </w:t>
      </w:r>
      <w:r>
        <w:t xml:space="preserve">traces a single M1 invocation, showing the parent–child</w:t>
      </w:r>
      <w:r>
        <w:t xml:space="preserve"> </w:t>
      </w:r>
      <w:r>
        <w:t xml:space="preserve">call structure reproduced in the Langfuse trace.</w:t>
      </w:r>
    </w:p>
    <w:p>
      <w:pPr>
        <w:pStyle w:val="BodyText"/>
      </w:pPr>
      <w:r>
        <w:rPr>
          <w:i/>
        </w:rPr>
        <w:t xml:space="preserve">[Figure/diagram in LaTeX source (tikzpicture); see PDF]</w:t>
      </w:r>
    </w:p>
    <w:p>
      <w:pPr>
        <w:pStyle w:val="Heading5"/>
      </w:pPr>
      <w:bookmarkStart w:id="102" w:name="sec:sys:m6"/>
      <w:r>
        <w:t xml:space="preserve">M2 — Consolidated specialist (architectural ablation).</w:t>
      </w:r>
      <w:bookmarkEnd w:id="102"/>
    </w:p>
    <w:p>
      <w:pPr>
        <w:pStyle w:val="FirstParagraph"/>
      </w:pPr>
      <w:bookmarkStart w:id="103" w:name="sec:sys:m1-vs-m6"/>
      <w:r>
        <w:t xml:space="preserve">[sec:sys:m1-vs-m6]</w:t>
      </w:r>
      <w:bookmarkEnd w:id="103"/>
      <w:r>
        <w:t xml:space="preserve"> </w:t>
      </w:r>
      <w:r>
        <w:t xml:space="preserve">Its prompt is the textual union of the three M1 specialist prompts, concatenated</w:t>
      </w:r>
      <w:r>
        <w:t xml:space="preserve"> </w:t>
      </w:r>
      <w:r>
        <w:t xml:space="preserve">into a single agent with no router, no orchestrator, and no per-category branching: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  <m:scr m:val="monospace"/>
                </m:rPr>
                <m:t>prompt</m:t>
              </m:r>
            </m:e>
            <m:sub>
              <m:r>
                <m:rPr>
                  <m:nor/>
                  <m:sty m:val="p"/>
                </m:rPr>
                <m:t>M2</m:t>
              </m:r>
            </m:sub>
          </m:sSub>
          <m:r>
            <m:t>=</m:t>
          </m:r>
          <m:r>
            <m:rPr>
              <m:sty m:val="p"/>
            </m:rPr>
            <m:t>j</m:t>
          </m:r>
          <m:r>
            <m:rPr>
              <m:sty m:val="p"/>
            </m:rPr>
            <m:t>o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endChr m:val=")"/>
              <m:grow/>
            </m:dPr>
            <m:e>
              <m:sSub>
                <m:e>
                  <m:r>
                    <m:rPr>
                      <m:nor/>
                      <m:sty m:val="p"/>
                      <m:scr m:val="monospace"/>
                    </m:rPr>
                    <m:t>prompt</m:t>
                  </m:r>
                </m:e>
                <m:sub>
                  <m:r>
                    <m:rPr>
                      <m:nor/>
                      <m:sty m:val="p"/>
                    </m:rPr>
                    <m:t>risk</m:t>
                  </m:r>
                </m:sub>
              </m:sSub>
              <m:r>
                <m:t>,</m:t>
              </m:r>
              <m:r>
                <m:t> </m:t>
              </m:r>
              <m:sSub>
                <m:e>
                  <m:r>
                    <m:rPr>
                      <m:nor/>
                      <m:sty m:val="p"/>
                      <m:scr m:val="monospace"/>
                    </m:rPr>
                    <m:t>prompt</m:t>
                  </m:r>
                </m:e>
                <m:sub>
                  <m:r>
                    <m:rPr>
                      <m:nor/>
                      <m:sty m:val="p"/>
                    </m:rPr>
                    <m:t>temporal</m:t>
                  </m:r>
                </m:sub>
              </m:sSub>
              <m:r>
                <m:t>,</m:t>
              </m:r>
              <m:r>
                <m:t> </m:t>
              </m:r>
              <m:sSub>
                <m:e>
                  <m:r>
                    <m:rPr>
                      <m:nor/>
                      <m:sty m:val="p"/>
                      <m:scr m:val="monospace"/>
                    </m:rPr>
                    <m:t>prompt</m:t>
                  </m:r>
                </m:e>
                <m:sub>
                  <m:r>
                    <m:rPr>
                      <m:nor/>
                      <m:sty m:val="p"/>
                    </m:rPr>
                    <m:t>ip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The three preambles are separated by domain headings; the verbatim-span output</w:t>
      </w:r>
      <w:r>
        <w:t xml:space="preserve"> </w:t>
      </w:r>
      <w:r>
        <w:t xml:space="preserve">contract is stated once at the end. M2’s purpose is methodological: M1 vs. M2</w:t>
      </w:r>
      <w:r>
        <w:t xml:space="preserve"> </w:t>
      </w:r>
      <w:r>
        <w:t xml:space="preserve">isolates routing and decomposition; M2 vs. B0 isolates prompt content. Together</w:t>
      </w:r>
      <w:r>
        <w:t xml:space="preserve"> </w:t>
      </w:r>
      <w:r>
        <w:t xml:space="preserve">the two contrasts decompose the M1-vs-B0 delta into an architectural component and a</w:t>
      </w:r>
      <w:r>
        <w:t xml:space="preserve"> </w:t>
      </w:r>
      <w:r>
        <w:t xml:space="preserve">prompt-content component, which is the basis for the routing-redundancy finding in</w:t>
      </w:r>
      <w:r>
        <w:t xml:space="preserve"> </w:t>
      </w:r>
      <w:r>
        <w:t xml:space="preserve">Section </w:t>
      </w:r>
      <w:hyperlink w:anchor="sec:res:h3">
        <w:r>
          <w:rPr>
            <w:rStyle w:val="Hyperlink"/>
          </w:rPr>
          <w:t xml:space="preserve">6.4</w:t>
        </w:r>
      </w:hyperlink>
      <w:r>
        <w:t xml:space="preserve">.</w:t>
      </w:r>
    </w:p>
    <w:p>
      <w:pPr>
        <w:pStyle w:val="Heading2"/>
      </w:pPr>
      <w:bookmarkStart w:id="104" w:name="sec:sys:trace"/>
      <w:r>
        <w:t xml:space="preserve">Observability and Trace Schema</w:t>
      </w:r>
      <w:bookmarkEnd w:id="104"/>
    </w:p>
    <w:p>
      <w:pPr>
        <w:pStyle w:val="FirstParagraph"/>
      </w:pPr>
      <w:bookmarkStart w:id="105" w:name="sec:auditability"/>
      <w:r>
        <w:t xml:space="preserve">[sec:auditability]</w:t>
      </w:r>
      <w:bookmarkEnd w:id="105"/>
    </w:p>
    <w:p>
      <w:pPr>
        <w:pStyle w:val="Heading5"/>
      </w:pPr>
      <w:bookmarkStart w:id="106" w:name="what-is-recorded."/>
      <w:r>
        <w:t xml:space="preserve">What is recorded.</w:t>
      </w:r>
      <w:bookmarkEnd w:id="106"/>
    </w:p>
    <w:p>
      <w:pPr>
        <w:pStyle w:val="FirstParagraph"/>
      </w:pPr>
      <w:r>
        <w:t xml:space="preserve">For each clause-level decision the system captures:</w:t>
      </w:r>
      <w:r>
        <w:t xml:space="preserve"> </w:t>
      </w:r>
      <w:r>
        <w:t xml:space="preserve">(i) configuration ID and model identifier;</w:t>
      </w:r>
      <w:r>
        <w:t xml:space="preserve"> </w:t>
      </w:r>
      <w:r>
        <w:t xml:space="preserve">(ii) prompt template ID, version, and rendered prompt;</w:t>
      </w:r>
      <w:r>
        <w:t xml:space="preserve"> </w:t>
      </w:r>
      <w:r>
        <w:t xml:space="preserve">(iii) full model completion;</w:t>
      </w:r>
      <w:r>
        <w:t xml:space="preserve"> </w:t>
      </w:r>
      <w:r>
        <w:t xml:space="preserve">(iv) parsed final answer with parser version and status;</w:t>
      </w:r>
      <w:r>
        <w:t xml:space="preserve"> </w:t>
      </w:r>
      <w:r>
        <w:t xml:space="preserve">(v) routing decision (M1) or classifier verdict (M0) where applicable;</w:t>
      </w:r>
      <w:r>
        <w:t xml:space="preserve"> </w:t>
      </w:r>
      <w:r>
        <w:t xml:space="preserve">(vi) per-call token counts, billed cost, and wall-clock latency.</w:t>
      </w:r>
      <w:r>
        <w:t xml:space="preserve"> </w:t>
      </w:r>
      <w:r>
        <w:t xml:space="preserve">M1 traces are parent–child structured: the router call is the parent, the</w:t>
      </w:r>
      <w:r>
        <w:t xml:space="preserve"> </w:t>
      </w:r>
      <w:r>
        <w:t xml:space="preserve">specialist call is its child, and each call serialises the six fields above</w:t>
      </w:r>
      <w:r>
        <w:t xml:space="preserve"> </w:t>
      </w:r>
      <w:r>
        <w:t xml:space="preserve">plus its</w:t>
      </w:r>
      <w:r>
        <w:t xml:space="preserve"> </w:t>
      </w:r>
      <w:r>
        <w:rPr>
          <w:rStyle w:val="VerbatimChar"/>
        </w:rPr>
        <w:t xml:space="preserve">parent_id</w:t>
      </w:r>
      <w:r>
        <w:t xml:space="preserve">, the model snapshot string, and a</w:t>
      </w:r>
      <w:r>
        <w:t xml:space="preserve"> </w:t>
      </w:r>
      <w:r>
        <w:rPr>
          <w:rStyle w:val="VerbatimChar"/>
        </w:rPr>
        <w:t xml:space="preserve">parser_status</w:t>
      </w:r>
      <w:r>
        <w:t xml:space="preserve"> </w:t>
      </w:r>
      <w:r>
        <w:t xml:space="preserve">marker. A representative JSONL record is included</w:t>
      </w:r>
      <w:r>
        <w:t xml:space="preserve"> </w:t>
      </w:r>
      <w:r>
        <w:t xml:space="preserve">verbatim in the released artefact bundle (Section </w:t>
      </w:r>
      <w:hyperlink w:anchor="sec:sys:infra">
        <w:r>
          <w:rPr>
            <w:rStyle w:val="Hyperlink"/>
          </w:rPr>
          <w:t xml:space="preserve">5.7</w:t>
        </w:r>
      </w:hyperlink>
      <w:r>
        <w:t xml:space="preserve">).</w:t>
      </w:r>
    </w:p>
    <w:p>
      <w:pPr>
        <w:pStyle w:val="Heading5"/>
      </w:pPr>
      <w:bookmarkStart w:id="107" w:name="sec:sys:trace-properties"/>
      <w:r>
        <w:t xml:space="preserve">Auditability properties.</w:t>
      </w:r>
      <w:bookmarkEnd w:id="107"/>
    </w:p>
    <w:p>
      <w:pPr>
        <w:pStyle w:val="FirstParagraph"/>
      </w:pPr>
      <w:r>
        <w:t xml:space="preserve">The trace structure supports three concrete properties.</w:t>
      </w:r>
      <w:r>
        <w:t xml:space="preserve"> </w:t>
      </w:r>
      <w:r>
        <w:rPr>
          <w:i/>
        </w:rPr>
        <w:t xml:space="preserve">Decision attribution</w:t>
      </w:r>
      <w:r>
        <w:t xml:space="preserve">:</w:t>
      </w:r>
      <w:r>
        <w:t xml:space="preserve"> </w:t>
      </w:r>
      <w:r>
        <w:t xml:space="preserve">any final answer is traceable to the specific agent, prompt version, and model that</w:t>
      </w:r>
      <w:r>
        <w:t xml:space="preserve"> </w:t>
      </w:r>
      <w:r>
        <w:t xml:space="preserve">produced it.</w:t>
      </w:r>
      <w:r>
        <w:t xml:space="preserve"> </w:t>
      </w:r>
      <w:r>
        <w:rPr>
          <w:i/>
        </w:rPr>
        <w:t xml:space="preserve">Counterfactual replay</w:t>
      </w:r>
      <w:r>
        <w:t xml:space="preserve">: because prompts and model identifiers are</w:t>
      </w:r>
      <w:r>
        <w:t xml:space="preserve"> </w:t>
      </w:r>
      <w:r>
        <w:t xml:space="preserve">pinned per call at</w:t>
      </w:r>
      <w:r>
        <w:t xml:space="preserve"> </w:t>
      </w:r>
      <w:r>
        <w:rPr>
          <w:rStyle w:val="VerbatimChar"/>
        </w:rPr>
        <w:t xml:space="preserve">temperature=0</w:t>
      </w:r>
      <w:r>
        <w:t xml:space="preserve">, a reviewer can re-run a single archived</w:t>
      </w:r>
      <w:r>
        <w:t xml:space="preserve"> </w:t>
      </w:r>
      <w:r>
        <w:t xml:space="preserve">call and obtain a deterministically identical completion.</w:t>
      </w:r>
      <w:r>
        <w:t xml:space="preserve"> </w:t>
      </w:r>
      <w:r>
        <w:rPr>
          <w:i/>
        </w:rPr>
        <w:t xml:space="preserve">Rejection forensics</w:t>
      </w:r>
      <w:r>
        <w:t xml:space="preserve">:</w:t>
      </w:r>
      <w:r>
        <w:t xml:space="preserve"> </w:t>
      </w:r>
      <w:r>
        <w:t xml:space="preserve">when M0 silently returns</w:t>
      </w:r>
      <w:r>
        <w:t xml:space="preserve"> </w:t>
      </w:r>
      <w:r>
        <w:t xml:space="preserve">“</w:t>
      </w:r>
      <w:r>
        <w:t xml:space="preserve">no related clause</w:t>
      </w:r>
      <w:r>
        <w:t xml:space="preserve">”</w:t>
      </w:r>
      <w:r>
        <w:t xml:space="preserve">, the classifier’s verdict is recorded</w:t>
      </w:r>
      <w:r>
        <w:t xml:space="preserve"> </w:t>
      </w:r>
      <w:r>
        <w:t xml:space="preserve">explicitly, making the classification-gate cascade of Section </w:t>
      </w:r>
      <w:hyperlink w:anchor="sec:res:cascade">
        <w:r>
          <w:rPr>
            <w:rStyle w:val="Hyperlink"/>
          </w:rPr>
          <w:t xml:space="preserve">6.5</w:t>
        </w:r>
      </w:hyperlink>
      <w:r>
        <w:t xml:space="preserve"> </w:t>
      </w:r>
      <w:r>
        <w:t xml:space="preserve">visible at audit time as an upstream rejection rather than an unobservable absence.</w:t>
      </w:r>
    </w:p>
    <w:p>
      <w:pPr>
        <w:pStyle w:val="Heading5"/>
      </w:pPr>
      <w:bookmarkStart w:id="108" w:name="trade-offs-and-limits."/>
      <w:r>
        <w:t xml:space="preserve">Trade-offs and limits.</w:t>
      </w:r>
      <w:bookmarkEnd w:id="108"/>
    </w:p>
    <w:p>
      <w:pPr>
        <w:pStyle w:val="FirstParagraph"/>
      </w:pPr>
      <w:r>
        <w:t xml:space="preserve">The JSONL persistence layer is on the order of gigabytes per full sweep, and trace</w:t>
      </w:r>
      <w:r>
        <w:t xml:space="preserve"> </w:t>
      </w:r>
      <w:r>
        <w:t xml:space="preserve">fields containing rendered prompts and full completions inherit the contract’s</w:t>
      </w:r>
      <w:r>
        <w:t xml:space="preserve"> </w:t>
      </w:r>
      <w:r>
        <w:t xml:space="preserve">confidentiality classification. The system distinguishes between decision-level fields</w:t>
      </w:r>
      <w:r>
        <w:t xml:space="preserve"> </w:t>
      </w:r>
      <w:r>
        <w:t xml:space="preserve">(configuration, verdict, token counts) safe to surface to operators, and</w:t>
      </w:r>
      <w:r>
        <w:t xml:space="preserve"> </w:t>
      </w:r>
      <w:r>
        <w:t xml:space="preserve">content-level fields (rendered prompts, full completions) that are access-controlled.</w:t>
      </w:r>
      <w:r>
        <w:t xml:space="preserve"> </w:t>
      </w:r>
      <w:r>
        <w:t xml:space="preserve">The trace is faithful to the call graph, not to the model’s internal computation:</w:t>
      </w:r>
      <w:r>
        <w:t xml:space="preserve"> </w:t>
      </w:r>
      <w:r>
        <w:t xml:space="preserve">a chain-of-thought trace records what the model emitted, not what it computed.</w:t>
      </w:r>
    </w:p>
    <w:p>
      <w:pPr>
        <w:pStyle w:val="Heading5"/>
      </w:pPr>
      <w:bookmarkStart w:id="109" w:name="trace-completeness."/>
      <w:r>
        <w:t xml:space="preserve">Trace completeness.</w:t>
      </w:r>
      <w:bookmarkEnd w:id="109"/>
    </w:p>
    <w:p>
      <w:pPr>
        <w:pStyle w:val="FirstParagraph"/>
      </w:pPr>
      <w:r>
        <w:t xml:space="preserve">Trace completeness — the fraction of model calls for which all expected fields are</w:t>
      </w:r>
      <w:r>
        <w:t xml:space="preserve"> </w:t>
      </w:r>
      <w:r>
        <w:t xml:space="preserve">populated — was</w:t>
      </w:r>
      <w:r>
        <w:t xml:space="preserve"> </w:t>
      </w:r>
      <m:oMath>
        <m:r>
          <m:t>100</m:t>
        </m:r>
        <m:r>
          <m:t>%</m:t>
        </m:r>
      </m:oMath>
      <w:r>
        <w:t xml:space="preserve"> </w:t>
      </w:r>
      <w:r>
        <w:t xml:space="preserve">for B0, B1, and M2 (single-call configurations with no</w:t>
      </w:r>
      <w:r>
        <w:t xml:space="preserve"> </w:t>
      </w:r>
      <w:r>
        <w:t xml:space="preserve">routing decisions),</w:t>
      </w:r>
      <w:r>
        <w:t xml:space="preserve"> </w:t>
      </w:r>
      <m:oMath>
        <m:r>
          <m:t>100</m:t>
        </m:r>
        <m:r>
          <m:t>%</m:t>
        </m:r>
      </m:oMath>
      <w:r>
        <w:t xml:space="preserve"> </w:t>
      </w:r>
      <w:r>
        <w:t xml:space="preserve">for M0 (two-call pipeline with deterministic branching),</w:t>
      </w:r>
      <w:r>
        <w:t xml:space="preserve"> </w:t>
      </w:r>
      <w:r>
        <w:t xml:space="preserve">and</w:t>
      </w:r>
      <w:r>
        <w:t xml:space="preserve"> </w:t>
      </w:r>
      <m:oMath>
        <m:r>
          <m:t>95.2</m:t>
        </m:r>
        <m:r>
          <m:t>%</m:t>
        </m:r>
      </m:oMath>
      <w:r>
        <w:t xml:space="preserve"> </w:t>
      </w:r>
      <w:r>
        <w:t xml:space="preserve">for M1 across official runs. The binding constraint is M1: the remaining</w:t>
      </w:r>
      <w:r>
        <w:t xml:space="preserve"> </w:t>
      </w:r>
      <m:oMath>
        <m:r>
          <m:t>4.8</m:t>
        </m:r>
        <m:r>
          <m:t>%</m:t>
        </m:r>
      </m:oMath>
      <w:r>
        <w:t xml:space="preserve"> </w:t>
      </w:r>
      <w:r>
        <w:t xml:space="preserve">are provider-side truncations on long contracts and are flagged in the run</w:t>
      </w:r>
      <w:r>
        <w:t xml:space="preserve"> </w:t>
      </w:r>
      <w:r>
        <w:t xml:space="preserve">logs. The single-configuration baseline (</w:t>
      </w:r>
      <m:oMath>
        <m:r>
          <m:t>100</m:t>
        </m:r>
        <m:r>
          <m:t>%</m:t>
        </m:r>
      </m:oMath>
      <w:r>
        <w:t xml:space="preserve">) confirms that the drop is</w:t>
      </w:r>
      <w:r>
        <w:t xml:space="preserve"> </w:t>
      </w:r>
      <w:r>
        <w:t xml:space="preserve">attributable to M1’s multi-call routing overhead, not to infrastructure failures.</w:t>
      </w:r>
    </w:p>
    <w:p>
      <w:pPr>
        <w:pStyle w:val="Heading2"/>
      </w:pPr>
      <w:bookmarkStart w:id="110" w:name="sec:sys:infra"/>
      <w:r>
        <w:t xml:space="preserve">Experimental Infrastructure</w:t>
      </w:r>
      <w:bookmarkEnd w:id="110"/>
    </w:p>
    <w:p>
      <w:pPr>
        <w:pStyle w:val="Heading5"/>
      </w:pPr>
      <w:bookmarkStart w:id="111" w:name="loader-and-sampler."/>
      <w:r>
        <w:t xml:space="preserve">Loader and sampler.</w:t>
      </w:r>
      <w:bookmarkEnd w:id="111"/>
    </w:p>
    <w:p>
      <w:pPr>
        <w:pStyle w:val="FirstParagraph"/>
      </w:pPr>
      <w:r>
        <w:t xml:space="preserve">The CUAD loader is the single source of truth for which contracts and categories</w:t>
      </w:r>
      <w:r>
        <w:t xml:space="preserve"> </w:t>
      </w:r>
      <w:r>
        <w:t xml:space="preserve">enter a run. It loads the 102-contract CUAD test split, applies the</w:t>
      </w:r>
      <w:r>
        <w:t xml:space="preserve"> </w:t>
      </w:r>
      <w:r>
        <w:rPr>
          <w:rStyle w:val="VerbatimChar"/>
        </w:rPr>
        <w:t xml:space="preserve">neg_ratio=0.7</w:t>
      </w:r>
      <w:r>
        <w:t xml:space="preserve"> </w:t>
      </w:r>
      <w:r>
        <w:t xml:space="preserve">sampler of Section </w:t>
      </w:r>
      <w:hyperlink w:anchor="sec:meth:sampling">
        <w:r>
          <w:rPr>
            <w:rStyle w:val="Hyperlink"/>
          </w:rPr>
          <w:t xml:space="preserve">4.2.0.0.1</w:t>
        </w:r>
      </w:hyperlink>
      <w:r>
        <w:t xml:space="preserve"> </w:t>
      </w:r>
      <w:r>
        <w:t xml:space="preserve">(retains all</w:t>
      </w:r>
      <w:r>
        <w:t xml:space="preserve"> </w:t>
      </w:r>
      <w:r>
        <w:t xml:space="preserve">positives,</w:t>
      </w:r>
      <w:r>
        <w:t xml:space="preserve"> </w:t>
      </w:r>
      <m:oMath>
        <m:r>
          <m:t>≈</m:t>
        </m:r>
        <m:r>
          <m:t>​</m:t>
        </m:r>
        <m:r>
          <m:t>60</m:t>
        </m:r>
        <m:r>
          <m:t>%</m:t>
        </m:r>
      </m:oMath>
      <w:r>
        <w:t xml:space="preserve"> </w:t>
      </w:r>
      <w:r>
        <w:t xml:space="preserve">of negatives), and assigns the prevalence-tier</w:t>
      </w:r>
      <w:r>
        <w:t xml:space="preserve"> </w:t>
      </w:r>
      <w:r>
        <w:t xml:space="preserve">partition. It is deterministic under</w:t>
      </w:r>
      <w:r>
        <w:t xml:space="preserve"> </w:t>
      </w:r>
      <w:r>
        <w:rPr>
          <w:rStyle w:val="VerbatimChar"/>
        </w:rPr>
        <w:t xml:space="preserve">seed=42</w:t>
      </w:r>
      <w:r>
        <w:t xml:space="preserve"> </w:t>
      </w:r>
      <w:r>
        <w:t xml:space="preserve">and produces the identical</w:t>
      </w:r>
      <w:r>
        <w:t xml:space="preserve"> </w:t>
      </w:r>
      <m:oMath>
        <m:r>
          <m:t>≈</m:t>
        </m:r>
        <m:r>
          <m:t>​</m:t>
        </m:r>
        <m:r>
          <m:t>2</m:t>
        </m:r>
        <m:r>
          <m:t>,</m:t>
        </m:r>
        <m:r>
          <m:t>999</m:t>
        </m:r>
      </m:oMath>
      <w:r>
        <w:t xml:space="preserve">-sample envelope across all five configurations, making paired</w:t>
      </w:r>
      <w:r>
        <w:t xml:space="preserve"> </w:t>
      </w:r>
      <w:r>
        <w:t xml:space="preserve">tests in Chapter </w:t>
      </w:r>
      <w:hyperlink w:anchor="chapter:results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well-defined at the (contract, category)</w:t>
      </w:r>
      <w:r>
        <w:t xml:space="preserve"> </w:t>
      </w:r>
      <w:r>
        <w:t xml:space="preserve">level.</w:t>
      </w:r>
    </w:p>
    <w:p>
      <w:pPr>
        <w:pStyle w:val="Heading5"/>
      </w:pPr>
      <w:bookmarkStart w:id="112" w:name="statistical-aggregation."/>
      <w:r>
        <w:t xml:space="preserve">Statistical aggregation.</w:t>
      </w:r>
      <w:bookmarkEnd w:id="112"/>
    </w:p>
    <w:p>
      <w:pPr>
        <w:pStyle w:val="FirstParagraph"/>
      </w:pPr>
      <w:r>
        <w:t xml:space="preserve">A separate aggregation pipeline reads per-run JSONL outputs, computes per-sample</w:t>
      </w:r>
      <w:r>
        <w:t xml:space="preserve"> </w:t>
      </w:r>
      <w:r>
        <w:t xml:space="preserve">correctness vectors, and emits the McNemar contingency tables, paired bootstrap</w:t>
      </w:r>
      <w:r>
        <w:t xml:space="preserve"> </w:t>
      </w:r>
      <w:r>
        <w:t xml:space="preserve">distributions, and BH-corrected</w:t>
      </w:r>
      <w:r>
        <w:t xml:space="preserve"> </w:t>
      </w:r>
      <m:oMath>
        <m:r>
          <m:t>p</m:t>
        </m:r>
      </m:oMath>
      <w:r>
        <w:t xml:space="preserve">-value tables of Section </w:t>
      </w:r>
      <w:hyperlink w:anchor="sec:meth:stats">
        <w:r>
          <w:rPr>
            <w:rStyle w:val="Hyperlink"/>
          </w:rPr>
          <w:t xml:space="preserve">4.6</w:t>
        </w:r>
      </w:hyperlink>
      <w:r>
        <w:t xml:space="preserve">.</w:t>
      </w:r>
      <w:r>
        <w:t xml:space="preserve"> </w:t>
      </w:r>
      <w:r>
        <w:t xml:space="preserve">Aggregation is deterministic given the JSONL inputs and a fixed bootstrap seed;</w:t>
      </w:r>
      <w:r>
        <w:t xml:space="preserve"> </w:t>
      </w:r>
      <w:r>
        <w:t xml:space="preserve">intermediate artefacts are persisted so results can be regenerated without</w:t>
      </w:r>
      <w:r>
        <w:t xml:space="preserve"> </w:t>
      </w:r>
      <w:r>
        <w:t xml:space="preserve">rerunning models.</w:t>
      </w:r>
    </w:p>
    <w:p>
      <w:pPr>
        <w:pStyle w:val="Heading5"/>
      </w:pPr>
      <w:bookmarkStart w:id="113" w:name="dashboard."/>
      <w:r>
        <w:t xml:space="preserve">Dashboard.</w:t>
      </w:r>
      <w:bookmarkEnd w:id="113"/>
    </w:p>
    <w:p>
      <w:pPr>
        <w:pStyle w:val="FirstParagraph"/>
      </w:pPr>
      <w:r>
        <w:t xml:space="preserve">A Next.js dashboard supports interactive exploration: per-model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comparisons,</w:t>
      </w:r>
      <w:r>
        <w:t xml:space="preserve"> </w:t>
      </w:r>
      <w:r>
        <w:t xml:space="preserve">per-tier breakdowns, per-call cost and latency views, and trace inspection by sample</w:t>
      </w:r>
      <w:r>
        <w:t xml:space="preserve"> </w:t>
      </w:r>
      <w:r>
        <w:t xml:space="preserve">ID. The over-extraction failure mode in Chapter </w:t>
      </w:r>
      <w:hyperlink w:anchor="chapter:results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was first</w:t>
      </w:r>
      <w:r>
        <w:t xml:space="preserve"> </w:t>
      </w:r>
      <w:r>
        <w:t xml:space="preserve">surfaced visually through the dashboard’s per-category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panel.</w:t>
      </w:r>
    </w:p>
    <w:p>
      <w:pPr>
        <w:pStyle w:val="Heading5"/>
      </w:pPr>
      <w:bookmarkStart w:id="114" w:name="test-suite."/>
      <w:r>
        <w:t xml:space="preserve">Test suite.</w:t>
      </w:r>
      <w:bookmarkEnd w:id="114"/>
    </w:p>
    <w:p>
      <w:pPr>
        <w:pStyle w:val="FirstParagraph"/>
      </w:pPr>
      <w:r>
        <w:t xml:space="preserve">An 81-test suite covers the metric implementations (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/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Jaccard,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), the loader (filter, sampling determinism, tier</w:t>
      </w:r>
      <w:r>
        <w:t xml:space="preserve"> </w:t>
      </w:r>
      <w:r>
        <w:t xml:space="preserve">assignment), the agent topologies (each of B0, B1, M0, M1, M2 has at least one</w:t>
      </w:r>
      <w:r>
        <w:t xml:space="preserve"> </w:t>
      </w:r>
      <w:r>
        <w:t xml:space="preserve">end-to-end test against a stub model), and the statistical pipelines</w:t>
      </w:r>
      <w:r>
        <w:t xml:space="preserve"> </w:t>
      </w:r>
      <w:r>
        <w:t xml:space="preserve">(McNemar, bootstrap, BH correction). The full suite passes prior to every</w:t>
      </w:r>
      <w:r>
        <w:t xml:space="preserve"> </w:t>
      </w:r>
      <w:r>
        <w:t xml:space="preserve">official run.</w:t>
      </w:r>
    </w:p>
    <w:p>
      <w:pPr>
        <w:pStyle w:val="Heading5"/>
      </w:pPr>
      <w:bookmarkStart w:id="115" w:name="sec:sys:opensource"/>
      <w:r>
        <w:t xml:space="preserve">Open-source release.</w:t>
      </w:r>
      <w:bookmarkEnd w:id="115"/>
    </w:p>
    <w:p>
      <w:pPr>
        <w:pStyle w:val="FirstParagraph"/>
      </w:pPr>
      <w:r>
        <w:t xml:space="preserve">The full source code, prompt registry, experiment configurations, and the</w:t>
      </w:r>
      <w:r>
        <w:t xml:space="preserve"> </w:t>
      </w:r>
      <w:r>
        <w:t xml:space="preserve">experiment-results JSONL bundle are released as the open-source repository</w:t>
      </w:r>
      <w:r>
        <w:t xml:space="preserve"> </w:t>
      </w:r>
      <w:r>
        <w:rPr>
          <w:rStyle w:val="VerbatimChar"/>
        </w:rPr>
        <w:t xml:space="preserve">agentic-ai-for-clm</w:t>
      </w:r>
      <w:r>
        <w:t xml:space="preserve"> </w:t>
      </w:r>
      <w:r>
        <w:t xml:space="preserve">at</w:t>
      </w:r>
      <w:r>
        <w:t xml:space="preserve"> </w:t>
      </w:r>
      <w:hyperlink r:id="rId27">
        <w:r>
          <w:rPr>
            <w:rStyle w:val="Hyperlink"/>
          </w:rPr>
          <w:t xml:space="preserve">https://github.com/ndtrung00/agentic-ai-for-clm</w:t>
        </w:r>
      </w:hyperlink>
      <w:r>
        <w:t xml:space="preserve">. The repository contains</w:t>
      </w:r>
      <w:r>
        <w:t xml:space="preserve"> </w:t>
      </w:r>
      <w:r>
        <w:t xml:space="preserve">every component referenced in this chapter: the LangGraph topologies for</w:t>
      </w:r>
      <w:r>
        <w:t xml:space="preserve"> </w:t>
      </w:r>
      <w:r>
        <w:t xml:space="preserve">B0–M2, the YAML prompt files, the model client, the statistical pipeline,</w:t>
      </w:r>
      <w:r>
        <w:t xml:space="preserve"> </w:t>
      </w:r>
      <w:r>
        <w:t xml:space="preserve">the dashboard, and the run logs underlying every table and figure in</w:t>
      </w:r>
      <w:r>
        <w:t xml:space="preserve"> </w:t>
      </w:r>
      <w:r>
        <w:t xml:space="preserve">Chapter </w:t>
      </w:r>
      <w:hyperlink w:anchor="chapter:results">
        <w:r>
          <w:rPr>
            <w:rStyle w:val="Hyperlink"/>
          </w:rPr>
          <w:t xml:space="preserve">6</w:t>
        </w:r>
      </w:hyperlink>
      <w:r>
        <w:t xml:space="preserve">.</w:t>
      </w:r>
    </w:p>
    <w:p>
      <w:pPr>
        <w:pStyle w:val="Heading5"/>
      </w:pPr>
      <w:bookmarkStart w:id="116" w:name="reproducibility."/>
      <w:r>
        <w:t xml:space="preserve">Reproducibility.</w:t>
      </w:r>
      <w:bookmarkEnd w:id="116"/>
    </w:p>
    <w:p>
      <w:pPr>
        <w:pStyle w:val="FirstParagraph"/>
      </w:pPr>
      <w:r>
        <w:t xml:space="preserve">Three commitments support reproducibility: deterministic sampling under</w:t>
      </w:r>
      <w:r>
        <w:t xml:space="preserve"> </w:t>
      </w:r>
      <w:r>
        <w:rPr>
          <w:rStyle w:val="VerbatimChar"/>
        </w:rPr>
        <w:t xml:space="preserve">seed=42</w:t>
      </w:r>
      <w:r>
        <w:t xml:space="preserve">; explicit version pinning of model identifiers (full provider</w:t>
      </w:r>
      <w:r>
        <w:t xml:space="preserve"> </w:t>
      </w:r>
      <w:r>
        <w:t xml:space="preserve">snapshot strings) in the run metadata; and persistence of the full trace bundle</w:t>
      </w:r>
      <w:r>
        <w:t xml:space="preserve"> </w:t>
      </w:r>
      <w:r>
        <w:t xml:space="preserve">(rendered prompts, completions, parsed answers, diagnostics) so that the statistical</w:t>
      </w:r>
      <w:r>
        <w:t xml:space="preserve"> </w:t>
      </w:r>
      <w:r>
        <w:t xml:space="preserve">pipelines of Section </w:t>
      </w:r>
      <w:hyperlink w:anchor="sec:meth:stats">
        <w:r>
          <w:rPr>
            <w:rStyle w:val="Hyperlink"/>
          </w:rPr>
          <w:t xml:space="preserve">4.6</w:t>
        </w:r>
      </w:hyperlink>
      <w:r>
        <w:t xml:space="preserve"> </w:t>
      </w:r>
      <w:r>
        <w:t xml:space="preserve">can be regenerated from raw logs without</w:t>
      </w:r>
      <w:r>
        <w:t xml:space="preserve"> </w:t>
      </w:r>
      <w:r>
        <w:t xml:space="preserve">rerunning models. The prompt registry version hash is written to every run record,</w:t>
      </w:r>
      <w:r>
        <w:t xml:space="preserve"> </w:t>
      </w:r>
      <w:r>
        <w:t xml:space="preserve">making prompt content auditable independently of the run logs.</w:t>
      </w:r>
    </w:p>
    <w:p>
      <w:pPr>
        <w:pStyle w:val="Heading1"/>
      </w:pPr>
      <w:bookmarkStart w:id="117" w:name="chapter:results"/>
      <w:r>
        <w:t xml:space="preserve">Results</w:t>
      </w:r>
      <w:bookmarkEnd w:id="117"/>
    </w:p>
    <w:p>
      <w:pPr>
        <w:pStyle w:val="FirstParagraph"/>
      </w:pPr>
      <w:r>
        <w:t xml:space="preserve">Across 55 (model, configuration) cells and 163</w:t>
      </w:r>
      <w:r>
        <w:t xml:space="preserve">,</w:t>
      </w:r>
      <w:r>
        <w:t xml:space="preserve">644 paired predictions, no multi-agent configuration improves pooled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over the strongest single-agent baseline by more than</w:t>
      </w:r>
      <w:r>
        <w:t xml:space="preserve"> </w:t>
      </w:r>
      <m:oMath>
        <m:r>
          <m:t>0.011</m:t>
        </m:r>
      </m:oMath>
      <w:r>
        <w:t xml:space="preserve"> </w:t>
      </w:r>
      <w:r>
        <w:t xml:space="preserve">points; the dominant signal is the model-family</w:t>
      </w:r>
      <w:r>
        <w:t xml:space="preserve"> </w:t>
      </w:r>
      <m:oMath>
        <m:r>
          <m:t>×</m:t>
        </m:r>
      </m:oMath>
      <w:r>
        <w:t xml:space="preserve"> </w:t>
      </w:r>
      <w:r>
        <w:t xml:space="preserve">configuration interaction (Anthropic peaks under , Google under , OpenAI under ), with capability tier as a secondary moderator.</w:t>
      </w:r>
    </w:p>
    <w:p>
      <w:pPr>
        <w:pStyle w:val="Heading2"/>
      </w:pPr>
      <w:bookmarkStart w:id="118" w:name="sec:res:overview"/>
      <w:r>
        <w:t xml:space="preserve">Run Coverage and Sample Accounting</w:t>
      </w:r>
      <w:bookmarkEnd w:id="118"/>
    </w:p>
    <w:p>
      <w:pPr>
        <w:pStyle w:val="FirstParagraph"/>
      </w:pPr>
      <w:r>
        <w:t xml:space="preserve">The 55-cell grid yielded 164</w:t>
      </w:r>
      <w:r>
        <w:t xml:space="preserve">,</w:t>
      </w:r>
      <w:r>
        <w:t xml:space="preserve">941 raw JSONL records. After dropping 1</w:t>
      </w:r>
      <w:r>
        <w:t xml:space="preserve">,</w:t>
      </w:r>
      <w:r>
        <w:t xml:space="preserve">297</w:t>
      </w:r>
      <w:r>
        <w:t xml:space="preserve"> </w:t>
      </w:r>
      <w:r>
        <w:t xml:space="preserve">records (</w:t>
      </w:r>
      <m:oMath>
        <m:r>
          <m:t>0.79</m:t>
        </m:r>
        <m:r>
          <m:t>%</m:t>
        </m:r>
      </m:oMath>
      <w:r>
        <w:t xml:space="preserve">) with no usable classification token, 163</w:t>
      </w:r>
      <w:r>
        <w:t xml:space="preserve">,</w:t>
      </w:r>
      <w:r>
        <w:t xml:space="preserve">644 paired</w:t>
      </w:r>
      <w:r>
        <w:t xml:space="preserve"> </w:t>
      </w:r>
      <w:r>
        <w:t xml:space="preserve">sample-level predictions remain. The dropped records concentrate in</w:t>
      </w:r>
      <w:r>
        <w:t xml:space="preserve"> </w:t>
      </w:r>
      <w:r>
        <w:t xml:space="preserve"> (B0,</w:t>
      </w:r>
      <w:r>
        <w:t xml:space="preserve"> </w:t>
      </w:r>
      <m:oMath>
        <m:r>
          <m:t>n</m:t>
        </m:r>
        <m:r>
          <m:t>=</m:t>
        </m:r>
        <m:r>
          <m:t>838</m:t>
        </m:r>
      </m:oMath>
      <w:r>
        <w:t xml:space="preserve">) and  (M0,</w:t>
      </w:r>
      <w:r>
        <w:t xml:space="preserve"> </w:t>
      </w:r>
      <m:oMath>
        <m:r>
          <m:t>n</m:t>
        </m:r>
        <m:r>
          <m:t>=</m:t>
        </m:r>
        <m:r>
          <m:t>362</m:t>
        </m:r>
      </m:oMath>
      <w:r>
        <w:t xml:space="preserve">). The exclusion criterion is encoded in</w:t>
      </w:r>
      <w:r>
        <w:t xml:space="preserve"> </w:t>
      </w:r>
      <w:r>
        <w:rPr>
          <w:rStyle w:val="VerbatimChar"/>
        </w:rPr>
        <w:t xml:space="preserve">src/evaluation/metrics.py</w:t>
      </w:r>
      <w:r>
        <w:t xml:space="preserve">: a record is excluded if and only if its</w:t>
      </w:r>
      <w:r>
        <w:t xml:space="preserve"> </w:t>
      </w:r>
      <w:r>
        <w:rPr>
          <w:rStyle w:val="VerbatimChar"/>
        </w:rPr>
        <w:t xml:space="preserve">evaluation.classification</w:t>
      </w:r>
      <w:r>
        <w:t xml:space="preserve"> </w:t>
      </w:r>
      <w:r>
        <w:t xml:space="preserve">field is not one of {</w:t>
      </w:r>
      <w:r>
        <w:rPr>
          <w:rStyle w:val="VerbatimChar"/>
        </w:rPr>
        <w:t xml:space="preserve">TP</w:t>
      </w:r>
      <w:r>
        <w:t xml:space="preserve">,</w:t>
      </w:r>
      <w:r>
        <w:t xml:space="preserve"> </w:t>
      </w:r>
      <w:r>
        <w:rPr>
          <w:rStyle w:val="VerbatimChar"/>
        </w:rPr>
        <w:t xml:space="preserve">FP</w:t>
      </w:r>
      <w:r>
        <w:t xml:space="preserve">,</w:t>
      </w:r>
      <w:r>
        <w:t xml:space="preserve"> </w:t>
      </w:r>
      <w:r>
        <w:rPr>
          <w:rStyle w:val="VerbatimChar"/>
        </w:rPr>
        <w:t xml:space="preserve">FN</w:t>
      </w:r>
      <w:r>
        <w:t xml:space="preserve">,</w:t>
      </w:r>
      <w:r>
        <w:t xml:space="preserve"> </w:t>
      </w:r>
      <w:r>
        <w:rPr>
          <w:rStyle w:val="VerbatimChar"/>
        </w:rPr>
        <w:t xml:space="preserve">TN</w:t>
      </w:r>
      <w:r>
        <w:t xml:space="preserve">} after parsing.</w:t>
      </w:r>
      <w:r>
        <w:rPr>
          <w:rStyle w:val="FootnoteReference"/>
        </w:rPr>
        <w:footnoteReference w:id="119"/>
      </w:r>
      <w:r>
        <w:t xml:space="preserve"> </w:t>
      </w:r>
      <w:r>
        <w:t xml:space="preserve">Table </w:t>
      </w:r>
      <w:hyperlink w:anchor="tab:coverage">
        <w:r>
          <w:rPr>
            <w:rStyle w:val="Hyperlink"/>
          </w:rPr>
          <w:t xml:space="preserve">6.1</w:t>
        </w:r>
      </w:hyperlink>
      <w:r>
        <w:t xml:space="preserve"> </w:t>
      </w:r>
      <w:r>
        <w:t xml:space="preserve">reports the analysed count per cell. All</w:t>
      </w:r>
      <w:r>
        <w:t xml:space="preserve"> </w:t>
      </w:r>
      <w:r>
        <w:t xml:space="preserve">statistical tests use the paired intersection of sample IDs for the</w:t>
      </w:r>
      <w:r>
        <w:t xml:space="preserve"> </w:t>
      </w:r>
      <w:r>
        <w:t xml:space="preserve">configurations being compared; intersection sizes are reported with each test.</w:t>
      </w:r>
      <w:r>
        <w:t xml:space="preserve"> </w:t>
      </w:r>
      <w:r>
        <w:t xml:space="preserve">The positive rate across the retained set is</w:t>
      </w:r>
      <w:r>
        <w:t xml:space="preserve"> </w:t>
      </w:r>
      <m:oMath>
        <m:r>
          <m:t>41.5</m:t>
        </m:r>
        <m:r>
          <m:t>%</m:t>
        </m:r>
      </m:oMath>
      <w:r>
        <w:t xml:space="preserve">: the sampler retains</w:t>
      </w:r>
      <w:r>
        <w:t xml:space="preserve"> </w:t>
      </w:r>
      <w:r>
        <w:t xml:space="preserve">all positive (contract, category) pairs and approximately</w:t>
      </w:r>
      <w:r>
        <w:t xml:space="preserve"> </w:t>
      </w:r>
      <m:oMath>
        <m:r>
          <m:t>60</m:t>
        </m:r>
        <m:r>
          <m:t>%</m:t>
        </m:r>
      </m:oMath>
      <w:r>
        <w:t xml:space="preserve"> </w:t>
      </w:r>
      <w:r>
        <w:t xml:space="preserve">of negatives,</w:t>
      </w:r>
      <w:r>
        <w:t xml:space="preserve"> </w:t>
      </w:r>
      <w:r>
        <w:t xml:space="preserve">upsampling positives relative to CUAD’s natural</w:t>
      </w:r>
      <w:r>
        <w:t xml:space="preserve"> </w:t>
      </w:r>
      <m:oMath>
        <m:r>
          <m:t>≈</m:t>
        </m:r>
        <m:r>
          <m:t>​</m:t>
        </m:r>
        <m:r>
          <m:t>30</m:t>
        </m:r>
        <m:r>
          <m:t>%</m:t>
        </m:r>
      </m:oMath>
      <w:r>
        <w:t xml:space="preserve"> </w:t>
      </w:r>
      <w:r>
        <w:t xml:space="preserve">prior in order</w:t>
      </w:r>
      <w:r>
        <w:t xml:space="preserve"> </w:t>
      </w:r>
      <w:r>
        <w:t xml:space="preserve">to preserve statistical power on rare-tier categories</w:t>
      </w:r>
      <w:r>
        <w:t xml:space="preserve"> </w:t>
      </w:r>
      <w:r>
        <w:t xml:space="preserve">(Section </w:t>
      </w:r>
      <w:hyperlink w:anchor="sec:meth:sampling">
        <w:r>
          <w:rPr>
            <w:rStyle w:val="Hyperlink"/>
          </w:rPr>
          <w:t xml:space="preserve">4.2.0.0.1</w:t>
        </w:r>
      </w:hyperlink>
      <w:r>
        <w:t xml:space="preserve">).</w:t>
      </w:r>
    </w:p>
    <w:bookmarkStart w:id="120" w:name="tab:coverage"/>
    <w:p>
      <w:pPr>
        <w:pStyle w:val="TableCaption"/>
      </w:pPr>
      <w:r>
        <w:t xml:space="preserve">Coverage: analysed predictions per (model, configuration) cell after</w:t>
      </w:r>
      <w:r>
        <w:t xml:space="preserve"> </w:t>
      </w:r>
      <w:r>
        <w:t xml:space="preserve">dropping malformed records.</w:t>
      </w:r>
      <w:r>
        <w:t xml:space="preserve"> </w:t>
      </w:r>
      <m:oMath>
        <m:sSup>
          <m:e>
            <m:r>
              <m:t>​</m:t>
            </m:r>
          </m:e>
          <m:sup>
            <m:r>
              <m:t>*</m:t>
            </m:r>
          </m:sup>
        </m:sSup>
      </m:oMath>
      <w:r>
        <w:t xml:space="preserve">Partial run due to upstream sampling interruption;</w:t>
      </w:r>
      <w:r>
        <w:t xml:space="preserve"> </w:t>
      </w:r>
      <w:r>
        <w:t xml:space="preserve">paired tests use the sample-ID intersection. Configuration names defined in</w:t>
      </w:r>
      <w:r>
        <w:t xml:space="preserve"> </w:t>
      </w:r>
      <w:r>
        <w:t xml:space="preserve">Table </w:t>
      </w:r>
      <w:hyperlink w:anchor="tab:configs">
        <w:r>
          <w:rPr>
            <w:rStyle w:val="Hyperlink"/>
          </w:rPr>
          <w:t xml:space="preserve">4.1</w:t>
        </w:r>
      </w:hyperlink>
      <w:r>
        <w:t xml:space="preserve">. The two B0 partial cells are not missing-completely-at-random:</w:t>
      </w:r>
      <w:r>
        <w:t xml:space="preserve"> </w:t>
      </w:r>
      <w:r>
        <w:t xml:space="preserve">GPT-4.1’s 471 dropped records concentrate on five long contracts (backfilled</w:t>
      </w:r>
      <w:r>
        <w:t xml:space="preserve"> </w:t>
      </w:r>
      <w:r>
        <w:t xml:space="preserve">median length</w:t>
      </w:r>
      <w:r>
        <w:t xml:space="preserve"> </w:t>
      </w:r>
      <m:oMath>
        <m:r>
          <m:t>≈</m:t>
        </m:r>
        <m:r>
          <m:t>122</m:t>
        </m:r>
        <m:r>
          <m:t>,</m:t>
        </m:r>
        <m:r>
          <m:t>000</m:t>
        </m:r>
      </m:oMath>
      <w:r>
        <w:t xml:space="preserve"> </w:t>
      </w:r>
      <w:r>
        <w:t xml:space="preserve">characters vs. </w:t>
      </w:r>
      <m:oMath>
        <m:r>
          <m:t>≈</m:t>
        </m:r>
        <m:r>
          <m:t>24</m:t>
        </m:r>
        <m:r>
          <m:t>,</m:t>
        </m:r>
        <m:r>
          <m:t>000</m:t>
        </m:r>
      </m:oMath>
      <w:r>
        <w:t xml:space="preserve"> </w:t>
      </w:r>
      <w:r>
        <w:t xml:space="preserve">for retained</w:t>
      </w:r>
      <w:r>
        <w:t xml:space="preserve"> </w:t>
      </w:r>
      <w:r>
        <w:t xml:space="preserve">records), consistent with provider-side API time-outs on the long-context tail;</w:t>
      </w:r>
      <w:r>
        <w:t xml:space="preserve"> </w:t>
      </w:r>
      <w:r>
        <w:t xml:space="preserve">Sonnet 4’s 359 dropped records spread across 98 of 102 contracts with a milder</w:t>
      </w:r>
      <w:r>
        <w:t xml:space="preserve"> </w:t>
      </w:r>
      <w:r>
        <w:t xml:space="preserve">length skew (median</w:t>
      </w:r>
      <w:r>
        <w:t xml:space="preserve"> </w:t>
      </w:r>
      <m:oMath>
        <m:r>
          <m:t>≈</m:t>
        </m:r>
        <m:r>
          <m:t>31</m:t>
        </m:r>
        <m:r>
          <m:t>,</m:t>
        </m:r>
        <m:r>
          <m:t>000</m:t>
        </m:r>
      </m:oMath>
      <w:r>
        <w:t xml:space="preserve"> </w:t>
      </w:r>
      <w:r>
        <w:t xml:space="preserve">vs. </w:t>
      </w:r>
      <m:oMath>
        <m:r>
          <m:t>≈</m:t>
        </m:r>
        <m:r>
          <m:t>26</m:t>
        </m:r>
        <m:r>
          <m:t>,</m:t>
        </m:r>
        <m:r>
          <m:t>000</m:t>
        </m:r>
      </m:oMath>
      <w:r>
        <w:t xml:space="preserve">). The</w:t>
      </w:r>
      <w:r>
        <w:t xml:space="preserve"> </w:t>
      </w:r>
      <w:r>
        <w:t xml:space="preserve">contract-length moderation analysis (Section </w:t>
      </w:r>
      <w:hyperlink w:anchor="sec:res:length">
        <w:r>
          <w:rPr>
            <w:rStyle w:val="Hyperlink"/>
          </w:rPr>
          <w:t xml:space="preserve">6.8</w:t>
        </w:r>
      </w:hyperlink>
      <w:r>
        <w:t xml:space="preserve">) shows</w:t>
      </w:r>
      <w:r>
        <w:t xml:space="preserve"> </w:t>
      </w:r>
      <w:r>
        <w:t xml:space="preserve">multi-agent configurations underperform B0 on long contracts; for GPT-4.1</w:t>
      </w:r>
      <w:r>
        <w:t xml:space="preserve"> </w:t>
      </w:r>
      <w:r>
        <w:t xml:space="preserve">the missing-data direction therefore biases the Tab </w:t>
      </w:r>
      <w:hyperlink w:anchor="tab:h1-stats">
        <w:r>
          <w:rPr>
            <w:rStyle w:val="Hyperlink"/>
          </w:rPr>
          <w:t xml:space="preserve">6.4</w:t>
        </w:r>
      </w:hyperlink>
      <w:r>
        <w:t xml:space="preserve"> </w:t>
      </w:r>
      <m:oMath>
        <m:r>
          <m:t>Δ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i/>
        </w:rPr>
        <w:t xml:space="preserve">toward</w:t>
      </w:r>
      <w:r>
        <w:t xml:space="preserve"> </w:t>
      </w:r>
      <w:r>
        <w:t xml:space="preserve">the multi-agent configurations and the per-model</w:t>
      </w:r>
      <w:r>
        <w:t xml:space="preserve"> </w:t>
      </w:r>
      <w:r>
        <w:t xml:space="preserve">H1 verdict for GPT-4.1 understates rather than overstates the multi-agent</w:t>
      </w:r>
      <w:r>
        <w:t xml:space="preserve"> </w:t>
      </w:r>
      <w:r>
        <w:t xml:space="preserve">disadvantage on the full evaluation envelope.</w:t>
      </w:r>
    </w:p>
    <w:tbl>
      <w:tblPr>
        <w:tblStyle w:val="Table"/>
        <w:tblW w:type="pct" w:w="0.0"/>
        <w:tblLook w:firstRow="1"/>
        <w:tblCaption w:val="Coverage: analysed predictions per (model, configuration) cell after dropping malformed records. {}^*Partial run due to upstream sampling interruption; paired tests use the sample-ID intersection. Configuration names defined in Table 4.1. The two B0 partial cells are not missing-completely-at-random: GPT-4.1’s 471 dropped records concentrate on five long contracts (backfilled median length {\approx}122{,}000 characters vs. {\approx}24{,}000 for retained records), consistent with provider-side API time-outs on the long-context tail; Sonnet 4’s 359 dropped records spread across 98 of 102 contracts with a milder length skew (median {\approx}31{,}000 vs. {\approx}26{,}000). The contract-length moderation analysis (Section 6.8) shows multi-agent configurations underperform B0 on long contracts; for GPT-4.1 the missing-data direction therefore biases the Tab 6.4 \Delta F_2 toward the multi-agent configurations and the per-model H1 verdict for GPT-4.1 understates rather than overstates the multi-agent disadvantage on the full evaluation envelope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B0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B1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M0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M1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M2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Total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Claude Haiku 4.5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999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999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999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999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999</w:t>
            </w:r>
          </w:p>
        </w:tc>
        <w:tc>
          <w:p>
            <w:pPr>
              <w:pStyle w:val="Compact"/>
              <w:jc w:val="right"/>
            </w:pPr>
            <w:r>
              <w:t xml:space="preserve">14</w:t>
            </w:r>
            <w:r>
              <w:t xml:space="preserve">,</w:t>
            </w:r>
            <w:r>
              <w:t xml:space="preserve">995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Claude Opus 4.6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999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999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999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999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999</w:t>
            </w:r>
          </w:p>
        </w:tc>
        <w:tc>
          <w:p>
            <w:pPr>
              <w:pStyle w:val="Compact"/>
              <w:jc w:val="right"/>
            </w:pPr>
            <w:r>
              <w:t xml:space="preserve">14</w:t>
            </w:r>
            <w:r>
              <w:t xml:space="preserve">,</w:t>
            </w:r>
            <w:r>
              <w:t xml:space="preserve">995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Claude Sonnet 4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640</w:t>
            </w:r>
            <m:oMath>
              <m:sSup>
                <m:e>
                  <m:r>
                    <m:t>​</m:t>
                  </m:r>
                </m:e>
                <m:sup>
                  <m:r>
                    <m:t>*</m:t>
                  </m:r>
                </m:sup>
              </m:sSup>
            </m:oMath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999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999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999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999</w:t>
            </w:r>
          </w:p>
        </w:tc>
        <w:tc>
          <w:p>
            <w:pPr>
              <w:pStyle w:val="Compact"/>
              <w:jc w:val="right"/>
            </w:pPr>
            <w:r>
              <w:t xml:space="preserve">14</w:t>
            </w:r>
            <w:r>
              <w:t xml:space="preserve">,</w:t>
            </w:r>
            <w:r>
              <w:t xml:space="preserve">636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Claude Sonnet 4.6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999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999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999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999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999</w:t>
            </w:r>
          </w:p>
        </w:tc>
        <w:tc>
          <w:p>
            <w:pPr>
              <w:pStyle w:val="Compact"/>
              <w:jc w:val="right"/>
            </w:pPr>
            <w:r>
              <w:t xml:space="preserve">14</w:t>
            </w:r>
            <w:r>
              <w:t xml:space="preserve">,</w:t>
            </w:r>
            <w:r>
              <w:t xml:space="preserve">995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Gemini 2.5 Flash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999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999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998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999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999</w:t>
            </w:r>
          </w:p>
        </w:tc>
        <w:tc>
          <w:p>
            <w:pPr>
              <w:pStyle w:val="Compact"/>
              <w:jc w:val="right"/>
            </w:pPr>
            <w:r>
              <w:t xml:space="preserve">14</w:t>
            </w:r>
            <w:r>
              <w:t xml:space="preserve">,</w:t>
            </w:r>
            <w:r>
              <w:t xml:space="preserve">994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Gemini 2.5 Pro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999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999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999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999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999</w:t>
            </w:r>
          </w:p>
        </w:tc>
        <w:tc>
          <w:p>
            <w:pPr>
              <w:pStyle w:val="Compact"/>
              <w:jc w:val="right"/>
            </w:pPr>
            <w:r>
              <w:t xml:space="preserve">14</w:t>
            </w:r>
            <w:r>
              <w:t xml:space="preserve">,</w:t>
            </w:r>
            <w:r>
              <w:t xml:space="preserve">995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Gemini 3 Flash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997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985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984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999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999</w:t>
            </w:r>
          </w:p>
        </w:tc>
        <w:tc>
          <w:p>
            <w:pPr>
              <w:pStyle w:val="Compact"/>
              <w:jc w:val="right"/>
            </w:pPr>
            <w:r>
              <w:t xml:space="preserve">14</w:t>
            </w:r>
            <w:r>
              <w:t xml:space="preserve">,</w:t>
            </w:r>
            <w:r>
              <w:t xml:space="preserve">964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Gemini 3.1 Pro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994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976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978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999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998</w:t>
            </w:r>
          </w:p>
        </w:tc>
        <w:tc>
          <w:p>
            <w:pPr>
              <w:pStyle w:val="Compact"/>
              <w:jc w:val="right"/>
            </w:pPr>
            <w:r>
              <w:t xml:space="preserve">14</w:t>
            </w:r>
            <w:r>
              <w:t xml:space="preserve">,</w:t>
            </w:r>
            <w:r>
              <w:t xml:space="preserve">945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GPT-4.1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528</w:t>
            </w:r>
            <m:oMath>
              <m:sSup>
                <m:e>
                  <m:r>
                    <m:t>​</m:t>
                  </m:r>
                </m:e>
                <m:sup>
                  <m:r>
                    <m:t>*</m:t>
                  </m:r>
                </m:sup>
              </m:sSup>
            </m:oMath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999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786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999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978</w:t>
            </w:r>
          </w:p>
        </w:tc>
        <w:tc>
          <w:p>
            <w:pPr>
              <w:pStyle w:val="Compact"/>
              <w:jc w:val="right"/>
            </w:pPr>
            <w:r>
              <w:t xml:space="preserve">14</w:t>
            </w:r>
            <w:r>
              <w:t xml:space="preserve">,</w:t>
            </w:r>
            <w:r>
              <w:t xml:space="preserve">290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GPT-4.1 Mini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999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994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887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999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987</w:t>
            </w:r>
          </w:p>
        </w:tc>
        <w:tc>
          <w:p>
            <w:pPr>
              <w:pStyle w:val="Compact"/>
              <w:jc w:val="right"/>
            </w:pPr>
            <w:r>
              <w:t xml:space="preserve">14</w:t>
            </w:r>
            <w:r>
              <w:t xml:space="preserve">,</w:t>
            </w:r>
            <w:r>
              <w:t xml:space="preserve">866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GPT-4.1 Nano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998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998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999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999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975</w:t>
            </w:r>
          </w:p>
        </w:tc>
        <w:tc>
          <w:p>
            <w:pPr>
              <w:pStyle w:val="Compact"/>
              <w:jc w:val="right"/>
            </w:pPr>
            <w:r>
              <w:t xml:space="preserve">14</w:t>
            </w:r>
            <w:r>
              <w:t xml:space="preserve">,</w:t>
            </w:r>
            <w:r>
              <w:t xml:space="preserve">969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right"/>
            </w:pPr>
            <w:r>
              <w:t xml:space="preserve">32</w:t>
            </w:r>
            <w:r>
              <w:t xml:space="preserve">,</w:t>
            </w:r>
            <w:r>
              <w:t xml:space="preserve">151</w:t>
            </w:r>
          </w:p>
        </w:tc>
        <w:tc>
          <w:p>
            <w:pPr>
              <w:pStyle w:val="Compact"/>
              <w:jc w:val="right"/>
            </w:pPr>
            <w:r>
              <w:t xml:space="preserve">32</w:t>
            </w:r>
            <w:r>
              <w:t xml:space="preserve">,</w:t>
            </w:r>
            <w:r>
              <w:t xml:space="preserve">946</w:t>
            </w:r>
          </w:p>
        </w:tc>
        <w:tc>
          <w:p>
            <w:pPr>
              <w:pStyle w:val="Compact"/>
              <w:jc w:val="right"/>
            </w:pPr>
            <w:r>
              <w:t xml:space="preserve">32</w:t>
            </w:r>
            <w:r>
              <w:t xml:space="preserve">,</w:t>
            </w:r>
            <w:r>
              <w:t xml:space="preserve">627</w:t>
            </w:r>
          </w:p>
        </w:tc>
        <w:tc>
          <w:p>
            <w:pPr>
              <w:pStyle w:val="Compact"/>
              <w:jc w:val="right"/>
            </w:pPr>
            <w:r>
              <w:t xml:space="preserve">32</w:t>
            </w:r>
            <w:r>
              <w:t xml:space="preserve">,</w:t>
            </w:r>
            <w:r>
              <w:t xml:space="preserve">989</w:t>
            </w:r>
          </w:p>
        </w:tc>
        <w:tc>
          <w:p>
            <w:pPr>
              <w:pStyle w:val="Compact"/>
              <w:jc w:val="right"/>
            </w:pPr>
            <w:r>
              <w:t xml:space="preserve">32</w:t>
            </w:r>
            <w:r>
              <w:t xml:space="preserve">,</w:t>
            </w:r>
            <w:r>
              <w:t xml:space="preserve">931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163</w:t>
            </w:r>
            <w:r>
              <w:rPr>
                <w:b/>
              </w:rPr>
              <w:t xml:space="preserve">,</w:t>
            </w:r>
            <w:r>
              <w:rPr>
                <w:b/>
              </w:rPr>
              <w:t xml:space="preserve">644</w:t>
            </w:r>
          </w:p>
        </w:tc>
      </w:tr>
    </w:tbl>
    <w:bookmarkEnd w:id="120"/>
    <w:p>
      <w:pPr>
        <w:pStyle w:val="Heading2"/>
      </w:pPr>
      <w:bookmarkStart w:id="121" w:name="sec:res:h1"/>
      <w:r>
        <w:t xml:space="preserve">H1 — Multi-Agent vs. Single-Agent Baselines</w:t>
      </w:r>
      <w:bookmarkEnd w:id="121"/>
    </w:p>
    <w:p>
      <w:pPr>
        <w:pStyle w:val="FirstParagraph"/>
      </w:pPr>
      <w:r>
        <w:t xml:space="preserve">Table </w:t>
      </w:r>
      <w:hyperlink w:anchor="tab:h1-headline">
        <w:r>
          <w:rPr>
            <w:rStyle w:val="Hyperlink"/>
          </w:rPr>
          <w:t xml:space="preserve">6.2</w:t>
        </w:r>
      </w:hyperlink>
      <w:r>
        <w:t xml:space="preserve"> </w:t>
      </w:r>
      <w:r>
        <w:t xml:space="preserve">reports the headline metrics —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recall, precision, and over-extraction rate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— pooled across all</w:t>
      </w:r>
      <w:r>
        <w:t xml:space="preserve"> </w:t>
      </w:r>
      <w:r>
        <w:t xml:space="preserve">eleven models, and per provider family.</w:t>
      </w:r>
    </w:p>
    <w:bookmarkStart w:id="122" w:name="tab:h1-headline"/>
    <w:p>
      <w:pPr>
        <w:pStyle w:val="TableCaption"/>
      </w:pPr>
      <w:r>
        <w:t xml:space="preserve">Headline metrics by family and configuration (Cfg), mean across</w:t>
      </w:r>
      <w:r>
        <w:t xml:space="preserve"> </w:t>
      </w:r>
      <w:r>
        <w:t xml:space="preserve">constituent models.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= over-extraction rate (FP / negatives).</w:t>
      </w:r>
      <w:r>
        <w:t xml:space="preserve"> </w:t>
      </w:r>
      <w:r>
        <w:t xml:space="preserve">Bold: best-in-column per family. Configuration names defined in</w:t>
      </w:r>
      <w:r>
        <w:t xml:space="preserve"> </w:t>
      </w:r>
      <w:r>
        <w:t xml:space="preserve">Table </w:t>
      </w:r>
      <w:hyperlink w:anchor="tab:configs">
        <w:r>
          <w:rPr>
            <w:rStyle w:val="Hyperlink"/>
          </w:rPr>
          <w:t xml:space="preserve">4.1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rankings diverge: pooled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favours  (B0, 0.801)</w:t>
      </w:r>
      <w:r>
        <w:t xml:space="preserve"> </w:t>
      </w:r>
      <w:r>
        <w:t xml:space="preserve">by 0.011 points; pooled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favours  (M0, 0.798) by 0.061 points.</w:t>
      </w:r>
    </w:p>
    <w:tbl>
      <w:tblPr>
        <w:tblStyle w:val="Table"/>
        <w:tblW w:type="pct" w:w="0.0"/>
        <w:tblLook w:firstRow="1"/>
        <w:tblCaption w:val="Headline metrics by family and configuration (Cfg), mean across constituent models. \omega = over-extraction rate (FP / negatives). Bold: best-in-column per family. Configuration names defined in Table 4.1. The F_2 and F_1 rankings diverge: pooled F_2 favours  (B0, 0.801) by 0.011 points; pooled F_1 favours  (M0, 0.798) by 0.061 points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Family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Cfg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m:oMath>
              <m:bar>
                <m:barPr>
                  <m:pos m:val="top"/>
                </m:barP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bar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m:oMath>
              <m:bar>
                <m:barPr>
                  <m:pos m:val="top"/>
                </m:barP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bar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m:oMath>
              <m:bar>
                <m:barPr>
                  <m:pos m:val="top"/>
                </m:barPr>
                <m:e>
                  <m:r>
                    <m:t>R</m:t>
                  </m:r>
                </m:e>
              </m:bar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m:oMath>
              <m:bar>
                <m:barPr>
                  <m:pos m:val="top"/>
                </m:barPr>
                <m:e>
                  <m:r>
                    <m:t>P</m:t>
                  </m:r>
                </m:e>
              </m:bar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m:oMath>
              <m:bar>
                <m:barPr>
                  <m:pos m:val="top"/>
                </m:barPr>
                <m:e>
                  <m:r>
                    <m:t>ω</m:t>
                  </m:r>
                </m:e>
              </m:bar>
            </m:oMath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B0</w:t>
            </w:r>
          </w:p>
        </w:tc>
        <w:tc>
          <w:p>
            <w:pPr>
              <w:pStyle w:val="Compact"/>
              <w:jc w:val="center"/>
            </w:pPr>
            <w:r>
              <w:t xml:space="preserve">0.828</w:t>
            </w:r>
          </w:p>
        </w:tc>
        <w:tc>
          <w:p>
            <w:pPr>
              <w:pStyle w:val="Compact"/>
              <w:jc w:val="center"/>
            </w:pPr>
            <w:r>
              <w:t xml:space="preserve">0.736</w:t>
            </w:r>
          </w:p>
        </w:tc>
        <w:tc>
          <w:p>
            <w:pPr>
              <w:pStyle w:val="Compact"/>
              <w:jc w:val="center"/>
            </w:pPr>
            <w:r>
              <w:t xml:space="preserve">0.911</w:t>
            </w:r>
          </w:p>
        </w:tc>
        <w:tc>
          <w:p>
            <w:pPr>
              <w:pStyle w:val="Compact"/>
              <w:jc w:val="center"/>
            </w:pPr>
            <w:r>
              <w:t xml:space="preserve">0.628</w:t>
            </w:r>
          </w:p>
        </w:tc>
        <w:tc>
          <w:p>
            <w:pPr>
              <w:pStyle w:val="Compact"/>
              <w:jc w:val="center"/>
            </w:pPr>
            <w:r>
              <w:t xml:space="preserve">0.391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B1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0.851</w:t>
            </w:r>
          </w:p>
        </w:tc>
        <w:tc>
          <w:p>
            <w:pPr>
              <w:pStyle w:val="Compact"/>
              <w:jc w:val="center"/>
            </w:pPr>
            <w:r>
              <w:t xml:space="preserve">0.740</w:t>
            </w:r>
          </w:p>
        </w:tc>
        <w:tc>
          <w:p>
            <w:pPr>
              <w:pStyle w:val="Compact"/>
              <w:jc w:val="center"/>
            </w:pPr>
            <w:r>
              <w:t xml:space="preserve">0.928</w:t>
            </w:r>
          </w:p>
        </w:tc>
        <w:tc>
          <w:p>
            <w:pPr>
              <w:pStyle w:val="Compact"/>
              <w:jc w:val="center"/>
            </w:pPr>
            <w:r>
              <w:t xml:space="preserve">0.624</w:t>
            </w:r>
          </w:p>
        </w:tc>
        <w:tc>
          <w:p>
            <w:pPr>
              <w:pStyle w:val="Compact"/>
              <w:jc w:val="center"/>
            </w:pPr>
            <w:r>
              <w:t xml:space="preserve">0.436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M0</w:t>
            </w:r>
          </w:p>
        </w:tc>
        <w:tc>
          <w:p>
            <w:pPr>
              <w:pStyle w:val="Compact"/>
              <w:jc w:val="center"/>
            </w:pPr>
            <w:r>
              <w:t xml:space="preserve">0.848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0.826</w:t>
            </w:r>
          </w:p>
        </w:tc>
        <w:tc>
          <w:p>
            <w:pPr>
              <w:pStyle w:val="Compact"/>
              <w:jc w:val="center"/>
            </w:pPr>
            <w:r>
              <w:t xml:space="preserve">0.857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0.808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0.162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p>
            <w:pPr>
              <w:pStyle w:val="Compact"/>
              <w:jc w:val="center"/>
            </w:pPr>
            <w:r>
              <w:t xml:space="preserve">0.839</w:t>
            </w:r>
          </w:p>
        </w:tc>
        <w:tc>
          <w:p>
            <w:pPr>
              <w:pStyle w:val="Compact"/>
              <w:jc w:val="center"/>
            </w:pPr>
            <w:r>
              <w:t xml:space="preserve">0.803</w:t>
            </w:r>
          </w:p>
        </w:tc>
        <w:tc>
          <w:p>
            <w:pPr>
              <w:pStyle w:val="Compact"/>
              <w:jc w:val="center"/>
            </w:pPr>
            <w:r>
              <w:t xml:space="preserve">0.860</w:t>
            </w:r>
          </w:p>
        </w:tc>
        <w:tc>
          <w:p>
            <w:pPr>
              <w:pStyle w:val="Compact"/>
              <w:jc w:val="center"/>
            </w:pPr>
            <w:r>
              <w:t xml:space="preserve">0.774</w:t>
            </w:r>
          </w:p>
        </w:tc>
        <w:tc>
          <w:p>
            <w:pPr>
              <w:pStyle w:val="Compact"/>
              <w:jc w:val="center"/>
            </w:pPr>
            <w:r>
              <w:t xml:space="preserve">0.205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p>
            <w:pPr>
              <w:pStyle w:val="Compact"/>
              <w:jc w:val="center"/>
            </w:pPr>
            <w:r>
              <w:t xml:space="preserve">0.836</w:t>
            </w:r>
          </w:p>
        </w:tc>
        <w:tc>
          <w:p>
            <w:pPr>
              <w:pStyle w:val="Compact"/>
              <w:jc w:val="center"/>
            </w:pPr>
            <w:r>
              <w:t xml:space="preserve">0.760</w:t>
            </w:r>
          </w:p>
        </w:tc>
        <w:tc>
          <w:p>
            <w:pPr>
              <w:pStyle w:val="Compact"/>
              <w:jc w:val="center"/>
            </w:pPr>
            <w:r>
              <w:t xml:space="preserve">0.882</w:t>
            </w:r>
          </w:p>
        </w:tc>
        <w:tc>
          <w:p>
            <w:pPr>
              <w:pStyle w:val="Compact"/>
              <w:jc w:val="center"/>
            </w:pPr>
            <w:r>
              <w:t xml:space="preserve">0.673</w:t>
            </w:r>
          </w:p>
        </w:tc>
        <w:tc>
          <w:p>
            <w:pPr>
              <w:pStyle w:val="Compact"/>
              <w:jc w:val="center"/>
            </w:pPr>
            <w:r>
              <w:t xml:space="preserve">0.330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B0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0.826</w:t>
            </w:r>
          </w:p>
        </w:tc>
        <w:tc>
          <w:p>
            <w:pPr>
              <w:pStyle w:val="Compact"/>
              <w:jc w:val="center"/>
            </w:pPr>
            <w:r>
              <w:t xml:space="preserve">0.747</w:t>
            </w:r>
          </w:p>
        </w:tc>
        <w:tc>
          <w:p>
            <w:pPr>
              <w:pStyle w:val="Compact"/>
              <w:jc w:val="center"/>
            </w:pPr>
            <w:r>
              <w:t xml:space="preserve">0.851</w:t>
            </w:r>
          </w:p>
        </w:tc>
        <w:tc>
          <w:p>
            <w:pPr>
              <w:pStyle w:val="Compact"/>
              <w:jc w:val="center"/>
            </w:pPr>
            <w:r>
              <w:t xml:space="preserve">0.683</w:t>
            </w:r>
          </w:p>
        </w:tc>
        <w:tc>
          <w:p>
            <w:pPr>
              <w:pStyle w:val="Compact"/>
              <w:jc w:val="center"/>
            </w:pPr>
            <w:r>
              <w:t xml:space="preserve">0.351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B1</w:t>
            </w:r>
          </w:p>
        </w:tc>
        <w:tc>
          <w:p>
            <w:pPr>
              <w:pStyle w:val="Compact"/>
              <w:jc w:val="center"/>
            </w:pPr>
            <w:r>
              <w:t xml:space="preserve">0.763</w:t>
            </w:r>
          </w:p>
        </w:tc>
        <w:tc>
          <w:p>
            <w:pPr>
              <w:pStyle w:val="Compact"/>
              <w:jc w:val="center"/>
            </w:pPr>
            <w:r>
              <w:t xml:space="preserve">0.689</w:t>
            </w:r>
          </w:p>
        </w:tc>
        <w:tc>
          <w:p>
            <w:pPr>
              <w:pStyle w:val="Compact"/>
              <w:jc w:val="center"/>
            </w:pPr>
            <w:r>
              <w:t xml:space="preserve">0.795</w:t>
            </w:r>
          </w:p>
        </w:tc>
        <w:tc>
          <w:p>
            <w:pPr>
              <w:pStyle w:val="Compact"/>
              <w:jc w:val="center"/>
            </w:pPr>
            <w:r>
              <w:t xml:space="preserve">0.622</w:t>
            </w:r>
          </w:p>
        </w:tc>
        <w:tc>
          <w:p>
            <w:pPr>
              <w:pStyle w:val="Compact"/>
              <w:jc w:val="center"/>
            </w:pPr>
            <w:r>
              <w:t xml:space="preserve">0.399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M0</w:t>
            </w:r>
          </w:p>
        </w:tc>
        <w:tc>
          <w:p>
            <w:pPr>
              <w:pStyle w:val="Compact"/>
              <w:jc w:val="center"/>
            </w:pPr>
            <w:r>
              <w:t xml:space="preserve">0.748</w:t>
            </w:r>
          </w:p>
        </w:tc>
        <w:tc>
          <w:p>
            <w:pPr>
              <w:pStyle w:val="Compact"/>
              <w:jc w:val="center"/>
            </w:pPr>
            <w:r>
              <w:t xml:space="preserve">0.777</w:t>
            </w:r>
          </w:p>
        </w:tc>
        <w:tc>
          <w:p>
            <w:pPr>
              <w:pStyle w:val="Compact"/>
              <w:jc w:val="center"/>
            </w:pPr>
            <w:r>
              <w:t xml:space="preserve">0.732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0.844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0.099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p>
            <w:pPr>
              <w:pStyle w:val="Compact"/>
              <w:jc w:val="center"/>
            </w:pPr>
            <w:r>
              <w:t xml:space="preserve">0.808</w:t>
            </w:r>
          </w:p>
        </w:tc>
        <w:tc>
          <w:p>
            <w:pPr>
              <w:pStyle w:val="Compact"/>
              <w:jc w:val="center"/>
            </w:pPr>
            <w:r>
              <w:t xml:space="preserve">0.782</w:t>
            </w:r>
          </w:p>
        </w:tc>
        <w:tc>
          <w:p>
            <w:pPr>
              <w:pStyle w:val="Compact"/>
              <w:jc w:val="center"/>
            </w:pPr>
            <w:r>
              <w:t xml:space="preserve">0.823</w:t>
            </w:r>
          </w:p>
        </w:tc>
        <w:tc>
          <w:p>
            <w:pPr>
              <w:pStyle w:val="Compact"/>
              <w:jc w:val="center"/>
            </w:pPr>
            <w:r>
              <w:t xml:space="preserve">0.762</w:t>
            </w:r>
          </w:p>
        </w:tc>
        <w:tc>
          <w:p>
            <w:pPr>
              <w:pStyle w:val="Compact"/>
              <w:jc w:val="center"/>
            </w:pPr>
            <w:r>
              <w:t xml:space="preserve">0.205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p>
            <w:pPr>
              <w:pStyle w:val="Compact"/>
              <w:jc w:val="center"/>
            </w:pPr>
            <w:r>
              <w:t xml:space="preserve">0.778</w:t>
            </w:r>
          </w:p>
        </w:tc>
        <w:tc>
          <w:p>
            <w:pPr>
              <w:pStyle w:val="Compact"/>
              <w:jc w:val="center"/>
            </w:pPr>
            <w:r>
              <w:t xml:space="preserve">0.706</w:t>
            </w:r>
          </w:p>
        </w:tc>
        <w:tc>
          <w:p>
            <w:pPr>
              <w:pStyle w:val="Compact"/>
              <w:jc w:val="center"/>
            </w:pPr>
            <w:r>
              <w:t xml:space="preserve">0.819</w:t>
            </w:r>
          </w:p>
        </w:tc>
        <w:tc>
          <w:p>
            <w:pPr>
              <w:pStyle w:val="Compact"/>
              <w:jc w:val="center"/>
            </w:pPr>
            <w:r>
              <w:t xml:space="preserve">0.641</w:t>
            </w:r>
          </w:p>
        </w:tc>
        <w:tc>
          <w:p>
            <w:pPr>
              <w:pStyle w:val="Compact"/>
              <w:jc w:val="center"/>
            </w:pPr>
            <w:r>
              <w:t xml:space="preserve">0.376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B0</w:t>
            </w:r>
          </w:p>
        </w:tc>
        <w:tc>
          <w:p>
            <w:pPr>
              <w:pStyle w:val="Compact"/>
              <w:jc w:val="center"/>
            </w:pPr>
            <w:r>
              <w:t xml:space="preserve">0.731</w:t>
            </w:r>
          </w:p>
        </w:tc>
        <w:tc>
          <w:p>
            <w:pPr>
              <w:pStyle w:val="Compact"/>
              <w:jc w:val="center"/>
            </w:pPr>
            <w:r>
              <w:t xml:space="preserve">0.725</w:t>
            </w:r>
          </w:p>
        </w:tc>
        <w:tc>
          <w:p>
            <w:pPr>
              <w:pStyle w:val="Compact"/>
              <w:jc w:val="center"/>
            </w:pPr>
            <w:r>
              <w:t xml:space="preserve">0.737</w:t>
            </w:r>
          </w:p>
        </w:tc>
        <w:tc>
          <w:p>
            <w:pPr>
              <w:pStyle w:val="Compact"/>
              <w:jc w:val="center"/>
            </w:pPr>
            <w:r>
              <w:t xml:space="preserve">0.722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0.176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B1</w:t>
            </w:r>
          </w:p>
        </w:tc>
        <w:tc>
          <w:p>
            <w:pPr>
              <w:pStyle w:val="Compact"/>
              <w:jc w:val="center"/>
            </w:pPr>
            <w:r>
              <w:t xml:space="preserve">0.768</w:t>
            </w:r>
          </w:p>
        </w:tc>
        <w:tc>
          <w:p>
            <w:pPr>
              <w:pStyle w:val="Compact"/>
              <w:jc w:val="center"/>
            </w:pPr>
            <w:r>
              <w:t xml:space="preserve">0.701</w:t>
            </w:r>
          </w:p>
        </w:tc>
        <w:tc>
          <w:p>
            <w:pPr>
              <w:pStyle w:val="Compact"/>
              <w:jc w:val="center"/>
            </w:pPr>
            <w:r>
              <w:t xml:space="preserve">0.815</w:t>
            </w:r>
          </w:p>
        </w:tc>
        <w:tc>
          <w:p>
            <w:pPr>
              <w:pStyle w:val="Compact"/>
              <w:jc w:val="center"/>
            </w:pPr>
            <w:r>
              <w:t xml:space="preserve">0.628</w:t>
            </w:r>
          </w:p>
        </w:tc>
        <w:tc>
          <w:p>
            <w:pPr>
              <w:pStyle w:val="Compact"/>
              <w:jc w:val="center"/>
            </w:pPr>
            <w:r>
              <w:t xml:space="preserve">0.365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M0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0.783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0.789</w:t>
            </w:r>
          </w:p>
        </w:tc>
        <w:tc>
          <w:p>
            <w:pPr>
              <w:pStyle w:val="Compact"/>
              <w:jc w:val="center"/>
            </w:pPr>
            <w:r>
              <w:t xml:space="preserve">0.781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0.798</w:t>
            </w:r>
          </w:p>
        </w:tc>
        <w:tc>
          <w:p>
            <w:pPr>
              <w:pStyle w:val="Compact"/>
              <w:jc w:val="center"/>
            </w:pPr>
            <w:r>
              <w:t xml:space="preserve">0.138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p>
            <w:pPr>
              <w:pStyle w:val="Compact"/>
              <w:jc w:val="center"/>
            </w:pPr>
            <w:r>
              <w:t xml:space="preserve">0.700</w:t>
            </w:r>
          </w:p>
        </w:tc>
        <w:tc>
          <w:p>
            <w:pPr>
              <w:pStyle w:val="Compact"/>
              <w:jc w:val="center"/>
            </w:pPr>
            <w:r>
              <w:t xml:space="preserve">0.735</w:t>
            </w:r>
          </w:p>
        </w:tc>
        <w:tc>
          <w:p>
            <w:pPr>
              <w:pStyle w:val="Compact"/>
              <w:jc w:val="center"/>
            </w:pPr>
            <w:r>
              <w:t xml:space="preserve">0.696</w:t>
            </w:r>
          </w:p>
        </w:tc>
        <w:tc>
          <w:p>
            <w:pPr>
              <w:pStyle w:val="Compact"/>
              <w:jc w:val="center"/>
            </w:pPr>
            <w:r>
              <w:t xml:space="preserve">0.787</w:t>
            </w:r>
          </w:p>
        </w:tc>
        <w:tc>
          <w:p>
            <w:pPr>
              <w:pStyle w:val="Compact"/>
              <w:jc w:val="center"/>
            </w:pPr>
            <w:r>
              <w:t xml:space="preserve">0.111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p>
            <w:pPr>
              <w:pStyle w:val="Compact"/>
              <w:jc w:val="center"/>
            </w:pPr>
            <w:r>
              <w:t xml:space="preserve">0.744</w:t>
            </w:r>
          </w:p>
        </w:tc>
        <w:tc>
          <w:p>
            <w:pPr>
              <w:pStyle w:val="Compact"/>
              <w:jc w:val="center"/>
            </w:pPr>
            <w:r>
              <w:t xml:space="preserve">0.698</w:t>
            </w:r>
          </w:p>
        </w:tc>
        <w:tc>
          <w:p>
            <w:pPr>
              <w:pStyle w:val="Compact"/>
              <w:jc w:val="center"/>
            </w:pPr>
            <w:r>
              <w:t xml:space="preserve">0.762</w:t>
            </w:r>
          </w:p>
        </w:tc>
        <w:tc>
          <w:p>
            <w:pPr>
              <w:pStyle w:val="Compact"/>
              <w:jc w:val="center"/>
            </w:pPr>
            <w:r>
              <w:t xml:space="preserve">0.645</w:t>
            </w:r>
          </w:p>
        </w:tc>
        <w:tc>
          <w:p>
            <w:pPr>
              <w:pStyle w:val="Compact"/>
              <w:jc w:val="center"/>
            </w:pPr>
            <w:r>
              <w:t xml:space="preserve">0.306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B0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0.801</w:t>
            </w:r>
          </w:p>
        </w:tc>
        <w:tc>
          <w:p>
            <w:pPr>
              <w:pStyle w:val="Compact"/>
              <w:jc w:val="center"/>
            </w:pPr>
            <w:r>
              <w:t xml:space="preserve">0.737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0.854</w:t>
            </w:r>
          </w:p>
        </w:tc>
        <w:tc>
          <w:p>
            <w:pPr>
              <w:pStyle w:val="Compact"/>
              <w:jc w:val="center"/>
            </w:pPr>
            <w:r>
              <w:t xml:space="preserve">0.666</w:t>
            </w:r>
          </w:p>
        </w:tc>
        <w:tc>
          <w:p>
            <w:pPr>
              <w:pStyle w:val="Compact"/>
              <w:jc w:val="center"/>
            </w:pPr>
            <w:r>
              <w:t xml:space="preserve">0.320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B1</w:t>
            </w:r>
          </w:p>
        </w:tc>
        <w:tc>
          <w:p>
            <w:pPr>
              <w:pStyle w:val="Compact"/>
              <w:jc w:val="center"/>
            </w:pPr>
            <w:r>
              <w:t xml:space="preserve">0.796</w:t>
            </w:r>
          </w:p>
        </w:tc>
        <w:tc>
          <w:p>
            <w:pPr>
              <w:pStyle w:val="Compact"/>
              <w:jc w:val="center"/>
            </w:pPr>
            <w:r>
              <w:t xml:space="preserve">0.711</w:t>
            </w:r>
          </w:p>
        </w:tc>
        <w:tc>
          <w:p>
            <w:pPr>
              <w:pStyle w:val="Compact"/>
              <w:jc w:val="center"/>
            </w:pPr>
            <w:r>
              <w:t xml:space="preserve">0.871</w:t>
            </w:r>
          </w:p>
        </w:tc>
        <w:tc>
          <w:p>
            <w:pPr>
              <w:pStyle w:val="Compact"/>
              <w:jc w:val="center"/>
            </w:pPr>
            <w:r>
              <w:t xml:space="preserve">0.611</w:t>
            </w:r>
          </w:p>
        </w:tc>
        <w:tc>
          <w:p>
            <w:pPr>
              <w:pStyle w:val="Compact"/>
              <w:jc w:val="center"/>
            </w:pPr>
            <w:r>
              <w:t xml:space="preserve">0.385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M0</w:t>
            </w:r>
          </w:p>
        </w:tc>
        <w:tc>
          <w:p>
            <w:pPr>
              <w:pStyle w:val="Compact"/>
              <w:jc w:val="center"/>
            </w:pPr>
            <w:r>
              <w:t xml:space="preserve">0.794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0.798</w:t>
            </w:r>
          </w:p>
        </w:tc>
        <w:tc>
          <w:p>
            <w:pPr>
              <w:pStyle w:val="Compact"/>
              <w:jc w:val="center"/>
            </w:pPr>
            <w:r>
              <w:t xml:space="preserve">0.793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0.813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0.130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p>
            <w:pPr>
              <w:pStyle w:val="Compact"/>
              <w:jc w:val="center"/>
            </w:pPr>
            <w:r>
              <w:t xml:space="preserve">0.790</w:t>
            </w:r>
          </w:p>
        </w:tc>
        <w:tc>
          <w:p>
            <w:pPr>
              <w:pStyle w:val="Compact"/>
              <w:jc w:val="center"/>
            </w:pPr>
            <w:r>
              <w:t xml:space="preserve">0.776</w:t>
            </w:r>
          </w:p>
        </w:tc>
        <w:tc>
          <w:p>
            <w:pPr>
              <w:pStyle w:val="Compact"/>
              <w:jc w:val="center"/>
            </w:pPr>
            <w:r>
              <w:t xml:space="preserve">0.801</w:t>
            </w:r>
          </w:p>
        </w:tc>
        <w:tc>
          <w:p>
            <w:pPr>
              <w:pStyle w:val="Compact"/>
              <w:jc w:val="center"/>
            </w:pPr>
            <w:r>
              <w:t xml:space="preserve">0.768</w:t>
            </w:r>
          </w:p>
        </w:tc>
        <w:tc>
          <w:p>
            <w:pPr>
              <w:pStyle w:val="Compact"/>
              <w:jc w:val="center"/>
            </w:pPr>
            <w:r>
              <w:t xml:space="preserve">0.179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p>
            <w:pPr>
              <w:pStyle w:val="Compact"/>
              <w:jc w:val="center"/>
            </w:pPr>
            <w:r>
              <w:t xml:space="preserve">0.790</w:t>
            </w:r>
          </w:p>
        </w:tc>
        <w:tc>
          <w:p>
            <w:pPr>
              <w:pStyle w:val="Compact"/>
              <w:jc w:val="center"/>
            </w:pPr>
            <w:r>
              <w:t xml:space="preserve">0.724</w:t>
            </w:r>
          </w:p>
        </w:tc>
        <w:tc>
          <w:p>
            <w:pPr>
              <w:pStyle w:val="Compact"/>
              <w:jc w:val="center"/>
            </w:pPr>
            <w:r>
              <w:t xml:space="preserve">0.844</w:t>
            </w:r>
          </w:p>
        </w:tc>
        <w:tc>
          <w:p>
            <w:pPr>
              <w:pStyle w:val="Compact"/>
              <w:jc w:val="center"/>
            </w:pPr>
            <w:r>
              <w:t xml:space="preserve">0.642</w:t>
            </w:r>
          </w:p>
        </w:tc>
        <w:tc>
          <w:p>
            <w:pPr>
              <w:pStyle w:val="Compact"/>
              <w:jc w:val="center"/>
            </w:pPr>
            <w:r>
              <w:t xml:space="preserve">0.339</w:t>
            </w:r>
          </w:p>
        </w:tc>
      </w:tr>
    </w:tbl>
    <w:bookmarkEnd w:id="122"/>
    <w:p>
      <w:pPr>
        <w:pStyle w:val="BodyText"/>
      </w:pPr>
      <w:r>
        <w:t xml:space="preserve">The point estimates above are computed under the upsampled-positive class</w:t>
      </w:r>
      <w:r>
        <w:t xml:space="preserve"> </w:t>
      </w:r>
      <w:r>
        <w:t xml:space="preserve">distribution (positive rate</w:t>
      </w:r>
      <w:r>
        <w:t xml:space="preserve"> </w:t>
      </w:r>
      <m:oMath>
        <m:r>
          <m:t>41.5</m:t>
        </m:r>
        <m:r>
          <m:t>%</m:t>
        </m:r>
      </m:oMath>
      <w:r>
        <w:t xml:space="preserve">, Section </w:t>
      </w:r>
      <w:hyperlink w:anchor="sec:meth:sampling">
        <w:r>
          <w:rPr>
            <w:rStyle w:val="Hyperlink"/>
          </w:rPr>
          <w:t xml:space="preserve">4.2.0.0.1</w:t>
        </w:r>
      </w:hyperlink>
      <w:r>
        <w:t xml:space="preserve">). Reweighting</w:t>
      </w:r>
      <w:r>
        <w:t xml:space="preserve"> </w:t>
      </w:r>
      <w:r>
        <w:t xml:space="preserve">each negative-label sample by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neg</m:t>
            </m:r>
          </m:sub>
        </m:sSub>
        <m:r>
          <m:t>=</m:t>
        </m:r>
        <m:r>
          <m:t>0.7</m:t>
        </m:r>
        <m:r>
          <m:t>/</m:t>
        </m:r>
        <m:r>
          <m:t>0.585</m:t>
        </m:r>
        <m:r>
          <m:t>≈</m:t>
        </m:r>
        <m:r>
          <m:t>1.196</m:t>
        </m:r>
      </m:oMath>
      <w:r>
        <w:t xml:space="preserve"> </w:t>
      </w:r>
      <w:r>
        <w:t xml:space="preserve">(equivalently, undoing the sampler’s</w:t>
      </w:r>
      <w:r>
        <w:t xml:space="preserve"> </w:t>
      </w:r>
      <m:oMath>
        <m:r>
          <m:t>≈</m:t>
        </m:r>
        <m:r>
          <m:t>60</m:t>
        </m:r>
        <m:r>
          <m:t>%</m:t>
        </m:r>
      </m:oMath>
      <w:r>
        <w:t xml:space="preserve"> </w:t>
      </w:r>
      <w:r>
        <w:t xml:space="preserve">negative-retention rate)</w:t>
      </w:r>
      <w:r>
        <w:t xml:space="preserve"> </w:t>
      </w:r>
      <w:r>
        <w:t xml:space="preserve">recovers CUAD’s natural</w:t>
      </w:r>
      <w:r>
        <w:t xml:space="preserve"> </w:t>
      </w:r>
      <m:oMath>
        <m:r>
          <m:t>≈</m:t>
        </m:r>
        <m:r>
          <m:t>30</m:t>
        </m:r>
        <m:r>
          <m:t>%</m:t>
        </m:r>
      </m:oMath>
      <w:r>
        <w:t xml:space="preserve"> </w:t>
      </w:r>
      <w:r>
        <w:t xml:space="preserve">positive prevalence and yields, on</w:t>
      </w:r>
      <w:r>
        <w:t xml:space="preserve"> </w:t>
      </w:r>
      <w:r>
        <w:t xml:space="preserve">the panel-pooled mean,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</m:e>
        </m:bar>
        <m:r>
          <m:t>(</m:t>
        </m:r>
        <m:r>
          <m:rPr>
            <m:nor/>
            <m:sty m:val="p"/>
          </m:rPr>
          <m:t>B0</m:t>
        </m:r>
        <m:r>
          <m:t>)</m:t>
        </m:r>
        <m:r>
          <m:t>=</m:t>
        </m:r>
        <m:r>
          <m:t>0.787</m:t>
        </m:r>
      </m:oMath>
      <w:r>
        <w:t xml:space="preserve"> </w:t>
      </w:r>
      <w:r>
        <w:t xml:space="preserve">and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</m:e>
        </m:bar>
        <m:r>
          <m:t>(</m:t>
        </m:r>
        <m:r>
          <m:rPr>
            <m:nor/>
            <m:sty m:val="p"/>
          </m:rPr>
          <m:t>M0</m:t>
        </m:r>
        <m:r>
          <m:t>)</m:t>
        </m:r>
        <m:r>
          <m:t>=</m:t>
        </m:r>
        <m:r>
          <m:t>0.788</m:t>
        </m:r>
      </m:oMath>
      <w:r>
        <w:t xml:space="preserve"> </w:t>
      </w:r>
      <w:r>
        <w:t xml:space="preserve">(delta</w:t>
      </w:r>
      <w:r>
        <w:t xml:space="preserve"> </w:t>
      </w:r>
      <m:oMath>
        <m:r>
          <m:t>+</m:t>
        </m:r>
        <m:r>
          <m:t>0.001</m:t>
        </m:r>
      </m:oMath>
      <w:r>
        <w:t xml:space="preserve"> </w:t>
      </w:r>
      <w:r>
        <w:t xml:space="preserve">in M0’s favour, vs. </w:t>
      </w:r>
      <m:oMath>
        <m:r>
          <m:t>−</m:t>
        </m:r>
        <m:r>
          <m:t>0.007</m:t>
        </m:r>
      </m:oMath>
      <w:r>
        <w:t xml:space="preserve"> </w:t>
      </w:r>
      <w:r>
        <w:t xml:space="preserve">under upsampling);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bar>
        <m:r>
          <m:t>(</m:t>
        </m:r>
        <m:r>
          <m:rPr>
            <m:nor/>
            <m:sty m:val="p"/>
          </m:rPr>
          <m:t>M0</m:t>
        </m:r>
        <m:r>
          <m:t>)</m:t>
        </m:r>
      </m:oMath>
      <w:r>
        <w:t xml:space="preserve"> </w:t>
      </w:r>
      <w:r>
        <w:t xml:space="preserve">widens its lead from</w:t>
      </w:r>
      <w:r>
        <w:t xml:space="preserve"> </w:t>
      </w:r>
      <m:oMath>
        <m:r>
          <m:t>+</m:t>
        </m:r>
        <m:r>
          <m:t>0.061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+</m:t>
        </m:r>
        <m:r>
          <m:t>0.073</m:t>
        </m:r>
      </m:oMath>
      <w:r>
        <w:t xml:space="preserve">. Both reweighted deltas remain inside the</w:t>
      </w:r>
      <w:r>
        <w:t xml:space="preserve"> </w:t>
      </w:r>
      <m:oMath>
        <m:r>
          <m:t>|</m:t>
        </m:r>
        <m:r>
          <m:t>Δ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t>|</m:t>
        </m:r>
        <m:r>
          <m:t>≥</m:t>
        </m:r>
        <m:r>
          <m:t>0.025</m:t>
        </m:r>
      </m:oMath>
      <w:r>
        <w:t xml:space="preserve"> </w:t>
      </w:r>
      <w:r>
        <w:t xml:space="preserve">inconclusive band of Section </w:t>
      </w:r>
      <w:hyperlink w:anchor="sec:meth:stats">
        <w:r>
          <w:rPr>
            <w:rStyle w:val="Hyperlink"/>
          </w:rPr>
          <w:t xml:space="preserve">4.6</w:t>
        </w:r>
      </w:hyperlink>
      <w:r>
        <w:t xml:space="preserve">, and</w:t>
      </w:r>
      <w:r>
        <w:t xml:space="preserve"> </w:t>
      </w:r>
      <w:r>
        <w:t xml:space="preserve">the qualitative H1 verdict is therefore preserved across the two</w:t>
      </w:r>
      <w:r>
        <w:t xml:space="preserve"> </w:t>
      </w:r>
      <w:r>
        <w:t xml:space="preserve">distributions; what shifts is the direction of the small pooled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gap.</w:t>
      </w:r>
      <w:r>
        <w:rPr>
          <w:rStyle w:val="FootnoteReference"/>
        </w:rPr>
        <w:footnoteReference w:id="123"/>
      </w:r>
    </w:p>
    <w:p>
      <w:pPr>
        <w:pStyle w:val="BodyText"/>
      </w:pPr>
      <w:r>
        <w:t xml:space="preserve">The pooled means tell two stories. 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 (B0) is nominally best</w:t>
      </w:r>
      <w:r>
        <w:t xml:space="preserve"> </w:t>
      </w:r>
      <w:r>
        <w:t xml:space="preserve">at</w:t>
      </w:r>
      <w:r>
        <w:t xml:space="preserve"> </w:t>
      </w:r>
      <m:oMath>
        <m:r>
          <m:t>0.801</m:t>
        </m:r>
      </m:oMath>
      <w:r>
        <w:t xml:space="preserve"> </w:t>
      </w:r>
      <w:r>
        <w:t xml:space="preserve">with all five configurations within a</w:t>
      </w:r>
      <w:r>
        <w:t xml:space="preserve"> </w:t>
      </w:r>
      <m:oMath>
        <m:r>
          <m:t>0.011</m:t>
        </m:r>
      </m:oMath>
      <w:r>
        <w:t xml:space="preserve">-point band. 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 (M0) is best at</w:t>
      </w:r>
      <w:r>
        <w:t xml:space="preserve"> </w:t>
      </w:r>
      <m:oMath>
        <m:r>
          <m:t>0.798</m:t>
        </m:r>
      </m:oMath>
      <w:r>
        <w:t xml:space="preserve"> </w:t>
      </w:r>
      <w:r>
        <w:t xml:space="preserve">with a</w:t>
      </w:r>
      <w:r>
        <w:t xml:space="preserve"> </w:t>
      </w:r>
      <m:oMath>
        <m:r>
          <m:t>0.087</m:t>
        </m:r>
      </m:oMath>
      <w:r>
        <w:t xml:space="preserve">-point spread. The divergence is</w:t>
      </w:r>
      <w:r>
        <w:t xml:space="preserve"> </w:t>
      </w:r>
      <w:r>
        <w:t xml:space="preserve">mechanistic: B0 has the highest recall (</w:t>
      </w:r>
      <m:oMath>
        <m:r>
          <m:t>0.854</m:t>
        </m:r>
      </m:oMath>
      <w:r>
        <w:t xml:space="preserve">) and the second-highest</w:t>
      </w:r>
      <w:r>
        <w:t xml:space="preserve"> </w:t>
      </w:r>
      <w:r>
        <w:t xml:space="preserve">over-extraction rate (</w:t>
      </w:r>
      <m:oMath>
        <m:r>
          <m:t>0.320</m:t>
        </m:r>
      </m:oMath>
      <w:r>
        <w:t xml:space="preserve">), while M0 has the highest precision (</w:t>
      </w:r>
      <m:oMath>
        <m:r>
          <m:t>0.813</m:t>
        </m:r>
      </m:oMath>
      <w:r>
        <w:t xml:space="preserve">) and</w:t>
      </w:r>
      <w:r>
        <w:t xml:space="preserve"> </w:t>
      </w:r>
      <w:r>
        <w:t xml:space="preserve">the lowest over-extraction rate (</w:t>
      </w:r>
      <m:oMath>
        <m:r>
          <m:t>0.130</m:t>
        </m:r>
      </m:oMath>
      <w:r>
        <w:t xml:space="preserve">). The</w:t>
      </w:r>
      <w:r>
        <w:t xml:space="preserve"> </w:t>
      </w:r>
      <m:oMath>
        <m:r>
          <m:t>β</m:t>
        </m:r>
        <m:r>
          <m:t>=</m:t>
        </m:r>
        <m:r>
          <m:t>2</m:t>
        </m:r>
      </m:oMath>
      <w:r>
        <w:t xml:space="preserve"> </w:t>
      </w:r>
      <w:r>
        <w:t xml:space="preserve">weighting of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rewards ’s recall;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’s equal weighting rewards ’s calibration.</w:t>
      </w:r>
    </w:p>
    <w:p>
      <w:pPr>
        <w:pStyle w:val="BodyText"/>
      </w:pPr>
      <w:r>
        <w:t xml:space="preserve">Figure </w:t>
      </w:r>
      <w:hyperlink w:anchor="fig:family-config">
        <w:r>
          <w:rPr>
            <w:rStyle w:val="Hyperlink"/>
          </w:rPr>
          <w:t xml:space="preserve">[fig:family-config]</w:t>
        </w:r>
      </w:hyperlink>
      <w:r>
        <w:t xml:space="preserve"> </w:t>
      </w:r>
      <w:r>
        <w:t xml:space="preserve">visualises the model-family interaction: each</w:t>
      </w:r>
      <w:r>
        <w:t xml:space="preserve"> </w:t>
      </w:r>
      <w:r>
        <w:t xml:space="preserve">family peaks under a different configuration.</w:t>
      </w:r>
    </w:p>
    <w:p>
      <w:pPr>
        <w:pStyle w:val="BodyText"/>
      </w:pPr>
      <w:r>
        <w:rPr>
          <w:i/>
        </w:rPr>
        <w:t xml:space="preserve">[Figure/diagram in LaTeX source (tikzpicture); see PDF]</w:t>
      </w:r>
    </w:p>
    <w:p>
      <w:pPr>
        <w:pStyle w:val="BodyText"/>
      </w:pPr>
      <w:r>
        <w:t xml:space="preserve">Table </w:t>
      </w:r>
      <w:hyperlink w:anchor="tab:h1-f2">
        <w:r>
          <w:rPr>
            <w:rStyle w:val="Hyperlink"/>
          </w:rPr>
          <w:t xml:space="preserve">6.3</w:t>
        </w:r>
      </w:hyperlink>
      <w:r>
        <w:t xml:space="preserve"> </w:t>
      </w:r>
      <w:r>
        <w:t xml:space="preserve">reports per-model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. No configuration is uniformly</w:t>
      </w:r>
      <w:r>
        <w:t xml:space="preserve"> </w:t>
      </w:r>
      <w:r>
        <w:t xml:space="preserve">best: B0 wins on 4 models, M0 on 4, B1 on 2, and M1 on 1. The ranking also</w:t>
      </w:r>
      <w:r>
        <w:t xml:space="preserve"> </w:t>
      </w:r>
      <w:r>
        <w:t xml:space="preserve">varies with model compute tier (Figure </w:t>
      </w:r>
      <w:hyperlink w:anchor="fig:tier-heatmap">
        <w:r>
          <w:rPr>
            <w:rStyle w:val="Hyperlink"/>
          </w:rPr>
          <w:t xml:space="preserve">[fig:tier-heatmap]</w:t>
        </w:r>
      </w:hyperlink>
      <w:r>
        <w:t xml:space="preserve">):  leads</w:t>
      </w:r>
      <w:r>
        <w:t xml:space="preserve"> </w:t>
      </w:r>
      <w:r>
        <w:t xml:space="preserve">on light- and mid-tier models, while  leads on heavy models, qualifying</w:t>
      </w:r>
      <w:r>
        <w:t xml:space="preserve"> </w:t>
      </w:r>
      <w:r>
        <w:t xml:space="preserve">contribution C2.</w:t>
      </w:r>
    </w:p>
    <w:bookmarkStart w:id="124" w:name="tab:h1-f2"/>
    <w:p>
      <w:pPr>
        <w:pStyle w:val="TableCaption"/>
      </w:pP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 model and configuration. Bold: best per row.</w:t>
      </w:r>
      <w:r>
        <w:t xml:space="preserve"> </w:t>
      </w:r>
      <w:r>
        <w:t xml:space="preserve">Configuration names defined in Table </w:t>
      </w:r>
      <w:hyperlink w:anchor="tab:configs">
        <w:r>
          <w:rPr>
            <w:rStyle w:val="Hyperlink"/>
          </w:rPr>
          <w:t xml:space="preserve">4.1</w:t>
        </w:r>
      </w:hyperlink>
      <w:r>
        <w:t xml:space="preserve">.</w:t>
      </w:r>
      <w:r>
        <w:t xml:space="preserve"> </w:t>
      </w:r>
      <w:r>
        <w:t xml:space="preserve">The family interaction is pronounced: the Anthropic family peaks under  (B1), the Google family under  (B0), and the OpenAI family under</w:t>
      </w:r>
      <w:r>
        <w:t xml:space="preserve"> </w:t>
      </w:r>
      <w:r>
        <w:t xml:space="preserve"> (M0).</w:t>
      </w:r>
    </w:p>
    <w:tbl>
      <w:tblPr>
        <w:tblStyle w:val="Table"/>
        <w:tblW w:type="pct" w:w="0.0"/>
        <w:tblLook w:firstRow="1"/>
        <w:tblCaption w:val="F_2 by model and configuration. Bold: best per row. Configuration names defined in Table 4.1. The family interaction is pronounced: the Anthropic family peaks under  (B1), the Google family under  (B0), and the OpenAI family under  (M0)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m:oMath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(B0)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m:oMath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(B1)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m:oMath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(M0)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m:oMath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(M1)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m:oMath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(M2)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Claude Haiku 4.5</w:t>
            </w:r>
          </w:p>
        </w:tc>
        <w:tc>
          <w:p>
            <w:pPr>
              <w:pStyle w:val="Compact"/>
              <w:jc w:val="center"/>
            </w:pPr>
            <w:r>
              <w:t xml:space="preserve">0.783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0.849</w:t>
            </w:r>
          </w:p>
        </w:tc>
        <w:tc>
          <w:p>
            <w:pPr>
              <w:pStyle w:val="Compact"/>
              <w:jc w:val="center"/>
            </w:pPr>
            <w:r>
              <w:t xml:space="preserve">0.792</w:t>
            </w:r>
          </w:p>
        </w:tc>
        <w:tc>
          <w:p>
            <w:pPr>
              <w:pStyle w:val="Compact"/>
              <w:jc w:val="center"/>
            </w:pPr>
            <w:r>
              <w:t xml:space="preserve">0.835</w:t>
            </w:r>
          </w:p>
        </w:tc>
        <w:tc>
          <w:p>
            <w:pPr>
              <w:pStyle w:val="Compact"/>
              <w:jc w:val="center"/>
            </w:pPr>
            <w:r>
              <w:t xml:space="preserve">0.822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Claude Opus 4.6</w:t>
            </w:r>
          </w:p>
        </w:tc>
        <w:tc>
          <w:p>
            <w:pPr>
              <w:pStyle w:val="Compact"/>
              <w:jc w:val="center"/>
            </w:pPr>
            <w:r>
              <w:t xml:space="preserve">0.863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0.865</w:t>
            </w:r>
          </w:p>
        </w:tc>
        <w:tc>
          <w:p>
            <w:pPr>
              <w:pStyle w:val="Compact"/>
              <w:jc w:val="center"/>
            </w:pPr>
            <w:r>
              <w:t xml:space="preserve">0.864</w:t>
            </w:r>
          </w:p>
        </w:tc>
        <w:tc>
          <w:p>
            <w:pPr>
              <w:pStyle w:val="Compact"/>
              <w:jc w:val="center"/>
            </w:pPr>
            <w:r>
              <w:t xml:space="preserve">0.860</w:t>
            </w:r>
          </w:p>
        </w:tc>
        <w:tc>
          <w:p>
            <w:pPr>
              <w:pStyle w:val="Compact"/>
              <w:jc w:val="center"/>
            </w:pPr>
            <w:r>
              <w:t xml:space="preserve">0.846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Claude Sonnet 4</w:t>
            </w:r>
          </w:p>
        </w:tc>
        <w:tc>
          <w:p>
            <w:pPr>
              <w:pStyle w:val="Compact"/>
              <w:jc w:val="center"/>
            </w:pPr>
            <w:r>
              <w:t xml:space="preserve">0.851</w:t>
            </w:r>
          </w:p>
        </w:tc>
        <w:tc>
          <w:p>
            <w:pPr>
              <w:pStyle w:val="Compact"/>
              <w:jc w:val="center"/>
            </w:pPr>
            <w:r>
              <w:t xml:space="preserve">0.851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0.877</w:t>
            </w:r>
          </w:p>
        </w:tc>
        <w:tc>
          <w:p>
            <w:pPr>
              <w:pStyle w:val="Compact"/>
              <w:jc w:val="center"/>
            </w:pPr>
            <w:r>
              <w:t xml:space="preserve">0.826</w:t>
            </w:r>
          </w:p>
        </w:tc>
        <w:tc>
          <w:p>
            <w:pPr>
              <w:pStyle w:val="Compact"/>
              <w:jc w:val="center"/>
            </w:pPr>
            <w:r>
              <w:t xml:space="preserve">0.842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Claude Sonnet 4.6</w:t>
            </w:r>
          </w:p>
        </w:tc>
        <w:tc>
          <w:p>
            <w:pPr>
              <w:pStyle w:val="Compact"/>
              <w:jc w:val="center"/>
            </w:pPr>
            <w:r>
              <w:t xml:space="preserve">0.813</w:t>
            </w:r>
          </w:p>
        </w:tc>
        <w:tc>
          <w:p>
            <w:pPr>
              <w:pStyle w:val="Compact"/>
              <w:jc w:val="center"/>
            </w:pPr>
            <w:r>
              <w:t xml:space="preserve">0.840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0.860</w:t>
            </w:r>
          </w:p>
        </w:tc>
        <w:tc>
          <w:p>
            <w:pPr>
              <w:pStyle w:val="Compact"/>
              <w:jc w:val="center"/>
            </w:pPr>
            <w:r>
              <w:t xml:space="preserve">0.834</w:t>
            </w:r>
          </w:p>
        </w:tc>
        <w:tc>
          <w:p>
            <w:pPr>
              <w:pStyle w:val="Compact"/>
              <w:jc w:val="center"/>
            </w:pPr>
            <w:r>
              <w:t xml:space="preserve">0.836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Gemini 2.5 Flash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0.829</w:t>
            </w:r>
          </w:p>
        </w:tc>
        <w:tc>
          <w:p>
            <w:pPr>
              <w:pStyle w:val="Compact"/>
              <w:jc w:val="center"/>
            </w:pPr>
            <w:r>
              <w:t xml:space="preserve">0.818</w:t>
            </w:r>
          </w:p>
        </w:tc>
        <w:tc>
          <w:p>
            <w:pPr>
              <w:pStyle w:val="Compact"/>
              <w:jc w:val="center"/>
            </w:pPr>
            <w:r>
              <w:t xml:space="preserve">0.619</w:t>
            </w:r>
          </w:p>
        </w:tc>
        <w:tc>
          <w:p>
            <w:pPr>
              <w:pStyle w:val="Compact"/>
              <w:jc w:val="center"/>
            </w:pPr>
            <w:r>
              <w:t xml:space="preserve">0.810</w:t>
            </w:r>
          </w:p>
        </w:tc>
        <w:tc>
          <w:p>
            <w:pPr>
              <w:pStyle w:val="Compact"/>
              <w:jc w:val="center"/>
            </w:pPr>
            <w:r>
              <w:t xml:space="preserve">0.832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Gemini 2.5 Pro</w:t>
            </w:r>
          </w:p>
        </w:tc>
        <w:tc>
          <w:p>
            <w:pPr>
              <w:pStyle w:val="Compact"/>
              <w:jc w:val="center"/>
            </w:pPr>
            <w:r>
              <w:t xml:space="preserve">0.828</w:t>
            </w:r>
          </w:p>
        </w:tc>
        <w:tc>
          <w:p>
            <w:pPr>
              <w:pStyle w:val="Compact"/>
              <w:jc w:val="center"/>
            </w:pPr>
            <w:r>
              <w:t xml:space="preserve">0.810</w:t>
            </w:r>
          </w:p>
        </w:tc>
        <w:tc>
          <w:p>
            <w:pPr>
              <w:pStyle w:val="Compact"/>
              <w:jc w:val="center"/>
            </w:pPr>
            <w:r>
              <w:t xml:space="preserve">0.707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0.834</w:t>
            </w:r>
          </w:p>
        </w:tc>
        <w:tc>
          <w:p>
            <w:pPr>
              <w:pStyle w:val="Compact"/>
              <w:jc w:val="center"/>
            </w:pPr>
            <w:r>
              <w:t xml:space="preserve">0.816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Gemini 3 Flash</w:t>
            </w:r>
          </w:p>
        </w:tc>
        <w:tc>
          <w:p>
            <w:pPr>
              <w:pStyle w:val="Compact"/>
              <w:jc w:val="center"/>
            </w:pPr>
            <w:r>
              <w:t xml:space="preserve">0.786</w:t>
            </w:r>
          </w:p>
        </w:tc>
        <w:tc>
          <w:p>
            <w:pPr>
              <w:pStyle w:val="Compact"/>
              <w:jc w:val="center"/>
            </w:pPr>
            <w:r>
              <w:t xml:space="preserve">0.580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0.822</w:t>
            </w:r>
          </w:p>
        </w:tc>
        <w:tc>
          <w:p>
            <w:pPr>
              <w:pStyle w:val="Compact"/>
              <w:jc w:val="center"/>
            </w:pPr>
            <w:r>
              <w:t xml:space="preserve">0.747</w:t>
            </w:r>
          </w:p>
        </w:tc>
        <w:tc>
          <w:p>
            <w:pPr>
              <w:pStyle w:val="Compact"/>
              <w:jc w:val="center"/>
            </w:pPr>
            <w:r>
              <w:t xml:space="preserve">0.609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Gemini 3.1 Pro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0.861</w:t>
            </w:r>
          </w:p>
        </w:tc>
        <w:tc>
          <w:p>
            <w:pPr>
              <w:pStyle w:val="Compact"/>
              <w:jc w:val="center"/>
            </w:pPr>
            <w:r>
              <w:t xml:space="preserve">0.843</w:t>
            </w:r>
          </w:p>
        </w:tc>
        <w:tc>
          <w:p>
            <w:pPr>
              <w:pStyle w:val="Compact"/>
              <w:jc w:val="center"/>
            </w:pPr>
            <w:r>
              <w:t xml:space="preserve">0.843</w:t>
            </w:r>
          </w:p>
        </w:tc>
        <w:tc>
          <w:p>
            <w:pPr>
              <w:pStyle w:val="Compact"/>
              <w:jc w:val="center"/>
            </w:pPr>
            <w:r>
              <w:t xml:space="preserve">0.840</w:t>
            </w:r>
          </w:p>
        </w:tc>
        <w:tc>
          <w:p>
            <w:pPr>
              <w:pStyle w:val="Compact"/>
              <w:jc w:val="center"/>
            </w:pPr>
            <w:r>
              <w:t xml:space="preserve">0.854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GPT-4.1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0.868</w:t>
            </w:r>
          </w:p>
        </w:tc>
        <w:tc>
          <w:p>
            <w:pPr>
              <w:pStyle w:val="Compact"/>
              <w:jc w:val="center"/>
            </w:pPr>
            <w:r>
              <w:t xml:space="preserve">0.852</w:t>
            </w:r>
          </w:p>
        </w:tc>
        <w:tc>
          <w:p>
            <w:pPr>
              <w:pStyle w:val="Compact"/>
              <w:jc w:val="center"/>
            </w:pPr>
            <w:r>
              <w:t xml:space="preserve">0.828</w:t>
            </w:r>
          </w:p>
        </w:tc>
        <w:tc>
          <w:p>
            <w:pPr>
              <w:pStyle w:val="Compact"/>
              <w:jc w:val="center"/>
            </w:pPr>
            <w:r>
              <w:t xml:space="preserve">0.777</w:t>
            </w:r>
          </w:p>
        </w:tc>
        <w:tc>
          <w:p>
            <w:pPr>
              <w:pStyle w:val="Compact"/>
              <w:jc w:val="center"/>
            </w:pPr>
            <w:r>
              <w:t xml:space="preserve">0.853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GPT-4.1 Mini</w:t>
            </w:r>
          </w:p>
        </w:tc>
        <w:tc>
          <w:p>
            <w:pPr>
              <w:pStyle w:val="Compact"/>
              <w:jc w:val="center"/>
            </w:pPr>
            <w:r>
              <w:t xml:space="preserve">0.837</w:t>
            </w:r>
          </w:p>
        </w:tc>
        <w:tc>
          <w:p>
            <w:pPr>
              <w:pStyle w:val="Compact"/>
              <w:jc w:val="center"/>
            </w:pPr>
            <w:r>
              <w:t xml:space="preserve">0.841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0.862</w:t>
            </w:r>
          </w:p>
        </w:tc>
        <w:tc>
          <w:p>
            <w:pPr>
              <w:pStyle w:val="Compact"/>
              <w:jc w:val="center"/>
            </w:pPr>
            <w:r>
              <w:t xml:space="preserve">0.777</w:t>
            </w:r>
          </w:p>
        </w:tc>
        <w:tc>
          <w:p>
            <w:pPr>
              <w:pStyle w:val="Compact"/>
              <w:jc w:val="center"/>
            </w:pPr>
            <w:r>
              <w:t xml:space="preserve">0.833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GPT-4.1 Nano</w:t>
            </w:r>
          </w:p>
        </w:tc>
        <w:tc>
          <w:p>
            <w:pPr>
              <w:pStyle w:val="Compact"/>
              <w:jc w:val="center"/>
            </w:pPr>
            <w:r>
              <w:t xml:space="preserve">0.488</w:t>
            </w:r>
          </w:p>
        </w:tc>
        <w:tc>
          <w:p>
            <w:pPr>
              <w:pStyle w:val="Compact"/>
              <w:jc w:val="center"/>
            </w:pPr>
            <w:r>
              <w:t xml:space="preserve">0.612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0.659</w:t>
            </w:r>
          </w:p>
        </w:tc>
        <w:tc>
          <w:p>
            <w:pPr>
              <w:pStyle w:val="Compact"/>
              <w:jc w:val="center"/>
            </w:pPr>
            <w:r>
              <w:t xml:space="preserve">0.547</w:t>
            </w:r>
          </w:p>
        </w:tc>
        <w:tc>
          <w:p>
            <w:pPr>
              <w:pStyle w:val="Compact"/>
              <w:jc w:val="center"/>
            </w:pPr>
            <w:r>
              <w:t xml:space="preserve">0.545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Mean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0.801</w:t>
            </w:r>
          </w:p>
        </w:tc>
        <w:tc>
          <w:p>
            <w:pPr>
              <w:pStyle w:val="Compact"/>
              <w:jc w:val="center"/>
            </w:pPr>
            <w:r>
              <w:t xml:space="preserve">0.796</w:t>
            </w:r>
          </w:p>
        </w:tc>
        <w:tc>
          <w:p>
            <w:pPr>
              <w:pStyle w:val="Compact"/>
              <w:jc w:val="center"/>
            </w:pPr>
            <w:r>
              <w:t xml:space="preserve">0.794</w:t>
            </w:r>
          </w:p>
        </w:tc>
        <w:tc>
          <w:p>
            <w:pPr>
              <w:pStyle w:val="Compact"/>
              <w:jc w:val="center"/>
            </w:pPr>
            <w:r>
              <w:t xml:space="preserve">0.790</w:t>
            </w:r>
          </w:p>
        </w:tc>
        <w:tc>
          <w:p>
            <w:pPr>
              <w:pStyle w:val="Compact"/>
              <w:jc w:val="center"/>
            </w:pPr>
            <w:r>
              <w:t xml:space="preserve">0.790</w:t>
            </w:r>
          </w:p>
        </w:tc>
      </w:tr>
    </w:tbl>
    <w:bookmarkEnd w:id="124"/>
    <w:p>
      <w:pPr>
        <w:pStyle w:val="BodyText"/>
      </w:pPr>
      <w:r>
        <w:rPr>
          <w:i/>
        </w:rPr>
        <w:t xml:space="preserve">[Figure/diagram in LaTeX source (tikzpicture); see PDF]</w:t>
      </w:r>
    </w:p>
    <w:p>
      <w:pPr>
        <w:pStyle w:val="BodyText"/>
      </w:pPr>
      <w:r>
        <w:t xml:space="preserve">Table </w:t>
      </w:r>
      <w:hyperlink w:anchor="tab:h1-stats">
        <w:r>
          <w:rPr>
            <w:rStyle w:val="Hyperlink"/>
          </w:rPr>
          <w:t xml:space="preserve">6.4</w:t>
        </w:r>
      </w:hyperlink>
      <w:r>
        <w:t xml:space="preserve"> </w:t>
      </w:r>
      <w:r>
        <w:t xml:space="preserve">reports the H1 paired tests. Each row is one</w:t>
      </w:r>
      <w:r>
        <w:t xml:space="preserve"> </w:t>
      </w:r>
      <w:r>
        <w:t xml:space="preserve">multi-agent vs. B0 contrast on the sample-ID intersection. McNemar exact</w:t>
      </w:r>
      <w:r>
        <w:t xml:space="preserve"> </w:t>
      </w:r>
      <m:oMath>
        <m:r>
          <m:t>p</m:t>
        </m:r>
      </m:oMath>
      <w:r>
        <w:t xml:space="preserve">-values are computed via Eq. </w:t>
      </w:r>
      <w:hyperlink w:anchor="eq:mcnemar">
        <w:r>
          <w:rPr>
            <w:rStyle w:val="Hyperlink"/>
          </w:rPr>
          <w:t xml:space="preserve">[eq:mcnemar]</w:t>
        </w:r>
      </w:hyperlink>
      <w:r>
        <w:t xml:space="preserve"> </w:t>
      </w:r>
      <w:r>
        <w:t xml:space="preserve">and corrected for the</w:t>
      </w:r>
      <w:r>
        <w:t xml:space="preserve"> </w:t>
      </w:r>
      <m:oMath>
        <m:r>
          <m:t>m</m:t>
        </m:r>
        <m:r>
          <m:t>=</m:t>
        </m:r>
        <m:r>
          <m:t>22</m:t>
        </m:r>
      </m:oMath>
      <w:r>
        <w:t xml:space="preserve">-test family by Benjamini–Hochberg (Eq. </w:t>
      </w:r>
      <w:hyperlink w:anchor="eq:bh">
        <w:r>
          <w:rPr>
            <w:rStyle w:val="Hyperlink"/>
          </w:rPr>
          <w:t xml:space="preserve">[eq:bh]</w:t>
        </w:r>
      </w:hyperlink>
      <w:r>
        <w:t xml:space="preserve">); paired-bootstrap</w:t>
      </w:r>
      <w:r>
        <w:t xml:space="preserve"> </w:t>
      </w:r>
      <w:r>
        <w:t xml:space="preserve">CIs use</w:t>
      </w:r>
      <w:r>
        <w:t xml:space="preserve"> </w:t>
      </w:r>
      <m:oMath>
        <m:r>
          <m:t>B</m:t>
        </m:r>
        <m:r>
          <m:t>=</m:t>
        </m:r>
        <m:r>
          <m:t>300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seed=42</w:t>
      </w:r>
      <w:r>
        <w:t xml:space="preserve"> </w:t>
      </w:r>
      <w:r>
        <w:t xml:space="preserve">(Algorithm </w:t>
      </w:r>
      <w:hyperlink w:anchor="alg:bootstrap">
        <w:r>
          <w:rPr>
            <w:rStyle w:val="Hyperlink"/>
          </w:rPr>
          <w:t xml:space="preserve">[alg:bootstrap]</w:t>
        </w:r>
      </w:hyperlink>
      <w:r>
        <w:t xml:space="preserve">). CIs are</w:t>
      </w:r>
      <w:r>
        <w:t xml:space="preserve"> </w:t>
      </w:r>
      <w:r>
        <w:t xml:space="preserve">computed on the paired sample-ID intersection; for models with partial runs</w:t>
      </w:r>
      <w:r>
        <w:t xml:space="preserve"> </w:t>
      </w:r>
      <w:r>
        <w:t xml:space="preserve">(Claude Sonnet 4, GPT-4.1) the intersection size is smaller than the full run,</w:t>
      </w:r>
      <w:r>
        <w:t xml:space="preserve"> </w:t>
      </w:r>
      <w:r>
        <w:t xml:space="preserve">so the intersection-based</w:t>
      </w:r>
      <w:r>
        <w:t xml:space="preserve"> </w:t>
      </w:r>
      <m:oMath>
        <m:r>
          <m:t>Δ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may differ slightly from the</w:t>
      </w:r>
      <w:r>
        <w:t xml:space="preserve"> </w:t>
      </w:r>
      <w:r>
        <w:t xml:space="preserve">full-run values in Table </w:t>
      </w:r>
      <w:hyperlink w:anchor="tab:h1-f2">
        <w:r>
          <w:rPr>
            <w:rStyle w:val="Hyperlink"/>
          </w:rPr>
          <w:t xml:space="preserve">6.3</w:t>
        </w:r>
      </w:hyperlink>
      <w:r>
        <w:t xml:space="preserve">.</w:t>
      </w:r>
    </w:p>
    <w:bookmarkStart w:id="125" w:name="tab:h1-stats"/>
    <w:p>
      <w:pPr>
        <w:pStyle w:val="TableCaption"/>
      </w:pPr>
      <w:r>
        <w:t xml:space="preserve">H1 paired tests:</w:t>
      </w:r>
      <w:r>
        <w:t xml:space="preserve"> </w:t>
      </w:r>
      <m:oMath>
        <m:r>
          <m:t>Δ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t>=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t>(</m:t>
        </m:r>
        <m:r>
          <m:rPr>
            <m:nor/>
            <m:sty m:val="p"/>
          </m:rPr>
          <m:t>multi</m:t>
        </m:r>
        <m:r>
          <m:t>)</m:t>
        </m:r>
        <m:r>
          <m:t>−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t>(</m:t>
        </m:r>
        <m:r>
          <m:rPr>
            <m:nor/>
            <m:sty m:val="p"/>
          </m:rPr>
          <m:t>B0</m:t>
        </m:r>
        <m:r>
          <m:t>)</m:t>
        </m:r>
      </m:oMath>
      <w:r>
        <w:t xml:space="preserve"> </w:t>
      </w:r>
      <w:r>
        <w:t xml:space="preserve">computed on the sample-ID intersection (so the row</w:t>
      </w:r>
      <w:r>
        <w:t xml:space="preserve"> </w:t>
      </w:r>
      <m:oMath>
        <m:r>
          <m:t>Δ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may differ</w:t>
      </w:r>
      <w:r>
        <w:t xml:space="preserve"> </w:t>
      </w:r>
      <w:r>
        <w:t xml:space="preserve">from the full-run difference implied by Table </w:t>
      </w:r>
      <w:hyperlink w:anchor="tab:h1-f2">
        <w:r>
          <w:rPr>
            <w:rStyle w:val="Hyperlink"/>
          </w:rPr>
          <w:t xml:space="preserve">6.3</w:t>
        </w:r>
      </w:hyperlink>
      <w:r>
        <w:t xml:space="preserve"> </w:t>
      </w:r>
      <w:r>
        <w:t xml:space="preserve">when one of the</w:t>
      </w:r>
      <w:r>
        <w:t xml:space="preserve"> </w:t>
      </w:r>
      <w:r>
        <w:t xml:space="preserve">pair is a partial run — Claude Sonnet 4 and GPT-4.1). Paired-bootstrap</w:t>
      </w:r>
      <w:r>
        <w:t xml:space="preserve"> </w:t>
      </w:r>
      <w:r>
        <w:t xml:space="preserve">95% CIs (</w:t>
      </w:r>
      <m:oMath>
        <m:r>
          <m:t>B</m:t>
        </m:r>
        <m:r>
          <m:t>=</m:t>
        </m:r>
        <m:r>
          <m:t>300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seed=42</w:t>
      </w:r>
      <w:r>
        <w:t xml:space="preserve">), BH-corrected significance</w:t>
      </w:r>
      <w:r>
        <w:t xml:space="preserve"> </w:t>
      </w:r>
      <w:r>
        <w:t xml:space="preserve">(</w:t>
      </w:r>
      <m:oMath>
        <m:r>
          <m:t>α</m:t>
        </m:r>
        <m:r>
          <m:t>=</m:t>
        </m:r>
        <m:r>
          <m:t>0.05</m:t>
        </m:r>
      </m:oMath>
      <w:r>
        <w:t xml:space="preserve">,</w:t>
      </w:r>
      <w:r>
        <w:t xml:space="preserve"> </w:t>
      </w:r>
      <m:oMath>
        <m:r>
          <m:t>m</m:t>
        </m:r>
        <m:r>
          <m:t>=</m:t>
        </m:r>
        <m:r>
          <m:t>22</m:t>
        </m:r>
      </m:oMath>
      <w:r>
        <w:t xml:space="preserve">). : BH-reject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Note: BH significance is decided by the McNemar exact</w:t>
      </w:r>
      <w:r>
        <w:t xml:space="preserve"> </w:t>
      </w:r>
      <m:oMath>
        <m:r>
          <m:t>p</m:t>
        </m:r>
      </m:oMath>
      <w:r>
        <w:t xml:space="preserve">-value; the</w:t>
      </w:r>
      <w:r>
        <w:t xml:space="preserve"> </w:t>
      </w:r>
      <w:r>
        <w:t xml:space="preserve">bootstrap CI on</w:t>
      </w:r>
      <w:r>
        <w:t xml:space="preserve"> </w:t>
      </w:r>
      <m:oMath>
        <m:r>
          <m:t>Δ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reported separately and may not align with</w:t>
      </w:r>
      <w:r>
        <w:t xml:space="preserve"> </w:t>
      </w:r>
      <w:r>
        <w:t xml:space="preserve">the McNemar verdict on near-zero effects where the discordant-pair</w:t>
      </w:r>
      <w:r>
        <w:t xml:space="preserve"> </w:t>
      </w:r>
      <w:r>
        <w:t xml:space="preserve">distribution and the resampled-mean distribution diverge.</w:t>
      </w:r>
    </w:p>
    <w:tbl>
      <w:tblPr>
        <w:tblStyle w:val="Table"/>
        <w:tblW w:type="pct" w:w="0.0"/>
        <w:tblLook w:firstRow="0"/>
        <w:tblCaption w:val="H1 paired tests: \Delta F_2 = F_2(\text{multi}) - F_2(\text{B0}) computed on the sample-ID intersection (so the row \Delta F_2 may differ from the full-run difference implied by Table 6.3 when one of the pair is a partial run — Claude Sonnet 4 and GPT-4.1). Paired-bootstrap 95% CIs (B{=}300, seed=42), BH-corrected significance (\alpha{=}0.05, m{=}22). : BH-reject H_0. Note: BH significance is decided by the McNemar exact p-value; the bootstrap CI on \Delta F_2 is reported separately and may not align with the McNemar verdict on near-zero effects where the discordant-pair distribution and the resampled-mean distribution diverge."/>
      </w:tblPr>
      <w:tblGrid/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(lr)</w:t>
            </w:r>
            <w:r>
              <w:t xml:space="preserve">2-4</w:t>
            </w:r>
            <w:r>
              <w:t xml:space="preserve">(lr)</w:t>
            </w:r>
            <w:r>
              <w:t xml:space="preserve">5-7</w:t>
            </w:r>
            <w:r>
              <w:t xml:space="preserve"> </w:t>
            </w:r>
            <w:r>
              <w:rPr>
                <w:b/>
              </w:rPr>
              <w:t xml:space="preserve">Model</w:t>
            </w:r>
          </w:p>
        </w:tc>
        <w:tc>
          <w:p>
            <w:pPr>
              <w:pStyle w:val="Compact"/>
              <w:jc w:val="center"/>
            </w:pPr>
            <m:oMath>
              <m:r>
                <m:t>Δ</m:t>
              </m:r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p>
            <w:pPr>
              <w:pStyle w:val="Compact"/>
              <w:jc w:val="center"/>
            </w:pPr>
            <w:r>
              <w:t xml:space="preserve">CI</w:t>
            </w:r>
            <m:oMath>
              <m:sSub>
                <m:e>
                  <m:r>
                    <m:t>​</m:t>
                  </m:r>
                </m:e>
                <m:sub>
                  <m:r>
                    <m:t>95</m:t>
                  </m:r>
                </m:sub>
              </m:sSub>
            </m:oMath>
          </w:p>
        </w:tc>
        <w:tc>
          <w:p>
            <w:pPr>
              <w:pStyle w:val="Compact"/>
              <w:jc w:val="center"/>
            </w:pPr>
            <w:r>
              <w:t xml:space="preserve">BH</w:t>
            </w:r>
          </w:p>
        </w:tc>
        <w:tc>
          <w:p>
            <w:pPr>
              <w:pStyle w:val="Compact"/>
              <w:jc w:val="center"/>
            </w:pPr>
            <m:oMath>
              <m:r>
                <m:t>Δ</m:t>
              </m:r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p>
            <w:pPr>
              <w:pStyle w:val="Compact"/>
              <w:jc w:val="center"/>
            </w:pPr>
            <w:r>
              <w:t xml:space="preserve">CI</w:t>
            </w:r>
            <m:oMath>
              <m:sSub>
                <m:e>
                  <m:r>
                    <m:t>​</m:t>
                  </m:r>
                </m:e>
                <m:sub>
                  <m:r>
                    <m:t>95</m:t>
                  </m:r>
                </m:sub>
              </m:sSub>
            </m:oMath>
          </w:p>
        </w:tc>
        <w:tc>
          <w:p>
            <w:pPr>
              <w:pStyle w:val="Compact"/>
              <w:jc w:val="center"/>
            </w:pPr>
            <w:r>
              <w:t xml:space="preserve">BH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Claude Haiku 4.5</w:t>
            </w:r>
          </w:p>
        </w:tc>
        <w:tc>
          <w:p>
            <w:pPr>
              <w:pStyle w:val="Compact"/>
              <w:jc w:val="center"/>
            </w:pPr>
            <m:oMath>
              <m:r>
                <m:t>+</m:t>
              </m:r>
              <m:r>
                <m:t>0.009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[</m:t>
              </m:r>
              <m:r>
                <m:t>−</m:t>
              </m:r>
              <m:r>
                <m:t>0.009</m:t>
              </m:r>
              <m:r>
                <m:t>,</m:t>
              </m:r>
              <m:r>
                <m:t> </m:t>
              </m:r>
              <m:r>
                <m:t>+</m:t>
              </m:r>
              <m:r>
                <m:t>0.026</m:t>
              </m:r>
              <m:r>
                <m:t>]</m:t>
              </m:r>
            </m:oMath>
          </w:p>
        </w:tc>
        <w:tc>
          <w:p/>
        </w:tc>
        <w:tc>
          <w:p>
            <w:pPr>
              <w:pStyle w:val="Compact"/>
              <w:jc w:val="center"/>
            </w:pPr>
            <m:oMath>
              <m:r>
                <m:t>+</m:t>
              </m:r>
              <m:r>
                <m:t>0.052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[</m:t>
              </m:r>
              <m:r>
                <m:t>+</m:t>
              </m:r>
              <m:r>
                <m:t>0.038</m:t>
              </m:r>
              <m:r>
                <m:t>,</m:t>
              </m:r>
              <m:r>
                <m:t> </m:t>
              </m:r>
              <m:r>
                <m:t>+</m:t>
              </m:r>
              <m:r>
                <m:t>0.066</m:t>
              </m:r>
              <m:r>
                <m:t>]</m:t>
              </m:r>
            </m:oMath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Claude Opus 4.6</w:t>
            </w:r>
          </w:p>
        </w:tc>
        <w:tc>
          <w:p>
            <w:pPr>
              <w:pStyle w:val="Compact"/>
              <w:jc w:val="center"/>
            </w:pPr>
            <m:oMath>
              <m:r>
                <m:t>+</m:t>
              </m:r>
              <m:r>
                <m:t>0.001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[</m:t>
              </m:r>
              <m:r>
                <m:t>−</m:t>
              </m:r>
              <m:r>
                <m:t>0.011</m:t>
              </m:r>
              <m:r>
                <m:t>,</m:t>
              </m:r>
              <m:r>
                <m:t> </m:t>
              </m:r>
              <m:r>
                <m:t>+</m:t>
              </m:r>
              <m:r>
                <m:t>0.014</m:t>
              </m:r>
              <m:r>
                <m:t>]</m:t>
              </m:r>
            </m:oMath>
          </w:p>
        </w:tc>
        <w:tc>
          <w:p/>
        </w:tc>
        <w:tc>
          <w:p>
            <w:pPr>
              <w:pStyle w:val="Compact"/>
              <w:jc w:val="center"/>
            </w:pPr>
            <m:oMath>
              <m:r>
                <m:t>−</m:t>
              </m:r>
              <m:r>
                <m:t>0.004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[</m:t>
              </m:r>
              <m:r>
                <m:t>−</m:t>
              </m:r>
              <m:r>
                <m:t>0.017</m:t>
              </m:r>
              <m:r>
                <m:t>,</m:t>
              </m:r>
              <m:r>
                <m:t> </m:t>
              </m:r>
              <m:r>
                <m:t>+</m:t>
              </m:r>
              <m:r>
                <m:t>0.009</m:t>
              </m:r>
              <m:r>
                <m:t>]</m:t>
              </m:r>
            </m:oMath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Claude Sonnet 4</w:t>
            </w:r>
          </w:p>
        </w:tc>
        <w:tc>
          <w:p>
            <w:pPr>
              <w:pStyle w:val="Compact"/>
              <w:jc w:val="center"/>
            </w:pPr>
            <m:oMath>
              <m:r>
                <m:t>+</m:t>
              </m:r>
              <m:r>
                <m:t>0.025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[</m:t>
              </m:r>
              <m:r>
                <m:t>+</m:t>
              </m:r>
              <m:r>
                <m:t>0.016</m:t>
              </m:r>
              <m:r>
                <m:t>,</m:t>
              </m:r>
              <m:r>
                <m:t> </m:t>
              </m:r>
              <m:r>
                <m:t>+</m:t>
              </m:r>
              <m:r>
                <m:t>0.043</m:t>
              </m:r>
              <m:r>
                <m:t>]</m:t>
              </m:r>
            </m:oMath>
          </w:p>
        </w:tc>
        <w:tc>
          <w:p/>
        </w:tc>
        <w:tc>
          <w:p>
            <w:pPr>
              <w:pStyle w:val="Compact"/>
              <w:jc w:val="center"/>
            </w:pPr>
            <m:oMath>
              <m:r>
                <m:t>−</m:t>
              </m:r>
              <m:r>
                <m:t>0.025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[</m:t>
              </m:r>
              <m:r>
                <m:t>−</m:t>
              </m:r>
              <m:r>
                <m:t>0.031</m:t>
              </m:r>
              <m:r>
                <m:t>,</m:t>
              </m:r>
              <m:r>
                <m:t> </m:t>
              </m:r>
              <m:r>
                <m:t>−</m:t>
              </m:r>
              <m:r>
                <m:t>0.001</m:t>
              </m:r>
              <m:r>
                <m:t>]</m:t>
              </m:r>
            </m:oMath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Claude Sonnet 4.6</w:t>
            </w:r>
          </w:p>
        </w:tc>
        <w:tc>
          <w:p>
            <w:pPr>
              <w:pStyle w:val="Compact"/>
              <w:jc w:val="center"/>
            </w:pPr>
            <m:oMath>
              <m:r>
                <m:t>+</m:t>
              </m:r>
              <m:r>
                <m:t>0.047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[</m:t>
              </m:r>
              <m:r>
                <m:t>+</m:t>
              </m:r>
              <m:r>
                <m:t>0.032</m:t>
              </m:r>
              <m:r>
                <m:t>,</m:t>
              </m:r>
              <m:r>
                <m:t> </m:t>
              </m:r>
              <m:r>
                <m:t>+</m:t>
              </m:r>
              <m:r>
                <m:t>0.062</m:t>
              </m:r>
              <m:r>
                <m:t>]</m:t>
              </m:r>
            </m:oMath>
          </w:p>
        </w:tc>
        <w:tc>
          <w:p/>
        </w:tc>
        <w:tc>
          <w:p>
            <w:pPr>
              <w:pStyle w:val="Compact"/>
              <w:jc w:val="center"/>
            </w:pPr>
            <m:oMath>
              <m:r>
                <m:t>+</m:t>
              </m:r>
              <m:r>
                <m:t>0.021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[</m:t>
              </m:r>
              <m:r>
                <m:t>+</m:t>
              </m:r>
              <m:r>
                <m:t>0.002</m:t>
              </m:r>
              <m:r>
                <m:t>,</m:t>
              </m:r>
              <m:r>
                <m:t> </m:t>
              </m:r>
              <m:r>
                <m:t>+</m:t>
              </m:r>
              <m:r>
                <m:t>0.038</m:t>
              </m:r>
              <m:r>
                <m:t>]</m:t>
              </m:r>
            </m:oMath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Gemini 2.5 Flash</w:t>
            </w:r>
          </w:p>
        </w:tc>
        <w:tc>
          <w:p>
            <w:pPr>
              <w:pStyle w:val="Compact"/>
              <w:jc w:val="center"/>
            </w:pPr>
            <m:oMath>
              <m:r>
                <m:t>−</m:t>
              </m:r>
              <m:r>
                <m:t>0.210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[</m:t>
              </m:r>
              <m:r>
                <m:t>−</m:t>
              </m:r>
              <m:r>
                <m:t>0.234</m:t>
              </m:r>
              <m:r>
                <m:t>,</m:t>
              </m:r>
              <m:r>
                <m:t> </m:t>
              </m:r>
              <m:r>
                <m:t>−</m:t>
              </m:r>
              <m:r>
                <m:t>0.181</m:t>
              </m:r>
              <m:r>
                <m:t>]</m:t>
              </m:r>
            </m:oMath>
          </w:p>
        </w:tc>
        <w:tc>
          <w:p/>
        </w:tc>
        <w:tc>
          <w:p>
            <w:pPr>
              <w:pStyle w:val="Compact"/>
              <w:jc w:val="center"/>
            </w:pPr>
            <m:oMath>
              <m:r>
                <m:t>−</m:t>
              </m:r>
              <m:r>
                <m:t>0.020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[</m:t>
              </m:r>
              <m:r>
                <m:t>−</m:t>
              </m:r>
              <m:r>
                <m:t>0.036</m:t>
              </m:r>
              <m:r>
                <m:t>,</m:t>
              </m:r>
              <m:r>
                <m:t> </m:t>
              </m:r>
              <m:r>
                <m:t>−</m:t>
              </m:r>
              <m:r>
                <m:t>0.003</m:t>
              </m:r>
              <m:r>
                <m:t>]</m:t>
              </m:r>
            </m:oMath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Gemini 2.5 Pro</w:t>
            </w:r>
          </w:p>
        </w:tc>
        <w:tc>
          <w:p>
            <w:pPr>
              <w:pStyle w:val="Compact"/>
              <w:jc w:val="center"/>
            </w:pPr>
            <m:oMath>
              <m:r>
                <m:t>−</m:t>
              </m:r>
              <m:r>
                <m:t>0.121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[</m:t>
              </m:r>
              <m:r>
                <m:t>−</m:t>
              </m:r>
              <m:r>
                <m:t>0.143</m:t>
              </m:r>
              <m:r>
                <m:t>,</m:t>
              </m:r>
              <m:r>
                <m:t> </m:t>
              </m:r>
              <m:r>
                <m:t>−</m:t>
              </m:r>
              <m:r>
                <m:t>0.094</m:t>
              </m:r>
              <m:r>
                <m:t>]</m:t>
              </m:r>
            </m:oMath>
          </w:p>
        </w:tc>
        <w:tc>
          <w:p/>
        </w:tc>
        <w:tc>
          <w:p>
            <w:pPr>
              <w:pStyle w:val="Compact"/>
              <w:jc w:val="center"/>
            </w:pPr>
            <m:oMath>
              <m:r>
                <m:t>+</m:t>
              </m:r>
              <m:r>
                <m:t>0.006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[</m:t>
              </m:r>
              <m:r>
                <m:t>−</m:t>
              </m:r>
              <m:r>
                <m:t>0.006</m:t>
              </m:r>
              <m:r>
                <m:t>,</m:t>
              </m:r>
              <m:r>
                <m:t> </m:t>
              </m:r>
              <m:r>
                <m:t>+</m:t>
              </m:r>
              <m:r>
                <m:t>0.020</m:t>
              </m:r>
              <m:r>
                <m:t>]</m:t>
              </m:r>
            </m:oMath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Gemini 3 Flash</w:t>
            </w:r>
          </w:p>
        </w:tc>
        <w:tc>
          <w:p>
            <w:pPr>
              <w:pStyle w:val="Compact"/>
              <w:jc w:val="center"/>
            </w:pPr>
            <m:oMath>
              <m:r>
                <m:t>+</m:t>
              </m:r>
              <m:r>
                <m:t>0.037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[</m:t>
              </m:r>
              <m:r>
                <m:t>+</m:t>
              </m:r>
              <m:r>
                <m:t>0.015</m:t>
              </m:r>
              <m:r>
                <m:t>,</m:t>
              </m:r>
              <m:r>
                <m:t> </m:t>
              </m:r>
              <m:r>
                <m:t>+</m:t>
              </m:r>
              <m:r>
                <m:t>0.055</m:t>
              </m:r>
              <m:r>
                <m:t>]</m:t>
              </m:r>
            </m:oMath>
          </w:p>
        </w:tc>
        <w:tc>
          <w:p/>
        </w:tc>
        <w:tc>
          <w:p>
            <w:pPr>
              <w:pStyle w:val="Compact"/>
              <w:jc w:val="center"/>
            </w:pPr>
            <m:oMath>
              <m:r>
                <m:t>−</m:t>
              </m:r>
              <m:r>
                <m:t>0.039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[</m:t>
              </m:r>
              <m:r>
                <m:t>−</m:t>
              </m:r>
              <m:r>
                <m:t>0.060</m:t>
              </m:r>
              <m:r>
                <m:t>,</m:t>
              </m:r>
              <m:r>
                <m:t> </m:t>
              </m:r>
              <m:r>
                <m:t>−</m:t>
              </m:r>
              <m:r>
                <m:t>0.014</m:t>
              </m:r>
              <m:r>
                <m:t>]</m:t>
              </m:r>
            </m:oMath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Gemini 3.1 Pro</w:t>
            </w:r>
          </w:p>
        </w:tc>
        <w:tc>
          <w:p>
            <w:pPr>
              <w:pStyle w:val="Compact"/>
              <w:jc w:val="center"/>
            </w:pPr>
            <m:oMath>
              <m:r>
                <m:t>−</m:t>
              </m:r>
              <m:r>
                <m:t>0.018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[</m:t>
              </m:r>
              <m:r>
                <m:t>−</m:t>
              </m:r>
              <m:r>
                <m:t>0.035</m:t>
              </m:r>
              <m:r>
                <m:t>,</m:t>
              </m:r>
              <m:r>
                <m:t> </m:t>
              </m:r>
              <m:r>
                <m:t>−</m:t>
              </m:r>
              <m:r>
                <m:t>0.006</m:t>
              </m:r>
              <m:r>
                <m:t>]</m:t>
              </m:r>
            </m:oMath>
          </w:p>
        </w:tc>
        <w:tc>
          <w:p/>
        </w:tc>
        <w:tc>
          <w:p>
            <w:pPr>
              <w:pStyle w:val="Compact"/>
              <w:jc w:val="center"/>
            </w:pPr>
            <m:oMath>
              <m:r>
                <m:t>−</m:t>
              </m:r>
              <m:r>
                <m:t>0.021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[</m:t>
              </m:r>
              <m:r>
                <m:t>−</m:t>
              </m:r>
              <m:r>
                <m:t>0.034</m:t>
              </m:r>
              <m:r>
                <m:t>,</m:t>
              </m:r>
              <m:r>
                <m:t> </m:t>
              </m:r>
              <m:r>
                <m:t>−</m:t>
              </m:r>
              <m:r>
                <m:t>0.007</m:t>
              </m:r>
              <m:r>
                <m:t>]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×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GPT-4.1</w:t>
            </w:r>
          </w:p>
        </w:tc>
        <w:tc>
          <w:p>
            <w:pPr>
              <w:pStyle w:val="Compact"/>
              <w:jc w:val="center"/>
            </w:pPr>
            <m:oMath>
              <m:r>
                <m:t>−</m:t>
              </m:r>
              <m:r>
                <m:t>0.040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[</m:t>
              </m:r>
              <m:r>
                <m:t>−</m:t>
              </m:r>
              <m:r>
                <m:t>0.061</m:t>
              </m:r>
              <m:r>
                <m:t>,</m:t>
              </m:r>
              <m:r>
                <m:t> </m:t>
              </m:r>
              <m:r>
                <m:t>−</m:t>
              </m:r>
              <m:r>
                <m:t>0.026</m:t>
              </m:r>
              <m:r>
                <m:t>]</m:t>
              </m:r>
            </m:oMath>
          </w:p>
        </w:tc>
        <w:tc>
          <w:p/>
        </w:tc>
        <w:tc>
          <w:p>
            <w:pPr>
              <w:pStyle w:val="Compact"/>
              <w:jc w:val="center"/>
            </w:pPr>
            <m:oMath>
              <m:r>
                <m:t>−</m:t>
              </m:r>
              <m:r>
                <m:t>0.060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[</m:t>
              </m:r>
              <m:r>
                <m:t>−</m:t>
              </m:r>
              <m:r>
                <m:t>0.083</m:t>
              </m:r>
              <m:r>
                <m:t>,</m:t>
              </m:r>
              <m:r>
                <m:t> </m:t>
              </m:r>
              <m:r>
                <m:t>−</m:t>
              </m:r>
              <m:r>
                <m:t>0.042</m:t>
              </m:r>
              <m:r>
                <m:t>]</m:t>
              </m:r>
            </m:oMath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GPT-4.1 Mini</w:t>
            </w:r>
          </w:p>
        </w:tc>
        <w:tc>
          <w:p>
            <w:pPr>
              <w:pStyle w:val="Compact"/>
              <w:jc w:val="center"/>
            </w:pPr>
            <m:oMath>
              <m:r>
                <m:t>+</m:t>
              </m:r>
              <m:r>
                <m:t>0.025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[</m:t>
              </m:r>
              <m:r>
                <m:t>+</m:t>
              </m:r>
              <m:r>
                <m:t>0.011</m:t>
              </m:r>
              <m:r>
                <m:t>,</m:t>
              </m:r>
              <m:r>
                <m:t> </m:t>
              </m:r>
              <m:r>
                <m:t>+</m:t>
              </m:r>
              <m:r>
                <m:t>0.035</m:t>
              </m:r>
              <m:r>
                <m:t>]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×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−</m:t>
              </m:r>
              <m:r>
                <m:t>0.060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[</m:t>
              </m:r>
              <m:r>
                <m:t>−</m:t>
              </m:r>
              <m:r>
                <m:t>0.081</m:t>
              </m:r>
              <m:r>
                <m:t>,</m:t>
              </m:r>
              <m:r>
                <m:t> </m:t>
              </m:r>
              <m:r>
                <m:t>−</m:t>
              </m:r>
              <m:r>
                <m:t>0.039</m:t>
              </m:r>
              <m:r>
                <m:t>]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×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GPT-4.1 Nano</w:t>
            </w:r>
          </w:p>
        </w:tc>
        <w:tc>
          <w:p>
            <w:pPr>
              <w:pStyle w:val="Compact"/>
              <w:jc w:val="center"/>
            </w:pPr>
            <m:oMath>
              <m:r>
                <m:t>+</m:t>
              </m:r>
              <m:r>
                <m:t>0.171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[</m:t>
              </m:r>
              <m:r>
                <m:t>+</m:t>
              </m:r>
              <m:r>
                <m:t>0.143</m:t>
              </m:r>
              <m:r>
                <m:t>,</m:t>
              </m:r>
              <m:r>
                <m:t> </m:t>
              </m:r>
              <m:r>
                <m:t>+</m:t>
              </m:r>
              <m:r>
                <m:t>0.195</m:t>
              </m:r>
              <m:r>
                <m:t>]</m:t>
              </m:r>
            </m:oMath>
          </w:p>
        </w:tc>
        <w:tc>
          <w:p/>
        </w:tc>
        <w:tc>
          <w:p>
            <w:pPr>
              <w:pStyle w:val="Compact"/>
              <w:jc w:val="center"/>
            </w:pPr>
            <m:oMath>
              <m:r>
                <m:t>+</m:t>
              </m:r>
              <m:r>
                <m:t>0.059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[</m:t>
              </m:r>
              <m:r>
                <m:t>+</m:t>
              </m:r>
              <m:r>
                <m:t>0.025</m:t>
              </m:r>
              <m:r>
                <m:t>,</m:t>
              </m:r>
              <m:r>
                <m:t> </m:t>
              </m:r>
              <m:r>
                <m:t>+</m:t>
              </m:r>
              <m:r>
                <m:t>0.091</m:t>
              </m:r>
              <m:r>
                <m:t>]</m:t>
              </m:r>
            </m:oMath>
          </w:p>
        </w:tc>
        <w:tc>
          <w:p/>
        </w:tc>
      </w:tr>
    </w:tbl>
    <w:bookmarkEnd w:id="125"/>
    <w:p>
      <w:pPr>
        <w:pStyle w:val="Heading5"/>
      </w:pPr>
      <w:bookmarkStart w:id="126" w:name="h1-verdict."/>
      <w:r>
        <w:t xml:space="preserve">H1 verdict.</w:t>
      </w:r>
      <w:bookmarkEnd w:id="126"/>
    </w:p>
    <w:p>
      <w:pPr>
        <w:pStyle w:val="FirstParagraph"/>
      </w:pPr>
      <w:r>
        <w:t xml:space="preserve">Under the pre-registered decision rule (Section </w:t>
      </w:r>
      <w:hyperlink w:anchor="sec:meth:hypotheses">
        <w:r>
          <w:rPr>
            <w:rStyle w:val="Hyperlink"/>
          </w:rPr>
          <w:t xml:space="preserve">4.5</w:t>
        </w:r>
      </w:hyperlink>
      <w:r>
        <w:t xml:space="preserve">),</w:t>
      </w:r>
      <w:r>
        <w:t xml:space="preserve"> </w:t>
      </w:r>
      <w:r>
        <w:t xml:space="preserve"> (M0) satisfies the per-config BH-significant-positive majority</w:t>
      </w:r>
      <w:r>
        <w:t xml:space="preserve"> </w:t>
      </w:r>
      <w:r>
        <w:t xml:space="preserve">condition (6 of 11 contrasts: Haiku, Opus, Sonnet 4, Sonnet 4.6,</w:t>
      </w:r>
      <w:r>
        <w:t xml:space="preserve"> </w:t>
      </w:r>
      <w:r>
        <w:t xml:space="preserve">Gemini 3 Flash, GPT-4.1 Nano) but  (M1) does not (4 of 11: Haiku,</w:t>
      </w:r>
      <w:r>
        <w:t xml:space="preserve"> </w:t>
      </w:r>
      <w:r>
        <w:t xml:space="preserve">Sonnet 4.6, Gemini 2.5 Pro, GPT-4.1 Nano); H1 is rejected because the rule</w:t>
      </w:r>
      <w:r>
        <w:t xml:space="preserve"> </w:t>
      </w:r>
      <w:r>
        <w:t xml:space="preserve">requires both configurations to clear the majority threshold. Across all 22</w:t>
      </w:r>
      <w:r>
        <w:t xml:space="preserve"> </w:t>
      </w:r>
      <w:r>
        <w:t xml:space="preserve">contrasts, Cohen’s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uniformly positive (range</w:t>
      </w:r>
      <w:r>
        <w:t xml:space="preserve"> </w:t>
      </w:r>
      <m:oMath>
        <m:r>
          <m:t>+</m:t>
        </m:r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+</m:t>
        </m:r>
        <m:r>
          <m:t>0.363</m:t>
        </m:r>
      </m:oMath>
      <w:r>
        <w:t xml:space="preserve">,</w:t>
      </w:r>
      <w:r>
        <w:t xml:space="preserve"> </w:t>
      </w:r>
      <w:r>
        <w:t xml:space="preserve">median</w:t>
      </w:r>
      <w:r>
        <w:t xml:space="preserve"> </w:t>
      </w:r>
      <m:oMath>
        <m:r>
          <m:t>≈</m:t>
        </m:r>
        <m:r>
          <m:t>0.20</m:t>
        </m:r>
      </m:oMath>
      <w:r>
        <w:t xml:space="preserve">): multi-agent configurations win on raw paired-binary</w:t>
      </w:r>
      <w:r>
        <w:t xml:space="preserve"> </w:t>
      </w:r>
      <w:r>
        <w:t xml:space="preserve">correctness on every single contrast, and the H1 rejection is driven by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’s recall-weighted denominator inverting precision gains because</w:t>
      </w:r>
      <w:r>
        <w:t xml:space="preserve"> </w:t>
      </w:r>
      <w:r>
        <w:t xml:space="preserve">correctly identifying a true negative does not enter the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numerator.</w:t>
      </w:r>
      <w:r>
        <w:t xml:space="preserve"> </w:t>
      </w:r>
      <w:r>
        <w:t xml:space="preserve">Conditional improvements survive: the OpenAI family benefits from M0</w:t>
      </w:r>
      <w:r>
        <w:t xml:space="preserve"> </w:t>
      </w:r>
      <w:r>
        <w:t xml:space="preserve">(GPT-4.1 Nano</w:t>
      </w:r>
      <w:r>
        <w:t xml:space="preserve"> </w:t>
      </w:r>
      <m:oMath>
        <m:r>
          <m:t>+</m:t>
        </m:r>
        <m:r>
          <m:t>0.171</m:t>
        </m:r>
      </m:oMath>
      <w:r>
        <w:t xml:space="preserve">; pooled</w:t>
      </w:r>
      <w:r>
        <w:t xml:space="preserve"> </w:t>
      </w:r>
      <m:oMath>
        <m:r>
          <m:t>+</m:t>
        </m:r>
        <m:r>
          <m:t>0.052</m:t>
        </m:r>
      </m:oMath>
      <w:r>
        <w:t xml:space="preserve">), and lighter Anthropic models benefit</w:t>
      </w:r>
      <w:r>
        <w:t xml:space="preserve"> </w:t>
      </w:r>
      <w:r>
        <w:t xml:space="preserve">from M0/B1 (Sonnet 4.6 M0</w:t>
      </w:r>
      <w:r>
        <w:t xml:space="preserve"> </w:t>
      </w:r>
      <m:oMath>
        <m:r>
          <m:t>+</m:t>
        </m:r>
        <m:r>
          <m:t>0.047</m:t>
        </m:r>
      </m:oMath>
      <w:r>
        <w:t xml:space="preserve">). The model-family interaction</w:t>
      </w:r>
      <w:r>
        <w:t xml:space="preserve"> </w:t>
      </w:r>
      <w:r>
        <w:t xml:space="preserve">is the dominant signal, with pooled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within a</w:t>
      </w:r>
      <w:r>
        <w:t xml:space="preserve"> </w:t>
      </w:r>
      <m:oMath>
        <m:r>
          <m:t>0.011</m:t>
        </m:r>
      </m:oMath>
      <w:r>
        <w:t xml:space="preserve">-point band. 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 M0 leads pooled (</w:t>
      </w:r>
      <m:oMath>
        <m:r>
          <m:t>0.798</m:t>
        </m:r>
      </m:oMath>
      <w:r>
        <w:t xml:space="preserve"> </w:t>
      </w:r>
      <w:r>
        <w:t xml:space="preserve">vs. </w:t>
      </w:r>
      <m:oMath>
        <m:r>
          <m:t>0.737</m:t>
        </m:r>
      </m:oMath>
      <w:r>
        <w:t xml:space="preserve">), reversing the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ranking</w:t>
      </w:r>
      <w:r>
        <w:t xml:space="preserve"> </w:t>
      </w:r>
      <w:r>
        <w:t xml:space="preserve">and making the architectural choice metric-dependent (the empirical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flip-point is examined in Section </w:t>
      </w:r>
      <w:hyperlink w:anchor="sec:disc:metric">
        <w:r>
          <w:rPr>
            <w:rStyle w:val="Hyperlink"/>
          </w:rPr>
          <w:t xml:space="preserve">7.4</w:t>
        </w:r>
      </w:hyperlink>
      <w:r>
        <w:t xml:space="preserve">; Section </w:t>
      </w:r>
      <w:hyperlink w:anchor="sec:res:rq-summary">
        <w:r>
          <w:rPr>
            <w:rStyle w:val="Hyperlink"/>
          </w:rPr>
          <w:t xml:space="preserve">6.9</w:t>
        </w:r>
      </w:hyperlink>
      <w:r>
        <w:t xml:space="preserve"> </w:t>
      </w:r>
      <w:r>
        <w:t xml:space="preserve">gives the one-line RQ answer).</w:t>
      </w:r>
    </w:p>
    <w:p>
      <w:pPr>
        <w:pStyle w:val="Heading2"/>
      </w:pPr>
      <w:bookmarkStart w:id="127" w:name="sec:res:h2"/>
      <w:r>
        <w:t xml:space="preserve">H2 — Rare-Category Gap</w:t>
      </w:r>
      <w:bookmarkEnd w:id="127"/>
    </w:p>
    <w:p>
      <w:pPr>
        <w:pStyle w:val="FirstParagraph"/>
      </w:pPr>
      <w:r>
        <w:t xml:space="preserve">Table </w:t>
      </w:r>
      <w:hyperlink w:anchor="tab:h2-tier">
        <w:r>
          <w:rPr>
            <w:rStyle w:val="Hyperlink"/>
          </w:rPr>
          <w:t xml:space="preserve">6.5</w:t>
        </w:r>
      </w:hyperlink>
      <w:r>
        <w:t xml:space="preserve"> </w:t>
      </w:r>
      <w:r>
        <w:t xml:space="preserve">reports the rare–common gap</w:t>
      </w:r>
      <w:r>
        <w:t xml:space="preserve"> </w:t>
      </w:r>
      <m:oMath>
        <m:r>
          <m:t>g</m:t>
        </m:r>
        <m:r>
          <m:t>=</m:t>
        </m:r>
        <m:sSubSup>
          <m:e>
            <m:r>
              <m:t>F</m:t>
            </m:r>
          </m:e>
          <m:sub>
            <m:r>
              <m:t>2</m:t>
            </m:r>
          </m:sub>
          <m:sup>
            <m:r>
              <m:rPr>
                <m:nor/>
                <m:sty m:val="p"/>
              </m:rPr>
              <m:t>common</m:t>
            </m:r>
          </m:sup>
        </m:sSubSup>
        <m:r>
          <m:t>−</m:t>
        </m:r>
        <m:sSubSup>
          <m:e>
            <m:r>
              <m:t>F</m:t>
            </m:r>
          </m:e>
          <m:sub>
            <m:r>
              <m:t>2</m:t>
            </m:r>
          </m:sub>
          <m:sup>
            <m:r>
              <m:rPr>
                <m:nor/>
                <m:sty m:val="p"/>
              </m:rPr>
              <m:t>rare</m:t>
            </m:r>
          </m:sup>
        </m:sSubSup>
      </m:oMath>
      <w:r>
        <w:t xml:space="preserve"> </w:t>
      </w:r>
      <w:r>
        <w:t xml:space="preserve">for each (model, configuration)</w:t>
      </w:r>
      <w:r>
        <w:t xml:space="preserve"> </w:t>
      </w:r>
      <w:r>
        <w:t xml:space="preserve">cell. Mean common-tier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stays in a narrow band across configurations</w:t>
      </w:r>
      <w:r>
        <w:t xml:space="preserve"> </w:t>
      </w:r>
      <w:r>
        <w:t xml:space="preserve">( </w:t>
      </w:r>
      <m:oMath>
        <m:r>
          <m:t>0.929</m:t>
        </m:r>
      </m:oMath>
      <w:r>
        <w:t xml:space="preserve">,  </w:t>
      </w:r>
      <m:oMath>
        <m:r>
          <m:t>0.912</m:t>
        </m:r>
      </m:oMath>
      <w:r>
        <w:t xml:space="preserve">,  </w:t>
      </w:r>
      <m:oMath>
        <m:r>
          <m:t>0.878</m:t>
        </m:r>
      </m:oMath>
      <w:r>
        <w:t xml:space="preserve">,  </w:t>
      </w:r>
      <m:oMath>
        <m:r>
          <m:t>0.940</m:t>
        </m:r>
      </m:oMath>
      <w:r>
        <w:t xml:space="preserve">,  </w:t>
      </w:r>
      <m:oMath>
        <m:r>
          <m:t>0.919</m:t>
        </m:r>
      </m:oMath>
      <w:r>
        <w:t xml:space="preserve">); the gap movement is driven almost entirely by rare-tier shifts.</w:t>
      </w:r>
    </w:p>
    <w:bookmarkStart w:id="128" w:name="tab:h2-tier"/>
    <w:p>
      <w:pPr>
        <w:pStyle w:val="TableCaption"/>
      </w:pPr>
      <w:r>
        <w:t xml:space="preserve">Rare–common gap</w:t>
      </w:r>
      <w:r>
        <w:t xml:space="preserve"> </w:t>
      </w:r>
      <m:oMath>
        <m:r>
          <m:t>g</m:t>
        </m:r>
        <m:r>
          <m:t>=</m:t>
        </m:r>
        <m:sSubSup>
          <m:e>
            <m:r>
              <m:t>F</m:t>
            </m:r>
          </m:e>
          <m:sub>
            <m:r>
              <m:t>2</m:t>
            </m:r>
          </m:sub>
          <m:sup>
            <m:r>
              <m:t>c</m:t>
            </m:r>
          </m:sup>
        </m:sSubSup>
        <m:r>
          <m:t>−</m:t>
        </m:r>
        <m:sSubSup>
          <m:e>
            <m:r>
              <m:t>F</m:t>
            </m:r>
          </m:e>
          <m:sub>
            <m:r>
              <m:t>2</m:t>
            </m:r>
          </m:sub>
          <m:sup>
            <m:r>
              <m:t>r</m:t>
            </m:r>
          </m:sup>
        </m:sSubSup>
      </m:oMath>
      <w:r>
        <w:t xml:space="preserve"> </w:t>
      </w:r>
      <w:r>
        <w:t xml:space="preserve">per (model, configuration).</w:t>
      </w:r>
      <w:r>
        <w:t xml:space="preserve"> </w:t>
      </w:r>
      <w:r>
        <w:t xml:space="preserve">Lower is better. ’s mean gap (0.284) exceeds ’s (0.276) due to</w:t>
      </w:r>
      <w:r>
        <w:t xml:space="preserve"> </w:t>
      </w:r>
      <w:r>
        <w:t xml:space="preserve">gate-induced rare-tier collapse on Gemini 2.5 Flash/Pro. ’s mean</w:t>
      </w:r>
      <w:r>
        <w:t xml:space="preserve"> </w:t>
      </w:r>
      <w:r>
        <w:t xml:space="preserve">gap (0.342) is worst, driven by GPT-family specialist failure on rare</w:t>
      </w:r>
      <w:r>
        <w:t xml:space="preserve"> </w:t>
      </w:r>
      <w:r>
        <w:t xml:space="preserve">categories. Only  and  reduce the gap relative to  (means 0.240 and 0.226).</w:t>
      </w:r>
    </w:p>
    <w:tbl>
      <w:tblPr>
        <w:tblStyle w:val="Table"/>
        <w:tblW w:type="pct" w:w="0.0"/>
        <w:tblLook w:firstRow="1"/>
        <w:tblCaption w:val="Rare–common gap g = F_2^c - F_2^r per (model, configuration). Lower is better. ’s mean gap (0.284) exceeds ’s (0.276) due to gate-induced rare-tier collapse on Gemini 2.5 Flash/Pro. ’s mean gap (0.342) is worst, driven by GPT-family specialist failure on rare categories. Only  and  reduce the gap relative to  (means 0.240 and 0.226)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m:oMath>
              <m:r>
                <m:t>g</m:t>
              </m:r>
            </m:oMath>
            <w:r>
              <w:t xml:space="preserve">(B0)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m:oMath>
              <m:r>
                <m:t>g</m:t>
              </m:r>
            </m:oMath>
            <w:r>
              <w:t xml:space="preserve">(B1)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m:oMath>
              <m:r>
                <m:t>g</m:t>
              </m:r>
            </m:oMath>
            <w:r>
              <w:t xml:space="preserve">(M0)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m:oMath>
              <m:r>
                <m:t>g</m:t>
              </m:r>
            </m:oMath>
            <w:r>
              <w:t xml:space="preserve">(M1)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m:oMath>
              <m:r>
                <m:t>g</m:t>
              </m:r>
            </m:oMath>
            <w:r>
              <w:t xml:space="preserve">(M2)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Claude Haiku 4.5</w:t>
            </w:r>
          </w:p>
        </w:tc>
        <w:tc>
          <w:p>
            <w:pPr>
              <w:pStyle w:val="Compact"/>
              <w:jc w:val="center"/>
            </w:pPr>
            <w:r>
              <w:t xml:space="preserve">0.329</w:t>
            </w:r>
          </w:p>
        </w:tc>
        <w:tc>
          <w:p>
            <w:pPr>
              <w:pStyle w:val="Compact"/>
              <w:jc w:val="center"/>
            </w:pPr>
            <w:r>
              <w:t xml:space="preserve">0.263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0.074</w:t>
            </w:r>
          </w:p>
        </w:tc>
        <w:tc>
          <w:p>
            <w:pPr>
              <w:pStyle w:val="Compact"/>
              <w:jc w:val="center"/>
            </w:pPr>
            <w:r>
              <w:t xml:space="preserve">0.296</w:t>
            </w:r>
          </w:p>
        </w:tc>
        <w:tc>
          <w:p>
            <w:pPr>
              <w:pStyle w:val="Compact"/>
              <w:jc w:val="center"/>
            </w:pPr>
            <w:r>
              <w:t xml:space="preserve">0.306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Claude Opus 4.6</w:t>
            </w:r>
          </w:p>
        </w:tc>
        <w:tc>
          <w:p>
            <w:pPr>
              <w:pStyle w:val="Compact"/>
              <w:jc w:val="center"/>
            </w:pPr>
            <w:r>
              <w:t xml:space="preserve">0.219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0.169</w:t>
            </w:r>
          </w:p>
        </w:tc>
        <w:tc>
          <w:p>
            <w:pPr>
              <w:pStyle w:val="Compact"/>
              <w:jc w:val="center"/>
            </w:pPr>
            <w:r>
              <w:t xml:space="preserve">0.202</w:t>
            </w:r>
          </w:p>
        </w:tc>
        <w:tc>
          <w:p>
            <w:pPr>
              <w:pStyle w:val="Compact"/>
              <w:jc w:val="center"/>
            </w:pPr>
            <w:r>
              <w:t xml:space="preserve">0.260</w:t>
            </w:r>
          </w:p>
        </w:tc>
        <w:tc>
          <w:p>
            <w:pPr>
              <w:pStyle w:val="Compact"/>
              <w:jc w:val="center"/>
            </w:pPr>
            <w:r>
              <w:t xml:space="preserve">0.256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Claude Sonnet 4</w:t>
            </w:r>
          </w:p>
        </w:tc>
        <w:tc>
          <w:p>
            <w:pPr>
              <w:pStyle w:val="Compact"/>
              <w:jc w:val="center"/>
            </w:pPr>
            <w:r>
              <w:t xml:space="preserve">0.245</w:t>
            </w:r>
          </w:p>
        </w:tc>
        <w:tc>
          <w:p>
            <w:pPr>
              <w:pStyle w:val="Compact"/>
              <w:jc w:val="center"/>
            </w:pPr>
            <w:r>
              <w:t xml:space="preserve">0.241</w:t>
            </w:r>
          </w:p>
        </w:tc>
        <w:tc>
          <w:p>
            <w:pPr>
              <w:pStyle w:val="Compact"/>
              <w:jc w:val="center"/>
            </w:pPr>
            <w:r>
              <w:t xml:space="preserve">0.211</w:t>
            </w:r>
          </w:p>
        </w:tc>
        <w:tc>
          <w:p>
            <w:pPr>
              <w:pStyle w:val="Compact"/>
              <w:jc w:val="center"/>
            </w:pPr>
            <w:r>
              <w:t xml:space="preserve">0.257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0.195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Claude Sonnet 4.6</w:t>
            </w:r>
          </w:p>
        </w:tc>
        <w:tc>
          <w:p>
            <w:pPr>
              <w:pStyle w:val="Compact"/>
              <w:jc w:val="center"/>
            </w:pPr>
            <w:r>
              <w:t xml:space="preserve">0.269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0.149</w:t>
            </w:r>
          </w:p>
        </w:tc>
        <w:tc>
          <w:p>
            <w:pPr>
              <w:pStyle w:val="Compact"/>
              <w:jc w:val="center"/>
            </w:pPr>
            <w:r>
              <w:t xml:space="preserve">0.220</w:t>
            </w:r>
          </w:p>
        </w:tc>
        <w:tc>
          <w:p>
            <w:pPr>
              <w:pStyle w:val="Compact"/>
              <w:jc w:val="center"/>
            </w:pPr>
            <w:r>
              <w:t xml:space="preserve">0.245</w:t>
            </w:r>
          </w:p>
        </w:tc>
        <w:tc>
          <w:p>
            <w:pPr>
              <w:pStyle w:val="Compact"/>
              <w:jc w:val="center"/>
            </w:pPr>
            <w:r>
              <w:t xml:space="preserve">0.175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Gemini 2.5 Flash</w:t>
            </w:r>
          </w:p>
        </w:tc>
        <w:tc>
          <w:p>
            <w:pPr>
              <w:pStyle w:val="Compact"/>
              <w:jc w:val="center"/>
            </w:pPr>
            <w:r>
              <w:t xml:space="preserve">0.216</w:t>
            </w:r>
          </w:p>
        </w:tc>
        <w:tc>
          <w:p>
            <w:pPr>
              <w:pStyle w:val="Compact"/>
              <w:jc w:val="center"/>
            </w:pPr>
            <w:r>
              <w:t xml:space="preserve">0.227</w:t>
            </w:r>
          </w:p>
        </w:tc>
        <w:tc>
          <w:p>
            <w:pPr>
              <w:pStyle w:val="Compact"/>
              <w:jc w:val="center"/>
            </w:pPr>
            <w:r>
              <w:t xml:space="preserve">0.344</w:t>
            </w:r>
          </w:p>
        </w:tc>
        <w:tc>
          <w:p>
            <w:pPr>
              <w:pStyle w:val="Compact"/>
              <w:jc w:val="center"/>
            </w:pPr>
            <w:r>
              <w:t xml:space="preserve">0.277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0.153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Gemini 2.5 Pro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0.268</w:t>
            </w:r>
          </w:p>
        </w:tc>
        <w:tc>
          <w:p>
            <w:pPr>
              <w:pStyle w:val="Compact"/>
              <w:jc w:val="center"/>
            </w:pPr>
            <w:r>
              <w:t xml:space="preserve">0.272</w:t>
            </w:r>
          </w:p>
        </w:tc>
        <w:tc>
          <w:p>
            <w:pPr>
              <w:pStyle w:val="Compact"/>
              <w:jc w:val="center"/>
            </w:pPr>
            <w:r>
              <w:t xml:space="preserve">0.515</w:t>
            </w:r>
          </w:p>
        </w:tc>
        <w:tc>
          <w:p>
            <w:pPr>
              <w:pStyle w:val="Compact"/>
              <w:jc w:val="center"/>
            </w:pPr>
            <w:r>
              <w:t xml:space="preserve">0.258</w:t>
            </w:r>
          </w:p>
        </w:tc>
        <w:tc>
          <w:p>
            <w:pPr>
              <w:pStyle w:val="Compact"/>
              <w:jc w:val="center"/>
            </w:pPr>
            <w:r>
              <w:t xml:space="preserve">0.323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Gemini 3 Flash</w:t>
            </w:r>
          </w:p>
        </w:tc>
        <w:tc>
          <w:p>
            <w:pPr>
              <w:pStyle w:val="Compact"/>
              <w:jc w:val="center"/>
            </w:pPr>
            <w:r>
              <w:t xml:space="preserve">0.324</w:t>
            </w:r>
          </w:p>
        </w:tc>
        <w:tc>
          <w:p>
            <w:pPr>
              <w:pStyle w:val="Compact"/>
              <w:jc w:val="center"/>
            </w:pPr>
            <w:r>
              <w:t xml:space="preserve">0.337</w:t>
            </w:r>
          </w:p>
        </w:tc>
        <w:tc>
          <w:p>
            <w:pPr>
              <w:pStyle w:val="Compact"/>
              <w:jc w:val="center"/>
            </w:pPr>
            <w:r>
              <w:t xml:space="preserve">0.355</w:t>
            </w:r>
          </w:p>
        </w:tc>
        <w:tc>
          <w:p>
            <w:pPr>
              <w:pStyle w:val="Compact"/>
              <w:jc w:val="center"/>
            </w:pPr>
            <w:r>
              <w:t xml:space="preserve">0.346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0.144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Gemini 3.1 Pro</w:t>
            </w:r>
          </w:p>
        </w:tc>
        <w:tc>
          <w:p>
            <w:pPr>
              <w:pStyle w:val="Compact"/>
              <w:jc w:val="center"/>
            </w:pPr>
            <w:r>
              <w:t xml:space="preserve">0.225</w:t>
            </w:r>
          </w:p>
        </w:tc>
        <w:tc>
          <w:p>
            <w:pPr>
              <w:pStyle w:val="Compact"/>
              <w:jc w:val="center"/>
            </w:pPr>
            <w:r>
              <w:t xml:space="preserve">0.236</w:t>
            </w:r>
          </w:p>
        </w:tc>
        <w:tc>
          <w:p>
            <w:pPr>
              <w:pStyle w:val="Compact"/>
              <w:jc w:val="center"/>
            </w:pPr>
            <w:r>
              <w:t xml:space="preserve">0.289</w:t>
            </w:r>
          </w:p>
        </w:tc>
        <w:tc>
          <w:p>
            <w:pPr>
              <w:pStyle w:val="Compact"/>
              <w:jc w:val="center"/>
            </w:pPr>
            <w:r>
              <w:t xml:space="preserve">0.262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0.189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GPT-4.1</w:t>
            </w:r>
          </w:p>
        </w:tc>
        <w:tc>
          <w:p>
            <w:pPr>
              <w:pStyle w:val="Compact"/>
              <w:jc w:val="center"/>
            </w:pPr>
            <w:r>
              <w:t xml:space="preserve">0.246</w:t>
            </w:r>
          </w:p>
        </w:tc>
        <w:tc>
          <w:p>
            <w:pPr>
              <w:pStyle w:val="Compact"/>
              <w:jc w:val="center"/>
            </w:pPr>
            <w:r>
              <w:t xml:space="preserve">0.220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0.179</w:t>
            </w:r>
          </w:p>
        </w:tc>
        <w:tc>
          <w:p>
            <w:pPr>
              <w:pStyle w:val="Compact"/>
              <w:jc w:val="center"/>
            </w:pPr>
            <w:r>
              <w:t xml:space="preserve">0.533</w:t>
            </w:r>
          </w:p>
        </w:tc>
        <w:tc>
          <w:p>
            <w:pPr>
              <w:pStyle w:val="Compact"/>
              <w:jc w:val="center"/>
            </w:pPr>
            <w:r>
              <w:t xml:space="preserve">0.219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GPT-4.1 Mini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0.196</w:t>
            </w:r>
          </w:p>
        </w:tc>
        <w:tc>
          <w:p>
            <w:pPr>
              <w:pStyle w:val="Compact"/>
              <w:jc w:val="center"/>
            </w:pPr>
            <w:r>
              <w:t xml:space="preserve">0.254</w:t>
            </w:r>
          </w:p>
        </w:tc>
        <w:tc>
          <w:p>
            <w:pPr>
              <w:pStyle w:val="Compact"/>
              <w:jc w:val="center"/>
            </w:pPr>
            <w:r>
              <w:t xml:space="preserve">0.233</w:t>
            </w:r>
          </w:p>
        </w:tc>
        <w:tc>
          <w:p>
            <w:pPr>
              <w:pStyle w:val="Compact"/>
              <w:jc w:val="center"/>
            </w:pPr>
            <w:r>
              <w:t xml:space="preserve">0.421</w:t>
            </w:r>
          </w:p>
        </w:tc>
        <w:tc>
          <w:p>
            <w:pPr>
              <w:pStyle w:val="Compact"/>
              <w:jc w:val="center"/>
            </w:pPr>
            <w:r>
              <w:t xml:space="preserve">0.293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GPT-4.1 Nano</w:t>
            </w:r>
          </w:p>
        </w:tc>
        <w:tc>
          <w:p>
            <w:pPr>
              <w:pStyle w:val="Compact"/>
              <w:jc w:val="center"/>
            </w:pPr>
            <w:r>
              <w:t xml:space="preserve">0.296</w:t>
            </w:r>
          </w:p>
        </w:tc>
        <w:tc>
          <w:p>
            <w:pPr>
              <w:pStyle w:val="Compact"/>
              <w:jc w:val="center"/>
            </w:pPr>
            <w:r>
              <w:t xml:space="preserve">0.280</w:t>
            </w:r>
          </w:p>
        </w:tc>
        <w:tc>
          <w:p>
            <w:pPr>
              <w:pStyle w:val="Compact"/>
              <w:jc w:val="center"/>
            </w:pPr>
            <w:r>
              <w:t xml:space="preserve">0.296</w:t>
            </w:r>
          </w:p>
        </w:tc>
        <w:tc>
          <w:p>
            <w:pPr>
              <w:pStyle w:val="Compact"/>
              <w:jc w:val="center"/>
            </w:pPr>
            <w:r>
              <w:t xml:space="preserve">0.608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0.234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Mean</w:t>
            </w:r>
          </w:p>
        </w:tc>
        <w:tc>
          <w:p>
            <w:pPr>
              <w:pStyle w:val="Compact"/>
              <w:jc w:val="center"/>
            </w:pPr>
            <w:r>
              <w:t xml:space="preserve">0.276</w:t>
            </w:r>
          </w:p>
        </w:tc>
        <w:tc>
          <w:p>
            <w:pPr>
              <w:pStyle w:val="Compact"/>
              <w:jc w:val="center"/>
            </w:pPr>
            <w:r>
              <w:t xml:space="preserve">0.240</w:t>
            </w:r>
          </w:p>
        </w:tc>
        <w:tc>
          <w:p>
            <w:pPr>
              <w:pStyle w:val="Compact"/>
              <w:jc w:val="center"/>
            </w:pPr>
            <w:r>
              <w:t xml:space="preserve">0.284</w:t>
            </w:r>
          </w:p>
        </w:tc>
        <w:tc>
          <w:p>
            <w:pPr>
              <w:pStyle w:val="Compact"/>
              <w:jc w:val="center"/>
            </w:pPr>
            <w:r>
              <w:t xml:space="preserve">0.342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0.226</w:t>
            </w:r>
          </w:p>
        </w:tc>
      </w:tr>
    </w:tbl>
    <w:bookmarkEnd w:id="128"/>
    <w:p>
      <w:pPr>
        <w:pStyle w:val="Heading5"/>
      </w:pPr>
      <w:bookmarkStart w:id="129" w:name="h2-verdict."/>
      <w:r>
        <w:t xml:space="preserve">H2 verdict.</w:t>
      </w:r>
      <w:bookmarkEnd w:id="129"/>
    </w:p>
    <w:p>
      <w:pPr>
        <w:pStyle w:val="FirstParagraph"/>
      </w:pPr>
      <w:r>
        <w:t xml:space="preserve">H2 is rejected. Under the pre-registered decision rule (Section </w:t>
      </w:r>
      <w:hyperlink w:anchor="sec:meth:hypotheses">
        <w:r>
          <w:rPr>
            <w:rStyle w:val="Hyperlink"/>
          </w:rPr>
          <w:t xml:space="preserve">4.5</w:t>
        </w:r>
      </w:hyperlink>
      <w:r>
        <w:t xml:space="preserve">;</w:t>
      </w:r>
      <w:r>
        <w:t xml:space="preserve"> </w:t>
      </w:r>
      <w:r>
        <w:t xml:space="preserve">upper bound of the 95% paired-bootstrap CI on</w:t>
      </w:r>
      <w:r>
        <w:t xml:space="preserve"> </w:t>
      </w:r>
      <m:oMath>
        <m:r>
          <m:t>Δ</m:t>
        </m:r>
        <m:r>
          <m:rPr>
            <m:sty m:val="p"/>
          </m:rPr>
          <m:t>G</m:t>
        </m:r>
        <m:r>
          <m:rPr>
            <m:sty m:val="p"/>
          </m:rPr>
          <m:t>a</m:t>
        </m:r>
        <m:r>
          <m:rPr>
            <m:sty m:val="p"/>
          </m:rPr>
          <m:t>p</m:t>
        </m:r>
      </m:oMath>
      <w:r>
        <w:t xml:space="preserve"> </w:t>
      </w:r>
      <w:r>
        <w:t xml:space="preserve">strictly</w:t>
      </w:r>
      <w:r>
        <w:t xml:space="preserve"> </w:t>
      </w:r>
      <m:oMath>
        <m:r>
          <m:t>&lt;</m:t>
        </m:r>
        <m:r>
          <m:t>0</m:t>
        </m:r>
      </m:oMath>
      <w:r>
        <w:t xml:space="preserve">), only 1 of the 22 multi-agent vs. B0 contrasts satisfies the rule</w:t>
      </w:r>
      <w:r>
        <w:t xml:space="preserve"> </w:t>
      </w:r>
      <w:r>
        <w:t xml:space="preserve">(Claude Haiku 4.5 under M0,</w:t>
      </w:r>
      <w:r>
        <w:t xml:space="preserve"> </w:t>
      </w:r>
      <m:oMath>
        <m:r>
          <m:t>Δ</m:t>
        </m:r>
        <m:r>
          <m:rPr>
            <m:sty m:val="p"/>
          </m:rPr>
          <m:t>G</m:t>
        </m:r>
        <m:r>
          <m:rPr>
            <m:sty m:val="p"/>
          </m:rPr>
          <m:t>a</m:t>
        </m:r>
        <m:r>
          <m:rPr>
            <m:sty m:val="p"/>
          </m:rPr>
          <m:t>p</m:t>
        </m:r>
        <m:r>
          <m:t>=</m:t>
        </m:r>
        <m:r>
          <m:t>−</m:t>
        </m:r>
        <m:r>
          <m:t>0.256</m:t>
        </m:r>
      </m:oMath>
      <w:r>
        <w:t xml:space="preserve">, CI</w:t>
      </w:r>
      <w:r>
        <w:t xml:space="preserve"> </w:t>
      </w:r>
      <m:oMath>
        <m:r>
          <m:t>[</m:t>
        </m:r>
        <m:r>
          <m:t>−</m:t>
        </m:r>
        <m:r>
          <m:t>0.308</m:t>
        </m:r>
        <m:r>
          <m:t>,</m:t>
        </m:r>
        <m:r>
          <m:t> </m:t>
        </m:r>
        <m:r>
          <m:t>−</m:t>
        </m:r>
        <m:r>
          <m:t>0.211</m:t>
        </m:r>
        <m:r>
          <m:t>]</m:t>
        </m:r>
      </m:oMath>
      <w:r>
        <w:t xml:space="preserve">);</w:t>
      </w:r>
      <w:r>
        <w:t xml:space="preserve"> </w:t>
      </w:r>
      <w:r>
        <w:t xml:space="preserve">6 contrasts have CIs strictly above zero — M0 and M1</w:t>
      </w:r>
      <w:r>
        <w:t xml:space="preserve"> </w:t>
      </w:r>
      <w:r>
        <w:rPr>
          <w:i/>
        </w:rPr>
        <w:t xml:space="preserve">widen</w:t>
      </w:r>
      <w:r>
        <w:t xml:space="preserve"> </w:t>
      </w:r>
      <w:r>
        <w:t xml:space="preserve">the gap</w:t>
      </w:r>
      <w:r>
        <w:t xml:space="preserve"> </w:t>
      </w:r>
      <w:r>
        <w:t xml:space="preserve">significantly on the Gemini and GPT-family models. Because the decision</w:t>
      </w:r>
      <w:r>
        <w:t xml:space="preserve"> </w:t>
      </w:r>
      <w:r>
        <w:t xml:space="preserve">rule is a one-sided CI inclusion criterion rather than a</w:t>
      </w:r>
      <w:r>
        <w:t xml:space="preserve"> </w:t>
      </w:r>
      <m:oMath>
        <m:r>
          <m:t>p</m:t>
        </m:r>
      </m:oMath>
      <w:r>
        <w:t xml:space="preserve">-value, the</w:t>
      </w:r>
      <w:r>
        <w:t xml:space="preserve"> </w:t>
      </w:r>
      <w:r>
        <w:t xml:space="preserve">Benjamini–Hochberg procedure (Eq. </w:t>
      </w:r>
      <w:hyperlink w:anchor="eq:bh">
        <w:r>
          <w:rPr>
            <w:rStyle w:val="Hyperlink"/>
          </w:rPr>
          <w:t xml:space="preserve">[eq:bh]</w:t>
        </w:r>
      </w:hyperlink>
      <w:r>
        <w:t xml:space="preserve">) does not apply mechanically</w:t>
      </w:r>
      <w:r>
        <w:t xml:space="preserve"> </w:t>
      </w:r>
      <w:r>
        <w:t xml:space="preserve">across the 22 contrasts; the family-wise Type-I rate is therefore not formally</w:t>
      </w:r>
      <w:r>
        <w:t xml:space="preserve"> </w:t>
      </w:r>
      <w:r>
        <w:t xml:space="preserve">controlled, and the 1-of-22 single-rule satisfaction would survive any</w:t>
      </w:r>
      <w:r>
        <w:t xml:space="preserve"> </w:t>
      </w:r>
      <w:r>
        <w:t xml:space="preserve">reasonable family-wise correction at</w:t>
      </w:r>
      <w:r>
        <w:t xml:space="preserve"> </w:t>
      </w:r>
      <m:oMath>
        <m:r>
          <m:t>α</m:t>
        </m:r>
        <m:r>
          <m:t>=</m:t>
        </m:r>
        <m:r>
          <m:t>0.05</m:t>
        </m:r>
      </m:oMath>
      <w:r>
        <w:t xml:space="preserve"> </w:t>
      </w:r>
      <w:r>
        <w:t xml:space="preserve">(the verdict cannot</w:t>
      </w:r>
      <w:r>
        <w:t xml:space="preserve"> </w:t>
      </w:r>
      <w:r>
        <w:t xml:space="preserve">become more permissive under correction). Per-model bootstrap CIs</w:t>
      </w:r>
      <w:r>
        <w:t xml:space="preserve"> </w:t>
      </w:r>
      <w:r>
        <w:t xml:space="preserve">are released in the experiment artefacts. Two mechanisms drive the</w:t>
      </w:r>
      <w:r>
        <w:t xml:space="preserve"> </w:t>
      </w:r>
      <w:r>
        <w:t xml:space="preserve">widening. Under M0, the classification gate (Section </w:t>
      </w:r>
      <w:hyperlink w:anchor="sec:res:cascade">
        <w:r>
          <w:rPr>
            <w:rStyle w:val="Hyperlink"/>
          </w:rPr>
          <w:t xml:space="preserve">6.5</w:t>
        </w:r>
      </w:hyperlink>
      <w:r>
        <w:t xml:space="preserve">)</w:t>
      </w:r>
      <w:r>
        <w:t xml:space="preserve"> </w:t>
      </w:r>
      <w:r>
        <w:t xml:space="preserve">collapses rare-tier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 the Gemini family (Gemini 2.5 Flash:</w:t>
      </w:r>
      <w:r>
        <w:t xml:space="preserve"> </w:t>
      </w:r>
      <m:oMath>
        <m:sSubSup>
          <m:e>
            <m:r>
              <m:t>F</m:t>
            </m:r>
          </m:e>
          <m:sub>
            <m:r>
              <m:t>2</m:t>
            </m:r>
          </m:sub>
          <m:sup>
            <m:r>
              <m:t>r</m:t>
            </m:r>
          </m:sup>
        </m:sSubSup>
      </m:oMath>
      <w:r>
        <w:t xml:space="preserve"> </w:t>
      </w:r>
      <w:r>
        <w:t xml:space="preserve">drops from</w:t>
      </w:r>
      <w:r>
        <w:t xml:space="preserve"> </w:t>
      </w:r>
      <m:oMath>
        <m:r>
          <m:t>0.719</m:t>
        </m:r>
      </m:oMath>
      <w:r>
        <w:t xml:space="preserve"> </w:t>
      </w:r>
      <w:r>
        <w:t xml:space="preserve">under B0 to</w:t>
      </w:r>
      <w:r>
        <w:t xml:space="preserve"> </w:t>
      </w:r>
      <m:oMath>
        <m:r>
          <m:t>0.381</m:t>
        </m:r>
      </m:oMath>
      <w:r>
        <w:t xml:space="preserve"> </w:t>
      </w:r>
      <w:r>
        <w:t xml:space="preserve">under M0). Under M1, GPT-family</w:t>
      </w:r>
      <w:r>
        <w:t xml:space="preserve"> </w:t>
      </w:r>
      <w:r>
        <w:t xml:space="preserve">specialists fail catastrophically on rare categories (GPT-4.1:</w:t>
      </w:r>
      <w:r>
        <w:t xml:space="preserve"> </w:t>
      </w:r>
      <m:oMath>
        <m:sSubSup>
          <m:e>
            <m:r>
              <m:t>F</m:t>
            </m:r>
          </m:e>
          <m:sub>
            <m:r>
              <m:t>2</m:t>
            </m:r>
          </m:sub>
          <m:sup>
            <m:r>
              <m:t>r</m:t>
            </m:r>
          </m:sup>
        </m:sSubSup>
      </m:oMath>
      <w:r>
        <w:t xml:space="preserve"> </w:t>
      </w:r>
      <w:r>
        <w:t xml:space="preserve">drops</w:t>
      </w:r>
      <w:r>
        <w:t xml:space="preserve"> </w:t>
      </w:r>
      <m:oMath>
        <m:r>
          <m:t>0.704</m:t>
        </m:r>
        <m:r>
          <m:t>→</m:t>
        </m:r>
        <m:r>
          <m:t>0.430</m:t>
        </m:r>
      </m:oMath>
      <w:r>
        <w:t xml:space="preserve">; GPT-4.1 Nano:</w:t>
      </w:r>
      <w:r>
        <w:t xml:space="preserve"> </w:t>
      </w:r>
      <m:oMath>
        <m:r>
          <m:t>0.253</m:t>
        </m:r>
        <m:r>
          <m:t>→</m:t>
        </m:r>
        <m:r>
          <m:t>0.167</m:t>
        </m:r>
      </m:oMath>
      <w:r>
        <w:t xml:space="preserve">). The B1 chain-of-thought</w:t>
      </w:r>
      <w:r>
        <w:t xml:space="preserve"> </w:t>
      </w:r>
      <w:r>
        <w:t xml:space="preserve">baseline and M2 consolidated specialist do reduce the gap (means 0.240 and</w:t>
      </w:r>
      <w:r>
        <w:t xml:space="preserve"> </w:t>
      </w:r>
      <w:r>
        <w:t xml:space="preserve">0.226), but neither is a multi-agent architecture in the sense of</w:t>
      </w:r>
      <w:r>
        <w:t xml:space="preserve"> </w:t>
      </w:r>
      <w:r>
        <w:t xml:space="preserve">Chapter </w:t>
      </w:r>
      <w:hyperlink w:anchor="chapter:methodology">
        <w:r>
          <w:rPr>
            <w:rStyle w:val="Hyperlink"/>
          </w:rPr>
          <w:t xml:space="preserve">4</w:t>
        </w:r>
      </w:hyperlink>
      <w:r>
        <w:t xml:space="preserve">.</w:t>
      </w:r>
    </w:p>
    <w:p>
      <w:pPr>
        <w:pStyle w:val="BodyText"/>
      </w:pPr>
      <w:r>
        <w:t xml:space="preserve">Figure </w:t>
      </w:r>
      <w:hyperlink w:anchor="fig:tier-winners">
        <w:r>
          <w:rPr>
            <w:rStyle w:val="Hyperlink"/>
          </w:rPr>
          <w:t xml:space="preserve">[fig:tier-winners]</w:t>
        </w:r>
      </w:hyperlink>
      <w:r>
        <w:t xml:space="preserve"> </w:t>
      </w:r>
      <w:r>
        <w:t xml:space="preserve">disaggregates by prevalence tier to expose which</w:t>
      </w:r>
      <w:r>
        <w:t xml:space="preserve"> </w:t>
      </w:r>
      <w:r>
        <w:t xml:space="preserve">configuration wins at each tier rather than on a gap-adjusted average. The</w:t>
      </w:r>
      <w:r>
        <w:t xml:space="preserve"> </w:t>
      </w:r>
      <w:r>
        <w:t xml:space="preserve">pattern reverses across tiers: M1 leads on common categories, M0 on moderate,</w:t>
      </w:r>
      <w:r>
        <w:t xml:space="preserve"> </w:t>
      </w:r>
      <w:r>
        <w:t xml:space="preserve">and B0 on rare. Multi-agent specialisation therefore benefits common-tier categories</w:t>
      </w:r>
      <w:r>
        <w:t xml:space="preserve"> </w:t>
      </w:r>
      <w:r>
        <w:t xml:space="preserve">more than rare-tier ones (Figure </w:t>
      </w:r>
      <w:hyperlink w:anchor="fig:tier-winners">
        <w:r>
          <w:rPr>
            <w:rStyle w:val="Hyperlink"/>
          </w:rPr>
          <w:t xml:space="preserve">[fig:tier-winners]</w:t>
        </w:r>
      </w:hyperlink>
      <w:r>
        <w:t xml:space="preserve">).</w:t>
      </w:r>
      <w:r>
        <w:rPr>
          <w:rStyle w:val="FootnoteReference"/>
        </w:rPr>
        <w:footnoteReference w:id="130"/>
      </w:r>
    </w:p>
    <w:p>
      <w:pPr>
        <w:pStyle w:val="BodyText"/>
      </w:pPr>
      <w:r>
        <w:rPr>
          <w:i/>
        </w:rPr>
        <w:t xml:space="preserve">[Figure/diagram in LaTeX source (tikzpicture); see PDF]</w:t>
      </w:r>
    </w:p>
    <w:p>
      <w:pPr>
        <w:pStyle w:val="Heading2"/>
      </w:pPr>
      <w:bookmarkStart w:id="131" w:name="sec:res:h3"/>
      <w:r>
        <w:t xml:space="preserve">H3 — Architecture vs. Prompt Content ( vs. )</w:t>
      </w:r>
      <w:bookmarkEnd w:id="131"/>
    </w:p>
    <w:p>
      <w:pPr>
        <w:pStyle w:val="FirstParagraph"/>
      </w:pPr>
      <w:r>
        <w:t xml:space="preserve">The  (M1) router agreed with the deterministic category-to-specialist mapping on</w:t>
      </w:r>
      <w:r>
        <w:t xml:space="preserve"> </w:t>
      </w:r>
      <m:oMath>
        <m:r>
          <m:t>100.00</m:t>
        </m:r>
        <m:r>
          <m:t>%</m:t>
        </m:r>
      </m:oMath>
      <w:r>
        <w:t xml:space="preserve"> </w:t>
      </w:r>
      <w:r>
        <w:t xml:space="preserve">of requests for ten of eleven models, and on</w:t>
      </w:r>
      <w:r>
        <w:t xml:space="preserve"> </w:t>
      </w:r>
      <m:oMath>
        <m:r>
          <m:t>99.03</m:t>
        </m:r>
        <m:r>
          <m:t>%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GPT-4.1 Nano (29 mis-routes out of 2</w:t>
      </w:r>
      <w:r>
        <w:t xml:space="preserve">,</w:t>
      </w:r>
      <w:r>
        <w:t xml:space="preserve">999), yielding</w:t>
      </w:r>
      <w:r>
        <w:t xml:space="preserve"> </w:t>
      </w:r>
      <m:oMath>
        <m:r>
          <m:t>99.91</m:t>
        </m:r>
        <m:r>
          <m:t>%</m:t>
        </m:r>
      </m:oMath>
      <w:r>
        <w:t xml:space="preserve"> </w:t>
      </w:r>
      <w:r>
        <w:t xml:space="preserve">routing</w:t>
      </w:r>
      <w:r>
        <w:t xml:space="preserve"> </w:t>
      </w:r>
      <w:r>
        <w:t xml:space="preserve">accuracy across the panel. The routed-call distribution across specialists is</w:t>
      </w:r>
      <w:r>
        <w:t xml:space="preserve"> </w:t>
      </w:r>
      <w:r>
        <w:t xml:space="preserve">uneven —</w:t>
      </w:r>
      <w:r>
        <w:t xml:space="preserve"> </w:t>
      </w:r>
      <w:r>
        <w:rPr>
          <w:rStyle w:val="VerbatimChar"/>
        </w:rPr>
        <w:t xml:space="preserve">ip_commercial</w:t>
      </w:r>
      <w:r>
        <w:t xml:space="preserve"> </w:t>
      </w:r>
      <w:r>
        <w:t xml:space="preserve">11</w:t>
      </w:r>
      <w:r>
        <w:t xml:space="preserve">,</w:t>
      </w:r>
      <w:r>
        <w:t xml:space="preserve">802 calls,</w:t>
      </w:r>
      <w:r>
        <w:t xml:space="preserve"> </w:t>
      </w:r>
      <w:r>
        <w:rPr>
          <w:rStyle w:val="VerbatimChar"/>
        </w:rPr>
        <w:t xml:space="preserve">temporal_renewal</w:t>
      </w:r>
      <w:r>
        <w:t xml:space="preserve"> </w:t>
      </w:r>
      <w:r>
        <w:t xml:space="preserve">11</w:t>
      </w:r>
      <w:r>
        <w:t xml:space="preserve">,</w:t>
      </w:r>
      <w:r>
        <w:t xml:space="preserve">364,</w:t>
      </w:r>
      <w:r>
        <w:t xml:space="preserve"> </w:t>
      </w:r>
      <w:r>
        <w:rPr>
          <w:rStyle w:val="VerbatimChar"/>
        </w:rPr>
        <w:t xml:space="preserve">risk_liability</w:t>
      </w:r>
      <w:r>
        <w:t xml:space="preserve"> </w:t>
      </w:r>
      <w:r>
        <w:t xml:space="preserve">9</w:t>
      </w:r>
      <w:r>
        <w:t xml:space="preserve">,</w:t>
      </w:r>
      <w:r>
        <w:t xml:space="preserve">068 — reflecting the per-specialist</w:t>
      </w:r>
      <w:r>
        <w:t xml:space="preserve"> </w:t>
      </w:r>
      <w:r>
        <w:t xml:space="preserve">category populations (17, 11, 13) and CUAD’s prevalence-weighted sampling rather</w:t>
      </w:r>
      <w:r>
        <w:t xml:space="preserve"> </w:t>
      </w:r>
      <w:r>
        <w:t xml:space="preserve">than a routing defect. Routing is empirically a deterministic lookup: the</w:t>
      </w:r>
      <w:r>
        <w:t xml:space="preserve"> </w:t>
      </w:r>
      <w:r>
        <w:t xml:space="preserve">router’s decisions can be replicated by a static dictionary mapping category</w:t>
      </w:r>
      <w:r>
        <w:t xml:space="preserve"> </w:t>
      </w:r>
      <w:r>
        <w:t xml:space="preserve">names to specialist labels at zero LLM cost. We therefore present no figure for</w:t>
      </w:r>
      <w:r>
        <w:t xml:space="preserve"> </w:t>
      </w:r>
      <w:r>
        <w:t xml:space="preserve">routing accuracy and treat M1 vs. M2 as a test of whether dispatch architecture</w:t>
      </w:r>
      <w:r>
        <w:t xml:space="preserve"> </w:t>
      </w:r>
      <w:r>
        <w:t xml:space="preserve">(with routing held empirically constant) adds value over a single-agent</w:t>
      </w:r>
      <w:r>
        <w:t xml:space="preserve"> </w:t>
      </w:r>
      <w:r>
        <w:t xml:space="preserve">prompt containing the same specialist text.</w:t>
      </w:r>
    </w:p>
    <w:p>
      <w:pPr>
        <w:pStyle w:val="BodyText"/>
      </w:pPr>
      <w:r>
        <w:t xml:space="preserve">Table </w:t>
      </w:r>
      <w:hyperlink w:anchor="tab:h3">
        <w:r>
          <w:rPr>
            <w:rStyle w:val="Hyperlink"/>
          </w:rPr>
          <w:t xml:space="preserve">6.6</w:t>
        </w:r>
      </w:hyperlink>
      <w:r>
        <w:t xml:space="preserve"> </w:t>
      </w:r>
      <w:r>
        <w:t xml:space="preserve">reports the M1–M2 contrasts 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on average</w:t>
      </w:r>
      <w:r>
        <w:t xml:space="preserve"> </w:t>
      </w:r>
      <w:r>
        <w:t xml:space="preserve">Jaccard span overlap.</w:t>
      </w:r>
    </w:p>
    <w:bookmarkStart w:id="132" w:name="tab:h3"/>
    <w:p>
      <w:pPr>
        <w:pStyle w:val="TableCaption"/>
      </w:pPr>
      <w:r>
        <w:t xml:space="preserve">H3 contrasts:  (M1) vs.  (M2). Both configurations are</w:t>
      </w:r>
      <w:r>
        <w:t xml:space="preserve"> </w:t>
      </w:r>
      <w:r>
        <w:t xml:space="preserve">tied on pooled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bar>
          <m:barPr>
            <m:pos m:val="top"/>
          </m:barPr>
          <m:e>
            <m:r>
              <m:t>Δ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</m:e>
        </m:bar>
        <m:r>
          <m:t>=</m:t>
        </m:r>
        <m:r>
          <m:t>−</m:t>
        </m:r>
        <m:r>
          <m:t>0.0002</m:t>
        </m:r>
      </m:oMath>
      <w:r>
        <w:t xml:space="preserve">; 5 M1 wins, 6 M2 wins).</w:t>
      </w:r>
      <w:r>
        <w:t xml:space="preserve"> </w:t>
      </w:r>
      <w:r>
        <w:t xml:space="preserve">On span quality (Jaccard),  dominates on 10 of 11 models, mean</w:t>
      </w:r>
      <w:r>
        <w:t xml:space="preserve"> </w:t>
      </w:r>
      <w:r>
        <w:t xml:space="preserve">advantage</w:t>
      </w:r>
      <w:r>
        <w:t xml:space="preserve"> </w:t>
      </w:r>
      <m:oMath>
        <m:r>
          <m:t>+</m:t>
        </m:r>
        <m:r>
          <m:t>0.071</m:t>
        </m:r>
      </m:oMath>
      <w:r>
        <w:t xml:space="preserve">. BH: BH-corrected significance (</w:t>
      </w:r>
      <m:oMath>
        <m:r>
          <m:t>α</m:t>
        </m:r>
        <m:r>
          <m:t>=</m:t>
        </m:r>
        <m:r>
          <m:t>0.05</m:t>
        </m:r>
      </m:oMath>
      <w:r>
        <w:t xml:space="preserve">,</w:t>
      </w:r>
      <w:r>
        <w:t xml:space="preserve"> </w:t>
      </w:r>
      <m:oMath>
        <m:r>
          <m:t>m</m:t>
        </m:r>
        <m:r>
          <m:t>=</m:t>
        </m:r>
        <m:r>
          <m:t>11</m:t>
        </m:r>
      </m:oMath>
      <w:r>
        <w:t xml:space="preserve">).</w:t>
      </w:r>
      <w:r>
        <w:t xml:space="preserve"> </w:t>
      </w:r>
      <w:r>
        <w:t xml:space="preserve">All 11 contrasts are significant. The single M1 exception on Jaccard is</w:t>
      </w:r>
      <w:r>
        <w:t xml:space="preserve"> </w:t>
      </w:r>
      <w:r>
        <w:t xml:space="preserve">Gemini 3 Flash, where  collapses (Section </w:t>
      </w:r>
      <w:hyperlink w:anchor="sec:res:cascade">
        <w:r>
          <w:rPr>
            <w:rStyle w:val="Hyperlink"/>
          </w:rPr>
          <w:t xml:space="preserve">6.5</w:t>
        </w:r>
      </w:hyperlink>
      <w:r>
        <w:t xml:space="preserve">).</w:t>
      </w:r>
    </w:p>
    <w:tbl>
      <w:tblPr>
        <w:tblStyle w:val="Table"/>
        <w:tblW w:type="pct" w:w="0.0"/>
        <w:tblLook w:firstRow="1"/>
        <w:tblCaption w:val="H3 contrasts:  (M1) vs.  (M2). Both configurations are tied on pooled F_2 (\overline{\Delta F_2} = -0.0002; 5 M1 wins, 6 M2 wins). On span quality (Jaccard),  dominates on 10 of 11 models, mean advantage +0.071. BH: BH-corrected significance (\alpha{=}0.05, m{=}11). All 11 contrasts are significant. The single M1 exception on Jaccard is Gemini 3 Flash, where  collapses (Section 6.5)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m:oMath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(M1)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m:oMath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(M2)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m:oMath>
              <m:r>
                <m:t>Δ</m:t>
              </m:r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BH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Jacc. (M1)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Jacc. (M2)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Claude Haiku 4.5</w:t>
            </w:r>
          </w:p>
        </w:tc>
        <w:tc>
          <w:p>
            <w:pPr>
              <w:pStyle w:val="Compact"/>
              <w:jc w:val="center"/>
            </w:pPr>
            <w:r>
              <w:t xml:space="preserve">0.835</w:t>
            </w:r>
          </w:p>
        </w:tc>
        <w:tc>
          <w:p>
            <w:pPr>
              <w:pStyle w:val="Compact"/>
              <w:jc w:val="center"/>
            </w:pPr>
            <w:r>
              <w:t xml:space="preserve">0.822</w:t>
            </w:r>
          </w:p>
        </w:tc>
        <w:tc>
          <w:p>
            <w:pPr>
              <w:pStyle w:val="Compact"/>
              <w:jc w:val="center"/>
            </w:pPr>
            <m:oMath>
              <m:r>
                <m:t>+</m:t>
              </m:r>
              <m:r>
                <m:t>0.013</m:t>
              </m:r>
            </m:oMath>
          </w:p>
        </w:tc>
        <w:tc>
          <w:p/>
        </w:tc>
        <w:tc>
          <w:p>
            <w:pPr>
              <w:pStyle w:val="Compact"/>
              <w:jc w:val="center"/>
            </w:pPr>
            <w:r>
              <w:t xml:space="preserve">0.403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0.449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Claude Opus 4.6</w:t>
            </w:r>
          </w:p>
        </w:tc>
        <w:tc>
          <w:p>
            <w:pPr>
              <w:pStyle w:val="Compact"/>
              <w:jc w:val="center"/>
            </w:pPr>
            <w:r>
              <w:t xml:space="preserve">0.860</w:t>
            </w:r>
          </w:p>
        </w:tc>
        <w:tc>
          <w:p>
            <w:pPr>
              <w:pStyle w:val="Compact"/>
              <w:jc w:val="center"/>
            </w:pPr>
            <w:r>
              <w:t xml:space="preserve">0.846</w:t>
            </w:r>
          </w:p>
        </w:tc>
        <w:tc>
          <w:p>
            <w:pPr>
              <w:pStyle w:val="Compact"/>
              <w:jc w:val="center"/>
            </w:pPr>
            <m:oMath>
              <m:r>
                <m:t>+</m:t>
              </m:r>
              <m:r>
                <m:t>0.014</m:t>
              </m:r>
            </m:oMath>
          </w:p>
        </w:tc>
        <w:tc>
          <w:p/>
        </w:tc>
        <w:tc>
          <w:p>
            <w:pPr>
              <w:pStyle w:val="Compact"/>
              <w:jc w:val="center"/>
            </w:pPr>
            <w:r>
              <w:t xml:space="preserve">0.429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0.492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Claude Sonnet 4</w:t>
            </w:r>
          </w:p>
        </w:tc>
        <w:tc>
          <w:p>
            <w:pPr>
              <w:pStyle w:val="Compact"/>
              <w:jc w:val="center"/>
            </w:pPr>
            <w:r>
              <w:t xml:space="preserve">0.826</w:t>
            </w:r>
          </w:p>
        </w:tc>
        <w:tc>
          <w:p>
            <w:pPr>
              <w:pStyle w:val="Compact"/>
              <w:jc w:val="center"/>
            </w:pPr>
            <w:r>
              <w:t xml:space="preserve">0.842</w:t>
            </w:r>
          </w:p>
        </w:tc>
        <w:tc>
          <w:p>
            <w:pPr>
              <w:pStyle w:val="Compact"/>
              <w:jc w:val="center"/>
            </w:pPr>
            <m:oMath>
              <m:r>
                <m:t>−</m:t>
              </m:r>
              <m:r>
                <m:t>0.016</m:t>
              </m:r>
            </m:oMath>
          </w:p>
        </w:tc>
        <w:tc>
          <w:p/>
        </w:tc>
        <w:tc>
          <w:p>
            <w:pPr>
              <w:pStyle w:val="Compact"/>
              <w:jc w:val="center"/>
            </w:pPr>
            <w:r>
              <w:t xml:space="preserve">0.491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0.524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Claude Sonnet 4.6</w:t>
            </w:r>
          </w:p>
        </w:tc>
        <w:tc>
          <w:p>
            <w:pPr>
              <w:pStyle w:val="Compact"/>
              <w:jc w:val="center"/>
            </w:pPr>
            <w:r>
              <w:t xml:space="preserve">0.834</w:t>
            </w:r>
          </w:p>
        </w:tc>
        <w:tc>
          <w:p>
            <w:pPr>
              <w:pStyle w:val="Compact"/>
              <w:jc w:val="center"/>
            </w:pPr>
            <w:r>
              <w:t xml:space="preserve">0.836</w:t>
            </w:r>
          </w:p>
        </w:tc>
        <w:tc>
          <w:p>
            <w:pPr>
              <w:pStyle w:val="Compact"/>
              <w:jc w:val="center"/>
            </w:pPr>
            <m:oMath>
              <m:r>
                <m:t>−</m:t>
              </m:r>
              <m:r>
                <m:t>0.002</m:t>
              </m:r>
            </m:oMath>
          </w:p>
        </w:tc>
        <w:tc>
          <w:p/>
        </w:tc>
        <w:tc>
          <w:p>
            <w:pPr>
              <w:pStyle w:val="Compact"/>
              <w:jc w:val="center"/>
            </w:pPr>
            <w:r>
              <w:t xml:space="preserve">0.397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0.460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Gemini 2.5 Flash</w:t>
            </w:r>
          </w:p>
        </w:tc>
        <w:tc>
          <w:p>
            <w:pPr>
              <w:pStyle w:val="Compact"/>
              <w:jc w:val="center"/>
            </w:pPr>
            <w:r>
              <w:t xml:space="preserve">0.810</w:t>
            </w:r>
          </w:p>
        </w:tc>
        <w:tc>
          <w:p>
            <w:pPr>
              <w:pStyle w:val="Compact"/>
              <w:jc w:val="center"/>
            </w:pPr>
            <w:r>
              <w:t xml:space="preserve">0.832</w:t>
            </w:r>
          </w:p>
        </w:tc>
        <w:tc>
          <w:p>
            <w:pPr>
              <w:pStyle w:val="Compact"/>
              <w:jc w:val="center"/>
            </w:pPr>
            <m:oMath>
              <m:r>
                <m:t>−</m:t>
              </m:r>
              <m:r>
                <m:t>0.022</m:t>
              </m:r>
            </m:oMath>
          </w:p>
        </w:tc>
        <w:tc>
          <w:p/>
        </w:tc>
        <w:tc>
          <w:p>
            <w:pPr>
              <w:pStyle w:val="Compact"/>
              <w:jc w:val="center"/>
            </w:pPr>
            <w:r>
              <w:t xml:space="preserve">0.384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0.462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Gemini 2.5 Pro</w:t>
            </w:r>
          </w:p>
        </w:tc>
        <w:tc>
          <w:p>
            <w:pPr>
              <w:pStyle w:val="Compact"/>
              <w:jc w:val="center"/>
            </w:pPr>
            <w:r>
              <w:t xml:space="preserve">0.834</w:t>
            </w:r>
          </w:p>
        </w:tc>
        <w:tc>
          <w:p>
            <w:pPr>
              <w:pStyle w:val="Compact"/>
              <w:jc w:val="center"/>
            </w:pPr>
            <w:r>
              <w:t xml:space="preserve">0.816</w:t>
            </w:r>
          </w:p>
        </w:tc>
        <w:tc>
          <w:p>
            <w:pPr>
              <w:pStyle w:val="Compact"/>
              <w:jc w:val="center"/>
            </w:pPr>
            <m:oMath>
              <m:r>
                <m:t>+</m:t>
              </m:r>
              <m:r>
                <m:t>0.018</m:t>
              </m:r>
            </m:oMath>
          </w:p>
        </w:tc>
        <w:tc>
          <w:p/>
        </w:tc>
        <w:tc>
          <w:p>
            <w:pPr>
              <w:pStyle w:val="Compact"/>
              <w:jc w:val="center"/>
            </w:pPr>
            <w:r>
              <w:t xml:space="preserve">0.375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0.440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Gemini 3 Flash</w:t>
            </w:r>
          </w:p>
        </w:tc>
        <w:tc>
          <w:p>
            <w:pPr>
              <w:pStyle w:val="Compact"/>
              <w:jc w:val="center"/>
            </w:pPr>
            <w:r>
              <w:t xml:space="preserve">0.747</w:t>
            </w:r>
          </w:p>
        </w:tc>
        <w:tc>
          <w:p>
            <w:pPr>
              <w:pStyle w:val="Compact"/>
              <w:jc w:val="center"/>
            </w:pPr>
            <w:r>
              <w:t xml:space="preserve">0.609</w:t>
            </w:r>
          </w:p>
        </w:tc>
        <w:tc>
          <w:p>
            <w:pPr>
              <w:pStyle w:val="Compact"/>
              <w:jc w:val="center"/>
            </w:pPr>
            <m:oMath>
              <m:r>
                <m:t>+</m:t>
              </m:r>
              <m:r>
                <m:t>0.138</m:t>
              </m:r>
            </m:oMath>
          </w:p>
        </w:tc>
        <w:tc>
          <w:p/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0.345</w:t>
            </w:r>
          </w:p>
        </w:tc>
        <w:tc>
          <w:p>
            <w:pPr>
              <w:pStyle w:val="Compact"/>
              <w:jc w:val="center"/>
            </w:pPr>
            <w:r>
              <w:t xml:space="preserve">0.332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Gemini 3.1 Pro</w:t>
            </w:r>
          </w:p>
        </w:tc>
        <w:tc>
          <w:p>
            <w:pPr>
              <w:pStyle w:val="Compact"/>
              <w:jc w:val="center"/>
            </w:pPr>
            <w:r>
              <w:t xml:space="preserve">0.840</w:t>
            </w:r>
          </w:p>
        </w:tc>
        <w:tc>
          <w:p>
            <w:pPr>
              <w:pStyle w:val="Compact"/>
              <w:jc w:val="center"/>
            </w:pPr>
            <w:r>
              <w:t xml:space="preserve">0.854</w:t>
            </w:r>
          </w:p>
        </w:tc>
        <w:tc>
          <w:p>
            <w:pPr>
              <w:pStyle w:val="Compact"/>
              <w:jc w:val="center"/>
            </w:pPr>
            <m:oMath>
              <m:r>
                <m:t>−</m:t>
              </m:r>
              <m:r>
                <m:t>0.014</m:t>
              </m:r>
            </m:oMath>
          </w:p>
        </w:tc>
        <w:tc>
          <w:p/>
        </w:tc>
        <w:tc>
          <w:p>
            <w:pPr>
              <w:pStyle w:val="Compact"/>
              <w:jc w:val="center"/>
            </w:pPr>
            <w:r>
              <w:t xml:space="preserve">0.420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0.534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GPT-4.1</w:t>
            </w:r>
          </w:p>
        </w:tc>
        <w:tc>
          <w:p>
            <w:pPr>
              <w:pStyle w:val="Compact"/>
              <w:jc w:val="center"/>
            </w:pPr>
            <w:r>
              <w:t xml:space="preserve">0.777</w:t>
            </w:r>
          </w:p>
        </w:tc>
        <w:tc>
          <w:p>
            <w:pPr>
              <w:pStyle w:val="Compact"/>
              <w:jc w:val="center"/>
            </w:pPr>
            <w:r>
              <w:t xml:space="preserve">0.853</w:t>
            </w:r>
          </w:p>
        </w:tc>
        <w:tc>
          <w:p>
            <w:pPr>
              <w:pStyle w:val="Compact"/>
              <w:jc w:val="center"/>
            </w:pPr>
            <m:oMath>
              <m:r>
                <m:t>−</m:t>
              </m:r>
              <m:r>
                <m:t>0.076</m:t>
              </m:r>
            </m:oMath>
          </w:p>
        </w:tc>
        <w:tc>
          <w:p/>
        </w:tc>
        <w:tc>
          <w:p>
            <w:pPr>
              <w:pStyle w:val="Compact"/>
              <w:jc w:val="center"/>
            </w:pPr>
            <w:r>
              <w:t xml:space="preserve">0.298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0.445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GPT-4.1 Mini</w:t>
            </w:r>
          </w:p>
        </w:tc>
        <w:tc>
          <w:p>
            <w:pPr>
              <w:pStyle w:val="Compact"/>
              <w:jc w:val="center"/>
            </w:pPr>
            <w:r>
              <w:t xml:space="preserve">0.777</w:t>
            </w:r>
          </w:p>
        </w:tc>
        <w:tc>
          <w:p>
            <w:pPr>
              <w:pStyle w:val="Compact"/>
              <w:jc w:val="center"/>
            </w:pPr>
            <w:r>
              <w:t xml:space="preserve">0.833</w:t>
            </w:r>
          </w:p>
        </w:tc>
        <w:tc>
          <w:p>
            <w:pPr>
              <w:pStyle w:val="Compact"/>
              <w:jc w:val="center"/>
            </w:pPr>
            <m:oMath>
              <m:r>
                <m:t>−</m:t>
              </m:r>
              <m:r>
                <m:t>0.056</m:t>
              </m:r>
            </m:oMath>
          </w:p>
        </w:tc>
        <w:tc>
          <w:p/>
        </w:tc>
        <w:tc>
          <w:p>
            <w:pPr>
              <w:pStyle w:val="Compact"/>
              <w:jc w:val="center"/>
            </w:pPr>
            <w:r>
              <w:t xml:space="preserve">0.319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0.387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GPT-4.1 Nano</w:t>
            </w:r>
          </w:p>
        </w:tc>
        <w:tc>
          <w:p>
            <w:pPr>
              <w:pStyle w:val="Compact"/>
              <w:jc w:val="center"/>
            </w:pPr>
            <w:r>
              <w:t xml:space="preserve">0.547</w:t>
            </w:r>
          </w:p>
        </w:tc>
        <w:tc>
          <w:p>
            <w:pPr>
              <w:pStyle w:val="Compact"/>
              <w:jc w:val="center"/>
            </w:pPr>
            <w:r>
              <w:t xml:space="preserve">0.545</w:t>
            </w:r>
          </w:p>
        </w:tc>
        <w:tc>
          <w:p>
            <w:pPr>
              <w:pStyle w:val="Compact"/>
              <w:jc w:val="center"/>
            </w:pPr>
            <m:oMath>
              <m:r>
                <m:t>+</m:t>
              </m:r>
              <m:r>
                <m:t>0.001</m:t>
              </m:r>
            </m:oMath>
          </w:p>
        </w:tc>
        <w:tc>
          <w:p/>
        </w:tc>
        <w:tc>
          <w:p>
            <w:pPr>
              <w:pStyle w:val="Compact"/>
              <w:jc w:val="center"/>
            </w:pPr>
            <w:r>
              <w:t xml:space="preserve">0.272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0.396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Mean</w:t>
            </w:r>
          </w:p>
        </w:tc>
        <w:tc>
          <w:p>
            <w:pPr>
              <w:pStyle w:val="Compact"/>
              <w:jc w:val="center"/>
            </w:pPr>
            <w:r>
              <w:t xml:space="preserve">0.790</w:t>
            </w:r>
          </w:p>
        </w:tc>
        <w:tc>
          <w:p>
            <w:pPr>
              <w:pStyle w:val="Compact"/>
              <w:jc w:val="center"/>
            </w:pPr>
            <w:r>
              <w:t xml:space="preserve">0.790</w:t>
            </w:r>
          </w:p>
        </w:tc>
        <w:tc>
          <w:p>
            <w:pPr>
              <w:pStyle w:val="Compact"/>
              <w:jc w:val="center"/>
            </w:pPr>
            <m:oMath>
              <m:r>
                <m:t>−</m:t>
              </m:r>
              <m:r>
                <m:t>0.000</m:t>
              </m:r>
            </m:oMath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0.376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0.447</w:t>
            </w:r>
          </w:p>
        </w:tc>
      </w:tr>
    </w:tbl>
    <w:bookmarkEnd w:id="132"/>
    <w:p>
      <w:pPr>
        <w:pStyle w:val="BodyText"/>
      </w:pPr>
      <w:r>
        <w:t xml:space="preserve">Despite identical routing,  (M1) and  (M2) are statistically</w:t>
      </w:r>
      <w:r>
        <w:t xml:space="preserve"> </w:t>
      </w:r>
      <w:r>
        <w:t xml:space="preserve">distinguishable 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all 11 models after BH correction (McNemar</w:t>
      </w:r>
      <w:r>
        <w:t xml:space="preserve"> </w:t>
      </w:r>
      <w:r>
        <w:t xml:space="preserve">two-sided,</w:t>
      </w:r>
      <w:r>
        <w:t xml:space="preserve"> </w:t>
      </w:r>
      <m:oMath>
        <m:r>
          <m:t>α</m:t>
        </m:r>
        <m:r>
          <m:t>=</m:t>
        </m:r>
        <m:r>
          <m:t>0.05</m:t>
        </m:r>
      </m:oMath>
      <w:r>
        <w:t xml:space="preserve">,</w:t>
      </w:r>
      <w:r>
        <w:t xml:space="preserve"> </w:t>
      </w:r>
      <m:oMath>
        <m:r>
          <m:t>m</m:t>
        </m:r>
        <m:r>
          <m:t>=</m:t>
        </m:r>
        <m:r>
          <m:t>11</m:t>
        </m:r>
      </m:oMath>
      <w:r>
        <w:t xml:space="preserve">; Table </w:t>
      </w:r>
      <w:hyperlink w:anchor="tab:h3">
        <w:r>
          <w:rPr>
            <w:rStyle w:val="Hyperlink"/>
          </w:rPr>
          <w:t xml:space="preserve">6.6</w:t>
        </w:r>
      </w:hyperlink>
      <w:r>
        <w:t xml:space="preserve">). The direction is</w:t>
      </w:r>
      <w:r>
        <w:t xml:space="preserve"> </w:t>
      </w:r>
      <w:r>
        <w:t xml:space="preserve">inconsistent: M1 outperforms M2 on 5 models, M2 on 6. There is no systematic</w:t>
      </w:r>
      <w:r>
        <w:t xml:space="preserve"> </w:t>
      </w:r>
      <w:r>
        <w:t xml:space="preserve">family pattern. On the secondary axis of span quality,  dominates 10</w:t>
      </w:r>
      <w:r>
        <w:t xml:space="preserve"> </w:t>
      </w:r>
      <w:r>
        <w:t xml:space="preserve">of 11 models with a</w:t>
      </w:r>
      <w:r>
        <w:t xml:space="preserve"> </w:t>
      </w:r>
      <m:oMath>
        <m:r>
          <m:t>+</m:t>
        </m:r>
        <m:r>
          <m:t>0.071</m:t>
        </m:r>
      </m:oMath>
      <w:r>
        <w:t xml:space="preserve"> </w:t>
      </w:r>
      <w:r>
        <w:t xml:space="preserve">Jaccard advantage, indicating that the</w:t>
      </w:r>
      <w:r>
        <w:t xml:space="preserve"> </w:t>
      </w:r>
      <w:r>
        <w:t xml:space="preserve">consolidated single-agent prompt produces more precise, tighter extractions</w:t>
      </w:r>
      <w:r>
        <w:t xml:space="preserve"> </w:t>
      </w:r>
      <w:r>
        <w:t xml:space="preserve">than the routed specialist pipeline (contribution C4).</w:t>
      </w:r>
    </w:p>
    <w:p>
      <w:pPr>
        <w:pStyle w:val="Heading5"/>
      </w:pPr>
      <w:bookmarkStart w:id="133" w:name="h3-verdict."/>
      <w:r>
        <w:t xml:space="preserve">H3 verdict.</w:t>
      </w:r>
      <w:bookmarkEnd w:id="133"/>
    </w:p>
    <w:p>
      <w:pPr>
        <w:pStyle w:val="FirstParagraph"/>
      </w:pPr>
      <w:r>
        <w:t xml:space="preserve">H3 is supported at the per-model level:  and  are statistically</w:t>
      </w:r>
      <w:r>
        <w:t xml:space="preserve"> </w:t>
      </w:r>
      <w:r>
        <w:t xml:space="preserve">distinguishable 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all 11 models after BH correction (McNemar</w:t>
      </w:r>
      <w:r>
        <w:t xml:space="preserve"> </w:t>
      </w:r>
      <w:r>
        <w:t xml:space="preserve">two-sided,</w:t>
      </w:r>
      <w:r>
        <w:t xml:space="preserve"> </w:t>
      </w:r>
      <m:oMath>
        <m:r>
          <m:t>α</m:t>
        </m:r>
        <m:r>
          <m:t>=</m:t>
        </m:r>
        <m:r>
          <m:t>0.05</m:t>
        </m:r>
      </m:oMath>
      <w:r>
        <w:t xml:space="preserve">,</w:t>
      </w:r>
      <w:r>
        <w:t xml:space="preserve"> </w:t>
      </w:r>
      <m:oMath>
        <m:r>
          <m:t>m</m:t>
        </m:r>
        <m:r>
          <m:t>=</m:t>
        </m:r>
        <m:r>
          <m:t>11</m:t>
        </m:r>
      </m:oMath>
      <w:r>
        <w:t xml:space="preserve">). The direction is inconsistent: M1</w:t>
      </w:r>
      <w:r>
        <w:t xml:space="preserve"> </w:t>
      </w:r>
      <w:r>
        <w:t xml:space="preserve">outperforms M2 on 5 models, M2 on 6, and pooled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identical to three decimal places (</w:t>
      </w:r>
      <m:oMath>
        <m:r>
          <m:t>0.790</m:t>
        </m:r>
      </m:oMath>
      <w:r>
        <w:t xml:space="preserve"> </w:t>
      </w:r>
      <w:r>
        <w:t xml:space="preserve">vs. </w:t>
      </w:r>
      <m:oMath>
        <m:r>
          <m:t>0.790</m:t>
        </m:r>
      </m:oMath>
      <w:r>
        <w:t xml:space="preserve">). H3 therefore</w:t>
      </w:r>
      <w:r>
        <w:t xml:space="preserve"> </w:t>
      </w:r>
      <w:r>
        <w:t xml:space="preserve">confirms that dispatch architecture alters model behaviour, not that it</w:t>
      </w:r>
      <w:r>
        <w:t xml:space="preserve"> </w:t>
      </w:r>
      <w:r>
        <w:t xml:space="preserve">improves it. The direction inconsistency is itself a finding: routing overhead</w:t>
      </w:r>
      <w:r>
        <w:t xml:space="preserve"> </w:t>
      </w:r>
      <w:r>
        <w:t xml:space="preserve">hurts precision-oriented models (GPT-family,</w:t>
      </w:r>
      <w:r>
        <w:t xml:space="preserve"> </w:t>
      </w:r>
      <m:oMath>
        <m:r>
          <m:t>Δ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t>=</m:t>
        </m:r>
        <m:r>
          <m:t>−</m:t>
        </m:r>
        <m:r>
          <m:t>0.056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−</m:t>
        </m:r>
        <m:r>
          <m:t>0.076</m:t>
        </m:r>
      </m:oMath>
      <w:r>
        <w:t xml:space="preserve">) and helps recall-deficient ones (Gemini 3 Flash,</w:t>
      </w:r>
      <w:r>
        <w:t xml:space="preserve"> </w:t>
      </w:r>
      <m:oMath>
        <m:r>
          <m:t>Δ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t>=</m:t>
        </m:r>
        <m:r>
          <m:t>+</m:t>
        </m:r>
        <m:r>
          <m:t>0.138</m:t>
        </m:r>
      </m:oMath>
      <w:r>
        <w:t xml:space="preserve">). On the secondary axis of span quality, M2 dominates</w:t>
      </w:r>
      <w:r>
        <w:t xml:space="preserve"> </w:t>
      </w:r>
      <w:r>
        <w:t xml:space="preserve">10 of 11 models with a</w:t>
      </w:r>
      <w:r>
        <w:t xml:space="preserve"> </w:t>
      </w:r>
      <m:oMath>
        <m:r>
          <m:t>+</m:t>
        </m:r>
        <m:r>
          <m:t>0.071</m:t>
        </m:r>
      </m:oMath>
      <w:r>
        <w:t xml:space="preserve"> </w:t>
      </w:r>
      <w:r>
        <w:t xml:space="preserve">Jaccard advantage (contribution C4): the</w:t>
      </w:r>
      <w:r>
        <w:t xml:space="preserve"> </w:t>
      </w:r>
      <w:r>
        <w:t xml:space="preserve">single-agent consolidated prompt produces tighter, more precise extractions</w:t>
      </w:r>
      <w:r>
        <w:t xml:space="preserve"> </w:t>
      </w:r>
      <w:r>
        <w:t xml:space="preserve">than the routed specialist pipeline. A deterministic lookup replaces the LLM</w:t>
      </w:r>
      <w:r>
        <w:t xml:space="preserve"> </w:t>
      </w:r>
      <w:r>
        <w:t xml:space="preserve">router without measurable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loss.</w:t>
      </w:r>
    </w:p>
    <w:p>
      <w:pPr>
        <w:pStyle w:val="Heading2"/>
      </w:pPr>
      <w:bookmarkStart w:id="134" w:name="sec:res:cascade"/>
      <w:r>
        <w:t xml:space="preserve">Classification-Gate Cascade</w:t>
      </w:r>
      <w:bookmarkEnd w:id="134"/>
    </w:p>
    <w:p>
      <w:pPr>
        <w:pStyle w:val="FirstParagraph"/>
      </w:pPr>
      <w:r>
        <w:t xml:space="preserve">Table </w:t>
      </w:r>
      <w:hyperlink w:anchor="tab:cascade">
        <w:r>
          <w:rPr>
            <w:rStyle w:val="Hyperlink"/>
          </w:rPr>
          <w:t xml:space="preserve">6.7</w:t>
        </w:r>
      </w:hyperlink>
      <w:r>
        <w:t xml:space="preserve"> </w:t>
      </w:r>
      <w:r>
        <w:t xml:space="preserve">quantifies the M0 cascade. The M0 classifier’s</w:t>
      </w:r>
      <w:r>
        <w:t xml:space="preserve"> </w:t>
      </w:r>
      <w:r>
        <w:rPr>
          <w:rStyle w:val="VerbatimChar"/>
        </w:rPr>
        <w:t xml:space="preserve">predicted_no_clause</w:t>
      </w:r>
      <w:r>
        <w:t xml:space="preserve"> </w:t>
      </w:r>
      <w:r>
        <w:t xml:space="preserve">decision bypasses the extractor and records</w:t>
      </w:r>
      <w:r>
        <w:t xml:space="preserve"> </w:t>
      </w:r>
      <w:r>
        <w:t xml:space="preserve">“</w:t>
      </w:r>
      <w:r>
        <w:t xml:space="preserve">no</w:t>
      </w:r>
      <w:r>
        <w:t xml:space="preserve"> </w:t>
      </w:r>
      <w:r>
        <w:t xml:space="preserve">related clause</w:t>
      </w:r>
      <w:r>
        <w:t xml:space="preserve">”</w:t>
      </w:r>
      <w:r>
        <w:t xml:space="preserve"> </w:t>
      </w:r>
      <w:r>
        <w:t xml:space="preserve">as the final answer. We report the FN-rate</w:t>
      </w:r>
      <w:r>
        <w:t xml:space="preserve"> </w:t>
      </w:r>
      <w:r>
        <w:t xml:space="preserve">(</w:t>
      </w:r>
      <m:oMath>
        <m:r>
          <m:rPr>
            <m:sty m:val="p"/>
          </m:rPr>
          <m:t>F</m:t>
        </m:r>
        <m:r>
          <m:rPr>
            <m:sty m:val="p"/>
          </m:rPr>
          <m:t>N</m:t>
        </m:r>
        <m:r>
          <m:t>/</m:t>
        </m:r>
        <m:r>
          <m:t>(</m:t>
        </m:r>
        <m:r>
          <m:rPr>
            <m:sty m:val="p"/>
          </m:rPr>
          <m:t>T</m:t>
        </m:r>
        <m:r>
          <m:rPr>
            <m:sty m:val="p"/>
          </m:rPr>
          <m:t>P</m:t>
        </m:r>
        <m:r>
          <m:t>+</m:t>
        </m:r>
        <m:r>
          <m:rPr>
            <m:sty m:val="p"/>
          </m:rPr>
          <m:t>F</m:t>
        </m:r>
        <m:r>
          <m:rPr>
            <m:sty m:val="p"/>
          </m:rPr>
          <m:t>N</m:t>
        </m:r>
        <m:r>
          <m:t>)</m:t>
        </m:r>
      </m:oMath>
      <w:r>
        <w:t xml:space="preserve">) for B0 and M0, and the share of M0</w:t>
      </w:r>
      <w:r>
        <w:t xml:space="preserve"> </w:t>
      </w:r>
      <w:r>
        <w:t xml:space="preserve">false negatives attributable to a gate rejection rather than a downstream</w:t>
      </w:r>
      <w:r>
        <w:t xml:space="preserve"> </w:t>
      </w:r>
      <w:r>
        <w:t xml:space="preserve">extraction failure.</w:t>
      </w:r>
    </w:p>
    <w:bookmarkStart w:id="135" w:name="tab:cascade"/>
    <w:p>
      <w:pPr>
        <w:pStyle w:val="TableCaption"/>
      </w:pPr>
      <w:r>
        <w:t xml:space="preserve">M0 classification-gate rejection cascade. FN-rate</w:t>
      </w:r>
      <w:r>
        <w:t xml:space="preserve"> </w:t>
      </w:r>
      <m:oMath>
        <m:r>
          <m:t>=</m:t>
        </m:r>
        <m:r>
          <m:rPr>
            <m:sty m:val="p"/>
          </m:rPr>
          <m:t>F</m:t>
        </m:r>
        <m:r>
          <m:rPr>
            <m:sty m:val="p"/>
          </m:rPr>
          <m:t>N</m:t>
        </m:r>
        <m:r>
          <m:t>/</m:t>
        </m:r>
        <m:r>
          <m:t>(</m:t>
        </m:r>
        <m:r>
          <m:rPr>
            <m:sty m:val="p"/>
          </m:rPr>
          <m:t>T</m:t>
        </m:r>
        <m:r>
          <m:rPr>
            <m:sty m:val="p"/>
          </m:rPr>
          <m:t>P</m:t>
        </m:r>
        <m:r>
          <m:t>+</m:t>
        </m:r>
        <m:r>
          <m:rPr>
            <m:sty m:val="p"/>
          </m:rPr>
          <m:t>F</m:t>
        </m:r>
        <m:r>
          <m:rPr>
            <m:sty m:val="p"/>
          </m:rPr>
          <m:t>N</m:t>
        </m:r>
        <m:r>
          <m:t>)</m:t>
        </m:r>
      </m:oMath>
      <w:r>
        <w:t xml:space="preserve">.</w:t>
      </w:r>
      <w:r>
        <w:t xml:space="preserve"> </w:t>
      </w:r>
      <w:r>
        <w:t xml:space="preserve">Gate-FN: false negatives where the classifier emitted</w:t>
      </w:r>
      <w:r>
        <w:t xml:space="preserve"> </w:t>
      </w:r>
      <w:r>
        <w:rPr>
          <w:rStyle w:val="VerbatimChar"/>
        </w:rPr>
        <w:t xml:space="preserve">predicted_no_clause</w:t>
      </w:r>
      <w:r>
        <w:t xml:space="preserve">. Gate % = Gate-FN / M0 FN.</w:t>
      </w:r>
      <w:r>
        <w:t xml:space="preserve"> </w:t>
      </w:r>
      <w:r>
        <w:t xml:space="preserve">On average</w:t>
      </w:r>
      <w:r>
        <w:t xml:space="preserve"> </w:t>
      </w:r>
      <m:oMath>
        <m:r>
          <m:t>82.7</m:t>
        </m:r>
        <m:r>
          <m:t>%</m:t>
        </m:r>
      </m:oMath>
      <w:r>
        <w:t xml:space="preserve"> </w:t>
      </w:r>
      <w:r>
        <w:t xml:space="preserve">of M0’s false negatives originate at the gate;</w:t>
      </w:r>
      <w:r>
        <w:t xml:space="preserve"> </w:t>
      </w:r>
      <w:r>
        <w:t xml:space="preserve">Gemini 2.5 Flash and Pro lose</w:t>
      </w:r>
      <w:r>
        <w:t xml:space="preserve"> </w:t>
      </w:r>
      <m:oMath>
        <m:r>
          <m:t>≥</m:t>
        </m:r>
        <m:r>
          <m:t>97.8</m:t>
        </m:r>
        <m:r>
          <m:t>%</m:t>
        </m:r>
      </m:oMath>
      <w:r>
        <w:t xml:space="preserve"> </w:t>
      </w:r>
      <w:r>
        <w:t xml:space="preserve">of their recall to upstream</w:t>
      </w:r>
      <w:r>
        <w:t xml:space="preserve"> </w:t>
      </w:r>
      <w:r>
        <w:t xml:space="preserve">rejection.</w:t>
      </w:r>
    </w:p>
    <w:tbl>
      <w:tblPr>
        <w:tblStyle w:val="Table"/>
        <w:tblW w:type="pct" w:w="0.0"/>
        <w:tblLook w:firstRow="1"/>
        <w:tblCaption w:val="M0 classification-gate rejection cascade. FN-rate = \mathrm{FN}/(\mathrm{TP}+\mathrm{FN}). Gate-FN: false negatives where the classifier emitted predicted_no_clause. Gate % = Gate-FN / M0 FN. On average 82.7\% of M0’s false negatives originate at the gate; Gemini 2.5 Flash and Pro lose {\geq}97.8\% of their recall to upstream rejec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B0 FN-rate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M0 FN-rate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M0 FN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Gate-FN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Gate %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Claude Haiku 4.5</w:t>
            </w:r>
          </w:p>
        </w:tc>
        <w:tc>
          <w:p>
            <w:pPr>
              <w:pStyle w:val="Compact"/>
              <w:jc w:val="center"/>
            </w:pPr>
            <w:r>
              <w:t xml:space="preserve">13.4%</w:t>
            </w:r>
          </w:p>
        </w:tc>
        <w:tc>
          <w:p>
            <w:pPr>
              <w:pStyle w:val="Compact"/>
              <w:jc w:val="center"/>
            </w:pPr>
            <w:r>
              <w:t xml:space="preserve">20.6%</w:t>
            </w:r>
          </w:p>
        </w:tc>
        <w:tc>
          <w:p>
            <w:pPr>
              <w:pStyle w:val="Compact"/>
              <w:jc w:val="center"/>
            </w:pPr>
            <w:r>
              <w:t xml:space="preserve">255</w:t>
            </w:r>
          </w:p>
        </w:tc>
        <w:tc>
          <w:p>
            <w:pPr>
              <w:pStyle w:val="Compact"/>
              <w:jc w:val="center"/>
            </w:pPr>
            <w:r>
              <w:t xml:space="preserve">210</w:t>
            </w:r>
          </w:p>
        </w:tc>
        <w:tc>
          <w:p>
            <w:pPr>
              <w:pStyle w:val="Compact"/>
              <w:jc w:val="center"/>
            </w:pPr>
            <w:r>
              <w:t xml:space="preserve">82.4%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Claude Opus 4.6</w:t>
            </w:r>
          </w:p>
        </w:tc>
        <w:tc>
          <w:p>
            <w:pPr>
              <w:pStyle w:val="Compact"/>
              <w:jc w:val="center"/>
            </w:pPr>
            <w:r>
              <w:t xml:space="preserve">6.9%</w:t>
            </w:r>
          </w:p>
        </w:tc>
        <w:tc>
          <w:p>
            <w:pPr>
              <w:pStyle w:val="Compact"/>
              <w:jc w:val="center"/>
            </w:pPr>
            <w:r>
              <w:t xml:space="preserve">11.5%</w:t>
            </w:r>
          </w:p>
        </w:tc>
        <w:tc>
          <w:p>
            <w:pPr>
              <w:pStyle w:val="Compact"/>
              <w:jc w:val="center"/>
            </w:pPr>
            <w:r>
              <w:t xml:space="preserve">142</w:t>
            </w:r>
          </w:p>
        </w:tc>
        <w:tc>
          <w:p>
            <w:pPr>
              <w:pStyle w:val="Compact"/>
              <w:jc w:val="center"/>
            </w:pPr>
            <w:r>
              <w:t xml:space="preserve">95</w:t>
            </w:r>
          </w:p>
        </w:tc>
        <w:tc>
          <w:p>
            <w:pPr>
              <w:pStyle w:val="Compact"/>
              <w:jc w:val="center"/>
            </w:pPr>
            <w:r>
              <w:t xml:space="preserve">66.9%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Claude Sonnet 4</w:t>
            </w:r>
          </w:p>
        </w:tc>
        <w:tc>
          <w:p>
            <w:pPr>
              <w:pStyle w:val="Compact"/>
              <w:jc w:val="center"/>
            </w:pPr>
            <w:r>
              <w:t xml:space="preserve">7.9%</w:t>
            </w:r>
          </w:p>
        </w:tc>
        <w:tc>
          <w:p>
            <w:pPr>
              <w:pStyle w:val="Compact"/>
              <w:jc w:val="center"/>
            </w:pPr>
            <w:r>
              <w:t xml:space="preserve">9.9%</w:t>
            </w:r>
          </w:p>
        </w:tc>
        <w:tc>
          <w:p>
            <w:pPr>
              <w:pStyle w:val="Compact"/>
              <w:jc w:val="center"/>
            </w:pPr>
            <w:r>
              <w:t xml:space="preserve">123</w:t>
            </w:r>
          </w:p>
        </w:tc>
        <w:tc>
          <w:p>
            <w:pPr>
              <w:pStyle w:val="Compact"/>
              <w:jc w:val="center"/>
            </w:pPr>
            <w:r>
              <w:t xml:space="preserve">87</w:t>
            </w:r>
          </w:p>
        </w:tc>
        <w:tc>
          <w:p>
            <w:pPr>
              <w:pStyle w:val="Compact"/>
              <w:jc w:val="center"/>
            </w:pPr>
            <w:r>
              <w:t xml:space="preserve">70.7%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Claude Sonnet 4.6</w:t>
            </w:r>
          </w:p>
        </w:tc>
        <w:tc>
          <w:p>
            <w:pPr>
              <w:pStyle w:val="Compact"/>
              <w:jc w:val="center"/>
            </w:pPr>
            <w:r>
              <w:t xml:space="preserve">10.9%</w:t>
            </w:r>
          </w:p>
        </w:tc>
        <w:tc>
          <w:p>
            <w:pPr>
              <w:pStyle w:val="Compact"/>
              <w:jc w:val="center"/>
            </w:pPr>
            <w:r>
              <w:t xml:space="preserve">12.6%</w:t>
            </w:r>
          </w:p>
        </w:tc>
        <w:tc>
          <w:p>
            <w:pPr>
              <w:pStyle w:val="Compact"/>
              <w:jc w:val="center"/>
            </w:pPr>
            <w:r>
              <w:t xml:space="preserve">156</w:t>
            </w:r>
          </w:p>
        </w:tc>
        <w:tc>
          <w:p>
            <w:pPr>
              <w:pStyle w:val="Compact"/>
              <w:jc w:val="center"/>
            </w:pPr>
            <w:r>
              <w:t xml:space="preserve">131</w:t>
            </w:r>
          </w:p>
        </w:tc>
        <w:tc>
          <w:p>
            <w:pPr>
              <w:pStyle w:val="Compact"/>
              <w:jc w:val="center"/>
            </w:pPr>
            <w:r>
              <w:t xml:space="preserve">84.0%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Gemini 2.5 Flash</w:t>
            </w:r>
          </w:p>
        </w:tc>
        <w:tc>
          <w:p>
            <w:pPr>
              <w:pStyle w:val="Compact"/>
              <w:jc w:val="center"/>
            </w:pPr>
            <w:r>
              <w:t xml:space="preserve">9.6%</w:t>
            </w:r>
          </w:p>
        </w:tc>
        <w:tc>
          <w:p>
            <w:pPr>
              <w:pStyle w:val="Compact"/>
              <w:jc w:val="center"/>
            </w:pPr>
            <w:r>
              <w:t xml:space="preserve">42.2%</w:t>
            </w:r>
          </w:p>
        </w:tc>
        <w:tc>
          <w:p>
            <w:pPr>
              <w:pStyle w:val="Compact"/>
              <w:jc w:val="center"/>
            </w:pPr>
            <w:r>
              <w:t xml:space="preserve">520</w:t>
            </w:r>
          </w:p>
        </w:tc>
        <w:tc>
          <w:p>
            <w:pPr>
              <w:pStyle w:val="Compact"/>
              <w:jc w:val="center"/>
            </w:pPr>
            <w:r>
              <w:t xml:space="preserve">509</w:t>
            </w:r>
          </w:p>
        </w:tc>
        <w:tc>
          <w:p>
            <w:pPr>
              <w:pStyle w:val="Compact"/>
              <w:jc w:val="center"/>
            </w:pPr>
            <w:r>
              <w:t xml:space="preserve">97.9%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Gemini 2.5 Pro</w:t>
            </w:r>
          </w:p>
        </w:tc>
        <w:tc>
          <w:p>
            <w:pPr>
              <w:pStyle w:val="Compact"/>
              <w:jc w:val="center"/>
            </w:pPr>
            <w:r>
              <w:t xml:space="preserve">7.9%</w:t>
            </w:r>
          </w:p>
        </w:tc>
        <w:tc>
          <w:p>
            <w:pPr>
              <w:pStyle w:val="Compact"/>
              <w:jc w:val="center"/>
            </w:pPr>
            <w:r>
              <w:t xml:space="preserve">32.6%</w:t>
            </w:r>
          </w:p>
        </w:tc>
        <w:tc>
          <w:p>
            <w:pPr>
              <w:pStyle w:val="Compact"/>
              <w:jc w:val="center"/>
            </w:pPr>
            <w:r>
              <w:t xml:space="preserve">403</w:t>
            </w:r>
          </w:p>
        </w:tc>
        <w:tc>
          <w:p>
            <w:pPr>
              <w:pStyle w:val="Compact"/>
              <w:jc w:val="center"/>
            </w:pPr>
            <w:r>
              <w:t xml:space="preserve">394</w:t>
            </w:r>
          </w:p>
        </w:tc>
        <w:tc>
          <w:p>
            <w:pPr>
              <w:pStyle w:val="Compact"/>
              <w:jc w:val="center"/>
            </w:pPr>
            <w:r>
              <w:t xml:space="preserve">97.8%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Gemini 3 Flash</w:t>
            </w:r>
          </w:p>
        </w:tc>
        <w:tc>
          <w:p>
            <w:pPr>
              <w:pStyle w:val="Compact"/>
              <w:jc w:val="center"/>
            </w:pPr>
            <w:r>
              <w:t xml:space="preserve">17.2%</w:t>
            </w:r>
          </w:p>
        </w:tc>
        <w:tc>
          <w:p>
            <w:pPr>
              <w:pStyle w:val="Compact"/>
              <w:jc w:val="center"/>
            </w:pPr>
            <w:r>
              <w:t xml:space="preserve">17.9%</w:t>
            </w:r>
          </w:p>
        </w:tc>
        <w:tc>
          <w:p>
            <w:pPr>
              <w:pStyle w:val="Compact"/>
              <w:jc w:val="center"/>
            </w:pPr>
            <w:r>
              <w:t xml:space="preserve">221</w:t>
            </w:r>
          </w:p>
        </w:tc>
        <w:tc>
          <w:p>
            <w:pPr>
              <w:pStyle w:val="Compact"/>
              <w:jc w:val="center"/>
            </w:pPr>
            <w:r>
              <w:t xml:space="preserve">197</w:t>
            </w:r>
          </w:p>
        </w:tc>
        <w:tc>
          <w:p>
            <w:pPr>
              <w:pStyle w:val="Compact"/>
              <w:jc w:val="center"/>
            </w:pPr>
            <w:r>
              <w:t xml:space="preserve">89.1%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Gemini 3.1 Pro</w:t>
            </w:r>
          </w:p>
        </w:tc>
        <w:tc>
          <w:p>
            <w:pPr>
              <w:pStyle w:val="Compact"/>
              <w:jc w:val="center"/>
            </w:pPr>
            <w:r>
              <w:t xml:space="preserve">9.9%</w:t>
            </w:r>
          </w:p>
        </w:tc>
        <w:tc>
          <w:p>
            <w:pPr>
              <w:pStyle w:val="Compact"/>
              <w:jc w:val="center"/>
            </w:pPr>
            <w:r>
              <w:t xml:space="preserve">15.5%</w:t>
            </w:r>
          </w:p>
        </w:tc>
        <w:tc>
          <w:p>
            <w:pPr>
              <w:pStyle w:val="Compact"/>
              <w:jc w:val="center"/>
            </w:pPr>
            <w:r>
              <w:t xml:space="preserve">191</w:t>
            </w:r>
          </w:p>
        </w:tc>
        <w:tc>
          <w:p>
            <w:pPr>
              <w:pStyle w:val="Compact"/>
              <w:jc w:val="center"/>
            </w:pPr>
            <w:r>
              <w:t xml:space="preserve">169</w:t>
            </w:r>
          </w:p>
        </w:tc>
        <w:tc>
          <w:p>
            <w:pPr>
              <w:pStyle w:val="Compact"/>
              <w:jc w:val="center"/>
            </w:pPr>
            <w:r>
              <w:t xml:space="preserve">88.5%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GPT-4.1</w:t>
            </w:r>
          </w:p>
        </w:tc>
        <w:tc>
          <w:p>
            <w:pPr>
              <w:pStyle w:val="Compact"/>
              <w:jc w:val="center"/>
            </w:pPr>
            <w:r>
              <w:t xml:space="preserve">9.2%</w:t>
            </w:r>
          </w:p>
        </w:tc>
        <w:tc>
          <w:p>
            <w:pPr>
              <w:pStyle w:val="Compact"/>
              <w:jc w:val="center"/>
            </w:pPr>
            <w:r>
              <w:t xml:space="preserve">16.6%</w:t>
            </w:r>
          </w:p>
        </w:tc>
        <w:tc>
          <w:p>
            <w:pPr>
              <w:pStyle w:val="Compact"/>
              <w:jc w:val="center"/>
            </w:pPr>
            <w:r>
              <w:t xml:space="preserve">207</w:t>
            </w:r>
          </w:p>
        </w:tc>
        <w:tc>
          <w:p>
            <w:pPr>
              <w:pStyle w:val="Compact"/>
              <w:jc w:val="center"/>
            </w:pPr>
            <w:r>
              <w:t xml:space="preserve">191</w:t>
            </w:r>
          </w:p>
        </w:tc>
        <w:tc>
          <w:p>
            <w:pPr>
              <w:pStyle w:val="Compact"/>
              <w:jc w:val="center"/>
            </w:pPr>
            <w:r>
              <w:t xml:space="preserve">92.3%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GPT-4.1 Mini</w:t>
            </w:r>
          </w:p>
        </w:tc>
        <w:tc>
          <w:p>
            <w:pPr>
              <w:pStyle w:val="Compact"/>
              <w:jc w:val="center"/>
            </w:pPr>
            <w:r>
              <w:t xml:space="preserve">13.4%</w:t>
            </w:r>
          </w:p>
        </w:tc>
        <w:tc>
          <w:p>
            <w:pPr>
              <w:pStyle w:val="Compact"/>
              <w:jc w:val="center"/>
            </w:pPr>
            <w:r>
              <w:t xml:space="preserve">11.8%</w:t>
            </w:r>
          </w:p>
        </w:tc>
        <w:tc>
          <w:p>
            <w:pPr>
              <w:pStyle w:val="Compact"/>
              <w:jc w:val="center"/>
            </w:pPr>
            <w:r>
              <w:t xml:space="preserve">147</w:t>
            </w:r>
          </w:p>
        </w:tc>
        <w:tc>
          <w:p>
            <w:pPr>
              <w:pStyle w:val="Compact"/>
              <w:jc w:val="center"/>
            </w:pPr>
            <w:r>
              <w:t xml:space="preserve">103</w:t>
            </w:r>
          </w:p>
        </w:tc>
        <w:tc>
          <w:p>
            <w:pPr>
              <w:pStyle w:val="Compact"/>
              <w:jc w:val="center"/>
            </w:pPr>
            <w:r>
              <w:t xml:space="preserve">70.1%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GPT-4.1 Nano</w:t>
            </w:r>
          </w:p>
        </w:tc>
        <w:tc>
          <w:p>
            <w:pPr>
              <w:pStyle w:val="Compact"/>
              <w:jc w:val="center"/>
            </w:pPr>
            <w:r>
              <w:t xml:space="preserve">55.5%</w:t>
            </w:r>
          </w:p>
        </w:tc>
        <w:tc>
          <w:p>
            <w:pPr>
              <w:pStyle w:val="Compact"/>
              <w:jc w:val="center"/>
            </w:pPr>
            <w:r>
              <w:t xml:space="preserve">36.3%</w:t>
            </w:r>
          </w:p>
        </w:tc>
        <w:tc>
          <w:p>
            <w:pPr>
              <w:pStyle w:val="Compact"/>
              <w:jc w:val="center"/>
            </w:pPr>
            <w:r>
              <w:t xml:space="preserve">452</w:t>
            </w:r>
          </w:p>
        </w:tc>
        <w:tc>
          <w:p>
            <w:pPr>
              <w:pStyle w:val="Compact"/>
              <w:jc w:val="center"/>
            </w:pPr>
            <w:r>
              <w:t xml:space="preserve">318</w:t>
            </w:r>
          </w:p>
        </w:tc>
        <w:tc>
          <w:p>
            <w:pPr>
              <w:pStyle w:val="Compact"/>
              <w:jc w:val="center"/>
            </w:pPr>
            <w:r>
              <w:t xml:space="preserve">70.4%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Mean</w:t>
            </w:r>
          </w:p>
        </w:tc>
        <w:tc>
          <w:p>
            <w:pPr>
              <w:pStyle w:val="Compact"/>
              <w:jc w:val="center"/>
            </w:pPr>
            <w:r>
              <w:t xml:space="preserve">14.7%</w:t>
            </w:r>
          </w:p>
        </w:tc>
        <w:tc>
          <w:p>
            <w:pPr>
              <w:pStyle w:val="Compact"/>
              <w:jc w:val="center"/>
            </w:pPr>
            <w:r>
              <w:t xml:space="preserve">20.7%</w:t>
            </w:r>
          </w:p>
        </w:tc>
        <w:tc>
          <w:p>
            <w:pPr>
              <w:pStyle w:val="Compact"/>
              <w:jc w:val="center"/>
            </w:pPr>
            <w:r>
              <w:t xml:space="preserve">256</w:t>
            </w:r>
          </w:p>
        </w:tc>
        <w:tc>
          <w:p>
            <w:pPr>
              <w:pStyle w:val="Compact"/>
              <w:jc w:val="center"/>
            </w:pPr>
            <w:r>
              <w:t xml:space="preserve">218</w:t>
            </w:r>
          </w:p>
        </w:tc>
        <w:tc>
          <w:p>
            <w:pPr>
              <w:pStyle w:val="Compact"/>
              <w:jc w:val="center"/>
            </w:pPr>
            <w:r>
              <w:t xml:space="preserve">82.7%</w:t>
            </w:r>
          </w:p>
        </w:tc>
      </w:tr>
    </w:tbl>
    <w:bookmarkEnd w:id="135"/>
    <w:p>
      <w:pPr>
        <w:pStyle w:val="BodyText"/>
      </w:pPr>
      <w:r>
        <w:t xml:space="preserve">The cascade is the dominant cause of M0’s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regression on the Google</w:t>
      </w:r>
      <w:r>
        <w:t xml:space="preserve"> </w:t>
      </w:r>
      <w:r>
        <w:t xml:space="preserve">family. On Gemini 2.5 Flash, M0 FN-rate jumps to</w:t>
      </w:r>
      <w:r>
        <w:t xml:space="preserve"> </w:t>
      </w:r>
      <m:oMath>
        <m:r>
          <m:t>42.2</m:t>
        </m:r>
        <m:r>
          <m:t>%</m:t>
        </m:r>
      </m:oMath>
      <w:r>
        <w:t xml:space="preserve"> </w:t>
      </w:r>
      <w:r>
        <w:t xml:space="preserve">from B0’s</w:t>
      </w:r>
      <w:r>
        <w:t xml:space="preserve"> </w:t>
      </w:r>
      <m:oMath>
        <m:r>
          <m:t>9.6</m:t>
        </m:r>
        <m:r>
          <m:t>%</m:t>
        </m:r>
      </m:oMath>
      <w:r>
        <w:t xml:space="preserve"> </w:t>
      </w:r>
      <w:r>
        <w:t xml:space="preserve">(a</w:t>
      </w:r>
      <w:r>
        <w:t xml:space="preserve"> </w:t>
      </w:r>
      <m:oMath>
        <m:r>
          <m:t>4.4</m:t>
        </m:r>
        <m:r>
          <m:t>×</m:t>
        </m:r>
      </m:oMath>
      <w:r>
        <w:t xml:space="preserve"> </w:t>
      </w:r>
      <w:r>
        <w:t xml:space="preserve">amplification), and</w:t>
      </w:r>
      <w:r>
        <w:t xml:space="preserve"> </w:t>
      </w:r>
      <m:oMath>
        <m:r>
          <m:t>97.9</m:t>
        </m:r>
        <m:r>
          <m:t>%</m:t>
        </m:r>
      </m:oMath>
      <w:r>
        <w:t xml:space="preserve"> </w:t>
      </w:r>
      <w:r>
        <w:t xml:space="preserve">of those FNs are</w:t>
      </w:r>
      <w:r>
        <w:t xml:space="preserve"> </w:t>
      </w:r>
      <w:r>
        <w:t xml:space="preserve">gate-attributable. The cascade interacts with category prevalence: rare-tier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 Gemini 2.5 Flash drops from</w:t>
      </w:r>
      <w:r>
        <w:t xml:space="preserve"> </w:t>
      </w:r>
      <m:oMath>
        <m:r>
          <m:t>0.719</m:t>
        </m:r>
      </m:oMath>
      <w:r>
        <w:t xml:space="preserve"> </w:t>
      </w:r>
      <w:r>
        <w:t xml:space="preserve">(B0) to</w:t>
      </w:r>
      <w:r>
        <w:t xml:space="preserve"> </w:t>
      </w:r>
      <m:oMath>
        <m:r>
          <m:t>0.381</m:t>
        </m:r>
      </m:oMath>
      <w:r>
        <w:t xml:space="preserve"> </w:t>
      </w:r>
      <w:r>
        <w:t xml:space="preserve">(M0), a</w:t>
      </w:r>
      <w:r>
        <w:t xml:space="preserve"> </w:t>
      </w:r>
      <m:oMath>
        <m:r>
          <m:t>0.338</m:t>
        </m:r>
      </m:oMath>
      <w:r>
        <w:t xml:space="preserve">-point loss that fully accounts for the rare-gap widening in</w:t>
      </w:r>
      <w:r>
        <w:t xml:space="preserve"> </w:t>
      </w:r>
      <w:r>
        <w:t xml:space="preserve">Section </w:t>
      </w:r>
      <w:hyperlink w:anchor="sec:res:h2">
        <w:r>
          <w:rPr>
            <w:rStyle w:val="Hyperlink"/>
          </w:rPr>
          <w:t xml:space="preserve">6.3</w:t>
        </w:r>
      </w:hyperlink>
      <w:r>
        <w:t xml:space="preserve">.</w:t>
      </w:r>
    </w:p>
    <w:p>
      <w:pPr>
        <w:pStyle w:val="Heading5"/>
      </w:pPr>
      <w:bookmarkStart w:id="136" w:name="X413b3af053b3b5f69e7bef52660f22214adf7c7"/>
      <w:r>
        <w:t xml:space="preserve">The cascade is a recall–precision exchange, not pure regression.</w:t>
      </w:r>
      <w:bookmarkEnd w:id="136"/>
    </w:p>
    <w:p>
      <w:pPr>
        <w:pStyle w:val="FirstParagraph"/>
      </w:pPr>
      <w:r>
        <w:t xml:space="preserve">The complement of lost recall is gained precision. Table </w:t>
      </w:r>
      <w:hyperlink w:anchor="tab:omega">
        <w:r>
          <w:rPr>
            <w:rStyle w:val="Hyperlink"/>
          </w:rPr>
          <w:t xml:space="preserve">6.8</w:t>
        </w:r>
      </w:hyperlink>
      <w:r>
        <w:t xml:space="preserve"> </w:t>
      </w:r>
      <w:r>
        <w:t xml:space="preserve">reports</w:t>
      </w:r>
      <w:r>
        <w:t xml:space="preserve"> </w:t>
      </w:r>
      <m:oMath>
        <m:r>
          <m:t>ω</m:t>
        </m:r>
      </m:oMath>
      <w:r>
        <w:t xml:space="preserve">, the over-extraction rate (Eq. </w:t>
      </w:r>
      <w:hyperlink w:anchor="eq:overextract">
        <w:r>
          <w:rPr>
            <w:rStyle w:val="Hyperlink"/>
          </w:rPr>
          <w:t xml:space="preserve">[eq:overextract]</w:t>
        </w:r>
      </w:hyperlink>
      <w:r>
        <w:t xml:space="preserve">). Across the panel,</w:t>
      </w:r>
      <w:r>
        <w:t xml:space="preserve"> </w:t>
      </w:r>
      <w:r>
        <w:t xml:space="preserve">M0 cuts mean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0.320</m:t>
        </m:r>
      </m:oMath>
      <w:r>
        <w:t xml:space="preserve"> </w:t>
      </w:r>
      <w:r>
        <w:t xml:space="preserve">(B0) to</w:t>
      </w:r>
      <w:r>
        <w:t xml:space="preserve"> </w:t>
      </w:r>
      <m:oMath>
        <m:r>
          <m:t>0.130</m:t>
        </m:r>
      </m:oMath>
      <w:r>
        <w:t xml:space="preserve"> </w:t>
      </w:r>
      <w:r>
        <w:t xml:space="preserve">— a</w:t>
      </w:r>
      <w:r>
        <w:t xml:space="preserve"> </w:t>
      </w:r>
      <m:oMath>
        <m:r>
          <m:t>59</m:t>
        </m:r>
        <m:r>
          <m:t>%</m:t>
        </m:r>
      </m:oMath>
      <w:r>
        <w:t xml:space="preserve"> </w:t>
      </w:r>
      <w:r>
        <w:t xml:space="preserve">reduction in</w:t>
      </w:r>
      <w:r>
        <w:t xml:space="preserve"> </w:t>
      </w:r>
      <w:r>
        <w:t xml:space="preserve">false positives on negatively-labelled instances. The Gemini family benefits</w:t>
      </w:r>
      <w:r>
        <w:t xml:space="preserve"> </w:t>
      </w:r>
      <w:r>
        <w:t xml:space="preserve">most (</w:t>
      </w:r>
      <m:oMath>
        <m:r>
          <m:t>ω</m:t>
        </m:r>
      </m:oMath>
      <w:r>
        <w:t xml:space="preserve"> </w:t>
      </w:r>
      <w:r>
        <w:t xml:space="preserve">drops from</w:t>
      </w:r>
      <w:r>
        <w:t xml:space="preserve"> </w:t>
      </w:r>
      <m:oMath>
        <m:r>
          <m:t>0.352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0.099</m:t>
        </m:r>
      </m:oMath>
      <w:r>
        <w:t xml:space="preserve">) but pays the steepest recall</w:t>
      </w:r>
      <w:r>
        <w:t xml:space="preserve"> </w:t>
      </w:r>
      <w:r>
        <w:t xml:space="preserve">cost. M0 therefore trades recall for precision via the gate. The trade is</w:t>
      </w:r>
      <w:r>
        <w:t xml:space="preserve"> </w:t>
      </w:r>
      <w:r>
        <w:t xml:space="preserve">favourable 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(M0 leads pooled, Table </w:t>
      </w:r>
      <w:hyperlink w:anchor="tab:h1-headline">
        <w:r>
          <w:rPr>
            <w:rStyle w:val="Hyperlink"/>
          </w:rPr>
          <w:t xml:space="preserve">6.2</w:t>
        </w:r>
      </w:hyperlink>
      <w:r>
        <w:t xml:space="preserve">) and</w:t>
      </w:r>
      <w:r>
        <w:t xml:space="preserve"> </w:t>
      </w:r>
      <w:r>
        <w:t xml:space="preserve">unfavourable 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(B0 leads pooled). Which side of the trade is preferable</w:t>
      </w:r>
      <w:r>
        <w:t xml:space="preserve"> </w:t>
      </w:r>
      <w:r>
        <w:t xml:space="preserve">depends on the deployment cost ratio of missed clauses vs. false extractions,</w:t>
      </w:r>
      <w:r>
        <w:t xml:space="preserve"> </w:t>
      </w:r>
      <w:r>
        <w:t xml:space="preserve">a question revisited in Chapter </w:t>
      </w:r>
      <w:hyperlink w:anchor="chapter:discussion">
        <w:r>
          <w:rPr>
            <w:rStyle w:val="Hyperlink"/>
          </w:rPr>
          <w:t xml:space="preserve">7</w:t>
        </w:r>
      </w:hyperlink>
      <w:r>
        <w:t xml:space="preserve">.</w:t>
      </w:r>
    </w:p>
    <w:bookmarkStart w:id="137" w:name="tab:omega"/>
    <w:p>
      <w:pPr>
        <w:pStyle w:val="TableCaption"/>
      </w:pPr>
      <w:r>
        <w:t xml:space="preserve">Over-extraction rate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(Eq. </w:t>
      </w:r>
      <w:hyperlink w:anchor="eq:overextract">
        <w:r>
          <w:rPr>
            <w:rStyle w:val="Hyperlink"/>
          </w:rPr>
          <w:t xml:space="preserve">[eq:overextract]</w:t>
        </w:r>
      </w:hyperlink>
      <w:r>
        <w:t xml:space="preserve">): fraction of</w:t>
      </w:r>
      <w:r>
        <w:t xml:space="preserve"> </w:t>
      </w:r>
      <w:r>
        <w:t xml:space="preserve">negative-label instances on which the model emits a non-empty span. Bold:</w:t>
      </w:r>
      <w:r>
        <w:t xml:space="preserve"> </w:t>
      </w:r>
      <w:r>
        <w:t xml:space="preserve">best per row. The classification gate cuts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by more than half on</w:t>
      </w:r>
      <w:r>
        <w:t xml:space="preserve"> </w:t>
      </w:r>
      <w:r>
        <w:t xml:space="preserve">average; the Gemini family gains the most precision at the recall cost</w:t>
      </w:r>
      <w:r>
        <w:t xml:space="preserve"> </w:t>
      </w:r>
      <w:r>
        <w:t xml:space="preserve">documented in Table </w:t>
      </w:r>
      <w:hyperlink w:anchor="tab:cascade">
        <w:r>
          <w:rPr>
            <w:rStyle w:val="Hyperlink"/>
          </w:rPr>
          <w:t xml:space="preserve">6.7</w:t>
        </w:r>
      </w:hyperlink>
      <w:r>
        <w:t xml:space="preserve">.  (B1) raises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above</w:t>
      </w:r>
      <w:r>
        <w:t xml:space="preserve"> </w:t>
      </w:r>
      <w:r>
        <w:t xml:space="preserve"> (B0) on every model, evidence that chain-of-thought prompting</w:t>
      </w:r>
      <w:r>
        <w:t xml:space="preserve"> </w:t>
      </w:r>
      <w:r>
        <w:t xml:space="preserve">amplifies over-extraction;  (M1) stays close to  (M0) because</w:t>
      </w:r>
      <w:r>
        <w:t xml:space="preserve"> </w:t>
      </w:r>
      <w:r>
        <w:t xml:space="preserve">it inherits the same specialist scaffold;  (M2) reverts to the</w:t>
      </w:r>
      <w:r>
        <w:t xml:space="preserve"> </w:t>
      </w:r>
      <w:r>
        <w:t xml:space="preserve">free-text baseline.</w:t>
      </w:r>
    </w:p>
    <w:tbl>
      <w:tblPr>
        <w:tblStyle w:val="Table"/>
        <w:tblW w:type="pct" w:w="0.0"/>
        <w:tblLook w:firstRow="1"/>
        <w:tblCaption w:val="Over-extraction rate \omega (Eq. [eq:overextract]): fraction of negative-label instances on which the model emits a non-empty span. Bold: best per row. The classification gate cuts \omega by more than half on average; the Gemini family gains the most precision at the recall cost documented in Table 6.7.  (B1) raises \omega above  (B0) on every model, evidence that chain-of-thought prompting amplifies over-extraction;  (M1) stays close to  (M0) because it inherits the same specialist scaffold;  (M2) reverts to the free-text baseline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m:oMath>
              <m:r>
                <m:t>ω</m:t>
              </m:r>
            </m:oMath>
            <w:r>
              <w:t xml:space="preserve">(B0)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m:oMath>
              <m:r>
                <m:t>ω</m:t>
              </m:r>
            </m:oMath>
            <w:r>
              <w:t xml:space="preserve">(B1)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m:oMath>
              <m:r>
                <m:t>ω</m:t>
              </m:r>
            </m:oMath>
            <w:r>
              <w:t xml:space="preserve">(M0)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m:oMath>
              <m:r>
                <m:t>ω</m:t>
              </m:r>
            </m:oMath>
            <w:r>
              <w:t xml:space="preserve">(M1)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m:oMath>
              <m:r>
                <m:t>ω</m:t>
              </m:r>
            </m:oMath>
            <w:r>
              <w:t xml:space="preserve">(M2)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Claude Haiku 4.5</w:t>
            </w:r>
          </w:p>
        </w:tc>
        <w:tc>
          <w:p>
            <w:pPr>
              <w:pStyle w:val="Compact"/>
              <w:jc w:val="center"/>
            </w:pPr>
            <w:r>
              <w:t xml:space="preserve">.478</w:t>
            </w:r>
          </w:p>
        </w:tc>
        <w:tc>
          <w:p>
            <w:pPr>
              <w:pStyle w:val="Compact"/>
              <w:jc w:val="center"/>
            </w:pPr>
            <w:r>
              <w:t xml:space="preserve">.369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.158</w:t>
            </w:r>
          </w:p>
        </w:tc>
        <w:tc>
          <w:p>
            <w:pPr>
              <w:pStyle w:val="Compact"/>
              <w:jc w:val="center"/>
            </w:pPr>
            <w:r>
              <w:t xml:space="preserve">.191</w:t>
            </w:r>
          </w:p>
        </w:tc>
        <w:tc>
          <w:p>
            <w:pPr>
              <w:pStyle w:val="Compact"/>
              <w:jc w:val="center"/>
            </w:pPr>
            <w:r>
              <w:t xml:space="preserve">.316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Claude Opus 4.6</w:t>
            </w:r>
          </w:p>
        </w:tc>
        <w:tc>
          <w:p>
            <w:pPr>
              <w:pStyle w:val="Compact"/>
              <w:jc w:val="center"/>
            </w:pPr>
            <w:r>
              <w:t xml:space="preserve">.330</w:t>
            </w:r>
          </w:p>
        </w:tc>
        <w:tc>
          <w:p>
            <w:pPr>
              <w:pStyle w:val="Compact"/>
              <w:jc w:val="center"/>
            </w:pPr>
            <w:r>
              <w:t xml:space="preserve">.436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.169</w:t>
            </w:r>
          </w:p>
        </w:tc>
        <w:tc>
          <w:p>
            <w:pPr>
              <w:pStyle w:val="Compact"/>
              <w:jc w:val="center"/>
            </w:pPr>
            <w:r>
              <w:t xml:space="preserve">.184</w:t>
            </w:r>
          </w:p>
        </w:tc>
        <w:tc>
          <w:p>
            <w:pPr>
              <w:pStyle w:val="Compact"/>
              <w:jc w:val="center"/>
            </w:pPr>
            <w:r>
              <w:t xml:space="preserve">.335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Claude Sonnet 4</w:t>
            </w:r>
          </w:p>
        </w:tc>
        <w:tc>
          <w:p>
            <w:pPr>
              <w:pStyle w:val="Compact"/>
              <w:jc w:val="center"/>
            </w:pPr>
            <w:r>
              <w:t xml:space="preserve">.335</w:t>
            </w:r>
          </w:p>
        </w:tc>
        <w:tc>
          <w:p>
            <w:pPr>
              <w:pStyle w:val="Compact"/>
              <w:jc w:val="center"/>
            </w:pPr>
            <w:r>
              <w:t xml:space="preserve">.400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.169</w:t>
            </w:r>
          </w:p>
        </w:tc>
        <w:tc>
          <w:p>
            <w:pPr>
              <w:pStyle w:val="Compact"/>
              <w:jc w:val="center"/>
            </w:pPr>
            <w:r>
              <w:t xml:space="preserve">.248</w:t>
            </w:r>
          </w:p>
        </w:tc>
        <w:tc>
          <w:p>
            <w:pPr>
              <w:pStyle w:val="Compact"/>
              <w:jc w:val="center"/>
            </w:pPr>
            <w:r>
              <w:t xml:space="preserve">.236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Claude Sonnet 4.6</w:t>
            </w:r>
          </w:p>
        </w:tc>
        <w:tc>
          <w:p>
            <w:pPr>
              <w:pStyle w:val="Compact"/>
              <w:jc w:val="center"/>
            </w:pPr>
            <w:r>
              <w:t xml:space="preserve">.423</w:t>
            </w:r>
          </w:p>
        </w:tc>
        <w:tc>
          <w:p>
            <w:pPr>
              <w:pStyle w:val="Compact"/>
              <w:jc w:val="center"/>
            </w:pPr>
            <w:r>
              <w:t xml:space="preserve">.538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.150</w:t>
            </w:r>
          </w:p>
        </w:tc>
        <w:tc>
          <w:p>
            <w:pPr>
              <w:pStyle w:val="Compact"/>
              <w:jc w:val="center"/>
            </w:pPr>
            <w:r>
              <w:t xml:space="preserve">.198</w:t>
            </w:r>
          </w:p>
        </w:tc>
        <w:tc>
          <w:p>
            <w:pPr>
              <w:pStyle w:val="Compact"/>
              <w:jc w:val="center"/>
            </w:pPr>
            <w:r>
              <w:t xml:space="preserve">.433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Gemini 2.5 Flash</w:t>
            </w:r>
          </w:p>
        </w:tc>
        <w:tc>
          <w:p>
            <w:pPr>
              <w:pStyle w:val="Compact"/>
              <w:jc w:val="center"/>
            </w:pPr>
            <w:r>
              <w:t xml:space="preserve">.392</w:t>
            </w:r>
          </w:p>
        </w:tc>
        <w:tc>
          <w:p>
            <w:pPr>
              <w:pStyle w:val="Compact"/>
              <w:jc w:val="center"/>
            </w:pPr>
            <w:r>
              <w:t xml:space="preserve">.422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.082</w:t>
            </w:r>
          </w:p>
        </w:tc>
        <w:tc>
          <w:p>
            <w:pPr>
              <w:pStyle w:val="Compact"/>
              <w:jc w:val="center"/>
            </w:pPr>
            <w:r>
              <w:t xml:space="preserve">.182</w:t>
            </w:r>
          </w:p>
        </w:tc>
        <w:tc>
          <w:p>
            <w:pPr>
              <w:pStyle w:val="Compact"/>
              <w:jc w:val="center"/>
            </w:pPr>
            <w:r>
              <w:t xml:space="preserve">.354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Gemini 2.5 Pro</w:t>
            </w:r>
          </w:p>
        </w:tc>
        <w:tc>
          <w:p>
            <w:pPr>
              <w:pStyle w:val="Compact"/>
              <w:jc w:val="center"/>
            </w:pPr>
            <w:r>
              <w:t xml:space="preserve">.456</w:t>
            </w:r>
          </w:p>
        </w:tc>
        <w:tc>
          <w:p>
            <w:pPr>
              <w:pStyle w:val="Compact"/>
              <w:jc w:val="center"/>
            </w:pPr>
            <w:r>
              <w:t xml:space="preserve">.604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.076</w:t>
            </w:r>
          </w:p>
        </w:tc>
        <w:tc>
          <w:p>
            <w:pPr>
              <w:pStyle w:val="Compact"/>
              <w:jc w:val="center"/>
            </w:pPr>
            <w:r>
              <w:t xml:space="preserve">.303</w:t>
            </w:r>
          </w:p>
        </w:tc>
        <w:tc>
          <w:p>
            <w:pPr>
              <w:pStyle w:val="Compact"/>
              <w:jc w:val="center"/>
            </w:pPr>
            <w:r>
              <w:t xml:space="preserve">.454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Gemini 3 Flash</w:t>
            </w:r>
          </w:p>
        </w:tc>
        <w:tc>
          <w:p>
            <w:pPr>
              <w:pStyle w:val="Compact"/>
              <w:jc w:val="center"/>
            </w:pPr>
            <w:r>
              <w:t xml:space="preserve">.321</w:t>
            </w:r>
          </w:p>
        </w:tc>
        <w:tc>
          <w:p>
            <w:pPr>
              <w:pStyle w:val="Compact"/>
              <w:jc w:val="center"/>
            </w:pPr>
            <w:r>
              <w:t xml:space="preserve">.330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.120</w:t>
            </w:r>
          </w:p>
        </w:tc>
        <w:tc>
          <w:p>
            <w:pPr>
              <w:pStyle w:val="Compact"/>
              <w:jc w:val="center"/>
            </w:pPr>
            <w:r>
              <w:t xml:space="preserve">.135</w:t>
            </w:r>
          </w:p>
        </w:tc>
        <w:tc>
          <w:p>
            <w:pPr>
              <w:pStyle w:val="Compact"/>
              <w:jc w:val="center"/>
            </w:pPr>
            <w:r>
              <w:t xml:space="preserve">.450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Gemini 3.1 Pro</w:t>
            </w:r>
          </w:p>
        </w:tc>
        <w:tc>
          <w:p>
            <w:pPr>
              <w:pStyle w:val="Compact"/>
              <w:jc w:val="center"/>
            </w:pPr>
            <w:r>
              <w:t xml:space="preserve">.236</w:t>
            </w:r>
          </w:p>
        </w:tc>
        <w:tc>
          <w:p>
            <w:pPr>
              <w:pStyle w:val="Compact"/>
              <w:jc w:val="center"/>
            </w:pPr>
            <w:r>
              <w:t xml:space="preserve">.242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.116</w:t>
            </w:r>
          </w:p>
        </w:tc>
        <w:tc>
          <w:p>
            <w:pPr>
              <w:pStyle w:val="Compact"/>
              <w:jc w:val="center"/>
            </w:pPr>
            <w:r>
              <w:t xml:space="preserve">.199</w:t>
            </w:r>
          </w:p>
        </w:tc>
        <w:tc>
          <w:p>
            <w:pPr>
              <w:pStyle w:val="Compact"/>
              <w:jc w:val="center"/>
            </w:pPr>
            <w:r>
              <w:t xml:space="preserve">.242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GPT-4.1</w:t>
            </w:r>
          </w:p>
        </w:tc>
        <w:tc>
          <w:p>
            <w:pPr>
              <w:pStyle w:val="Compact"/>
              <w:jc w:val="center"/>
            </w:pPr>
            <w:r>
              <w:t xml:space="preserve">.221</w:t>
            </w:r>
          </w:p>
        </w:tc>
        <w:tc>
          <w:p>
            <w:pPr>
              <w:pStyle w:val="Compact"/>
              <w:jc w:val="center"/>
            </w:pPr>
            <w:r>
              <w:t xml:space="preserve">.459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.102</w:t>
            </w:r>
          </w:p>
        </w:tc>
        <w:tc>
          <w:p>
            <w:pPr>
              <w:pStyle w:val="Compact"/>
              <w:jc w:val="center"/>
            </w:pPr>
            <w:r>
              <w:t xml:space="preserve">.119</w:t>
            </w:r>
          </w:p>
        </w:tc>
        <w:tc>
          <w:p>
            <w:pPr>
              <w:pStyle w:val="Compact"/>
              <w:jc w:val="center"/>
            </w:pPr>
            <w:r>
              <w:t xml:space="preserve">.335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GPT-4.1 Mini</w:t>
            </w:r>
          </w:p>
        </w:tc>
        <w:tc>
          <w:p>
            <w:pPr>
              <w:pStyle w:val="Compact"/>
              <w:jc w:val="center"/>
            </w:pPr>
            <w:r>
              <w:t xml:space="preserve">.223</w:t>
            </w:r>
          </w:p>
        </w:tc>
        <w:tc>
          <w:p>
            <w:pPr>
              <w:pStyle w:val="Compact"/>
              <w:jc w:val="center"/>
            </w:pPr>
            <w:r>
              <w:t xml:space="preserve">.455</w:t>
            </w:r>
          </w:p>
        </w:tc>
        <w:tc>
          <w:p>
            <w:pPr>
              <w:pStyle w:val="Compact"/>
              <w:jc w:val="center"/>
            </w:pPr>
            <w:r>
              <w:t xml:space="preserve">.174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.155</w:t>
            </w:r>
          </w:p>
        </w:tc>
        <w:tc>
          <w:p>
            <w:pPr>
              <w:pStyle w:val="Compact"/>
              <w:jc w:val="center"/>
            </w:pPr>
            <w:r>
              <w:t xml:space="preserve">.409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GPT-4.1 Nano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.085</w:t>
            </w:r>
          </w:p>
        </w:tc>
        <w:tc>
          <w:p>
            <w:pPr>
              <w:pStyle w:val="Compact"/>
              <w:jc w:val="center"/>
            </w:pPr>
            <w:r>
              <w:t xml:space="preserve">.181</w:t>
            </w:r>
          </w:p>
        </w:tc>
        <w:tc>
          <w:p>
            <w:pPr>
              <w:pStyle w:val="Compact"/>
              <w:jc w:val="center"/>
            </w:pPr>
            <w:r>
              <w:t xml:space="preserve">.137</w:t>
            </w:r>
          </w:p>
        </w:tc>
        <w:tc>
          <w:p>
            <w:pPr>
              <w:pStyle w:val="Compact"/>
              <w:jc w:val="center"/>
            </w:pPr>
            <w:r>
              <w:t xml:space="preserve">.057</w:t>
            </w:r>
          </w:p>
        </w:tc>
        <w:tc>
          <w:p>
            <w:pPr>
              <w:pStyle w:val="Compact"/>
              <w:jc w:val="center"/>
            </w:pPr>
            <w:r>
              <w:t xml:space="preserve">.175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Mean</w:t>
            </w:r>
          </w:p>
        </w:tc>
        <w:tc>
          <w:p>
            <w:pPr>
              <w:pStyle w:val="Compact"/>
              <w:jc w:val="center"/>
            </w:pPr>
            <w:r>
              <w:t xml:space="preserve">.320</w:t>
            </w:r>
          </w:p>
        </w:tc>
        <w:tc>
          <w:p>
            <w:pPr>
              <w:pStyle w:val="Compact"/>
              <w:jc w:val="center"/>
            </w:pPr>
            <w:r>
              <w:t xml:space="preserve">.385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.130</w:t>
            </w:r>
          </w:p>
        </w:tc>
        <w:tc>
          <w:p>
            <w:pPr>
              <w:pStyle w:val="Compact"/>
              <w:jc w:val="center"/>
            </w:pPr>
            <w:r>
              <w:t xml:space="preserve">.179</w:t>
            </w:r>
          </w:p>
        </w:tc>
        <w:tc>
          <w:p>
            <w:pPr>
              <w:pStyle w:val="Compact"/>
              <w:jc w:val="center"/>
            </w:pPr>
            <w:r>
              <w:t xml:space="preserve">.339</w:t>
            </w:r>
          </w:p>
        </w:tc>
      </w:tr>
    </w:tbl>
    <w:bookmarkEnd w:id="137"/>
    <w:p>
      <w:pPr>
        <w:pStyle w:val="Heading5"/>
      </w:pPr>
      <w:bookmarkStart w:id="138" w:name="cascade-predictability."/>
      <w:r>
        <w:t xml:space="preserve">Cascade predictability.</w:t>
      </w:r>
      <w:bookmarkEnd w:id="138"/>
    </w:p>
    <w:p>
      <w:pPr>
        <w:pStyle w:val="FirstParagraph"/>
      </w:pPr>
      <w:r>
        <w:t xml:space="preserve">The cascade severity correlates with the base model’s B0 over-extraction rate:</w:t>
      </w:r>
      <w:r>
        <w:t xml:space="preserve"> </w:t>
      </w:r>
      <w:r>
        <w:t xml:space="preserve">the more liberally a model extracts under B0, the more recall it surrenders at</w:t>
      </w:r>
      <w:r>
        <w:t xml:space="preserve"> </w:t>
      </w:r>
      <w:r>
        <w:t xml:space="preserve">the gate. Gemini 2.5 Pro (</w:t>
      </w:r>
      <m:oMath>
        <m:sSub>
          <m:e>
            <m:r>
              <m:t>ω</m:t>
            </m:r>
          </m:e>
          <m:sub>
            <m:r>
              <m:rPr>
                <m:nor/>
                <m:sty m:val="p"/>
              </m:rPr>
              <m:t>B0</m:t>
            </m:r>
          </m:sub>
        </m:sSub>
        <m:r>
          <m:t>=</m:t>
        </m:r>
        <m:r>
          <m:t>0.456</m:t>
        </m:r>
      </m:oMath>
      <w:r>
        <w:t xml:space="preserve">) loses</w:t>
      </w:r>
      <w:r>
        <w:t xml:space="preserve"> </w:t>
      </w:r>
      <m:oMath>
        <m:r>
          <m:t>0.121</m:t>
        </m:r>
      </m:oMath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points to M0; GPT-4.1 Nano (</w:t>
      </w:r>
      <m:oMath>
        <m:sSub>
          <m:e>
            <m:r>
              <m:t>ω</m:t>
            </m:r>
          </m:e>
          <m:sub>
            <m:r>
              <m:rPr>
                <m:nor/>
                <m:sty m:val="p"/>
              </m:rPr>
              <m:t>B0</m:t>
            </m:r>
          </m:sub>
        </m:sSub>
        <m:r>
          <m:t>=</m:t>
        </m:r>
        <m:r>
          <m:t>0.085</m:t>
        </m:r>
      </m:oMath>
      <w:r>
        <w:t xml:space="preserve">)</w:t>
      </w:r>
      <w:r>
        <w:t xml:space="preserve"> </w:t>
      </w:r>
      <w:r>
        <w:rPr>
          <w:i/>
        </w:rPr>
        <w:t xml:space="preserve">gains</w:t>
      </w:r>
      <w:r>
        <w:t xml:space="preserve"> </w:t>
      </w:r>
      <m:oMath>
        <m:r>
          <m:t>0.171</m:t>
        </m:r>
      </m:oMath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points, because the gate corrects its B0 laziness (</w:t>
      </w:r>
      <m:oMath>
        <m:r>
          <m:t>55.5</m:t>
        </m:r>
        <m:r>
          <m:t>%</m:t>
        </m:r>
      </m:oMath>
      <w:r>
        <w:t xml:space="preserve"> </w:t>
      </w:r>
      <w:r>
        <w:t xml:space="preserve">FN-rate). A practitioner can predict whether M0 will help or hurt a given</w:t>
      </w:r>
      <w:r>
        <w:t xml:space="preserve"> </w:t>
      </w:r>
      <w:r>
        <w:t xml:space="preserve">model by running a cheap B0 calibration pass and inspecting</w:t>
      </w:r>
      <w:r>
        <w:t xml:space="preserve"> </w:t>
      </w:r>
      <m:oMath>
        <m:sSub>
          <m:e>
            <m:r>
              <m:t>ω</m:t>
            </m:r>
          </m:e>
          <m:sub>
            <m:r>
              <m:rPr>
                <m:nor/>
                <m:sty m:val="p"/>
              </m:rPr>
              <m:t>B0</m:t>
            </m:r>
          </m:sub>
        </m:sSub>
      </m:oMath>
      <w:r>
        <w:t xml:space="preserve"> </w:t>
      </w:r>
      <w:r>
        <w:t xml:space="preserve">against the FN-rate profile. Figure </w:t>
      </w:r>
      <w:hyperlink w:anchor="fig:omega-lambda">
        <w:r>
          <w:rPr>
            <w:rStyle w:val="Hyperlink"/>
          </w:rPr>
          <w:t xml:space="preserve">[fig:omega-lambda]</w:t>
        </w:r>
      </w:hyperlink>
      <w:r>
        <w:t xml:space="preserve"> </w:t>
      </w:r>
      <w:r>
        <w:t xml:space="preserve">visualises the</w:t>
      </w:r>
      <w:r>
        <w:t xml:space="preserve"> </w:t>
      </w:r>
      <w:r>
        <w:t xml:space="preserve">cascade as a movement in the</w:t>
      </w:r>
      <w:r>
        <w:t xml:space="preserve"> </w:t>
      </w:r>
      <m:oMath>
        <m:r>
          <m:t>(</m:t>
        </m:r>
        <m:r>
          <m:t>ω</m:t>
        </m:r>
        <m:r>
          <m:t>,</m:t>
        </m:r>
        <m:r>
          <m:t>λ</m:t>
        </m:r>
        <m:r>
          <m:t>)</m:t>
        </m:r>
      </m:oMath>
      <w:r>
        <w:t xml:space="preserve"> </w:t>
      </w:r>
      <w:r>
        <w:t xml:space="preserve">plane: arrows connect each</w:t>
      </w:r>
      <w:r>
        <w:t xml:space="preserve"> </w:t>
      </w:r>
      <w:r>
        <w:t xml:space="preserve">model’s B0 cell to its M0 cell, and the up-and-leftward shift on Gemini</w:t>
      </w:r>
      <w:r>
        <w:t xml:space="preserve"> </w:t>
      </w:r>
      <w:r>
        <w:t xml:space="preserve">Flash/Pro is the cascade.</w:t>
      </w:r>
    </w:p>
    <w:p>
      <w:pPr>
        <w:pStyle w:val="BodyText"/>
      </w:pPr>
      <w:r>
        <w:rPr>
          <w:i/>
        </w:rPr>
        <w:t xml:space="preserve">[Figure/diagram in LaTeX source (tikzpicture); see PDF]</w:t>
      </w:r>
    </w:p>
    <w:p>
      <w:pPr>
        <w:pStyle w:val="Heading2"/>
      </w:pPr>
      <w:bookmarkStart w:id="139" w:name="sec:res:grounding"/>
      <w:r>
        <w:t xml:space="preserve">Span Grounding Rate</w:t>
      </w:r>
      <w:bookmarkEnd w:id="139"/>
    </w:p>
    <w:p>
      <w:pPr>
        <w:pStyle w:val="FirstParagraph"/>
      </w:pPr>
      <w:r>
        <w:t xml:space="preserve">The grounding rate measures the fraction of an extraction’s character span</w:t>
      </w:r>
      <w:r>
        <w:t xml:space="preserve"> </w:t>
      </w:r>
      <w:r>
        <w:t xml:space="preserve">that is reproducible verbatim from the source contract; an ungrounded span is</w:t>
      </w:r>
      <w:r>
        <w:t xml:space="preserve"> </w:t>
      </w:r>
      <w:r>
        <w:t xml:space="preserve">either paraphrased or hallucinated. Two views are reported in</w:t>
      </w:r>
      <w:r>
        <w:t xml:space="preserve"> </w:t>
      </w:r>
      <w:r>
        <w:t xml:space="preserve">Table </w:t>
      </w:r>
      <w:hyperlink w:anchor="tab:grounding">
        <w:r>
          <w:rPr>
            <w:rStyle w:val="Hyperlink"/>
          </w:rPr>
          <w:t xml:space="preserve">6.9</w:t>
        </w:r>
      </w:hyperlink>
      <w:r>
        <w:t xml:space="preserve">: pooled across all sampled instances (denominator</w:t>
      </w:r>
      <w:r>
        <w:t xml:space="preserve"> </w:t>
      </w:r>
      <w:r>
        <w:t xml:space="preserve">includes the</w:t>
      </w:r>
      <w:r>
        <w:t xml:space="preserve"> </w:t>
      </w:r>
      <m:oMath>
        <m:r>
          <m:t>≈</m:t>
        </m:r>
        <m:r>
          <m:t>​</m:t>
        </m:r>
        <m:r>
          <m:t>58</m:t>
        </m:r>
        <m:r>
          <m:t>%</m:t>
        </m:r>
      </m:oMath>
      <w:r>
        <w:t xml:space="preserve"> </w:t>
      </w:r>
      <w:r>
        <w:t xml:space="preserve">negative-label cases where the model returns</w:t>
      </w:r>
      <w:r>
        <w:t xml:space="preserve"> </w:t>
      </w:r>
      <w:r>
        <w:t xml:space="preserve">“</w:t>
      </w:r>
      <w:r>
        <w:t xml:space="preserve">no</w:t>
      </w:r>
      <w:r>
        <w:t xml:space="preserve"> </w:t>
      </w:r>
      <w:r>
        <w:t xml:space="preserve">related clause</w:t>
      </w:r>
      <w:r>
        <w:t xml:space="preserve">”</w:t>
      </w:r>
      <w:r>
        <w:t xml:space="preserve"> </w:t>
      </w:r>
      <w:r>
        <w:t xml:space="preserve">and grounding is undefined, conventionally scored </w:t>
      </w:r>
      <m:oMath>
        <m:r>
          <m:t>0</m:t>
        </m:r>
      </m:oMath>
      <w:r>
        <w:t xml:space="preserve">), and</w:t>
      </w:r>
      <w:r>
        <w:t xml:space="preserve"> </w:t>
      </w:r>
      <w:r>
        <w:t xml:space="preserve">restricted to instances on which the model emitted at least one span.</w:t>
      </w:r>
    </w:p>
    <w:bookmarkStart w:id="140" w:name="tab:grounding"/>
    <w:p>
      <w:pPr>
        <w:pStyle w:val="TableCaption"/>
      </w:pPr>
      <w:r>
        <w:t xml:space="preserve">Mean grounding rate by configuration.</w:t>
      </w:r>
      <w:r>
        <w:t xml:space="preserve"> </w:t>
      </w:r>
      <w:r>
        <w:rPr>
          <w:i/>
        </w:rPr>
        <w:t xml:space="preserve">All</w:t>
      </w:r>
      <w:r>
        <w:t xml:space="preserve">: pooled over all</w:t>
      </w:r>
      <w:r>
        <w:t xml:space="preserve"> </w:t>
      </w:r>
      <m:oMath>
        <m:r>
          <m:t>≈</m:t>
        </m:r>
        <m:r>
          <m:t>​</m:t>
        </m:r>
        <m:r>
          <m:t>2</m:t>
        </m:r>
        <m:r>
          <m:t>,</m:t>
        </m:r>
        <m:r>
          <m:t>999</m:t>
        </m:r>
      </m:oMath>
      <w:r>
        <w:t xml:space="preserve"> </w:t>
      </w:r>
      <w:r>
        <w:t xml:space="preserve">samples per cell, including</w:t>
      </w:r>
      <w:r>
        <w:t xml:space="preserve"> </w:t>
      </w:r>
      <w:r>
        <w:t xml:space="preserve">“</w:t>
      </w:r>
      <w:r>
        <w:t xml:space="preserve">no related clause</w:t>
      </w:r>
      <w:r>
        <w:t xml:space="preserve">”</w:t>
      </w:r>
      <w:r>
        <w:t xml:space="preserve"> </w:t>
      </w:r>
      <w:r>
        <w:t xml:space="preserve">returns</w:t>
      </w:r>
      <w:r>
        <w:t xml:space="preserve"> </w:t>
      </w:r>
      <w:r>
        <w:t xml:space="preserve">scored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rPr>
          <w:i/>
        </w:rPr>
        <w:t xml:space="preserve">Predicted-clause only</w:t>
      </w:r>
      <w:r>
        <w:t xml:space="preserve">: conditioned on a non-empty</w:t>
      </w:r>
      <w:r>
        <w:t xml:space="preserve"> </w:t>
      </w:r>
      <w:r>
        <w:t xml:space="preserve">prediction.  (M1) achieves</w:t>
      </w:r>
      <w:r>
        <w:t xml:space="preserve"> </w:t>
      </w:r>
      <m:oMath>
        <m:r>
          <m:t>1.000</m:t>
        </m:r>
      </m:oMath>
      <w:r>
        <w:t xml:space="preserve"> </w:t>
      </w:r>
      <w:r>
        <w:t xml:space="preserve">pooled across every model in the</w:t>
      </w:r>
      <w:r>
        <w:t xml:space="preserve"> </w:t>
      </w:r>
      <w:r>
        <w:t xml:space="preserve">predicted-clause column: the structured specialist output enforces</w:t>
      </w:r>
      <w:r>
        <w:t xml:space="preserve"> </w:t>
      </w:r>
      <w:r>
        <w:t xml:space="preserve">contract-text citation.  (M0) reaches</w:t>
      </w:r>
      <w:r>
        <w:t xml:space="preserve"> </w:t>
      </w:r>
      <m:oMath>
        <m:r>
          <m:t>0.893</m:t>
        </m:r>
      </m:oMath>
      <w:r>
        <w:t xml:space="preserve">.  (B0) and</w:t>
      </w:r>
      <w:r>
        <w:t xml:space="preserve"> </w:t>
      </w:r>
      <w:r>
        <w:t xml:space="preserve"> (M2), which return free-text extractions, leave</w:t>
      </w:r>
      <w:r>
        <w:t xml:space="preserve"> </w:t>
      </w:r>
      <m:oMath>
        <m:r>
          <m:t>44</m:t>
        </m:r>
      </m:oMath>
      <w:r>
        <w:t xml:space="preserve">–</w:t>
      </w:r>
      <m:oMath>
        <m:r>
          <m:t>58</m:t>
        </m:r>
        <m:r>
          <m:t>%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predicted spans ungrounded.</w:t>
      </w:r>
    </w:p>
    <w:tbl>
      <w:tblPr>
        <w:tblStyle w:val="Table"/>
        <w:tblW w:type="pct" w:w="0.0"/>
        <w:tblLook w:firstRow="1"/>
        <w:tblCaption w:val="Mean grounding rate by configuration. All: pooled over all \approx\!2{,}999 samples per cell, including “no related clause” returns scored 0. Predicted-clause only: conditioned on a non-empty prediction.  (M1) achieves 1.000 pooled across every model in the predicted-clause column: the structured specialist output enforces contract-text citation.  (M0) reaches 0.893.  (B0) and  (M2), which return free-text extractions, leave 44–58\% of predicted spans ungrounded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Config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B0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B1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M0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M1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M2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All samples</w:t>
            </w:r>
          </w:p>
        </w:tc>
        <w:tc>
          <w:p>
            <w:pPr>
              <w:pStyle w:val="Compact"/>
              <w:jc w:val="center"/>
            </w:pPr>
            <w:r>
              <w:t xml:space="preserve">0.299</w:t>
            </w:r>
          </w:p>
        </w:tc>
        <w:tc>
          <w:p>
            <w:pPr>
              <w:pStyle w:val="Compact"/>
              <w:jc w:val="center"/>
            </w:pPr>
            <w:r>
              <w:t xml:space="preserve">0.373</w:t>
            </w:r>
          </w:p>
        </w:tc>
        <w:tc>
          <w:p>
            <w:pPr>
              <w:pStyle w:val="Compact"/>
              <w:jc w:val="center"/>
            </w:pPr>
            <w:r>
              <w:t xml:space="preserve">0.375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0.456</w:t>
            </w:r>
          </w:p>
        </w:tc>
        <w:tc>
          <w:p>
            <w:pPr>
              <w:pStyle w:val="Compact"/>
              <w:jc w:val="center"/>
            </w:pPr>
            <w:r>
              <w:t xml:space="preserve">0.248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Predicted-clause only</w:t>
            </w:r>
          </w:p>
        </w:tc>
        <w:tc>
          <w:p>
            <w:pPr>
              <w:pStyle w:val="Compact"/>
              <w:jc w:val="center"/>
            </w:pPr>
            <w:r>
              <w:t xml:space="preserve">0.543</w:t>
            </w:r>
          </w:p>
        </w:tc>
        <w:tc>
          <w:p>
            <w:pPr>
              <w:pStyle w:val="Compact"/>
              <w:jc w:val="center"/>
            </w:pPr>
            <w:r>
              <w:t xml:space="preserve">0.594</w:t>
            </w:r>
          </w:p>
        </w:tc>
        <w:tc>
          <w:p>
            <w:pPr>
              <w:pStyle w:val="Compact"/>
              <w:jc w:val="center"/>
            </w:pPr>
            <w:r>
              <w:t xml:space="preserve">0.893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1.000</w:t>
            </w:r>
          </w:p>
        </w:tc>
        <w:tc>
          <w:p>
            <w:pPr>
              <w:pStyle w:val="Compact"/>
              <w:jc w:val="center"/>
            </w:pPr>
            <w:r>
              <w:t xml:space="preserve">0.415</w:t>
            </w:r>
          </w:p>
        </w:tc>
      </w:tr>
    </w:tbl>
    <w:bookmarkEnd w:id="140"/>
    <w:p>
      <w:pPr>
        <w:pStyle w:val="BodyText"/>
      </w:pPr>
      <w:r>
        <w:t xml:space="preserve">The predicted-clause column is the audit-relevant denominator: a missed clause</w:t>
      </w:r>
      <w:r>
        <w:t xml:space="preserve"> </w:t>
      </w:r>
      <w:r>
        <w:t xml:space="preserve">has no span to ground, but every emitted span is auditable in principle. Under</w:t>
      </w:r>
      <w:r>
        <w:t xml:space="preserve"> </w:t>
      </w:r>
      <w:r>
        <w:t xml:space="preserve">that view, ’s structured-output schema (Section </w:t>
      </w:r>
      <w:hyperlink w:anchor="sec:sys:trace">
        <w:r>
          <w:rPr>
            <w:rStyle w:val="Hyperlink"/>
          </w:rPr>
          <w:t xml:space="preserve">5.6</w:t>
        </w:r>
      </w:hyperlink>
      <w:r>
        <w:t xml:space="preserve">)</w:t>
      </w:r>
      <w:r>
        <w:t xml:space="preserve"> </w:t>
      </w:r>
      <w:r>
        <w:t xml:space="preserve">guarantees verbatim citation by construction, and ’s extractor inherits</w:t>
      </w:r>
      <w:r>
        <w:t xml:space="preserve"> </w:t>
      </w:r>
      <w:r>
        <w:t xml:space="preserve">the same scaffold from the M1 specialist prompts. The two single-call</w:t>
      </w:r>
      <w:r>
        <w:t xml:space="preserve"> </w:t>
      </w:r>
      <w:r>
        <w:t xml:space="preserve">generative configurations  and  leave roughly half of their</w:t>
      </w:r>
      <w:r>
        <w:t xml:space="preserve"> </w:t>
      </w:r>
      <w:r>
        <w:t xml:space="preserve">extractions paraphrased or hallucinated. The dominant failure mode is</w:t>
      </w:r>
      <w:r>
        <w:t xml:space="preserve"> </w:t>
      </w:r>
      <w:r>
        <w:t xml:space="preserve">extraction of</w:t>
      </w:r>
      <w:r>
        <w:t xml:space="preserve"> </w:t>
      </w:r>
      <w:r>
        <w:rPr>
          <w:i/>
        </w:rPr>
        <w:t xml:space="preserve">plausible</w:t>
      </w:r>
      <w:r>
        <w:t xml:space="preserve"> </w:t>
      </w:r>
      <w:r>
        <w:t xml:space="preserve">legal text that cannot be located verbatim</w:t>
      </w:r>
      <w:r>
        <w:t xml:space="preserve"> </w:t>
      </w:r>
      <w:r>
        <w:t xml:space="preserve">in the source contract. This finding qualifies contribution C4: M1’s</w:t>
      </w:r>
      <w:r>
        <w:t xml:space="preserve"> </w:t>
      </w:r>
      <w:r>
        <w:t xml:space="preserve">auditability surplus comes from two mechanisms, the trace structure</w:t>
      </w:r>
      <w:r>
        <w:t xml:space="preserve"> </w:t>
      </w:r>
      <w:r>
        <w:t xml:space="preserve">(Section </w:t>
      </w:r>
      <w:hyperlink w:anchor="sec:auditability">
        <w:r>
          <w:rPr>
            <w:rStyle w:val="Hyperlink"/>
          </w:rPr>
          <w:t xml:space="preserve">[sec:auditability]</w:t>
        </w:r>
      </w:hyperlink>
      <w:r>
        <w:t xml:space="preserve">) and schema-enforced grounding.</w:t>
      </w:r>
    </w:p>
    <w:p>
      <w:pPr>
        <w:pStyle w:val="Heading2"/>
      </w:pPr>
      <w:bookmarkStart w:id="141" w:name="sec:res:cost"/>
      <w:r>
        <w:t xml:space="preserve">Cost-Efficiency Frontier</w:t>
      </w:r>
      <w:bookmarkEnd w:id="141"/>
    </w:p>
    <w:p>
      <w:pPr>
        <w:pStyle w:val="FirstParagraph"/>
      </w:pPr>
      <w:r>
        <w:t xml:space="preserve">Table </w:t>
      </w:r>
      <w:hyperlink w:anchor="tab:cost">
        <w:r>
          <w:rPr>
            <w:rStyle w:val="Hyperlink"/>
          </w:rPr>
          <w:t xml:space="preserve">6.10</w:t>
        </w:r>
      </w:hyperlink>
      <w:r>
        <w:t xml:space="preserve"> </w:t>
      </w:r>
      <w:r>
        <w:t xml:space="preserve">reports per-run provider costs and mean ratios relative to</w:t>
      </w:r>
      <w:r>
        <w:t xml:space="preserve"> </w:t>
      </w:r>
      <w:r>
        <w:t xml:space="preserve">B0.</w:t>
      </w:r>
    </w:p>
    <w:bookmarkStart w:id="142" w:name="tab:cost"/>
    <w:p>
      <w:pPr>
        <w:pStyle w:val="TableCaption"/>
      </w:pPr>
      <w:r>
        <w:t xml:space="preserve">Provider cost per run (</w:t>
      </w:r>
      <m:oMath>
        <m:r>
          <m:t>≈</m:t>
        </m:r>
        <m:r>
          <m:t>2</m:t>
        </m:r>
        <m:r>
          <m:t>,</m:t>
        </m:r>
        <m:r>
          <m:t>999</m:t>
        </m:r>
      </m:oMath>
      <w:r>
        <w:t xml:space="preserve"> </w:t>
      </w:r>
      <w:r>
        <w:t xml:space="preserve">samples) and per-model</w:t>
      </w:r>
      <w:r>
        <w:t xml:space="preserve"> </w:t>
      </w:r>
      <w:r>
        <w:t xml:space="preserve">mean ratio relative to B0. M0’s</w:t>
      </w:r>
      <w:r>
        <w:t xml:space="preserve"> </w:t>
      </w:r>
      <m:oMath>
        <m:r>
          <m:t>1.67</m:t>
        </m:r>
        <m:r>
          <m:t>×</m:t>
        </m:r>
      </m:oMath>
      <w:r>
        <w:t xml:space="preserve"> </w:t>
      </w:r>
      <w:r>
        <w:t xml:space="preserve">premium reflects the additional</w:t>
      </w:r>
      <w:r>
        <w:t xml:space="preserve"> </w:t>
      </w:r>
      <w:r>
        <w:t xml:space="preserve">classifier call; M1’s</w:t>
      </w:r>
      <w:r>
        <w:t xml:space="preserve"> </w:t>
      </w:r>
      <m:oMath>
        <m:r>
          <m:t>1.23</m:t>
        </m:r>
        <m:r>
          <m:t>×</m:t>
        </m:r>
      </m:oMath>
      <w:r>
        <w:t xml:space="preserve"> </w:t>
      </w:r>
      <w:r>
        <w:t xml:space="preserve">reflects the orchestrator hop.</w:t>
      </w:r>
    </w:p>
    <w:tbl>
      <w:tblPr>
        <w:tblStyle w:val="Table"/>
        <w:tblW w:type="pct" w:w="0.0"/>
        <w:tblLook w:firstRow="1"/>
        <w:tblCaption w:val="Provider cost per run ({\approx}2{,}999 samples) and per-model mean ratio relative to B0. M0’s 1.67\times premium reflects the additional classifier call; M1’s 1.23\times reflects the orchestrator hop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B0 ($)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B1 ($)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M0 ($)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M1 ($)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M2 ($)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Claude Haiku 4.5</w:t>
            </w:r>
          </w:p>
        </w:tc>
        <w:tc>
          <w:p>
            <w:pPr>
              <w:pStyle w:val="Compact"/>
              <w:jc w:val="right"/>
            </w:pPr>
            <w:r>
              <w:t xml:space="preserve">36.70</w:t>
            </w:r>
          </w:p>
        </w:tc>
        <w:tc>
          <w:p>
            <w:pPr>
              <w:pStyle w:val="Compact"/>
              <w:jc w:val="right"/>
            </w:pPr>
            <w:r>
              <w:t xml:space="preserve">43.11</w:t>
            </w:r>
          </w:p>
        </w:tc>
        <w:tc>
          <w:p>
            <w:pPr>
              <w:pStyle w:val="Compact"/>
              <w:jc w:val="right"/>
            </w:pPr>
            <w:r>
              <w:t xml:space="preserve">60.66</w:t>
            </w:r>
          </w:p>
        </w:tc>
        <w:tc>
          <w:p>
            <w:pPr>
              <w:pStyle w:val="Compact"/>
              <w:jc w:val="right"/>
            </w:pPr>
            <w:r>
              <w:t xml:space="preserve">45.00</w:t>
            </w:r>
          </w:p>
        </w:tc>
        <w:tc>
          <w:p>
            <w:pPr>
              <w:pStyle w:val="Compact"/>
              <w:jc w:val="right"/>
            </w:pPr>
            <w:r>
              <w:t xml:space="preserve">43.29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Claude Opus 4.6</w:t>
            </w:r>
          </w:p>
        </w:tc>
        <w:tc>
          <w:p>
            <w:pPr>
              <w:pStyle w:val="Compact"/>
              <w:jc w:val="right"/>
            </w:pPr>
            <w:r>
              <w:t xml:space="preserve">185.02</w:t>
            </w:r>
          </w:p>
        </w:tc>
        <w:tc>
          <w:p>
            <w:pPr>
              <w:pStyle w:val="Compact"/>
              <w:jc w:val="right"/>
            </w:pPr>
            <w:r>
              <w:t xml:space="preserve">213.30</w:t>
            </w:r>
          </w:p>
        </w:tc>
        <w:tc>
          <w:p>
            <w:pPr>
              <w:pStyle w:val="Compact"/>
              <w:jc w:val="right"/>
            </w:pPr>
            <w:r>
              <w:t xml:space="preserve">302.96</w:t>
            </w:r>
          </w:p>
        </w:tc>
        <w:tc>
          <w:p>
            <w:pPr>
              <w:pStyle w:val="Compact"/>
              <w:jc w:val="right"/>
            </w:pPr>
            <w:r>
              <w:t xml:space="preserve">215.49</w:t>
            </w:r>
          </w:p>
        </w:tc>
        <w:tc>
          <w:p>
            <w:pPr>
              <w:pStyle w:val="Compact"/>
              <w:jc w:val="right"/>
            </w:pPr>
            <w:r>
              <w:t xml:space="preserve">211.10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Claude Sonnet 4</w:t>
            </w:r>
          </w:p>
        </w:tc>
        <w:tc>
          <w:p>
            <w:pPr>
              <w:pStyle w:val="Compact"/>
              <w:jc w:val="right"/>
            </w:pPr>
            <w:r>
              <w:t xml:space="preserve">94.04</w:t>
            </w:r>
          </w:p>
        </w:tc>
        <w:tc>
          <w:p>
            <w:pPr>
              <w:pStyle w:val="Compact"/>
              <w:jc w:val="right"/>
            </w:pPr>
            <w:r>
              <w:t xml:space="preserve">125.98</w:t>
            </w:r>
          </w:p>
        </w:tc>
        <w:tc>
          <w:p>
            <w:pPr>
              <w:pStyle w:val="Compact"/>
              <w:jc w:val="right"/>
            </w:pPr>
            <w:r>
              <w:t xml:space="preserve">184.58</w:t>
            </w:r>
          </w:p>
        </w:tc>
        <w:tc>
          <w:p>
            <w:pPr>
              <w:pStyle w:val="Compact"/>
              <w:jc w:val="right"/>
            </w:pPr>
            <w:r>
              <w:t xml:space="preserve">127.17</w:t>
            </w:r>
          </w:p>
        </w:tc>
        <w:tc>
          <w:p>
            <w:pPr>
              <w:pStyle w:val="Compact"/>
              <w:jc w:val="right"/>
            </w:pPr>
            <w:r>
              <w:t xml:space="preserve">125.41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Claude Sonnet 4.6</w:t>
            </w:r>
          </w:p>
        </w:tc>
        <w:tc>
          <w:p>
            <w:pPr>
              <w:pStyle w:val="Compact"/>
              <w:jc w:val="right"/>
            </w:pPr>
            <w:r>
              <w:t xml:space="preserve">111.44</w:t>
            </w:r>
          </w:p>
        </w:tc>
        <w:tc>
          <w:p>
            <w:pPr>
              <w:pStyle w:val="Compact"/>
              <w:jc w:val="right"/>
            </w:pPr>
            <w:r>
              <w:t xml:space="preserve">129.59</w:t>
            </w:r>
          </w:p>
        </w:tc>
        <w:tc>
          <w:p>
            <w:pPr>
              <w:pStyle w:val="Compact"/>
              <w:jc w:val="right"/>
            </w:pPr>
            <w:r>
              <w:t xml:space="preserve">184.11</w:t>
            </w:r>
          </w:p>
        </w:tc>
        <w:tc>
          <w:p>
            <w:pPr>
              <w:pStyle w:val="Compact"/>
              <w:jc w:val="right"/>
            </w:pPr>
            <w:r>
              <w:t xml:space="preserve">137.75</w:t>
            </w:r>
          </w:p>
        </w:tc>
        <w:tc>
          <w:p>
            <w:pPr>
              <w:pStyle w:val="Compact"/>
              <w:jc w:val="right"/>
            </w:pPr>
            <w:r>
              <w:t xml:space="preserve">128.24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Gemini 2.5 Flash</w:t>
            </w:r>
          </w:p>
        </w:tc>
        <w:tc>
          <w:p>
            <w:pPr>
              <w:pStyle w:val="Compact"/>
              <w:jc w:val="right"/>
            </w:pPr>
            <w:r>
              <w:t xml:space="preserve">10.64</w:t>
            </w:r>
          </w:p>
        </w:tc>
        <w:tc>
          <w:p>
            <w:pPr>
              <w:pStyle w:val="Compact"/>
              <w:jc w:val="right"/>
            </w:pPr>
            <w:r>
              <w:t xml:space="preserve">14.72</w:t>
            </w:r>
          </w:p>
        </w:tc>
        <w:tc>
          <w:p>
            <w:pPr>
              <w:pStyle w:val="Compact"/>
              <w:jc w:val="right"/>
            </w:pPr>
            <w:r>
              <w:t xml:space="preserve">13.73</w:t>
            </w:r>
          </w:p>
        </w:tc>
        <w:tc>
          <w:p>
            <w:pPr>
              <w:pStyle w:val="Compact"/>
              <w:jc w:val="right"/>
            </w:pPr>
            <w:r>
              <w:t xml:space="preserve">13.31</w:t>
            </w:r>
          </w:p>
        </w:tc>
        <w:tc>
          <w:p>
            <w:pPr>
              <w:pStyle w:val="Compact"/>
              <w:jc w:val="right"/>
            </w:pPr>
            <w:r>
              <w:t xml:space="preserve">13.99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Gemini 2.5 Pro</w:t>
            </w:r>
          </w:p>
        </w:tc>
        <w:tc>
          <w:p>
            <w:pPr>
              <w:pStyle w:val="Compact"/>
              <w:jc w:val="right"/>
            </w:pPr>
            <w:r>
              <w:t xml:space="preserve">43.39</w:t>
            </w:r>
          </w:p>
        </w:tc>
        <w:tc>
          <w:p>
            <w:pPr>
              <w:pStyle w:val="Compact"/>
              <w:jc w:val="right"/>
            </w:pPr>
            <w:r>
              <w:t xml:space="preserve">61.77</w:t>
            </w:r>
          </w:p>
        </w:tc>
        <w:tc>
          <w:p>
            <w:pPr>
              <w:pStyle w:val="Compact"/>
              <w:jc w:val="right"/>
            </w:pPr>
            <w:r>
              <w:t xml:space="preserve">58.69</w:t>
            </w:r>
          </w:p>
        </w:tc>
        <w:tc>
          <w:p>
            <w:pPr>
              <w:pStyle w:val="Compact"/>
              <w:jc w:val="right"/>
            </w:pPr>
            <w:r>
              <w:t xml:space="preserve">55.57</w:t>
            </w:r>
          </w:p>
        </w:tc>
        <w:tc>
          <w:p>
            <w:pPr>
              <w:pStyle w:val="Compact"/>
              <w:jc w:val="right"/>
            </w:pPr>
            <w:r>
              <w:t xml:space="preserve">58.21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Gemini 3 Flash</w:t>
            </w:r>
          </w:p>
        </w:tc>
        <w:tc>
          <w:p>
            <w:pPr>
              <w:pStyle w:val="Compact"/>
              <w:jc w:val="right"/>
            </w:pPr>
            <w:r>
              <w:t xml:space="preserve">16.55</w:t>
            </w:r>
          </w:p>
        </w:tc>
        <w:tc>
          <w:p>
            <w:pPr>
              <w:pStyle w:val="Compact"/>
              <w:jc w:val="right"/>
            </w:pPr>
            <w:r>
              <w:t xml:space="preserve">19.09</w:t>
            </w:r>
          </w:p>
        </w:tc>
        <w:tc>
          <w:p>
            <w:pPr>
              <w:pStyle w:val="Compact"/>
              <w:jc w:val="right"/>
            </w:pPr>
            <w:r>
              <w:t xml:space="preserve">26.24</w:t>
            </w:r>
          </w:p>
        </w:tc>
        <w:tc>
          <w:p>
            <w:pPr>
              <w:pStyle w:val="Compact"/>
              <w:jc w:val="right"/>
            </w:pPr>
            <w:r>
              <w:t xml:space="preserve">19.65</w:t>
            </w:r>
          </w:p>
        </w:tc>
        <w:tc>
          <w:p>
            <w:pPr>
              <w:pStyle w:val="Compact"/>
              <w:jc w:val="right"/>
            </w:pPr>
            <w:r>
              <w:t xml:space="preserve">19.18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Gemini 3.1 Pro</w:t>
            </w:r>
          </w:p>
        </w:tc>
        <w:tc>
          <w:p>
            <w:pPr>
              <w:pStyle w:val="Compact"/>
              <w:jc w:val="right"/>
            </w:pPr>
            <w:r>
              <w:t xml:space="preserve">65.75</w:t>
            </w:r>
          </w:p>
        </w:tc>
        <w:tc>
          <w:p>
            <w:pPr>
              <w:pStyle w:val="Compact"/>
              <w:jc w:val="right"/>
            </w:pPr>
            <w:r>
              <w:t xml:space="preserve">72.46</w:t>
            </w:r>
          </w:p>
        </w:tc>
        <w:tc>
          <w:p>
            <w:pPr>
              <w:pStyle w:val="Compact"/>
              <w:jc w:val="right"/>
            </w:pPr>
            <w:r>
              <w:t xml:space="preserve">104.57</w:t>
            </w:r>
          </w:p>
        </w:tc>
        <w:tc>
          <w:p>
            <w:pPr>
              <w:pStyle w:val="Compact"/>
              <w:jc w:val="right"/>
            </w:pPr>
            <w:r>
              <w:t xml:space="preserve">78.73</w:t>
            </w:r>
          </w:p>
        </w:tc>
        <w:tc>
          <w:p>
            <w:pPr>
              <w:pStyle w:val="Compact"/>
              <w:jc w:val="right"/>
            </w:pPr>
            <w:r>
              <w:t xml:space="preserve">72.69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GPT-4.1</w:t>
            </w:r>
          </w:p>
        </w:tc>
        <w:tc>
          <w:p>
            <w:pPr>
              <w:pStyle w:val="Compact"/>
              <w:jc w:val="right"/>
            </w:pPr>
            <w:r>
              <w:t xml:space="preserve">38.07</w:t>
            </w:r>
          </w:p>
        </w:tc>
        <w:tc>
          <w:p>
            <w:pPr>
              <w:pStyle w:val="Compact"/>
              <w:jc w:val="right"/>
            </w:pPr>
            <w:r>
              <w:t xml:space="preserve">77.88</w:t>
            </w:r>
          </w:p>
        </w:tc>
        <w:tc>
          <w:p>
            <w:pPr>
              <w:pStyle w:val="Compact"/>
              <w:jc w:val="right"/>
            </w:pPr>
            <w:r>
              <w:t xml:space="preserve">91.50</w:t>
            </w:r>
          </w:p>
        </w:tc>
        <w:tc>
          <w:p>
            <w:pPr>
              <w:pStyle w:val="Compact"/>
              <w:jc w:val="right"/>
            </w:pPr>
            <w:r>
              <w:t xml:space="preserve">56.11</w:t>
            </w:r>
          </w:p>
        </w:tc>
        <w:tc>
          <w:p>
            <w:pPr>
              <w:pStyle w:val="Compact"/>
              <w:jc w:val="right"/>
            </w:pPr>
            <w:r>
              <w:t xml:space="preserve">73.68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GPT-4.1 Mini</w:t>
            </w:r>
          </w:p>
        </w:tc>
        <w:tc>
          <w:p>
            <w:pPr>
              <w:pStyle w:val="Compact"/>
              <w:jc w:val="right"/>
            </w:pPr>
            <w:r>
              <w:t xml:space="preserve">13.17</w:t>
            </w:r>
          </w:p>
        </w:tc>
        <w:tc>
          <w:p>
            <w:pPr>
              <w:pStyle w:val="Compact"/>
              <w:jc w:val="right"/>
            </w:pPr>
            <w:r>
              <w:t xml:space="preserve">15.78</w:t>
            </w:r>
          </w:p>
        </w:tc>
        <w:tc>
          <w:p>
            <w:pPr>
              <w:pStyle w:val="Compact"/>
              <w:jc w:val="right"/>
            </w:pPr>
            <w:r>
              <w:t xml:space="preserve">21.42</w:t>
            </w:r>
          </w:p>
        </w:tc>
        <w:tc>
          <w:p>
            <w:pPr>
              <w:pStyle w:val="Compact"/>
              <w:jc w:val="right"/>
            </w:pPr>
            <w:r>
              <w:t xml:space="preserve">13.22</w:t>
            </w:r>
          </w:p>
        </w:tc>
        <w:tc>
          <w:p>
            <w:pPr>
              <w:pStyle w:val="Compact"/>
              <w:jc w:val="right"/>
            </w:pPr>
            <w:r>
              <w:t xml:space="preserve">15.78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GPT-4.1 Nano</w:t>
            </w:r>
          </w:p>
        </w:tc>
        <w:tc>
          <w:p>
            <w:pPr>
              <w:pStyle w:val="Compact"/>
              <w:jc w:val="right"/>
            </w:pPr>
            <w:r>
              <w:t xml:space="preserve">3.17</w:t>
            </w:r>
          </w:p>
        </w:tc>
        <w:tc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p>
            <w:pPr>
              <w:pStyle w:val="Compact"/>
              <w:jc w:val="right"/>
            </w:pPr>
            <w:r>
              <w:t xml:space="preserve">5.10</w:t>
            </w:r>
          </w:p>
        </w:tc>
        <w:tc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p>
            <w:pPr>
              <w:pStyle w:val="Compact"/>
              <w:jc w:val="right"/>
            </w:pPr>
            <w:r>
              <w:t xml:space="preserve">3.63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Mean ratio</w:t>
            </w:r>
          </w:p>
        </w:tc>
        <w:tc>
          <w:p>
            <w:pPr>
              <w:pStyle w:val="Compact"/>
              <w:jc w:val="right"/>
            </w:pPr>
            <m:oMath>
              <m:r>
                <m:t>1.00</m:t>
              </m:r>
              <m:r>
                <m:t>×</m:t>
              </m:r>
            </m:oMath>
          </w:p>
        </w:tc>
        <w:tc>
          <w:p>
            <w:pPr>
              <w:pStyle w:val="Compact"/>
              <w:jc w:val="right"/>
            </w:pPr>
            <m:oMath>
              <m:r>
                <m:t>1.30</m:t>
              </m:r>
              <m:r>
                <m:t>×</m:t>
              </m:r>
            </m:oMath>
          </w:p>
        </w:tc>
        <w:tc>
          <w:p>
            <w:pPr>
              <w:pStyle w:val="Compact"/>
              <w:jc w:val="right"/>
            </w:pPr>
            <m:oMath>
              <m:r>
                <m:t>1.67</m:t>
              </m:r>
              <m:r>
                <m:t>×</m:t>
              </m:r>
            </m:oMath>
          </w:p>
        </w:tc>
        <w:tc>
          <w:p>
            <w:pPr>
              <w:pStyle w:val="Compact"/>
              <w:jc w:val="right"/>
            </w:pPr>
            <m:oMath>
              <m:r>
                <m:t>1.23</m:t>
              </m:r>
              <m:r>
                <m:t>×</m:t>
              </m:r>
            </m:oMath>
          </w:p>
        </w:tc>
        <w:tc>
          <w:p>
            <w:pPr>
              <w:pStyle w:val="Compact"/>
              <w:jc w:val="right"/>
            </w:pPr>
            <m:oMath>
              <m:r>
                <m:t>1.27</m:t>
              </m:r>
              <m:r>
                <m:t>×</m:t>
              </m:r>
            </m:oMath>
          </w:p>
        </w:tc>
      </w:tr>
    </w:tbl>
    <w:bookmarkEnd w:id="142"/>
    <w:p>
      <w:pPr>
        <w:pStyle w:val="BodyText"/>
      </w:pPr>
      <w:r>
        <w:t xml:space="preserve">Figure </w:t>
      </w:r>
      <w:hyperlink w:anchor="fig:pareto">
        <w:r>
          <w:rPr>
            <w:rStyle w:val="Hyperlink"/>
          </w:rPr>
          <w:t xml:space="preserve">[fig:pareto]</w:t>
        </w:r>
      </w:hyperlink>
      <w:r>
        <w:t xml:space="preserve"> </w:t>
      </w:r>
      <w:r>
        <w:t xml:space="preserve">plots all 55 cells in the</w:t>
      </w:r>
      <w:r>
        <w:t xml:space="preserve"> </w:t>
      </w:r>
      <m:oMath>
        <m:r>
          <m:t>(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t>,</m:t>
        </m:r>
        <m:r>
          <m:rPr>
            <m:nor/>
            <m:sty m:val="p"/>
          </m:rPr>
          <m:t>cost</m:t>
        </m:r>
        <m:r>
          <m:t>)</m:t>
        </m:r>
      </m:oMath>
      <w:r>
        <w:t xml:space="preserve"> </w:t>
      </w:r>
      <w:r>
        <w:t xml:space="preserve">plane.</w:t>
      </w:r>
      <w:r>
        <w:t xml:space="preserve"> </w:t>
      </w:r>
      <w:r>
        <w:t xml:space="preserve">B0 occupies the Pareto frontier at every cost level at which it appears. The</w:t>
      </w:r>
      <w:r>
        <w:t xml:space="preserve"> </w:t>
      </w:r>
      <w:r>
        <w:t xml:space="preserve">three Gemini M0 cells are strictly Pareto-dominated: lower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i/>
        </w:rPr>
        <w:t xml:space="preserve">and</w:t>
      </w:r>
      <w:r>
        <w:t xml:space="preserve"> </w:t>
      </w:r>
      <w:r>
        <w:t xml:space="preserve">higher cost than B0 Gemini alternatives.</w:t>
      </w:r>
    </w:p>
    <w:p>
      <w:pPr>
        <w:pStyle w:val="BodyText"/>
      </w:pPr>
      <w:r>
        <w:rPr>
          <w:i/>
        </w:rPr>
        <w:t xml:space="preserve">[Figure/diagram in LaTeX source (tikzpicture); see PDF]</w:t>
      </w:r>
    </w:p>
    <w:p>
      <w:pPr>
        <w:pStyle w:val="BodyText"/>
      </w:pPr>
      <w:r>
        <w:t xml:space="preserve">The</w:t>
      </w:r>
      <w:r>
        <w:t xml:space="preserve"> </w:t>
      </w:r>
      <m:oMath>
        <m:r>
          <m:t>23</m:t>
        </m:r>
      </m:oMath>
      <w:r>
        <w:t xml:space="preserve">–</w:t>
      </w:r>
      <m:oMath>
        <m:r>
          <m:t>67</m:t>
        </m:r>
        <m:r>
          <m:t>%</m:t>
        </m:r>
      </m:oMath>
      <w:r>
        <w:t xml:space="preserve"> </w:t>
      </w:r>
      <w:r>
        <w:t xml:space="preserve">mean cost premium attached to multi-agent configurations</w:t>
      </w:r>
      <w:r>
        <w:t xml:space="preserve"> </w:t>
      </w:r>
      <w:r>
        <w:t xml:space="preserve">(measured under per-call provider billing without prompt caching) is not</w:t>
      </w:r>
      <w:r>
        <w:t xml:space="preserve"> </w:t>
      </w:r>
      <w:r>
        <w:t xml:space="preserve">compensated by aggregate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gains. In workflows where per-agent traces add</w:t>
      </w:r>
      <w:r>
        <w:t xml:space="preserve"> </w:t>
      </w:r>
      <w:r>
        <w:t xml:space="preserve">operational value (obligation tracking, audit-trail generation), this premium</w:t>
      </w:r>
      <w:r>
        <w:t xml:space="preserve"> </w:t>
      </w:r>
      <w:r>
        <w:t xml:space="preserve">may be acceptable; Chapter </w:t>
      </w:r>
      <w:hyperlink w:anchor="chapter:discussion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elaborates these conditions.</w:t>
      </w:r>
      <w:r>
        <w:t xml:space="preserve"> </w:t>
      </w:r>
      <w:r>
        <w:t xml:space="preserve">The premium estimate is sensitive to the cost model: prompt caching, which every</w:t>
      </w:r>
      <w:r>
        <w:t xml:space="preserve"> </w:t>
      </w:r>
      <w:r>
        <w:t xml:space="preserve">provider in the panel supports, would shrink it toward the orchestrator-hop</w:t>
      </w:r>
      <w:r>
        <w:t xml:space="preserve"> </w:t>
      </w:r>
      <w:r>
        <w:t xml:space="preserve">overhead alone (Section </w:t>
      </w:r>
      <w:hyperlink w:anchor="sec:concl:outlook">
        <w:r>
          <w:rPr>
            <w:rStyle w:val="Hyperlink"/>
          </w:rPr>
          <w:t xml:space="preserve">8.4</w:t>
        </w:r>
      </w:hyperlink>
      <w:r>
        <w:t xml:space="preserve">).</w:t>
      </w:r>
    </w:p>
    <w:p>
      <w:pPr>
        <w:pStyle w:val="Heading2"/>
      </w:pPr>
      <w:bookmarkStart w:id="143" w:name="sec:res:length"/>
      <w:r>
        <w:t xml:space="preserve">Contract-Length Moderation</w:t>
      </w:r>
      <w:bookmarkEnd w:id="143"/>
    </w:p>
    <w:p>
      <w:pPr>
        <w:pStyle w:val="FirstParagraph"/>
      </w:pPr>
      <w:r>
        <w:t xml:space="preserve">The cascade analysis (Section </w:t>
      </w:r>
      <w:hyperlink w:anchor="sec:res:cascade">
        <w:r>
          <w:rPr>
            <w:rStyle w:val="Hyperlink"/>
          </w:rPr>
          <w:t xml:space="preserve">6.5</w:t>
        </w:r>
      </w:hyperlink>
      <w:r>
        <w:t xml:space="preserve">) and tier analysis</w:t>
      </w:r>
      <w:r>
        <w:t xml:space="preserve"> </w:t>
      </w:r>
      <w:r>
        <w:t xml:space="preserve">(Figure </w:t>
      </w:r>
      <w:hyperlink w:anchor="fig:tier-winners">
        <w:r>
          <w:rPr>
            <w:rStyle w:val="Hyperlink"/>
          </w:rPr>
          <w:t xml:space="preserve">[fig:tier-winners]</w:t>
        </w:r>
      </w:hyperlink>
      <w:r>
        <w:t xml:space="preserve">) treat all contracts uniformly. Contract length</w:t>
      </w:r>
      <w:r>
        <w:t xml:space="preserve"> </w:t>
      </w:r>
      <w:r>
        <w:t xml:space="preserve">provides an orthogonal moderating variable: the context-window motivation for</w:t>
      </w:r>
      <w:r>
        <w:t xml:space="preserve"> </w:t>
      </w:r>
      <w:r>
        <w:t xml:space="preserve">multi-agent decomposition predicts that routing clauses to specialists should</w:t>
      </w:r>
      <w:r>
        <w:t xml:space="preserve"> </w:t>
      </w:r>
      <w:r>
        <w:t xml:space="preserve">help on</w:t>
      </w:r>
      <w:r>
        <w:t xml:space="preserve"> </w:t>
      </w:r>
      <w:r>
        <w:rPr>
          <w:i/>
        </w:rPr>
        <w:t xml:space="preserve">longer</w:t>
      </w:r>
      <w:r>
        <w:t xml:space="preserve"> </w:t>
      </w:r>
      <w:r>
        <w:t xml:space="preserve">contracts, where a monolithic prompt must attend over</w:t>
      </w:r>
      <w:r>
        <w:t xml:space="preserve"> </w:t>
      </w:r>
      <w:r>
        <w:t xml:space="preserve">more irrelevant text. We test this prediction by splitting all 102 CUAD test contracts into quartiles</w:t>
      </w:r>
      <w:r>
        <w:t xml:space="preserve"> </w:t>
      </w:r>
      <w:r>
        <w:t xml:space="preserve">by character count and computing per-configuration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within each quartile.</w:t>
      </w:r>
      <w:r>
        <w:t xml:space="preserve"> </w:t>
      </w:r>
      <w:r>
        <w:t xml:space="preserve">The main evaluation already uses all 102 contracts of the CUAD test split, so the</w:t>
      </w:r>
      <w:r>
        <w:t xml:space="preserve"> </w:t>
      </w:r>
      <w:r>
        <w:t xml:space="preserve">quartile analysis here is a length-stratified view of the headline results in</w:t>
      </w:r>
      <w:r>
        <w:t xml:space="preserve"> </w:t>
      </w:r>
      <w:r>
        <w:t xml:space="preserve">Sections </w:t>
      </w:r>
      <w:hyperlink w:anchor="sec:res:h1">
        <w:r>
          <w:rPr>
            <w:rStyle w:val="Hyperlink"/>
          </w:rPr>
          <w:t xml:space="preserve">6.2</w:t>
        </w:r>
      </w:hyperlink>
      <w:r>
        <w:t xml:space="preserve">–</w:t>
      </w:r>
      <w:hyperlink w:anchor="sec:res:cascade">
        <w:r>
          <w:rPr>
            <w:rStyle w:val="Hyperlink"/>
          </w:rPr>
          <w:t xml:space="preserve">6.5</w:t>
        </w:r>
      </w:hyperlink>
      <w:r>
        <w:t xml:space="preserve"> </w:t>
      </w:r>
      <w:r>
        <w:t xml:space="preserve">rather than a separate evaluation</w:t>
      </w:r>
      <w:r>
        <w:t xml:space="preserve"> </w:t>
      </w:r>
      <w:r>
        <w:t xml:space="preserve">envelope.</w:t>
      </w:r>
    </w:p>
    <w:bookmarkStart w:id="144" w:name="tab:length-quartile"/>
    <w:p>
      <w:pPr>
        <w:pStyle w:val="TableCaption"/>
      </w:pPr>
      <w:r>
        <w:t xml:space="preserve">Mean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 contract-length quartile (102 contracts,</w:t>
      </w:r>
      <w:r>
        <w:t xml:space="preserve"> </w:t>
      </w:r>
      <m:oMath>
        <m:r>
          <m:t>≈</m:t>
        </m:r>
        <m:r>
          <m:t>26</m:t>
        </m:r>
      </m:oMath>
      <w:r>
        <w:t xml:space="preserve"> </w:t>
      </w:r>
      <w:r>
        <w:t xml:space="preserve">per quartile), pooled across all eleven models. Quartile boundaries:</w:t>
      </w:r>
      <w:r>
        <w:t xml:space="preserve"> </w:t>
      </w:r>
      <w:r>
        <w:t xml:space="preserve">14</w:t>
      </w:r>
      <w:r>
        <w:t xml:space="preserve">,</w:t>
      </w:r>
      <w:r>
        <w:t xml:space="preserve">384 / 25</w:t>
      </w:r>
      <w:r>
        <w:t xml:space="preserve">,</w:t>
      </w:r>
      <w:r>
        <w:t xml:space="preserve">922 / 62</w:t>
      </w:r>
      <w:r>
        <w:t xml:space="preserve">,</w:t>
      </w:r>
      <w:r>
        <w:t xml:space="preserve">272 characters. Multi-agent configurations</w:t>
      </w:r>
      <w:r>
        <w:t xml:space="preserve"> </w:t>
      </w:r>
      <w:r>
        <w:t xml:space="preserve">(M0, M1) outperform B0 on short contracts (Q1–Q2) by</w:t>
      </w:r>
      <w:r>
        <w:t xml:space="preserve"> </w:t>
      </w:r>
      <m:oMath>
        <m:r>
          <m:t>+</m:t>
        </m:r>
        <m:r>
          <m:t>1.7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+</m:t>
        </m:r>
        <m:r>
          <m:t>3.7</m:t>
        </m:r>
      </m:oMath>
      <w:r>
        <w:t xml:space="preserve"> </w:t>
      </w:r>
      <w:r>
        <w:t xml:space="preserve">percentage points and underperform on long contracts (Q3–Q4) by</w:t>
      </w:r>
      <w:r>
        <w:t xml:space="preserve"> </w:t>
      </w:r>
      <m:oMath>
        <m:r>
          <m:t>−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−</m:t>
        </m:r>
        <m:r>
          <m:t>4.1</m:t>
        </m:r>
      </m:oMath>
      <w:r>
        <w:t xml:space="preserve"> </w:t>
      </w:r>
      <w:r>
        <w:t xml:space="preserve">percentage points. The pattern is opposite to the context-window</w:t>
      </w:r>
      <w:r>
        <w:t xml:space="preserve"> </w:t>
      </w:r>
      <w:r>
        <w:t xml:space="preserve">motivation.</w:t>
      </w:r>
    </w:p>
    <w:tbl>
      <w:tblPr>
        <w:tblStyle w:val="Table"/>
        <w:tblW w:type="pct" w:w="0.0"/>
        <w:tblLook w:firstRow="1"/>
        <w:tblCaption w:val="Mean F_2 by contract-length quartile (102 contracts, {\approx}26 per quartile), pooled across all eleven models. Quartile boundaries: 14,384 / 25,922 / 62,272 characters. Multi-agent configurations (M0, M1) outperform B0 on short contracts (Q1–Q2) by +1.7 to +3.7 percentage points and underperform on long contracts (Q3–Q4) by -0.5 to -4.1 percentage points. The pattern is opposite to the context-window motiva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Quartile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Range (chars)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B0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B1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M0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M1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Best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Q1 (shortest)</w:t>
            </w:r>
          </w:p>
        </w:tc>
        <w:tc>
          <w:p>
            <w:pPr>
              <w:pStyle w:val="Compact"/>
              <w:jc w:val="center"/>
            </w:pPr>
            <w:r>
              <w:t xml:space="preserve">0–14</w:t>
            </w:r>
            <w:r>
              <w:t xml:space="preserve">,</w:t>
            </w:r>
            <w:r>
              <w:t xml:space="preserve">384</w:t>
            </w:r>
          </w:p>
        </w:tc>
        <w:tc>
          <w:p>
            <w:pPr>
              <w:pStyle w:val="Compact"/>
              <w:jc w:val="center"/>
            </w:pPr>
            <w:r>
              <w:t xml:space="preserve">0.756</w:t>
            </w:r>
          </w:p>
        </w:tc>
        <w:tc>
          <w:p>
            <w:pPr>
              <w:pStyle w:val="Compact"/>
              <w:jc w:val="center"/>
            </w:pPr>
            <w:r>
              <w:t xml:space="preserve">0.767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0.776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0.793</w:t>
            </w:r>
          </w:p>
        </w:tc>
        <w:tc>
          <w:p>
            <w:pPr>
              <w:pStyle w:val="Compact"/>
              <w:jc w:val="center"/>
            </w:pPr>
            <w:r>
              <w:t xml:space="preserve">M1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p>
            <w:pPr>
              <w:pStyle w:val="Compact"/>
              <w:jc w:val="center"/>
            </w:pPr>
            <w:r>
              <w:t xml:space="preserve">14</w:t>
            </w:r>
            <w:r>
              <w:t xml:space="preserve">,</w:t>
            </w:r>
            <w:r>
              <w:t xml:space="preserve">385–25</w:t>
            </w:r>
            <w:r>
              <w:t xml:space="preserve">,</w:t>
            </w:r>
            <w:r>
              <w:t xml:space="preserve">922</w:t>
            </w:r>
          </w:p>
        </w:tc>
        <w:tc>
          <w:p>
            <w:pPr>
              <w:pStyle w:val="Compact"/>
              <w:jc w:val="center"/>
            </w:pPr>
            <w:r>
              <w:t xml:space="preserve">0.791</w:t>
            </w:r>
          </w:p>
        </w:tc>
        <w:tc>
          <w:p>
            <w:pPr>
              <w:pStyle w:val="Compact"/>
              <w:jc w:val="center"/>
            </w:pPr>
            <w:r>
              <w:t xml:space="preserve">0.803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0.808</w:t>
            </w:r>
          </w:p>
        </w:tc>
        <w:tc>
          <w:p>
            <w:pPr>
              <w:pStyle w:val="Compact"/>
              <w:jc w:val="center"/>
            </w:pPr>
            <w:r>
              <w:t xml:space="preserve">0.800</w:t>
            </w:r>
          </w:p>
        </w:tc>
        <w:tc>
          <w:p>
            <w:pPr>
              <w:pStyle w:val="Compact"/>
              <w:jc w:val="center"/>
            </w:pPr>
            <w:r>
              <w:t xml:space="preserve">M0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p>
            <w:pPr>
              <w:pStyle w:val="Compact"/>
              <w:jc w:val="center"/>
            </w:pPr>
            <w:r>
              <w:t xml:space="preserve">25</w:t>
            </w:r>
            <w:r>
              <w:t xml:space="preserve">,</w:t>
            </w:r>
            <w:r>
              <w:t xml:space="preserve">923–62</w:t>
            </w:r>
            <w:r>
              <w:t xml:space="preserve">,</w:t>
            </w:r>
            <w:r>
              <w:t xml:space="preserve">272</w:t>
            </w:r>
          </w:p>
        </w:tc>
        <w:tc>
          <w:p>
            <w:pPr>
              <w:pStyle w:val="Compact"/>
              <w:jc w:val="center"/>
            </w:pPr>
            <w:r>
              <w:t xml:space="preserve">0.806</w:t>
            </w:r>
          </w:p>
        </w:tc>
        <w:tc>
          <w:p>
            <w:pPr>
              <w:pStyle w:val="Compact"/>
              <w:jc w:val="center"/>
            </w:pPr>
            <w:r>
              <w:t xml:space="preserve">0.793</w:t>
            </w:r>
          </w:p>
        </w:tc>
        <w:tc>
          <w:p>
            <w:pPr>
              <w:pStyle w:val="Compact"/>
              <w:jc w:val="center"/>
            </w:pPr>
            <w:r>
              <w:t xml:space="preserve">0.801</w:t>
            </w:r>
          </w:p>
        </w:tc>
        <w:tc>
          <w:p>
            <w:pPr>
              <w:pStyle w:val="Compact"/>
              <w:jc w:val="center"/>
            </w:pPr>
            <w:r>
              <w:t xml:space="preserve">0.799</w:t>
            </w:r>
          </w:p>
        </w:tc>
        <w:tc>
          <w:p>
            <w:pPr>
              <w:pStyle w:val="Compact"/>
              <w:jc w:val="center"/>
            </w:pPr>
            <w:r>
              <w:t xml:space="preserve">B0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Q4 (longest)</w:t>
            </w:r>
          </w:p>
        </w:tc>
        <w:tc>
          <w:p>
            <w:pPr>
              <w:pStyle w:val="Compact"/>
              <w:jc w:val="center"/>
            </w:pPr>
            <m:oMath>
              <m:r>
                <m:t>&gt;</m:t>
              </m:r>
              <m:r>
                <m:t>62</m:t>
              </m:r>
              <m:r>
                <m:t>,</m:t>
              </m:r>
              <m:r>
                <m:t>272</m:t>
              </m:r>
            </m:oMath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0.849</w:t>
            </w:r>
          </w:p>
        </w:tc>
        <w:tc>
          <w:p>
            <w:pPr>
              <w:pStyle w:val="Compact"/>
              <w:jc w:val="center"/>
            </w:pPr>
            <w:r>
              <w:t xml:space="preserve">0.819</w:t>
            </w:r>
          </w:p>
        </w:tc>
        <w:tc>
          <w:p>
            <w:pPr>
              <w:pStyle w:val="Compact"/>
              <w:jc w:val="center"/>
            </w:pPr>
            <w:r>
              <w:t xml:space="preserve">0.817</w:t>
            </w:r>
          </w:p>
        </w:tc>
        <w:tc>
          <w:p>
            <w:pPr>
              <w:pStyle w:val="Compact"/>
              <w:jc w:val="center"/>
            </w:pPr>
            <w:r>
              <w:t xml:space="preserve">0.808</w:t>
            </w:r>
          </w:p>
        </w:tc>
        <w:tc>
          <w:p>
            <w:pPr>
              <w:pStyle w:val="Compact"/>
              <w:jc w:val="center"/>
            </w:pPr>
            <w:r>
              <w:t xml:space="preserve">B0</w:t>
            </w:r>
          </w:p>
        </w:tc>
      </w:tr>
    </w:tbl>
    <w:bookmarkEnd w:id="144"/>
    <w:p>
      <w:pPr>
        <w:pStyle w:val="BodyText"/>
      </w:pPr>
      <w:r>
        <w:t xml:space="preserve">Table </w:t>
      </w:r>
      <w:hyperlink w:anchor="tab:length-quartile">
        <w:r>
          <w:rPr>
            <w:rStyle w:val="Hyperlink"/>
          </w:rPr>
          <w:t xml:space="preserve">6.11</w:t>
        </w:r>
      </w:hyperlink>
      <w:r>
        <w:t xml:space="preserve"> </w:t>
      </w:r>
      <w:r>
        <w:t xml:space="preserve">shows the opposite of the predicted pattern.</w:t>
      </w:r>
      <w:r>
        <w:t xml:space="preserve"> </w:t>
      </w:r>
      <w:r>
        <w:t xml:space="preserve">On Q1 contracts (under 14</w:t>
      </w:r>
      <w:r>
        <w:t xml:space="preserve">,</w:t>
      </w:r>
      <w:r>
        <w:t xml:space="preserve">384 characters), M1 leads by</w:t>
      </w:r>
      <w:r>
        <w:t xml:space="preserve"> </w:t>
      </w:r>
      <m:oMath>
        <m:r>
          <m:t>+</m:t>
        </m:r>
        <m:r>
          <m:t>3.7</m:t>
        </m:r>
      </m:oMath>
      <w:r>
        <w:t xml:space="preserve"> </w:t>
      </w:r>
      <w:r>
        <w:t xml:space="preserve">percentage</w:t>
      </w:r>
      <w:r>
        <w:t xml:space="preserve"> </w:t>
      </w:r>
      <w:r>
        <w:t xml:space="preserve">points over B0 and M0 by</w:t>
      </w:r>
      <w:r>
        <w:t xml:space="preserve"> </w:t>
      </w:r>
      <m:oMath>
        <m:r>
          <m:t>+</m:t>
        </m:r>
        <m:r>
          <m:t>2.0</m:t>
        </m:r>
      </m:oMath>
      <w:r>
        <w:t xml:space="preserve"> </w:t>
      </w:r>
      <w:r>
        <w:t xml:space="preserve">points. On Q4 contracts (over 62</w:t>
      </w:r>
      <w:r>
        <w:t xml:space="preserve">,</w:t>
      </w:r>
      <w:r>
        <w:t xml:space="preserve">272</w:t>
      </w:r>
      <w:r>
        <w:t xml:space="preserve"> </w:t>
      </w:r>
      <w:r>
        <w:t xml:space="preserve">characters), B0 leads by</w:t>
      </w:r>
      <w:r>
        <w:t xml:space="preserve"> </w:t>
      </w:r>
      <m:oMath>
        <m:r>
          <m:t>+</m:t>
        </m:r>
        <m:r>
          <m:t>3.2</m:t>
        </m:r>
      </m:oMath>
      <w:r>
        <w:t xml:space="preserve"> </w:t>
      </w:r>
      <w:r>
        <w:t xml:space="preserve">points over M0 and</w:t>
      </w:r>
      <w:r>
        <w:t xml:space="preserve"> </w:t>
      </w:r>
      <m:oMath>
        <m:r>
          <m:t>+</m:t>
        </m:r>
        <m:r>
          <m:t>4.1</m:t>
        </m:r>
      </m:oMath>
      <w:r>
        <w:t xml:space="preserve"> </w:t>
      </w:r>
      <w:r>
        <w:t xml:space="preserve">over M1. The</w:t>
      </w:r>
      <w:r>
        <w:t xml:space="preserve"> </w:t>
      </w:r>
      <w:r>
        <w:t xml:space="preserve">crossing point lies between Q2 and Q3 (</w:t>
      </w:r>
      <m:oMath>
        <m:r>
          <m:t>≈</m:t>
        </m:r>
        <m:r>
          <m:t>25</m:t>
        </m:r>
        <m:r>
          <m:t>,</m:t>
        </m:r>
        <m:r>
          <m:t>900</m:t>
        </m:r>
      </m:oMath>
      <w:r>
        <w:t xml:space="preserve"> </w:t>
      </w:r>
      <w:r>
        <w:t xml:space="preserve">characters). The</w:t>
      </w:r>
      <w:r>
        <w:t xml:space="preserve"> </w:t>
      </w:r>
      <w:r>
        <w:t xml:space="preserve">mechanism is plausibly gate-induced: on long contracts the M0 classifier is</w:t>
      </w:r>
      <w:r>
        <w:t xml:space="preserve"> </w:t>
      </w:r>
      <w:r>
        <w:t xml:space="preserve">exposed to larger token windows, increasing the probability of conservative</w:t>
      </w:r>
      <w:r>
        <w:t xml:space="preserve"> </w:t>
      </w:r>
      <w:r>
        <w:rPr>
          <w:rStyle w:val="VerbatimChar"/>
        </w:rPr>
        <w:t xml:space="preserve">predicted_no_clause</w:t>
      </w:r>
      <w:r>
        <w:t xml:space="preserve"> </w:t>
      </w:r>
      <w:r>
        <w:t xml:space="preserve">decisions that trigger the cascade documented</w:t>
      </w:r>
      <w:r>
        <w:t xml:space="preserve"> </w:t>
      </w:r>
      <w:r>
        <w:t xml:space="preserve">in Section </w:t>
      </w:r>
      <w:hyperlink w:anchor="sec:res:cascade">
        <w:r>
          <w:rPr>
            <w:rStyle w:val="Hyperlink"/>
          </w:rPr>
          <w:t xml:space="preserve">6.5</w:t>
        </w:r>
      </w:hyperlink>
      <w:r>
        <w:t xml:space="preserve">. For M1, long-contract degradation may</w:t>
      </w:r>
      <w:r>
        <w:t xml:space="preserve"> </w:t>
      </w:r>
      <w:r>
        <w:t xml:space="preserve">reflect specialist prompt dilution when many clause types from one domain</w:t>
      </w:r>
      <w:r>
        <w:t xml:space="preserve"> </w:t>
      </w:r>
      <w:r>
        <w:t xml:space="preserve">appear in a single long document. Multi-agent decomposition as implemented</w:t>
      </w:r>
      <w:r>
        <w:t xml:space="preserve"> </w:t>
      </w:r>
      <w:r>
        <w:t xml:space="preserve">offers no context-window advantage over a zero-shot prompt on CUAD-class</w:t>
      </w:r>
      <w:r>
        <w:t xml:space="preserve"> </w:t>
      </w:r>
      <w:r>
        <w:t xml:space="preserve">contract lengths.</w:t>
      </w:r>
    </w:p>
    <w:p>
      <w:pPr>
        <w:pStyle w:val="Heading2"/>
      </w:pPr>
      <w:bookmarkStart w:id="145" w:name="sec:res:rq-summary"/>
      <w:r>
        <w:t xml:space="preserve">Answers to Research Questions</w:t>
      </w:r>
      <w:bookmarkEnd w:id="145"/>
    </w:p>
    <w:p>
      <w:pPr>
        <w:pStyle w:val="FirstParagraph"/>
      </w:pPr>
      <w:r>
        <w:t xml:space="preserve">The full RQ answers are stated in Chapter </w:t>
      </w:r>
      <w:hyperlink w:anchor="chapter:conclusion">
        <w:r>
          <w:rPr>
            <w:rStyle w:val="Hyperlink"/>
          </w:rPr>
          <w:t xml:space="preserve">8</w:t>
        </w:r>
      </w:hyperlink>
      <w:r>
        <w:t xml:space="preserve">,</w:t>
      </w:r>
      <w:r>
        <w:t xml:space="preserve"> </w:t>
      </w:r>
      <w:r>
        <w:t xml:space="preserve">Section </w:t>
      </w:r>
      <w:hyperlink w:anchor="sec:concl:rqs">
        <w:r>
          <w:rPr>
            <w:rStyle w:val="Hyperlink"/>
          </w:rPr>
          <w:t xml:space="preserve">8.2</w:t>
        </w:r>
      </w:hyperlink>
      <w:r>
        <w:t xml:space="preserve">; this section gives the one-line summary that the</w:t>
      </w:r>
      <w:r>
        <w:t xml:space="preserve"> </w:t>
      </w:r>
      <w:r>
        <w:t xml:space="preserve">results justify.</w:t>
      </w:r>
    </w:p>
    <w:p>
      <w:pPr>
        <w:pStyle w:val="Heading5"/>
      </w:pPr>
      <w:bookmarkStart w:id="146" w:name="rq1."/>
      <w:r>
        <w:t xml:space="preserve">RQ1.</w:t>
      </w:r>
      <w:bookmarkEnd w:id="146"/>
    </w:p>
    <w:p>
      <w:pPr>
        <w:pStyle w:val="FirstParagraph"/>
      </w:pPr>
      <w:r>
        <w:t xml:space="preserve">No architecture wins universally 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(pooled spread</w:t>
      </w:r>
      <w:r>
        <w:t xml:space="preserve"> </w:t>
      </w:r>
      <m:oMath>
        <m:r>
          <m:t>0.011</m:t>
        </m:r>
      </m:oMath>
      <w:r>
        <w:t xml:space="preserve">); the model-family interaction is dominant (Anthropic peaks at B1,</w:t>
      </w:r>
      <w:r>
        <w:t xml:space="preserve"> </w:t>
      </w:r>
      <w:r>
        <w:t xml:space="preserve">Google at B0, OpenAI at M0), and the metric choice flips the ranking</w:t>
      </w:r>
      <w:r>
        <w:t xml:space="preserve"> </w:t>
      </w:r>
      <w:r>
        <w:t xml:space="preserve">(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: M0 leads pooled;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: B0 leads pooled).</w:t>
      </w:r>
    </w:p>
    <w:p>
      <w:pPr>
        <w:pStyle w:val="Heading5"/>
      </w:pPr>
      <w:bookmarkStart w:id="147" w:name="rq2."/>
      <w:r>
        <w:t xml:space="preserve">RQ2.</w:t>
      </w:r>
      <w:bookmarkEnd w:id="147"/>
    </w:p>
    <w:p>
      <w:pPr>
        <w:pStyle w:val="FirstParagraph"/>
      </w:pPr>
      <w:r>
        <w:t xml:space="preserve">Under per-call provider billing without prompt caching, B0</w:t>
      </w:r>
      <w:r>
        <w:t xml:space="preserve"> </w:t>
      </w:r>
      <w:r>
        <w:t xml:space="preserve">occupies the Pareto frontier at every cost level (Figure </w:t>
      </w:r>
      <w:hyperlink w:anchor="fig:pareto">
        <w:r>
          <w:rPr>
            <w:rStyle w:val="Hyperlink"/>
          </w:rPr>
          <w:t xml:space="preserve">[fig:pareto]</w:t>
        </w:r>
      </w:hyperlink>
      <w:r>
        <w:t xml:space="preserve">);</w:t>
      </w:r>
      <w:r>
        <w:t xml:space="preserve"> </w:t>
      </w:r>
      <w:r>
        <w:t xml:space="preserve">multi-agent cost premiums of</w:t>
      </w:r>
      <w:r>
        <w:t xml:space="preserve"> </w:t>
      </w:r>
      <m:oMath>
        <m:r>
          <m:t>1.23</m:t>
        </m:r>
      </m:oMath>
      <w:r>
        <w:t xml:space="preserve">–</w:t>
      </w:r>
      <m:oMath>
        <m:r>
          <m:t>1.67</m:t>
        </m:r>
        <m:r>
          <m:t>×</m:t>
        </m:r>
      </m:oMath>
      <w:r>
        <w:t xml:space="preserve"> </w:t>
      </w:r>
      <w:r>
        <w:t xml:space="preserve">do not pay back in pooled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. Under prompt-caching cost models, the premium shrinks toward the</w:t>
      </w:r>
      <w:r>
        <w:t xml:space="preserve"> </w:t>
      </w:r>
      <w:r>
        <w:t xml:space="preserve">orchestrator-hop overhead and the frontier may invert</w:t>
      </w:r>
      <w:r>
        <w:t xml:space="preserve"> </w:t>
      </w:r>
      <w:r>
        <w:t xml:space="preserve">(Section </w:t>
      </w:r>
      <w:hyperlink w:anchor="sec:concl:outlook">
        <w:r>
          <w:rPr>
            <w:rStyle w:val="Hyperlink"/>
          </w:rPr>
          <w:t xml:space="preserve">8.4</w:t>
        </w:r>
      </w:hyperlink>
      <w:r>
        <w:t xml:space="preserve">).</w:t>
      </w:r>
    </w:p>
    <w:p>
      <w:pPr>
        <w:pStyle w:val="Heading5"/>
      </w:pPr>
      <w:bookmarkStart w:id="148" w:name="rq3."/>
      <w:r>
        <w:t xml:space="preserve">RQ3.</w:t>
      </w:r>
      <w:bookmarkEnd w:id="148"/>
    </w:p>
    <w:p>
      <w:pPr>
        <w:pStyle w:val="FirstParagraph"/>
      </w:pPr>
      <w:r>
        <w:t xml:space="preserve">M0 and M1 produce the trace primitives B0 cannot</w:t>
      </w:r>
      <w:r>
        <w:t xml:space="preserve"> </w:t>
      </w:r>
      <w:r>
        <w:t xml:space="preserve">(Section </w:t>
      </w:r>
      <w:hyperlink w:anchor="sec:auditability">
        <w:r>
          <w:rPr>
            <w:rStyle w:val="Hyperlink"/>
          </w:rPr>
          <w:t xml:space="preserve">[sec:auditability]</w:t>
        </w:r>
      </w:hyperlink>
      <w:r>
        <w:t xml:space="preserve">, Table </w:t>
      </w:r>
      <w:hyperlink w:anchor="tab:grounding">
        <w:r>
          <w:rPr>
            <w:rStyle w:val="Hyperlink"/>
          </w:rPr>
          <w:t xml:space="preserve">6.9</w:t>
        </w:r>
      </w:hyperlink>
      <w:r>
        <w:t xml:space="preserve">); the</w:t>
      </w:r>
      <w:r>
        <w:t xml:space="preserve"> </w:t>
      </w:r>
      <m:oMath>
        <m:r>
          <m:t>4</m:t>
        </m:r>
        <m:r>
          <m:t>×</m:t>
        </m:r>
      </m:oMath>
      <w:r>
        <w:t xml:space="preserve"> </w:t>
      </w:r>
      <w:r>
        <w:t xml:space="preserve">token</w:t>
      </w:r>
      <w:r>
        <w:t xml:space="preserve"> </w:t>
      </w:r>
      <w:r>
        <w:t xml:space="preserve">volume, the routing redundancy (</w:t>
      </w:r>
      <m:oMath>
        <m:r>
          <m:t>99.91</m:t>
        </m:r>
        <m:r>
          <m:t>%</m:t>
        </m:r>
      </m:oMath>
      <w:r>
        <w:t xml:space="preserve"> </w:t>
      </w:r>
      <w:r>
        <w:t xml:space="preserve">deterministic), and the bounded</w:t>
      </w:r>
      <w:r>
        <w:t xml:space="preserve"> </w:t>
      </w:r>
      <w:r>
        <w:t xml:space="preserve">attribution faithfulness are the costs.</w:t>
      </w:r>
    </w:p>
    <w:p>
      <w:pPr>
        <w:pStyle w:val="Heading1"/>
      </w:pPr>
      <w:bookmarkStart w:id="149" w:name="chapter:discussion"/>
      <w:r>
        <w:t xml:space="preserve">Discussion</w:t>
      </w:r>
      <w:bookmarkEnd w:id="149"/>
    </w:p>
    <w:p>
      <w:pPr>
        <w:pStyle w:val="FirstParagraph"/>
      </w:pPr>
      <w:r>
        <w:t xml:space="preserve">No multi-agent configuration improves on the strongest single-agent baseline by more</w:t>
      </w:r>
      <w:r>
        <w:t xml:space="preserve"> </w:t>
      </w:r>
      <w:r>
        <w:t xml:space="preserve">than</w:t>
      </w:r>
      <w:r>
        <w:t xml:space="preserve"> </w:t>
      </w:r>
      <m:oMath>
        <m:r>
          <m:t>0.011</m:t>
        </m:r>
      </m:oMath>
      <w:r>
        <w:t xml:space="preserve"> </w:t>
      </w:r>
      <w:r>
        <w:t xml:space="preserve">pooled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points across eleven models.</w:t>
      </w:r>
    </w:p>
    <w:p>
      <w:pPr>
        <w:pStyle w:val="Heading2"/>
      </w:pPr>
      <w:bookmarkStart w:id="150" w:name="sec:disc:headline"/>
      <w:r>
        <w:t xml:space="preserve">The Headline Finding and Its Conditions</w:t>
      </w:r>
      <w:bookmarkEnd w:id="150"/>
    </w:p>
    <w:p>
      <w:pPr>
        <w:pStyle w:val="FirstParagraph"/>
      </w:pPr>
      <w:r>
        <w:t xml:space="preserve">On the 102-contract CUAD test split under the upsampled-positive class</w:t>
      </w:r>
      <w:r>
        <w:t xml:space="preserve"> </w:t>
      </w:r>
      <w:r>
        <w:t xml:space="preserve">distribution described in Section </w:t>
      </w:r>
      <w:hyperlink w:anchor="sec:meth:sampling">
        <w:r>
          <w:rPr>
            <w:rStyle w:val="Hyperlink"/>
          </w:rPr>
          <w:t xml:space="preserve">4.2.0.0.1</w:t>
        </w:r>
      </w:hyperlink>
      <w:r>
        <w:t xml:space="preserve">, no multi-agent configuration</w:t>
      </w:r>
      <w:r>
        <w:t xml:space="preserve"> </w:t>
      </w:r>
      <w:r>
        <w:t xml:space="preserve">improves on the strongest single-agent baseline by more than</w:t>
      </w:r>
      <w:r>
        <w:t xml:space="preserve"> </w:t>
      </w:r>
      <m:oMath>
        <m:r>
          <m:t>0.011</m:t>
        </m:r>
      </m:oMath>
      <w:r>
        <w:t xml:space="preserve"> </w:t>
      </w:r>
      <w:r>
        <w:t xml:space="preserve">points of</w:t>
      </w:r>
      <w:r>
        <w:t xml:space="preserve"> </w:t>
      </w:r>
      <w:r>
        <w:t xml:space="preserve">mean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pooled across the eleven-model panel.</w:t>
      </w:r>
      <w:r>
        <w:t xml:space="preserve"> </w:t>
      </w:r>
      <w:r>
        <w:t xml:space="preserve">Under the pre-registered decision rule of Section </w:t>
      </w:r>
      <w:hyperlink w:anchor="sec:meth:hypotheses">
        <w:r>
          <w:rPr>
            <w:rStyle w:val="Hyperlink"/>
          </w:rPr>
          <w:t xml:space="preserve">4.5</w:t>
        </w:r>
      </w:hyperlink>
      <w:r>
        <w:t xml:space="preserve">,</w:t>
      </w:r>
      <w:r>
        <w:t xml:space="preserve"> </w:t>
      </w:r>
      <w:r>
        <w:t xml:space="preserve">H1 is rejected in its universal form: no multi-agent configuration achieves</w:t>
      </w:r>
      <w:r>
        <w:t xml:space="preserve"> </w:t>
      </w:r>
      <w:r>
        <w:t xml:space="preserve">consistent superiority across the eleven-model panel, and eleven of the 22</w:t>
      </w:r>
      <w:r>
        <w:t xml:space="preserve"> </w:t>
      </w:r>
      <w:r>
        <w:t xml:space="preserve">per-model contrasts are negative or zero. Conditional improvement exists for</w:t>
      </w:r>
      <w:r>
        <w:t xml:space="preserve"> </w:t>
      </w:r>
      <w:r>
        <w:t xml:space="preserve">individual (model, configuration) cells ( (M0) on the OpenAI family</w:t>
      </w:r>
      <w:r>
        <w:t xml:space="preserve"> </w:t>
      </w:r>
      <w:r>
        <w:t xml:space="preserve">and lighter Anthropic models), but the pooled signal is dominated by the</w:t>
      </w:r>
      <w:r>
        <w:t xml:space="preserve"> </w:t>
      </w:r>
      <w:r>
        <w:t xml:space="preserve">model-family interaction. H2 is rejected: both pipeline decomposition</w:t>
      </w:r>
      <w:r>
        <w:t xml:space="preserve"> </w:t>
      </w:r>
      <w:r>
        <w:t xml:space="preserve">(, M0) and specialist routing (, M1) widen the rare–common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gap relative to  (B0). H3 is supported per model —  (M1) and</w:t>
      </w:r>
      <w:r>
        <w:t xml:space="preserve"> </w:t>
      </w:r>
      <w:r>
        <w:t xml:space="preserve"> (M2) are statistically distinguishable on every model after BH</w:t>
      </w:r>
      <w:r>
        <w:t xml:space="preserve"> </w:t>
      </w:r>
      <w:r>
        <w:t xml:space="preserve">correction — but the direction is inconsistent across the panel and the</w:t>
      </w:r>
      <w:r>
        <w:t xml:space="preserve"> </w:t>
      </w:r>
      <w:r>
        <w:t xml:space="preserve">pooled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difference is zero to three decimals.</w:t>
      </w:r>
    </w:p>
    <w:p>
      <w:pPr>
        <w:pStyle w:val="BodyText"/>
      </w:pPr>
      <w:r>
        <w:t xml:space="preserve">The single most informative pattern is the model-family interaction.</w:t>
      </w:r>
      <w:r>
        <w:t xml:space="preserve"> </w:t>
      </w:r>
      <w:r>
        <w:t xml:space="preserve">The Anthropic family achieves its peak under  (B1,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</m:e>
        </m:bar>
        <m:r>
          <m:t>=</m:t>
        </m:r>
        <m:r>
          <m:t>0.851</m:t>
        </m:r>
      </m:oMath>
      <w:r>
        <w:t xml:space="preserve">); the Google family under  (B0,</w:t>
      </w:r>
      <w:r>
        <w:t xml:space="preserve"> </w:t>
      </w:r>
      <m:oMath>
        <m:r>
          <m:t>0.826</m:t>
        </m:r>
      </m:oMath>
      <w:r>
        <w:t xml:space="preserve">); the OpenAI family under  (M0,</w:t>
      </w:r>
      <w:r>
        <w:t xml:space="preserve"> </w:t>
      </w:r>
      <m:oMath>
        <m:r>
          <m:t>0.783</m:t>
        </m:r>
      </m:oMath>
      <w:r>
        <w:t xml:space="preserve">). The capability-tier gradient in</w:t>
      </w:r>
      <w:r>
        <w:t xml:space="preserve"> </w:t>
      </w:r>
      <w:r>
        <w:t xml:space="preserve">Figure </w:t>
      </w:r>
      <w:hyperlink w:anchor="fig:tier-heatmap">
        <w:r>
          <w:rPr>
            <w:rStyle w:val="Hyperlink"/>
          </w:rPr>
          <w:t xml:space="preserve">[fig:tier-heatmap]</w:t>
        </w:r>
      </w:hyperlink>
      <w:r>
        <w:t xml:space="preserve"> </w:t>
      </w:r>
      <w:r>
        <w:t xml:space="preserve">is consistent with this: light- and mid-tier</w:t>
      </w:r>
      <w:r>
        <w:t xml:space="preserve"> </w:t>
      </w:r>
      <w:r>
        <w:t xml:space="preserve">models gain from M0’s calibration, while heavy-tier models are better served</w:t>
      </w:r>
      <w:r>
        <w:t xml:space="preserve"> </w:t>
      </w:r>
      <w:r>
        <w:t xml:space="preserve">by B0, with the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capability gap between Heavy and Light tiers narrowing</w:t>
      </w:r>
      <w:r>
        <w:t xml:space="preserve"> </w:t>
      </w:r>
      <w:r>
        <w:t xml:space="preserve">from</w:t>
      </w:r>
      <w:r>
        <w:t xml:space="preserve"> </w:t>
      </w:r>
      <m:oMath>
        <m:r>
          <m:t>0.106</m:t>
        </m:r>
      </m:oMath>
      <w:r>
        <w:t xml:space="preserve"> </w:t>
      </w:r>
      <w:r>
        <w:t xml:space="preserve">under B0 to</w:t>
      </w:r>
      <w:r>
        <w:t xml:space="preserve"> </w:t>
      </w:r>
      <m:oMath>
        <m:r>
          <m:t>0.054</m:t>
        </m:r>
      </m:oMath>
      <w:r>
        <w:t xml:space="preserve"> </w:t>
      </w:r>
      <w:r>
        <w:t xml:space="preserve">under M0 — a</w:t>
      </w:r>
      <w:r>
        <w:t xml:space="preserve"> </w:t>
      </w:r>
      <m:oMath>
        <m:r>
          <m:t>49</m:t>
        </m:r>
        <m:r>
          <m:t>%</m:t>
        </m:r>
      </m:oMath>
      <w:r>
        <w:t xml:space="preserve"> </w:t>
      </w:r>
      <w:r>
        <w:t xml:space="preserve">reduction. Decomposition acts partly as a capability-equalising effect, but at a cost</w:t>
      </w:r>
      <w:r>
        <w:t xml:space="preserve"> </w:t>
      </w:r>
      <w:r>
        <w:t xml:space="preserve">(Section </w:t>
      </w:r>
      <w:hyperlink w:anchor="sec:disc:cascade">
        <w:r>
          <w:rPr>
            <w:rStyle w:val="Hyperlink"/>
          </w:rPr>
          <w:t xml:space="preserve">7.2</w:t>
        </w:r>
      </w:hyperlink>
      <w:r>
        <w:t xml:space="preserve">) that is not recovered for heavy models</w:t>
      </w:r>
      <w:r>
        <w:t xml:space="preserve"> </w:t>
      </w:r>
      <w:r>
        <w:t xml:space="preserve">that already absorb long-context load in a single call. Prior work has observed</w:t>
      </w:r>
      <w:r>
        <w:t xml:space="preserve"> </w:t>
      </w:r>
      <w:r>
        <w:t xml:space="preserve">that a well-prompted single agent matches multi-agent decomposition under</w:t>
      </w:r>
      <w:r>
        <w:t xml:space="preserve"> </w:t>
      </w:r>
      <w:r>
        <w:t xml:space="preserve">stronger base models [gao2025single]; the present data reproduce this:</w:t>
      </w:r>
      <w:r>
        <w:t xml:space="preserve"> </w:t>
      </w:r>
      <w:r>
        <w:t xml:space="preserve">the Anthropic Opus tier achieves its best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under B1, not under any</w:t>
      </w:r>
      <w:r>
        <w:t xml:space="preserve"> </w:t>
      </w:r>
      <w:r>
        <w:t xml:space="preserve">decomposed architecture.</w:t>
      </w:r>
    </w:p>
    <w:p>
      <w:pPr>
        <w:pStyle w:val="BodyText"/>
      </w:pPr>
      <w:r>
        <w:t xml:space="preserve">The implication for the open empirical question of when multi-agent</w:t>
      </w:r>
      <w:r>
        <w:t xml:space="preserve"> </w:t>
      </w:r>
      <w:r>
        <w:t xml:space="preserve">decomposition is justified is that, on this benchmark, the conditions are</w:t>
      </w:r>
      <w:r>
        <w:t xml:space="preserve"> </w:t>
      </w:r>
      <w:r>
        <w:t xml:space="preserve">narrower than the literature on agentic legal AI implies. A practitioner</w:t>
      </w:r>
      <w:r>
        <w:t xml:space="preserve"> </w:t>
      </w:r>
      <w:r>
        <w:t xml:space="preserve">asking whether decomposition helps a CUAD-class extraction task must answer</w:t>
      </w:r>
      <w:r>
        <w:t xml:space="preserve"> </w:t>
      </w:r>
      <w:r>
        <w:t xml:space="preserve">two prior questions: which model family, and which capability tier. On the</w:t>
      </w:r>
      <w:r>
        <w:t xml:space="preserve"> </w:t>
      </w:r>
      <w:r>
        <w:t xml:space="preserve">eleven models tested, only the OpenAI family receives a meaningful</w:t>
      </w:r>
      <w:r>
        <w:t xml:space="preserve"> </w:t>
      </w:r>
      <w:r>
        <w:t xml:space="preserve">multi-agent benefit at the pooled level. That benefit is in turn dominated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/$ by a B0 deployment on a cheaper Google Flash model.</w:t>
      </w:r>
    </w:p>
    <w:p>
      <w:pPr>
        <w:pStyle w:val="Heading2"/>
      </w:pPr>
      <w:bookmarkStart w:id="151" w:name="sec:disc:cascade"/>
      <w:r>
        <w:t xml:space="preserve">The Cascade as a Recall–Precision Exchange</w:t>
      </w:r>
      <w:bookmarkEnd w:id="151"/>
    </w:p>
    <w:p>
      <w:pPr>
        <w:pStyle w:val="FirstParagraph"/>
      </w:pPr>
      <w:r>
        <w:t xml:space="preserve">Section </w:t>
      </w:r>
      <w:hyperlink w:anchor="sec:res:cascade">
        <w:r>
          <w:rPr>
            <w:rStyle w:val="Hyperlink"/>
          </w:rPr>
          <w:t xml:space="preserve">6.5</w:t>
        </w:r>
      </w:hyperlink>
      <w:r>
        <w:t xml:space="preserve"> </w:t>
      </w:r>
      <w:r>
        <w:t xml:space="preserve">identifies the classification-gate cascade as</w:t>
      </w:r>
      <w:r>
        <w:t xml:space="preserve"> </w:t>
      </w:r>
      <w:r>
        <w:t xml:space="preserve">the dominant failure mode of  (M0) on the Google family:</w:t>
      </w:r>
      <w:r>
        <w:t xml:space="preserve"> </w:t>
      </w:r>
      <m:oMath>
        <m:r>
          <m:t>97.8</m:t>
        </m:r>
      </m:oMath>
      <w:r>
        <w:t xml:space="preserve">–</w:t>
      </w:r>
      <m:oMath>
        <m:r>
          <m:t>97.9</m:t>
        </m:r>
        <m:r>
          <m:t>%</m:t>
        </m:r>
      </m:oMath>
      <w:r>
        <w:t xml:space="preserve"> </w:t>
      </w:r>
      <w:r>
        <w:t xml:space="preserve">of M0 false negatives on Gemini 2.5 Flash and Pro originate</w:t>
      </w:r>
      <w:r>
        <w:t xml:space="preserve"> </w:t>
      </w:r>
      <w:r>
        <w:t xml:space="preserve">at the gate rather than at the extractor. The discussion here defends the</w:t>
      </w:r>
      <w:r>
        <w:t xml:space="preserve"> </w:t>
      </w:r>
      <w:r>
        <w:t xml:space="preserve">framing of this as a recall–precision exchange rather than as pure regression.</w:t>
      </w:r>
    </w:p>
    <w:p>
      <w:pPr>
        <w:pStyle w:val="BodyText"/>
      </w:pPr>
      <w:r>
        <w:t xml:space="preserve">The classifier reduces over-extraction substantially: mean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drops</w:t>
      </w:r>
      <w:r>
        <w:t xml:space="preserve"> </w:t>
      </w:r>
      <w:r>
        <w:t xml:space="preserve">from</w:t>
      </w:r>
      <w:r>
        <w:t xml:space="preserve"> </w:t>
      </w:r>
      <m:oMath>
        <m:r>
          <m:t>0.320</m:t>
        </m:r>
      </m:oMath>
      <w:r>
        <w:t xml:space="preserve"> </w:t>
      </w:r>
      <w:r>
        <w:t xml:space="preserve">under  (B0) to</w:t>
      </w:r>
      <w:r>
        <w:t xml:space="preserve"> </w:t>
      </w:r>
      <m:oMath>
        <m:r>
          <m:t>0.130</m:t>
        </m:r>
      </m:oMath>
      <w:r>
        <w:t xml:space="preserve"> </w:t>
      </w:r>
      <w:r>
        <w:t xml:space="preserve">under  (M0), a</w:t>
      </w:r>
      <w:r>
        <w:t xml:space="preserve"> </w:t>
      </w:r>
      <m:oMath>
        <m:r>
          <m:t>59</m:t>
        </m:r>
        <m:r>
          <m:t>%</m:t>
        </m:r>
      </m:oMath>
      <w:r>
        <w:t xml:space="preserve"> </w:t>
      </w:r>
      <w:r>
        <w:t xml:space="preserve">reduction (Table </w:t>
      </w:r>
      <w:hyperlink w:anchor="tab:omega">
        <w:r>
          <w:rPr>
            <w:rStyle w:val="Hyperlink"/>
          </w:rPr>
          <w:t xml:space="preserve">6.8</w:t>
        </w:r>
      </w:hyperlink>
      <w:r>
        <w:t xml:space="preserve">). Under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 which weights precision and</w:t>
      </w:r>
      <w:r>
        <w:t xml:space="preserve"> </w:t>
      </w:r>
      <w:r>
        <w:t xml:space="preserve">recall equally, the gate’s gain is sufficient to push M0 to the highest pooled</w:t>
      </w:r>
      <w:r>
        <w:t xml:space="preserve"> </w:t>
      </w:r>
      <w:r>
        <w:t xml:space="preserve">score (</w:t>
      </w:r>
      <m:oMath>
        <m:bar>
          <m:barPr>
            <m:pos m:val="top"/>
          </m:bar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bar>
        <m:r>
          <m:t>=</m:t>
        </m:r>
        <m:r>
          <m:t>0.798</m:t>
        </m:r>
      </m:oMath>
      <w:r>
        <w:t xml:space="preserve"> </w:t>
      </w:r>
      <w:r>
        <w:t xml:space="preserve">vs. B0’s</w:t>
      </w:r>
      <w:r>
        <w:t xml:space="preserve"> </w:t>
      </w:r>
      <m:oMath>
        <m:r>
          <m:t>0.737</m:t>
        </m:r>
      </m:oMath>
      <w:r>
        <w:t xml:space="preserve">). Under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the gain</w:t>
      </w:r>
      <w:r>
        <w:t xml:space="preserve"> </w:t>
      </w:r>
      <w:r>
        <w:t xml:space="preserve">is insufficient to compensate the recall loss. The cascade reflects an</w:t>
      </w:r>
      <w:r>
        <w:t xml:space="preserve"> </w:t>
      </w:r>
      <w:r>
        <w:t xml:space="preserve">operating-point trade rather than a broken architecture. Under the pre-registered</w:t>
      </w:r>
      <w:r>
        <w:t xml:space="preserve"> </w:t>
      </w:r>
      <w:r>
        <w:t xml:space="preserve">primary metric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the trade is unfavourable for 7 of 11 models. The</w:t>
      </w:r>
      <w:r>
        <w:t xml:space="preserve"> </w:t>
      </w:r>
      <w:r>
        <w:t xml:space="preserve">practitioner question is which operating point matches the deployment cost</w:t>
      </w:r>
      <w:r>
        <w:t xml:space="preserve"> </w:t>
      </w:r>
      <w:r>
        <w:t xml:space="preserve">structure.</w:t>
      </w:r>
    </w:p>
    <w:p>
      <w:pPr>
        <w:pStyle w:val="BodyText"/>
      </w:pPr>
      <w:r>
        <w:t xml:space="preserve">The cascade direction is predictable from a single-agent calibration pass.</w:t>
      </w:r>
      <w:r>
        <w:t xml:space="preserve"> </w:t>
      </w:r>
      <w:r>
        <w:t xml:space="preserve">Models with high B0 over-extraction rates (Gemini 2.5 Pro</w:t>
      </w:r>
      <w:r>
        <w:t xml:space="preserve"> </w:t>
      </w:r>
      <m:oMath>
        <m:sSub>
          <m:e>
            <m:r>
              <m:t>ω</m:t>
            </m:r>
          </m:e>
          <m:sub>
            <m:r>
              <m:rPr>
                <m:nor/>
                <m:sty m:val="p"/>
              </m:rPr>
              <m:t>B0</m:t>
            </m:r>
          </m:sub>
        </m:sSub>
        <m:r>
          <m:t>=</m:t>
        </m:r>
        <m:r>
          <m:t>0.456</m:t>
        </m:r>
      </m:oMath>
      <w:r>
        <w:t xml:space="preserve">; Gemini 2.5 Flash</w:t>
      </w:r>
      <w:r>
        <w:t xml:space="preserve"> </w:t>
      </w:r>
      <m:oMath>
        <m:r>
          <m:t>0.392</m:t>
        </m:r>
      </m:oMath>
      <w:r>
        <w:t xml:space="preserve">) inherit a permissive</w:t>
      </w:r>
      <w:r>
        <w:t xml:space="preserve"> </w:t>
      </w:r>
      <w:r>
        <w:t xml:space="preserve">prior on negative instances; the gate amplifies the cautious prior,</w:t>
      </w:r>
      <w:r>
        <w:t xml:space="preserve"> </w:t>
      </w:r>
      <w:r>
        <w:t xml:space="preserve">suppressing recall. Models with low B0 over-extraction (GPT-4.1 Nano</w:t>
      </w:r>
      <w:r>
        <w:t xml:space="preserve"> </w:t>
      </w:r>
      <m:oMath>
        <m:sSub>
          <m:e>
            <m:r>
              <m:t>ω</m:t>
            </m:r>
          </m:e>
          <m:sub>
            <m:r>
              <m:rPr>
                <m:nor/>
                <m:sty m:val="p"/>
              </m:rPr>
              <m:t>B0</m:t>
            </m:r>
          </m:sub>
        </m:sSub>
        <m:r>
          <m:t>=</m:t>
        </m:r>
        <m:r>
          <m:t>0.085</m:t>
        </m:r>
      </m:oMath>
      <w:r>
        <w:t xml:space="preserve">) gain from the gate because their single-agent</w:t>
      </w:r>
      <w:r>
        <w:t xml:space="preserve"> </w:t>
      </w:r>
      <w:r>
        <w:t xml:space="preserve">extraction loses ground to laziness rather than to over-extraction. The</w:t>
      </w:r>
      <w:r>
        <w:t xml:space="preserve"> </w:t>
      </w:r>
      <w:r>
        <w:t xml:space="preserve">practitioner heuristic is: run B0, inspect</w:t>
      </w:r>
      <w:r>
        <w:t xml:space="preserve"> </w:t>
      </w:r>
      <m:oMath>
        <m:sSub>
          <m:e>
            <m:r>
              <m:t>ω</m:t>
            </m:r>
          </m:e>
          <m:sub>
            <m:r>
              <m:rPr>
                <m:nor/>
                <m:sty m:val="p"/>
              </m:rPr>
              <m:t>B0</m:t>
            </m:r>
          </m:sub>
        </m:sSub>
      </m:oMath>
      <w:r>
        <w:t xml:space="preserve">, and deploy</w:t>
      </w:r>
      <w:r>
        <w:t xml:space="preserve"> </w:t>
      </w:r>
      <w:r>
        <w:t xml:space="preserve">M0 only if</w:t>
      </w:r>
      <w:r>
        <w:t xml:space="preserve"> </w:t>
      </w:r>
      <m:oMath>
        <m:sSub>
          <m:e>
            <m:r>
              <m:t>ω</m:t>
            </m:r>
          </m:e>
          <m:sub>
            <m:r>
              <m:rPr>
                <m:nor/>
                <m:sty m:val="p"/>
              </m:rPr>
              <m:t>B0</m:t>
            </m:r>
          </m:sub>
        </m:sSub>
      </m:oMath>
      <w:r>
        <w:t xml:space="preserve"> </w:t>
      </w:r>
      <w:r>
        <w:t xml:space="preserve">is moderate-to-low. Within the present</w:t>
      </w:r>
      <w:r>
        <w:t xml:space="preserve"> </w:t>
      </w:r>
      <w:r>
        <w:t xml:space="preserve">eleven-model panel, models with</w:t>
      </w:r>
      <w:r>
        <w:t xml:space="preserve"> </w:t>
      </w:r>
      <m:oMath>
        <m:sSub>
          <m:e>
            <m:r>
              <m:t>ω</m:t>
            </m:r>
          </m:e>
          <m:sub>
            <m:r>
              <m:rPr>
                <m:nor/>
                <m:sty m:val="p"/>
              </m:rPr>
              <m:t>B0</m:t>
            </m:r>
          </m:sub>
        </m:sSub>
        <m:r>
          <m:t>≲</m:t>
        </m:r>
        <m:r>
          <m:t>0.20</m:t>
        </m:r>
      </m:oMath>
      <w:r>
        <w:t xml:space="preserve"> </w:t>
      </w:r>
      <w:r>
        <w:t xml:space="preserve">gain 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under M0; those above that threshold do not. The boundary is indicative,</w:t>
      </w:r>
      <w:r>
        <w:t xml:space="preserve"> </w:t>
      </w:r>
      <w:r>
        <w:t xml:space="preserve">not validated.</w:t>
      </w:r>
    </w:p>
    <w:p>
      <w:pPr>
        <w:pStyle w:val="BodyText"/>
      </w:pPr>
      <w:r>
        <w:t xml:space="preserve">This result connects to the failure-mode taxonomy of cemri2025why,</w:t>
      </w:r>
      <w:r>
        <w:t xml:space="preserve"> </w:t>
      </w:r>
      <w:r>
        <w:t xml:space="preserve">who identify the inter-agent verification gap as a leading cause of</w:t>
      </w:r>
      <w:r>
        <w:t xml:space="preserve"> </w:t>
      </w:r>
      <w:r>
        <w:t xml:space="preserve">multi-agent regression: the downstream extractor cannot override the upstream</w:t>
      </w:r>
      <w:r>
        <w:t xml:space="preserve"> </w:t>
      </w:r>
      <w:r>
        <w:t xml:space="preserve">classifier’s silent rejection. A reflective verifier agent (absent in</w:t>
      </w:r>
      <w:r>
        <w:t xml:space="preserve"> </w:t>
      </w:r>
      <w:r>
        <w:t xml:space="preserve">M0) would be the natural mitigation, and is identified as an untested</w:t>
      </w:r>
      <w:r>
        <w:t xml:space="preserve"> </w:t>
      </w:r>
      <w:r>
        <w:t xml:space="preserve">architectural pattern in Section </w:t>
      </w:r>
      <w:hyperlink w:anchor="sec:concl:outlook">
        <w:r>
          <w:rPr>
            <w:rStyle w:val="Hyperlink"/>
          </w:rPr>
          <w:t xml:space="preserve">8.4</w:t>
        </w:r>
      </w:hyperlink>
      <w:r>
        <w:t xml:space="preserve">.</w:t>
      </w:r>
    </w:p>
    <w:p>
      <w:pPr>
        <w:pStyle w:val="Heading2"/>
      </w:pPr>
      <w:bookmarkStart w:id="152" w:name="sec:disc:routing"/>
      <w:r>
        <w:t xml:space="preserve">Routing as a Deterministic Lookup</w:t>
      </w:r>
      <w:bookmarkEnd w:id="152"/>
    </w:p>
    <w:p>
      <w:pPr>
        <w:pStyle w:val="FirstParagraph"/>
      </w:pPr>
      <w:r>
        <w:t xml:space="preserve">The  (M1) router agreed with a static category-to-specialist mapping on</w:t>
      </w:r>
      <w:r>
        <w:t xml:space="preserve"> </w:t>
      </w:r>
      <m:oMath>
        <m:r>
          <m:t>99.91</m:t>
        </m:r>
        <m:r>
          <m:t>%</m:t>
        </m:r>
      </m:oMath>
      <w:r>
        <w:t xml:space="preserve"> </w:t>
      </w:r>
      <w:r>
        <w:t xml:space="preserve">of requests across the panel (Section </w:t>
      </w:r>
      <w:hyperlink w:anchor="sec:res:h3">
        <w:r>
          <w:rPr>
            <w:rStyle w:val="Hyperlink"/>
          </w:rPr>
          <w:t xml:space="preserve">6.4</w:t>
        </w:r>
      </w:hyperlink>
      <w:r>
        <w:t xml:space="preserve">).</w:t>
      </w:r>
      <w:r>
        <w:t xml:space="preserve"> </w:t>
      </w:r>
      <w:r>
        <w:t xml:space="preserve">The natural reading is that routing in this design space reduces to a table</w:t>
      </w:r>
      <w:r>
        <w:t xml:space="preserve"> </w:t>
      </w:r>
      <w:r>
        <w:t xml:space="preserve">lookup keyed on the category name, a negative finding for the LLM-router</w:t>
      </w:r>
      <w:r>
        <w:t xml:space="preserve"> </w:t>
      </w:r>
      <w:r>
        <w:t xml:space="preserve">subspace illustrated by ChatLaw v2 [cui2024chatlaw] and</w:t>
      </w:r>
      <w:r>
        <w:t xml:space="preserve"> </w:t>
      </w:r>
      <w:r>
        <w:t xml:space="preserve">L-MARS [wang2025lmars]. Two qualifications are worth stating.</w:t>
      </w:r>
    </w:p>
    <w:p>
      <w:pPr>
        <w:pStyle w:val="BodyText"/>
      </w:pPr>
      <w:r>
        <w:t xml:space="preserve">First, the result depends on three architectural commitments that do not hold</w:t>
      </w:r>
      <w:r>
        <w:t xml:space="preserve"> </w:t>
      </w:r>
      <w:r>
        <w:t xml:space="preserve">in every multi-agent design: the specialist domains were disjoint and</w:t>
      </w:r>
      <w:r>
        <w:t xml:space="preserve"> </w:t>
      </w:r>
      <w:r>
        <w:t xml:space="preserve">descriptively named; the categories carried indicators the router could read</w:t>
      </w:r>
      <w:r>
        <w:t xml:space="preserve"> </w:t>
      </w:r>
      <w:r>
        <w:t xml:space="preserve">directly from the category label; and the partition was fixed before any</w:t>
      </w:r>
      <w:r>
        <w:t xml:space="preserve"> </w:t>
      </w:r>
      <w:r>
        <w:t xml:space="preserve">model was run. In designs where domains overlap, where the category</w:t>
      </w:r>
      <w:r>
        <w:t xml:space="preserve"> </w:t>
      </w:r>
      <w:r>
        <w:t xml:space="preserve">vocabulary is open-ended, or where the routing decision must integrate</w:t>
      </w:r>
      <w:r>
        <w:t xml:space="preserve"> </w:t>
      </w:r>
      <w:r>
        <w:t xml:space="preserve">retrieved context, the router’s work becomes non-trivial and routing accuracy</w:t>
      </w:r>
      <w:r>
        <w:t xml:space="preserve"> </w:t>
      </w:r>
      <w:r>
        <w:t xml:space="preserve">falls below ceiling. A second-order caveat is that the LLM router’s prompt</w:t>
      </w:r>
      <w:r>
        <w:t xml:space="preserve"> </w:t>
      </w:r>
      <w:r>
        <w:t xml:space="preserve">and the deterministic dictionary it is benchmarked against were authored by</w:t>
      </w:r>
      <w:r>
        <w:t xml:space="preserve"> </w:t>
      </w:r>
      <w:r>
        <w:t xml:space="preserve">the same operator from a single conceptual map of the 41-category schema;</w:t>
      </w:r>
      <w:r>
        <w:t xml:space="preserve"> </w:t>
      </w:r>
      <w:r>
        <w:t xml:space="preserve">the</w:t>
      </w:r>
      <w:r>
        <w:t xml:space="preserve"> </w:t>
      </w:r>
      <m:oMath>
        <m:r>
          <m:t>99.91</m:t>
        </m:r>
        <m:r>
          <m:t>%</m:t>
        </m:r>
      </m:oMath>
      <w:r>
        <w:t xml:space="preserve"> </w:t>
      </w:r>
      <w:r>
        <w:t xml:space="preserve">agreement therefore measures internal consistency between two</w:t>
      </w:r>
      <w:r>
        <w:t xml:space="preserve"> </w:t>
      </w:r>
      <w:r>
        <w:t xml:space="preserve">artefacts of one design intent, not LLM routing competence on an externally</w:t>
      </w:r>
      <w:r>
        <w:t xml:space="preserve"> </w:t>
      </w:r>
      <w:r>
        <w:t xml:space="preserve">specified taxonomy. The generalisable claim is therefore narrower: in a</w:t>
      </w:r>
      <w:r>
        <w:t xml:space="preserve"> </w:t>
      </w:r>
      <w:r>
        <w:t xml:space="preserve">closed-vocabulary specialist-routing design with an operator-curated category</w:t>
      </w:r>
      <w:r>
        <w:t xml:space="preserve"> </w:t>
      </w:r>
      <w:r>
        <w:t xml:space="preserve">schema, the router’s contribution is replicable by a deterministic</w:t>
      </w:r>
      <w:r>
        <w:t xml:space="preserve"> </w:t>
      </w:r>
      <w:r>
        <w:t xml:space="preserve">dictionary at zero LLM cost.</w:t>
      </w:r>
    </w:p>
    <w:p>
      <w:pPr>
        <w:pStyle w:val="BodyText"/>
      </w:pPr>
      <w:r>
        <w:t xml:space="preserve">Second,  (M1) and  (M2) differ statistically on every model</w:t>
      </w:r>
      <w:r>
        <w:t xml:space="preserve"> </w:t>
      </w:r>
      <w:r>
        <w:t xml:space="preserve">despite the routing decision being a near-deterministic dictionary lookup</w:t>
      </w:r>
      <w:r>
        <w:t xml:space="preserve"> </w:t>
      </w:r>
      <w:r>
        <w:t xml:space="preserve">in both cases. Three components vary jointly between the two configurations:</w:t>
      </w:r>
      <w:r>
        <w:t xml:space="preserve"> </w:t>
      </w:r>
      <w:r>
        <w:t xml:space="preserve">the prompt format (M1 receives one focused specialist preamble per call;</w:t>
      </w:r>
      <w:r>
        <w:t xml:space="preserve"> </w:t>
      </w:r>
      <w:r>
        <w:t xml:space="preserve">M2 receives the textual union of three), the dispatch overhead (M1 incurs</w:t>
      </w:r>
      <w:r>
        <w:t xml:space="preserve"> </w:t>
      </w:r>
      <w:r>
        <w:t xml:space="preserve">an orchestrator hop and a router LLM call that M2 does not), and the</w:t>
      </w:r>
      <w:r>
        <w:t xml:space="preserve"> </w:t>
      </w:r>
      <w:r>
        <w:t xml:space="preserve">per-call latency. The Jaccard</w:t>
      </w:r>
      <w:r>
        <w:t xml:space="preserve"> </w:t>
      </w:r>
      <m:oMath>
        <m:r>
          <m:t>+</m:t>
        </m:r>
        <m:r>
          <m:t>0.071</m:t>
        </m:r>
      </m:oMath>
      <w:r>
        <w:t xml:space="preserve"> </w:t>
      </w:r>
      <w:r>
        <w:t xml:space="preserve">pooled advantage for M2</w:t>
      </w:r>
      <w:r>
        <w:t xml:space="preserve"> </w:t>
      </w:r>
      <w:r>
        <w:t xml:space="preserve">(Table </w:t>
      </w:r>
      <w:hyperlink w:anchor="tab:h3">
        <w:r>
          <w:rPr>
            <w:rStyle w:val="Hyperlink"/>
          </w:rPr>
          <w:t xml:space="preserve">6.6</w:t>
        </w:r>
      </w:hyperlink>
      <w:r>
        <w:t xml:space="preserve">) is therefore not cleanly attributable to consolidation</w:t>
      </w:r>
      <w:r>
        <w:t xml:space="preserve"> </w:t>
      </w:r>
      <w:r>
        <w:t xml:space="preserve">alone; the most parsimonious reading is attentional. The union prompt</w:t>
      </w:r>
      <w:r>
        <w:t xml:space="preserve"> </w:t>
      </w:r>
      <w:r>
        <w:t xml:space="preserve">presents all three category-cluster framings simultaneously and lets the</w:t>
      </w:r>
      <w:r>
        <w:t xml:space="preserve"> </w:t>
      </w:r>
      <w:r>
        <w:t xml:space="preserve">model choose, rather than committing the dispatch decision before the</w:t>
      </w:r>
      <w:r>
        <w:t xml:space="preserve"> </w:t>
      </w:r>
      <w:r>
        <w:t xml:space="preserve">contract is read. A router-disabled M1 ablation would be required to</w:t>
      </w:r>
      <w:r>
        <w:t xml:space="preserve"> </w:t>
      </w:r>
      <w:r>
        <w:t xml:space="preserve">isolate the prompt-format component from the dispatch-overhead component</w:t>
      </w:r>
      <w:r>
        <w:t xml:space="preserve"> </w:t>
      </w:r>
      <w:r>
        <w:t xml:space="preserve">(Section </w:t>
      </w:r>
      <w:hyperlink w:anchor="sec:concl:outlook">
        <w:r>
          <w:rPr>
            <w:rStyle w:val="Hyperlink"/>
          </w:rPr>
          <w:t xml:space="preserve">8.4</w:t>
        </w:r>
      </w:hyperlink>
      <w:r>
        <w:t xml:space="preserve">).</w:t>
      </w:r>
    </w:p>
    <w:p>
      <w:pPr>
        <w:pStyle w:val="BodyText"/>
      </w:pPr>
      <w:r>
        <w:t xml:space="preserve">The combined implication for the design of legal-AI multi-agent systems is</w:t>
      </w:r>
      <w:r>
        <w:t xml:space="preserve"> </w:t>
      </w:r>
      <w:r>
        <w:t xml:space="preserve">that specialist prompt content, rather than dispatch architecture, accounts</w:t>
      </w:r>
      <w:r>
        <w:t xml:space="preserve"> </w:t>
      </w:r>
      <w:r>
        <w:t xml:space="preserve">for the M1/M2 delta. A practitioner with a fixed specialist taxonomy is</w:t>
      </w:r>
      <w:r>
        <w:t xml:space="preserve"> </w:t>
      </w:r>
      <w:r>
        <w:t xml:space="preserve">better served by a single agent receiving the union of specialist</w:t>
      </w:r>
      <w:r>
        <w:t xml:space="preserve"> </w:t>
      </w:r>
      <w:r>
        <w:t xml:space="preserve">instructions than by a router-plus-specialists topology, and eliminates</w:t>
      </w:r>
      <w:r>
        <w:t xml:space="preserve"> </w:t>
      </w:r>
      <w:r>
        <w:t xml:space="preserve">the</w:t>
      </w:r>
      <w:r>
        <w:t xml:space="preserve"> </w:t>
      </w:r>
      <m:oMath>
        <m:r>
          <m:t>23</m:t>
        </m:r>
        <m:r>
          <m:t>%</m:t>
        </m:r>
      </m:oMath>
      <w:r>
        <w:t xml:space="preserve"> </w:t>
      </w:r>
      <w:r>
        <w:t xml:space="preserve">orchestrator cost premium.</w:t>
      </w:r>
    </w:p>
    <w:p>
      <w:pPr>
        <w:pStyle w:val="Heading2"/>
      </w:pPr>
      <w:bookmarkStart w:id="153" w:name="sec:disc:metric"/>
      <w:r>
        <w:t xml:space="preserve">The</w:t>
      </w:r>
      <w:r>
        <w:t xml:space="preserve"> </w:t>
      </w:r>
      <m:oMath>
        <m:r>
          <m:t>β</m:t>
        </m:r>
        <m:r>
          <m:t>=</m:t>
        </m:r>
        <m:r>
          <m:t>2</m:t>
        </m:r>
      </m:oMath>
      <w:r>
        <w:t xml:space="preserve"> </w:t>
      </w:r>
      <w:r>
        <w:t xml:space="preserve">Choice and Operating-Point Sensitivity</w:t>
      </w:r>
      <w:bookmarkEnd w:id="153"/>
    </w:p>
    <w:p>
      <w:pPr>
        <w:pStyle w:val="FirstParagraph"/>
      </w:pPr>
      <w:r>
        <w:t xml:space="preserve">The pooled architectural ranking depends on the chosen</w:t>
      </w:r>
      <w:r>
        <w:t xml:space="preserve"> </w:t>
      </w:r>
      <m:oMath>
        <m:r>
          <m:t>β</m:t>
        </m:r>
      </m:oMath>
      <w:r>
        <w:t xml:space="preserve">. At</w:t>
      </w:r>
      <w:r>
        <w:t xml:space="preserve"> </w:t>
      </w:r>
      <m:oMath>
        <m:r>
          <m:t>β</m:t>
        </m:r>
        <m:r>
          <m:t>=</m:t>
        </m:r>
        <m:r>
          <m:t>1</m:t>
        </m:r>
      </m:oMath>
      <w:r>
        <w:t xml:space="preserve"> </w:t>
      </w:r>
      <w:r>
        <w:t xml:space="preserve">the ranking is  </w:t>
      </w:r>
      <m:oMath>
        <m:r>
          <m:t>&gt;</m:t>
        </m:r>
      </m:oMath>
      <w:r>
        <w:t xml:space="preserve"> </w:t>
      </w:r>
      <w:r>
        <w:t xml:space="preserve"> </w:t>
      </w:r>
      <m:oMath>
        <m:r>
          <m:t>&gt;</m:t>
        </m:r>
      </m:oMath>
      <w:r>
        <w:t xml:space="preserve"> </w:t>
      </w:r>
      <w:r>
        <w:t xml:space="preserve"> </w:t>
      </w:r>
      <m:oMath>
        <m:r>
          <m:t>&gt;</m:t>
        </m:r>
      </m:oMath>
      <w:r>
        <w:t xml:space="preserve"> </w:t>
      </w:r>
      <w:r>
        <w:t xml:space="preserve"> </w:t>
      </w:r>
      <m:oMath>
        <m:r>
          <m:t>&gt;</m:t>
        </m:r>
      </m:oMath>
      <w:r>
        <w:t xml:space="preserve"> 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β</m:t>
        </m:r>
        <m:r>
          <m:t>=</m:t>
        </m:r>
        <m:r>
          <m:t>2</m:t>
        </m:r>
      </m:oMath>
      <w:r>
        <w:t xml:space="preserve"> </w:t>
      </w:r>
      <w:r>
        <w:t xml:space="preserve">the ranking is  </w:t>
      </w:r>
      <m:oMath>
        <m:r>
          <m:t>&gt;</m:t>
        </m:r>
      </m:oMath>
      <w:r>
        <w:t xml:space="preserve"> </w:t>
      </w:r>
      <w:r>
        <w:t xml:space="preserve"> </w:t>
      </w:r>
      <m:oMath>
        <m:r>
          <m:t>&gt;</m:t>
        </m:r>
      </m:oMath>
      <w:r>
        <w:t xml:space="preserve"> </w:t>
      </w:r>
      <w:r>
        <w:t xml:space="preserve"> </w:t>
      </w:r>
      <m:oMath>
        <m:r>
          <m:t>&gt;</m:t>
        </m:r>
      </m:oMath>
      <w:r>
        <w:t xml:space="preserve"> </w:t>
      </w:r>
      <w:r>
        <w:t xml:space="preserve"> </w:t>
      </w:r>
      <m:oMath>
        <m:r>
          <m:t>≈</m:t>
        </m:r>
      </m:oMath>
      <w:r>
        <w:t xml:space="preserve"> </w:t>
      </w:r>
      <w:r>
        <w:t xml:space="preserve">. The architectural</w:t>
      </w:r>
      <w:r>
        <w:t xml:space="preserve"> </w:t>
      </w:r>
      <w:r>
        <w:t xml:space="preserve">conclusion of the thesis therefore depends, in part, on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choice.</w:t>
      </w:r>
    </w:p>
    <w:p>
      <w:pPr>
        <w:pStyle w:val="BodyText"/>
      </w:pPr>
      <w:r>
        <w:t xml:space="preserve">Setting</w:t>
      </w:r>
      <w:r>
        <w:t xml:space="preserve"> </w:t>
      </w:r>
      <m:oMath>
        <m:sSub>
          <m:e>
            <m:r>
              <m:t>F</m:t>
            </m:r>
          </m:e>
          <m:sub>
            <m:r>
              <m:t>β</m:t>
            </m:r>
          </m:sub>
        </m:sSub>
        <m:r>
          <m:t>(</m:t>
        </m:r>
        <m:r>
          <m:rPr>
            <m:nor/>
            <m:sty m:val="p"/>
          </m:rPr>
          <m:t>M0</m:t>
        </m:r>
        <m:r>
          <m:t>)</m:t>
        </m:r>
        <m:r>
          <m:t>=</m:t>
        </m:r>
        <m:sSub>
          <m:e>
            <m:r>
              <m:t>F</m:t>
            </m:r>
          </m:e>
          <m:sub>
            <m:r>
              <m:t>β</m:t>
            </m:r>
          </m:sub>
        </m:sSub>
        <m:r>
          <m:t>(</m:t>
        </m:r>
        <m:r>
          <m:rPr>
            <m:nor/>
            <m:sty m:val="p"/>
          </m:rPr>
          <m:t>B0</m:t>
        </m:r>
        <m:r>
          <m:t>)</m:t>
        </m:r>
      </m:oMath>
      <w:r>
        <w:t xml:space="preserve"> </w:t>
      </w:r>
      <w:r>
        <w:t xml:space="preserve">on the pooled precision and</w:t>
      </w:r>
      <w:r>
        <w:t xml:space="preserve"> </w:t>
      </w:r>
      <w:r>
        <w:t xml:space="preserve">recall in Table </w:t>
      </w:r>
      <w:hyperlink w:anchor="tab:h1-headline">
        <w:r>
          <w:rPr>
            <w:rStyle w:val="Hyperlink"/>
          </w:rPr>
          <w:t xml:space="preserve">6.2</w:t>
        </w:r>
      </w:hyperlink>
      <w:r>
        <w:t xml:space="preserve"> </w:t>
      </w:r>
      <w:r>
        <w:t xml:space="preserve">(B0:</w:t>
      </w:r>
      <w:r>
        <w:t xml:space="preserve"> </w:t>
      </w:r>
      <m:oMath>
        <m:r>
          <m:t>P</m:t>
        </m:r>
        <m:r>
          <m:t>=</m:t>
        </m:r>
        <m:r>
          <m:t>0.666</m:t>
        </m:r>
      </m:oMath>
      <w:r>
        <w:t xml:space="preserve">,</w:t>
      </w:r>
      <w:r>
        <w:t xml:space="preserve"> </w:t>
      </w:r>
      <m:oMath>
        <m:r>
          <m:t>p</m:t>
        </m:r>
        <m:r>
          <m:t>=</m:t>
        </m:r>
        <m:r>
          <m:t>0.854</m:t>
        </m:r>
      </m:oMath>
      <w:r>
        <w:t xml:space="preserve">; M0:</w:t>
      </w:r>
      <w:r>
        <w:t xml:space="preserve"> </w:t>
      </w:r>
      <m:oMath>
        <m:r>
          <m:t>P</m:t>
        </m:r>
        <m:r>
          <m:t>=</m:t>
        </m:r>
        <m:r>
          <m:t>0.813</m:t>
        </m:r>
      </m:oMath>
      <w:r>
        <w:t xml:space="preserve">,</w:t>
      </w:r>
      <w:r>
        <w:t xml:space="preserve"> </w:t>
      </w:r>
      <m:oMath>
        <m:r>
          <m:t>p</m:t>
        </m:r>
        <m:r>
          <m:t>=</m:t>
        </m:r>
        <m:r>
          <m:t>0.793</m:t>
        </m:r>
      </m:oMath>
      <w:r>
        <w:t xml:space="preserve">) and solving for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yields a flip-point of</w:t>
      </w:r>
      <w:r>
        <w:t xml:space="preserve"> </w:t>
      </w:r>
      <m:oMath>
        <m:sSup>
          <m:e>
            <m:r>
              <m:t>β</m:t>
            </m:r>
          </m:e>
          <m:sup>
            <m:r>
              <m:t>⋆</m:t>
            </m:r>
          </m:sup>
        </m:sSup>
        <m:r>
          <m:t>≈</m:t>
        </m:r>
        <m:r>
          <m:t>1.74</m:t>
        </m:r>
      </m:oMath>
      <w:r>
        <w:t xml:space="preserve"> </w:t>
      </w:r>
      <w:r>
        <w:t xml:space="preserve">(</w:t>
      </w:r>
      <m:oMath>
        <m:sSup>
          <m:e>
            <m:r>
              <m:t>β</m:t>
            </m:r>
          </m:e>
          <m:sup>
            <m:r>
              <m:t>⋆</m:t>
            </m:r>
            <m:r>
              <m:t>2</m:t>
            </m:r>
          </m:sup>
        </m:sSup>
        <m:r>
          <m:t>≈</m:t>
        </m:r>
        <m:r>
          <m:t>3.01</m:t>
        </m:r>
      </m:oMath>
      <w:r>
        <w:t xml:space="preserve">). Because</w:t>
      </w:r>
      <w:r>
        <w:t xml:space="preserve"> </w:t>
      </w:r>
      <m:oMath>
        <m:sSup>
          <m:e>
            <m:r>
              <m:t>β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encodes the deployment cost ratio of a missed clause to a false extraction,</w:t>
      </w:r>
      <w:r>
        <w:t xml:space="preserve"> </w:t>
      </w:r>
      <w:r>
        <w:t xml:space="preserve">the empirical interpretation is: B0 dominates M0 on</w:t>
      </w:r>
      <w:r>
        <w:t xml:space="preserve"> </w:t>
      </w:r>
      <m:oMath>
        <m:sSub>
          <m:e>
            <m:r>
              <m:t>F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when missing a</w:t>
      </w:r>
      <w:r>
        <w:t xml:space="preserve"> </w:t>
      </w:r>
      <w:r>
        <w:t xml:space="preserve">clause is at least</w:t>
      </w:r>
      <w:r>
        <w:t xml:space="preserve"> </w:t>
      </w:r>
      <m:oMath>
        <m:r>
          <m:t>≈</m:t>
        </m:r>
        <m:r>
          <m:t>​</m:t>
        </m:r>
        <m:r>
          <m:t>3.0</m:t>
        </m:r>
        <m:r>
          <m:t>×</m:t>
        </m:r>
      </m:oMath>
      <w:r>
        <w:t xml:space="preserve"> </w:t>
      </w:r>
      <w:r>
        <w:t xml:space="preserve">as costly as flagging a spurious one;</w:t>
      </w:r>
      <w:r>
        <w:t xml:space="preserve"> </w:t>
      </w:r>
      <w:r>
        <w:t xml:space="preserve">M0 dominates below that ratio. The thesis’s commitment to</w:t>
      </w:r>
      <w:r>
        <w:t xml:space="preserve"> </w:t>
      </w:r>
      <m:oMath>
        <m:r>
          <m:t>β</m:t>
        </m:r>
        <m:r>
          <m:t>=</m:t>
        </m:r>
        <m:r>
          <m:t>2</m:t>
        </m:r>
      </m:oMath>
      <w:r>
        <w:t xml:space="preserve"> </w:t>
      </w:r>
      <w:r>
        <w:t xml:space="preserve">(cost</w:t>
      </w:r>
      <w:r>
        <w:t xml:space="preserve"> </w:t>
      </w:r>
      <w:r>
        <w:t xml:space="preserve">ratio</w:t>
      </w:r>
      <w:r>
        <w:t xml:space="preserve"> </w:t>
      </w:r>
      <m:oMath>
        <m:r>
          <m:t>4</m:t>
        </m:r>
        <m:r>
          <m:t>:</m:t>
        </m:r>
        <m:r>
          <m:t>1</m:t>
        </m:r>
      </m:oMath>
      <w:r>
        <w:t xml:space="preserve">) sits above the flip-point, which is why the H1 verdict reads</w:t>
      </w:r>
      <w:r>
        <w:t xml:space="preserve"> </w:t>
      </w:r>
      <w:r>
        <w:t xml:space="preserve">as a B0 win; an examiner who prefers</w:t>
      </w:r>
      <w:r>
        <w:t xml:space="preserve"> </w:t>
      </w:r>
      <m:oMath>
        <m:r>
          <m:t>β</m:t>
        </m:r>
        <m:r>
          <m:t>∈</m:t>
        </m:r>
        <m:r>
          <m:t>[</m:t>
        </m:r>
        <m:r>
          <m:t>1.0</m:t>
        </m:r>
        <m:r>
          <m:t>,</m:t>
        </m:r>
        <m:r>
          <m:t> </m:t>
        </m:r>
        <m:r>
          <m:t>1.7</m:t>
        </m:r>
        <m:r>
          <m:t>]</m:t>
        </m:r>
      </m:oMath>
      <w:r>
        <w:t xml:space="preserve"> </w:t>
      </w:r>
      <w:r>
        <w:t xml:space="preserve">(cost ratio</w:t>
      </w:r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  <m:r>
          <m:t>: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≈</m:t>
        </m:r>
        <m:r>
          <m:t>​</m:t>
        </m:r>
        <m:r>
          <m:t>3</m:t>
        </m:r>
        <m:r>
          <m:t>:</m:t>
        </m:r>
        <m:r>
          <m:t>1</m:t>
        </m:r>
      </m:oMath>
      <w:r>
        <w:t xml:space="preserve">) would read the same data as an M0 win</w:t>
      </w:r>
      <w:r>
        <w:t xml:space="preserve"> </w:t>
      </w:r>
      <w:r>
        <w:t xml:space="preserve">of</w:t>
      </w:r>
      <w:r>
        <w:t xml:space="preserve"> </w:t>
      </w:r>
      <m:oMath>
        <m:r>
          <m:t>0.013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0.055</m:t>
        </m:r>
      </m:oMath>
      <w:r>
        <w:t xml:space="preserve"> </w:t>
      </w:r>
      <w:r>
        <w:t xml:space="preserve">points. Three CLM workflows that plausibly sit in this</w:t>
      </w:r>
      <w:r>
        <w:t xml:space="preserve"> </w:t>
      </w:r>
      <w:r>
        <w:t xml:space="preserve">range are: post-signature obligation tracking (false-positive review cheap</w:t>
      </w:r>
      <w:r>
        <w:t xml:space="preserve"> </w:t>
      </w:r>
      <w:r>
        <w:t xml:space="preserve">relative to a missed renewal-notice deadline), red-line drafting support</w:t>
      </w:r>
      <w:r>
        <w:t xml:space="preserve"> </w:t>
      </w:r>
      <w:r>
        <w:t xml:space="preserve">(reviewer must read every flagged candidate anyway), and compliance</w:t>
      </w:r>
      <w:r>
        <w:t xml:space="preserve"> </w:t>
      </w:r>
      <w:r>
        <w:t xml:space="preserve">screening (false positives feed an existing triage queue). The architectural</w:t>
      </w:r>
      <w:r>
        <w:t xml:space="preserve"> </w:t>
      </w:r>
      <w:r>
        <w:t xml:space="preserve">verdict is therefore conditional on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choice rather than absolute.</w:t>
      </w:r>
    </w:p>
    <w:p>
      <w:pPr>
        <w:pStyle w:val="BodyText"/>
      </w:pPr>
      <w:r>
        <w:t xml:space="preserve">The commitment to</w:t>
      </w:r>
      <w:r>
        <w:t xml:space="preserve"> </w:t>
      </w:r>
      <m:oMath>
        <m:r>
          <m:t>β</m:t>
        </m:r>
        <m:r>
          <m:t>=</m:t>
        </m:r>
        <m:r>
          <m:t>2</m:t>
        </m:r>
      </m:oMath>
      <w:r>
        <w:t xml:space="preserve"> </w:t>
      </w:r>
      <w:r>
        <w:t xml:space="preserve">is justified in</w:t>
      </w:r>
      <w:r>
        <w:t xml:space="preserve"> </w:t>
      </w:r>
      <w:r>
        <w:t xml:space="preserve">Section </w:t>
      </w:r>
      <w:hyperlink w:anchor="sec:meth:metrics">
        <w:r>
          <w:rPr>
            <w:rStyle w:val="Hyperlink"/>
          </w:rPr>
          <w:t xml:space="preserve">4.4</w:t>
        </w:r>
      </w:hyperlink>
      <w:r>
        <w:t xml:space="preserve"> </w:t>
      </w:r>
      <w:r>
        <w:t xml:space="preserve">by the deployment cost structure of CLM</w:t>
      </w:r>
      <w:r>
        <w:t xml:space="preserve"> </w:t>
      </w:r>
      <w:r>
        <w:t xml:space="preserve">review: a missed clause carries the legal cost of an undisclosed obligation,</w:t>
      </w:r>
      <w:r>
        <w:t xml:space="preserve"> </w:t>
      </w:r>
      <w:r>
        <w:t xml:space="preserve">whereas a spurious extraction is corrected at the lower cost of attorney</w:t>
      </w:r>
      <w:r>
        <w:t xml:space="preserve"> </w:t>
      </w:r>
      <w:r>
        <w:t xml:space="preserve">review time. Deployment cost ratios are out of scope here. The</w:t>
      </w:r>
      <w:r>
        <w:t xml:space="preserve"> </w:t>
      </w:r>
      <w:r>
        <w:t xml:space="preserve">sensitivity is mitigated by reporting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 recall, precision,</w:t>
      </w:r>
      <w:r>
        <w:t xml:space="preserve"> </w:t>
      </w:r>
      <m:oMath>
        <m:r>
          <m:t>ω</m:t>
        </m:r>
      </m:oMath>
      <w:r>
        <w:t xml:space="preserve">,</w:t>
      </w:r>
      <w:r>
        <w:t xml:space="preserve"> </w:t>
      </w:r>
      <w:r>
        <w:t xml:space="preserve">and FN-rate alongside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so a deployment with a different cost ratio can</w:t>
      </w:r>
      <w:r>
        <w:t xml:space="preserve"> </w:t>
      </w:r>
      <w:r>
        <w:t xml:space="preserve">re-rank architectures from the same data. The practitioner recommendation is</w:t>
      </w:r>
      <w:r>
        <w:t xml:space="preserve"> </w:t>
      </w:r>
      <w:r>
        <w:t xml:space="preserve">conditional on</w:t>
      </w:r>
      <w:r>
        <w:t xml:space="preserve"> </w:t>
      </w:r>
      <m:oMath>
        <m:r>
          <m:t>β</m:t>
        </m:r>
      </m:oMath>
      <w:r>
        <w:t xml:space="preserve">: at</w:t>
      </w:r>
      <w:r>
        <w:t xml:space="preserve"> </w:t>
      </w:r>
      <m:oMath>
        <m:r>
          <m:t>β</m:t>
        </m:r>
        <m:r>
          <m:t>=</m:t>
        </m:r>
        <m:r>
          <m:t>2</m:t>
        </m:r>
      </m:oMath>
      <w:r>
        <w:t xml:space="preserve"> </w:t>
      </w:r>
      <w:r>
        <w:t xml:space="preserve">deploy B0; between</w:t>
      </w:r>
      <w:r>
        <w:t xml:space="preserve"> </w:t>
      </w:r>
      <m:oMath>
        <m:r>
          <m:t>β</m:t>
        </m:r>
        <m:r>
          <m:t>=</m:t>
        </m:r>
        <m:r>
          <m:t>1.0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β</m:t>
            </m:r>
          </m:e>
          <m:sup>
            <m:r>
              <m:t>⋆</m:t>
            </m:r>
          </m:sup>
        </m:sSup>
        <m:r>
          <m:t>≈</m:t>
        </m:r>
        <m:r>
          <m:t>1.74</m:t>
        </m:r>
      </m:oMath>
      <w:r>
        <w:t xml:space="preserve"> </w:t>
      </w:r>
      <w:r>
        <w:t xml:space="preserve">deploy M0; below</w:t>
      </w:r>
      <w:r>
        <w:t xml:space="preserve"> </w:t>
      </w:r>
      <m:oMath>
        <m:r>
          <m:t>β</m:t>
        </m:r>
        <m:r>
          <m:t>=</m:t>
        </m:r>
        <m:r>
          <m:t>1</m:t>
        </m:r>
      </m:oMath>
      <w:r>
        <w:t xml:space="preserve"> </w:t>
      </w:r>
      <w:r>
        <w:t xml:space="preserve">(where false</w:t>
      </w:r>
      <w:r>
        <w:t xml:space="preserve"> </w:t>
      </w:r>
      <w:r>
        <w:t xml:space="preserve">positives are costlier than false negatives, as in some compliance-screening</w:t>
      </w:r>
      <w:r>
        <w:t xml:space="preserve"> </w:t>
      </w:r>
      <w:r>
        <w:t xml:space="preserve">workflows), M0’s calibration advantage widens further.</w:t>
      </w:r>
    </w:p>
    <w:p>
      <w:pPr>
        <w:pStyle w:val="Heading2"/>
      </w:pPr>
      <w:bookmarkStart w:id="154" w:name="sec:disc:practitioner"/>
      <w:r>
        <w:t xml:space="preserve">Benchmark-to-Production Gaps</w:t>
      </w:r>
      <w:bookmarkEnd w:id="154"/>
    </w:p>
    <w:p>
      <w:pPr>
        <w:pStyle w:val="FirstParagraph"/>
      </w:pPr>
      <w:r>
        <w:t xml:space="preserve">CUAD measures one axis — extraction accuracy under a fixed forty-one-category</w:t>
      </w:r>
      <w:r>
        <w:t xml:space="preserve"> </w:t>
      </w:r>
      <w:r>
        <w:t xml:space="preserve">taxonomy on clean born-digital text with expert ground truth — that is</w:t>
      </w:r>
      <w:r>
        <w:t xml:space="preserve"> </w:t>
      </w:r>
      <w:r>
        <w:t xml:space="preserve">necessary but not sufficient for production deployment. Three deployment axes</w:t>
      </w:r>
      <w:r>
        <w:t xml:space="preserve"> </w:t>
      </w:r>
      <w:r>
        <w:t xml:space="preserve">relocate the architectural argument.</w:t>
      </w:r>
    </w:p>
    <w:p>
      <w:pPr>
        <w:pStyle w:val="Heading5"/>
      </w:pPr>
      <w:bookmarkStart w:id="155" w:name="X506a0c5868fe7638cece52d5af6b87bb81b75e6"/>
      <w:r>
        <w:t xml:space="preserve">Preprocessing and retrieval are upstream of architecture.</w:t>
      </w:r>
      <w:bookmarkEnd w:id="155"/>
    </w:p>
    <w:p>
      <w:pPr>
        <w:pStyle w:val="FirstParagraph"/>
      </w:pPr>
      <w:r>
        <w:t xml:space="preserve">CUAD contracts are EDGAR filings: clean, machine-readable, consistently</w:t>
      </w:r>
      <w:r>
        <w:t xml:space="preserve"> </w:t>
      </w:r>
      <w:r>
        <w:t xml:space="preserve">formatted. Enterprise repositories contain scanned PDFs of variable OCR</w:t>
      </w:r>
      <w:r>
        <w:t xml:space="preserve"> </w:t>
      </w:r>
      <w:r>
        <w:t xml:space="preserve">quality, redactions, and partial digitisations; document-preprocessing</w:t>
      </w:r>
      <w:r>
        <w:t xml:space="preserve"> </w:t>
      </w:r>
      <w:r>
        <w:t xml:space="preserve">quality is the primary performance ceiling, set before any extraction</w:t>
      </w:r>
      <w:r>
        <w:t xml:space="preserve"> </w:t>
      </w:r>
      <w:r>
        <w:t xml:space="preserve">architecture is invoked. CUAD’s one-to-one (contract, category) framing</w:t>
      </w:r>
      <w:r>
        <w:t xml:space="preserve"> </w:t>
      </w:r>
      <w:r>
        <w:t xml:space="preserve">also omits the retrieve-then-extract pipeline production reviewers actually</w:t>
      </w:r>
      <w:r>
        <w:t xml:space="preserve"> </w:t>
      </w:r>
      <w:r>
        <w:t xml:space="preserve">run — which contracts contain uncapped liability across the repository?</w:t>
      </w:r>
      <w:r>
        <w:t xml:space="preserve"> </w:t>
      </w:r>
      <w:r>
        <w:t xml:space="preserve">The classification-gate cascade (Section </w:t>
      </w:r>
      <w:hyperlink w:anchor="sec:disc:cascade">
        <w:r>
          <w:rPr>
            <w:rStyle w:val="Hyperlink"/>
          </w:rPr>
          <w:t xml:space="preserve">7.2</w:t>
        </w:r>
      </w:hyperlink>
      <w:r>
        <w:t xml:space="preserve">) is the</w:t>
      </w:r>
      <w:r>
        <w:t xml:space="preserve"> </w:t>
      </w:r>
      <w:r>
        <w:t xml:space="preserve">single-contract analogue of that retrieval failure: the same</w:t>
      </w:r>
      <w:r>
        <w:t xml:space="preserve"> </w:t>
      </w:r>
      <w:r>
        <w:t xml:space="preserve">upstream-rejection dynamics that suppress M0 recall on Gemini 2.5 will</w:t>
      </w:r>
      <w:r>
        <w:t xml:space="preserve"> </w:t>
      </w:r>
      <w:r>
        <w:t xml:space="preserve">plausibly suppress retrieval-extraction recall in production.</w:t>
      </w:r>
    </w:p>
    <w:p>
      <w:pPr>
        <w:pStyle w:val="Heading5"/>
      </w:pPr>
      <w:bookmarkStart w:id="156" w:name="X6c228907916e84e0504a13c732d70b82504a9eb"/>
      <w:r>
        <w:t xml:space="preserve">Open taxonomies and cross-contract reasoning are unmodelled.</w:t>
      </w:r>
      <w:bookmarkEnd w:id="156"/>
    </w:p>
    <w:p>
      <w:pPr>
        <w:pStyle w:val="FirstParagraph"/>
      </w:pPr>
      <w:r>
        <w:t xml:space="preserve">CUAD’s forty-one categories cover general commercial provisions; construction</w:t>
      </w:r>
      <w:r>
        <w:t xml:space="preserve"> </w:t>
      </w:r>
      <w:r>
        <w:t xml:space="preserve">contracts (variation orders, retention, defects liability), SaaS agreements</w:t>
      </w:r>
      <w:r>
        <w:t xml:space="preserve"> </w:t>
      </w:r>
      <w:r>
        <w:t xml:space="preserve">(SLA penalties, sub-processor notice), and jurisdictional clause variants</w:t>
      </w:r>
      <w:r>
        <w:t xml:space="preserve"> </w:t>
      </w:r>
      <w:r>
        <w:t xml:space="preserve">do not map cleanly onto the schema. The fixed three-domain specialist</w:t>
      </w:r>
      <w:r>
        <w:t xml:space="preserve"> </w:t>
      </w:r>
      <w:r>
        <w:t xml:space="preserve">partition tested here (M1, M2) is not extensible to an open taxonomy without</w:t>
      </w:r>
      <w:r>
        <w:t xml:space="preserve"> </w:t>
      </w:r>
      <w:r>
        <w:t xml:space="preserve">re-routing. Cross-contract questions — consistency of liability caps</w:t>
      </w:r>
      <w:r>
        <w:t xml:space="preserve"> </w:t>
      </w:r>
      <w:r>
        <w:t xml:space="preserve">across vendor agreements; impact analysis on a counterparty acquisition —</w:t>
      </w:r>
      <w:r>
        <w:t xml:space="preserve"> </w:t>
      </w:r>
      <w:r>
        <w:t xml:space="preserve">require portfolio-level orchestration over per-contract agents that no</w:t>
      </w:r>
      <w:r>
        <w:t xml:space="preserve"> </w:t>
      </w:r>
      <w:r>
        <w:t xml:space="preserve">public benchmark currently evaluates and that this thesis identifies as</w:t>
      </w:r>
      <w:r>
        <w:t xml:space="preserve"> </w:t>
      </w:r>
      <w:r>
        <w:t xml:space="preserve">future work (Section </w:t>
      </w:r>
      <w:hyperlink w:anchor="sec:concl:outlook">
        <w:r>
          <w:rPr>
            <w:rStyle w:val="Hyperlink"/>
          </w:rPr>
          <w:t xml:space="preserve">8.4</w:t>
        </w:r>
      </w:hyperlink>
      <w:r>
        <w:t xml:space="preserve">).</w:t>
      </w:r>
    </w:p>
    <w:p>
      <w:pPr>
        <w:pStyle w:val="Heading5"/>
      </w:pPr>
      <w:bookmarkStart w:id="157" w:name="trace-primitives-under-no-ground-truth."/>
      <w:r>
        <w:t xml:space="preserve">Trace primitives under no ground truth.</w:t>
      </w:r>
      <w:bookmarkEnd w:id="157"/>
    </w:p>
    <w:p>
      <w:pPr>
        <w:pStyle w:val="FirstParagraph"/>
      </w:pPr>
      <w:r>
        <w:t xml:space="preserve">A production deployment cannot compute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Jaccard, or</w:t>
      </w:r>
      <w:r>
        <w:t xml:space="preserve"> </w:t>
      </w:r>
      <m:oMath>
        <m:r>
          <m:t>ω</m:t>
        </m:r>
      </m:oMath>
      <w:r>
        <w:t xml:space="preserve">;</w:t>
      </w:r>
      <w:r>
        <w:t xml:space="preserve"> </w:t>
      </w:r>
      <w:r>
        <w:t xml:space="preserve">evaluation proceeds through user feedback, spot-checking, and exception</w:t>
      </w:r>
      <w:r>
        <w:t xml:space="preserve"> </w:t>
      </w:r>
      <w:r>
        <w:t xml:space="preserve">triage. The single architectural property the benchmark does measure that</w:t>
      </w:r>
      <w:r>
        <w:t xml:space="preserve"> </w:t>
      </w:r>
      <w:r>
        <w:t xml:space="preserve">production review cannot reproduce from a single-agent system is</w:t>
      </w:r>
      <w:r>
        <w:t xml:space="preserve"> </w:t>
      </w:r>
      <w:r>
        <w:t xml:space="preserve">schema-enforced grounding: ’s</w:t>
      </w:r>
      <w:r>
        <w:t xml:space="preserve"> </w:t>
      </w:r>
      <m:oMath>
        <m:r>
          <m:t>1.000</m:t>
        </m:r>
      </m:oMath>
      <w:r>
        <w:t xml:space="preserve"> </w:t>
      </w:r>
      <w:r>
        <w:t xml:space="preserve">verbatim-citation rate on every</w:t>
      </w:r>
      <w:r>
        <w:t xml:space="preserve"> </w:t>
      </w:r>
      <w:r>
        <w:t xml:space="preserve">predicted clause (Table </w:t>
      </w:r>
      <w:hyperlink w:anchor="tab:grounding">
        <w:r>
          <w:rPr>
            <w:rStyle w:val="Hyperlink"/>
          </w:rPr>
          <w:t xml:space="preserve">6.9</w:t>
        </w:r>
      </w:hyperlink>
      <w:r>
        <w:t xml:space="preserve">, predicted-clause column) versus</w:t>
      </w:r>
      <w:r>
        <w:t xml:space="preserve"> </w:t>
      </w:r>
      <m:oMath>
        <m:r>
          <m:t>0.543</m:t>
        </m:r>
      </m:oMath>
      <w:r>
        <w:t xml:space="preserve"> </w:t>
      </w:r>
      <w:r>
        <w:t xml:space="preserve">for  and</w:t>
      </w:r>
      <w:r>
        <w:t xml:space="preserve"> </w:t>
      </w:r>
      <m:oMath>
        <m:r>
          <m:t>0.415</m:t>
        </m:r>
      </m:oMath>
      <w:r>
        <w:t xml:space="preserve"> </w:t>
      </w:r>
      <w:r>
        <w:t xml:space="preserve">for  means that under M1, every emitted</w:t>
      </w:r>
      <w:r>
        <w:t xml:space="preserve"> </w:t>
      </w:r>
      <w:r>
        <w:t xml:space="preserve">span is locatable in the source contract by exact string match, and under</w:t>
      </w:r>
      <w:r>
        <w:t xml:space="preserve"> </w:t>
      </w:r>
      <w:r>
        <w:t xml:space="preserve">B0/M2 roughly half are paraphrased or hallucinated. This is the one</w:t>
      </w:r>
      <w:r>
        <w:t xml:space="preserve"> </w:t>
      </w:r>
      <w:r>
        <w:t xml:space="preserve">auditability finding the benchmark supports without auxiliary measurement,</w:t>
      </w:r>
      <w:r>
        <w:t xml:space="preserve"> </w:t>
      </w:r>
      <w:r>
        <w:t xml:space="preserve">and is the measured basis for preferring a multi-agent topology in deployments</w:t>
      </w:r>
      <w:r>
        <w:t xml:space="preserve"> </w:t>
      </w:r>
      <w:r>
        <w:t xml:space="preserve">where extraction provenance is a regulatory or contractual requirement</w:t>
      </w:r>
      <w:r>
        <w:t xml:space="preserve"> </w:t>
      </w:r>
      <w:r>
        <w:t xml:space="preserve">(EU AI Act Art. 13 [euaiact2024], GDPR Art. 22 [gdpr2016]).</w:t>
      </w:r>
      <w:r>
        <w:t xml:space="preserve"> </w:t>
      </w:r>
      <w:r>
        <w:t xml:space="preserve">On grounding (the one production-relevant axis the benchmark does measure),</w:t>
      </w:r>
      <w:r>
        <w:t xml:space="preserve"> </w:t>
      </w:r>
      <w:r>
        <w:t xml:space="preserve">multi-agent dominates (Table </w:t>
      </w:r>
      <w:hyperlink w:anchor="tab:grounding">
        <w:r>
          <w:rPr>
            <w:rStyle w:val="Hyperlink"/>
          </w:rPr>
          <w:t xml:space="preserve">6.9</w:t>
        </w:r>
      </w:hyperlink>
      <w:r>
        <w:t xml:space="preserve">).</w:t>
      </w:r>
    </w:p>
    <w:p>
      <w:pPr>
        <w:pStyle w:val="Heading1"/>
      </w:pPr>
      <w:bookmarkStart w:id="158" w:name="chapter:conclusion"/>
      <w:r>
        <w:t xml:space="preserve">Conclusion</w:t>
      </w:r>
      <w:bookmarkEnd w:id="158"/>
    </w:p>
    <w:p>
      <w:pPr>
        <w:pStyle w:val="FirstParagraph"/>
      </w:pPr>
      <w:r>
        <w:t xml:space="preserve">Model identity dominates architectural choice: switching configurations moves pooled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 at most</w:t>
      </w:r>
      <w:r>
        <w:t xml:space="preserve"> </w:t>
      </w:r>
      <m:oMath>
        <m:r>
          <m:t>0.011</m:t>
        </m:r>
      </m:oMath>
      <w:r>
        <w:t xml:space="preserve"> </w:t>
      </w:r>
      <w:r>
        <w:t xml:space="preserve">points, while moving across the model panel moves it by</w:t>
      </w:r>
      <w:r>
        <w:t xml:space="preserve"> </w:t>
      </w:r>
      <m:oMath>
        <m:r>
          <m:t>≈</m:t>
        </m:r>
        <m:r>
          <m:t>0.4</m:t>
        </m:r>
      </m:oMath>
      <w:r>
        <w:t xml:space="preserve">; the family</w:t>
      </w:r>
      <w:r>
        <w:t xml:space="preserve"> </w:t>
      </w:r>
      <m:oMath>
        <m:r>
          <m:t>×</m:t>
        </m:r>
      </m:oMath>
      <w:r>
        <w:t xml:space="preserve"> </w:t>
      </w:r>
      <w:r>
        <w:t xml:space="preserve">configuration interaction explains the residual.</w:t>
      </w:r>
    </w:p>
    <w:p>
      <w:pPr>
        <w:pStyle w:val="Heading2"/>
      </w:pPr>
      <w:bookmarkStart w:id="159" w:name="sec:concl:contributions"/>
      <w:r>
        <w:t xml:space="preserve">Summary of Contributions</w:t>
      </w:r>
      <w:bookmarkEnd w:id="159"/>
    </w:p>
    <w:p>
      <w:pPr>
        <w:pStyle w:val="FirstParagraph"/>
      </w:pPr>
      <w:r>
        <w:t xml:space="preserve">This thesis evaluated five architectural configurations against eleven</w:t>
      </w:r>
      <w:r>
        <w:t xml:space="preserve"> </w:t>
      </w:r>
      <w:r>
        <w:t xml:space="preserve">frontier proprietary LLMs on the 102-contract CUAD test split, producing</w:t>
      </w:r>
      <w:r>
        <w:t xml:space="preserve"> </w:t>
      </w:r>
      <w:r>
        <w:t xml:space="preserve">163</w:t>
      </w:r>
      <w:r>
        <w:t xml:space="preserve">,</w:t>
      </w:r>
      <w:r>
        <w:t xml:space="preserve">644 paired sample-level predictions analysed under a controlled</w:t>
      </w:r>
      <w:r>
        <w:t xml:space="preserve"> </w:t>
      </w:r>
      <w:r>
        <w:t xml:space="preserve">statistical pipeline. The four contributions stated in</w:t>
      </w:r>
      <w:r>
        <w:t xml:space="preserve"> </w:t>
      </w:r>
      <w:r>
        <w:t xml:space="preserve">Chapter </w:t>
      </w:r>
      <w:hyperlink w:anchor="chapter:introduction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are restated here with pointers to the</w:t>
      </w:r>
      <w:r>
        <w:t xml:space="preserve"> </w:t>
      </w:r>
      <w:r>
        <w:t xml:space="preserve">evidence that supports them.</w:t>
      </w:r>
    </w:p>
    <w:p>
      <w:pPr>
        <w:pStyle w:val="Heading5"/>
      </w:pPr>
      <w:bookmarkStart w:id="160" w:name="c1-cross-architecture-benchmark."/>
      <w:r>
        <w:t xml:space="preserve">C1 — Cross-architecture benchmark.</w:t>
      </w:r>
      <w:bookmarkEnd w:id="160"/>
    </w:p>
    <w:p>
      <w:pPr>
        <w:pStyle w:val="FirstParagraph"/>
      </w:pPr>
      <w:r>
        <w:t xml:space="preserve">A cross-family cross-architecture comparison on CUAD at this scale:</w:t>
      </w:r>
      <w:r>
        <w:t xml:space="preserve"> </w:t>
      </w:r>
      <w:r>
        <w:t xml:space="preserve">five architectural configurations, eleven frontier models, 55 official runs,</w:t>
      </w:r>
      <w:r>
        <w:t xml:space="preserve"> </w:t>
      </w:r>
      <w:r>
        <w:t xml:space="preserve">analysed with paired McNemar exact tests, paired bootstrap confidence</w:t>
      </w:r>
      <w:r>
        <w:t xml:space="preserve"> </w:t>
      </w:r>
      <w:r>
        <w:t xml:space="preserve">intervals, and Benjamini–Hochberg correction. The benchmark, prompt</w:t>
      </w:r>
      <w:r>
        <w:t xml:space="preserve"> </w:t>
      </w:r>
      <w:r>
        <w:t xml:space="preserve">registry, run artefacts, and statistical pipeline are released as</w:t>
      </w:r>
      <w:r>
        <w:t xml:space="preserve"> </w:t>
      </w:r>
      <w:r>
        <w:t xml:space="preserve">open source at</w:t>
      </w:r>
      <w:r>
        <w:t xml:space="preserve"> </w:t>
      </w:r>
      <w:hyperlink r:id="rId27">
        <w:r>
          <w:rPr>
            <w:rStyle w:val="Hyperlink"/>
          </w:rPr>
          <w:t xml:space="preserve">https://github.com/ndtrung00/agentic-ai-for-clm</w:t>
        </w:r>
      </w:hyperlink>
      <w:r>
        <w:t xml:space="preserve"> </w:t>
      </w:r>
      <w:r>
        <w:t xml:space="preserve">(Section </w:t>
      </w:r>
      <w:hyperlink w:anchor="sec:sys:opensource">
        <w:r>
          <w:rPr>
            <w:rStyle w:val="Hyperlink"/>
          </w:rPr>
          <w:t xml:space="preserve">5.7.0.0.5</w:t>
        </w:r>
      </w:hyperlink>
      <w:r>
        <w:t xml:space="preserve">).</w:t>
      </w:r>
    </w:p>
    <w:p>
      <w:pPr>
        <w:pStyle w:val="Heading5"/>
      </w:pPr>
      <w:bookmarkStart w:id="161" w:name="c2-capability-tier-gradient."/>
      <w:r>
        <w:t xml:space="preserve">C2 — Capability-tier gradient.</w:t>
      </w:r>
      <w:bookmarkEnd w:id="161"/>
    </w:p>
    <w:p>
      <w:pPr>
        <w:pStyle w:val="FirstParagraph"/>
      </w:pPr>
      <w:r>
        <w:t xml:space="preserve">Architectural ranking is not constant across the model panel. Pooled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across the five configurations spans a</w:t>
      </w:r>
      <w:r>
        <w:t xml:space="preserve"> </w:t>
      </w:r>
      <m:oMath>
        <m:r>
          <m:t>0.011</m:t>
        </m:r>
      </m:oMath>
      <w:r>
        <w:t xml:space="preserve">-point band and per-model</w:t>
      </w:r>
      <w:r>
        <w:t xml:space="preserve"> </w:t>
      </w:r>
      <w:r>
        <w:t xml:space="preserve">winners are split four ways (Table </w:t>
      </w:r>
      <w:hyperlink w:anchor="tab:h1-f2">
        <w:r>
          <w:rPr>
            <w:rStyle w:val="Hyperlink"/>
          </w:rPr>
          <w:t xml:space="preserve">6.3</w:t>
        </w:r>
      </w:hyperlink>
      <w:r>
        <w:t xml:space="preserve">). The capability-tier</w:t>
      </w:r>
      <w:r>
        <w:t xml:space="preserve"> </w:t>
      </w:r>
      <w:r>
        <w:t xml:space="preserve">breakdown (Figure </w:t>
      </w:r>
      <w:hyperlink w:anchor="fig:tier-heatmap">
        <w:r>
          <w:rPr>
            <w:rStyle w:val="Hyperlink"/>
          </w:rPr>
          <w:t xml:space="preserve">[fig:tier-heatmap]</w:t>
        </w:r>
      </w:hyperlink>
      <w:r>
        <w:t xml:space="preserve">) reveals the gradient: light- and</w:t>
      </w:r>
      <w:r>
        <w:t xml:space="preserve"> </w:t>
      </w:r>
      <w:r>
        <w:t xml:space="preserve">mid-tier models gain from ’s (M0) calibration; heavy-tier models are</w:t>
      </w:r>
      <w:r>
        <w:t xml:space="preserve"> </w:t>
      </w:r>
      <w:r>
        <w:t xml:space="preserve">dominated by  (B0). No architecture is universally optimal across the eleven-model</w:t>
      </w:r>
      <w:r>
        <w:t xml:space="preserve"> </w:t>
      </w:r>
      <w:r>
        <w:t xml:space="preserve">frontier-proprietary panel evaluated here; the choice is conditional on</w:t>
      </w:r>
      <w:r>
        <w:t xml:space="preserve"> </w:t>
      </w:r>
      <w:r>
        <w:t xml:space="preserve">model family, capability tier, and the chosen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F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metric.</w:t>
      </w:r>
    </w:p>
    <w:p>
      <w:pPr>
        <w:pStyle w:val="Heading5"/>
      </w:pPr>
      <w:bookmarkStart w:id="162" w:name="c3-classification-gate-cascade."/>
      <w:r>
        <w:t xml:space="preserve">C3 — Classification-gate cascade.</w:t>
      </w:r>
      <w:bookmarkEnd w:id="162"/>
    </w:p>
    <w:p>
      <w:pPr>
        <w:pStyle w:val="FirstParagraph"/>
      </w:pPr>
      <w:r>
        <w:t xml:space="preserve">The pipeline-decomposition pattern (, M0) suffers a recall–precision</w:t>
      </w:r>
      <w:r>
        <w:t xml:space="preserve"> </w:t>
      </w:r>
      <w:r>
        <w:t xml:space="preserve">exchange mediated by the classification gate. On Gemini 2.5 Flash and Pro,</w:t>
      </w:r>
      <w:r>
        <w:t xml:space="preserve"> </w:t>
      </w:r>
      <m:oMath>
        <m:r>
          <m:t>97.8</m:t>
        </m:r>
      </m:oMath>
      <w:r>
        <w:t xml:space="preserve">–</w:t>
      </w:r>
      <m:oMath>
        <m:r>
          <m:t>97.9</m:t>
        </m:r>
        <m:r>
          <m:t>%</m:t>
        </m:r>
      </m:oMath>
      <w:r>
        <w:t xml:space="preserve"> </w:t>
      </w:r>
      <w:r>
        <w:t xml:space="preserve">of M0 false negatives originate at the gate rather than at</w:t>
      </w:r>
      <w:r>
        <w:t xml:space="preserve"> </w:t>
      </w:r>
      <w:r>
        <w:t xml:space="preserve">the extractor (Table </w:t>
      </w:r>
      <w:hyperlink w:anchor="tab:cascade">
        <w:r>
          <w:rPr>
            <w:rStyle w:val="Hyperlink"/>
          </w:rPr>
          <w:t xml:space="preserve">6.7</w:t>
        </w:r>
      </w:hyperlink>
      <w:r>
        <w:t xml:space="preserve">). The exchange’s direction is</w:t>
      </w:r>
      <w:r>
        <w:t xml:space="preserve"> </w:t>
      </w:r>
      <w:r>
        <w:t xml:space="preserve">predictable from a single-agent calibration pass: models with high  (B0) over-extraction lose recall to the gate; models with low B0 over-extraction</w:t>
      </w:r>
      <w:r>
        <w:t xml:space="preserve"> </w:t>
      </w:r>
      <w:r>
        <w:t xml:space="preserve">gain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 it. Section </w:t>
      </w:r>
      <w:hyperlink w:anchor="sec:disc:cascade">
        <w:r>
          <w:rPr>
            <w:rStyle w:val="Hyperlink"/>
          </w:rPr>
          <w:t xml:space="preserve">7.2</w:t>
        </w:r>
      </w:hyperlink>
      <w:r>
        <w:t xml:space="preserve"> </w:t>
      </w:r>
      <w:r>
        <w:t xml:space="preserve">formalises the heuristic</w:t>
      </w:r>
      <w:r>
        <w:t xml:space="preserve"> </w:t>
      </w:r>
      <w:r>
        <w:t xml:space="preserve">and connects it to the inter-agent verification gap taxonomy of</w:t>
      </w:r>
      <w:r>
        <w:t xml:space="preserve"> </w:t>
      </w:r>
      <w:r>
        <w:t xml:space="preserve">cemri2025why.</w:t>
      </w:r>
    </w:p>
    <w:p>
      <w:pPr>
        <w:pStyle w:val="Heading5"/>
      </w:pPr>
      <w:bookmarkStart w:id="163" w:name="X3fe5e241aeaa7a7b81ac576c07d040d76b5bb13"/>
      <w:r>
        <w:t xml:space="preserve">C4 — Routing redundancy with span-quality and grounding tradeoffs.</w:t>
      </w:r>
      <w:bookmarkEnd w:id="163"/>
    </w:p>
    <w:p>
      <w:pPr>
        <w:pStyle w:val="FirstParagraph"/>
      </w:pPr>
      <w:r>
        <w:t xml:space="preserve">The LLM router agreed with a deterministic category-to-specialist dictionary</w:t>
      </w:r>
      <w:r>
        <w:t xml:space="preserve"> </w:t>
      </w:r>
      <w:r>
        <w:t xml:space="preserve">on</w:t>
      </w:r>
      <w:r>
        <w:t xml:space="preserve"> </w:t>
      </w:r>
      <m:oMath>
        <m:r>
          <m:t>99.91</m:t>
        </m:r>
        <m:r>
          <m:t>%</m:t>
        </m:r>
      </m:oMath>
      <w:r>
        <w:t xml:space="preserve"> </w:t>
      </w:r>
      <w:r>
        <w:t xml:space="preserve">of requests across the panel and on</w:t>
      </w:r>
      <w:r>
        <w:t xml:space="preserve"> </w:t>
      </w:r>
      <m:oMath>
        <m:r>
          <m:t>100</m:t>
        </m:r>
        <m:r>
          <m:t>%</m:t>
        </m:r>
      </m:oMath>
      <w:r>
        <w:t xml:space="preserve"> </w:t>
      </w:r>
      <w:r>
        <w:t xml:space="preserve">for ten of eleven</w:t>
      </w:r>
      <w:r>
        <w:t xml:space="preserve"> </w:t>
      </w:r>
      <w:r>
        <w:t xml:space="preserve">models.  (M2) matches  (M1) 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pooled to three decimals</w:t>
      </w:r>
      <w:r>
        <w:t xml:space="preserve"> </w:t>
      </w:r>
      <w:r>
        <w:t xml:space="preserve">and produces tighter spans (Jaccard</w:t>
      </w:r>
      <w:r>
        <w:t xml:space="preserve"> </w:t>
      </w:r>
      <m:oMath>
        <m:r>
          <m:t>+</m:t>
        </m:r>
        <m:r>
          <m:t>0.071</m:t>
        </m:r>
      </m:oMath>
      <w:r>
        <w:t xml:space="preserve"> </w:t>
      </w:r>
      <w:r>
        <w:t xml:space="preserve">on ten of eleven models;</w:t>
      </w:r>
      <w:r>
        <w:t xml:space="preserve"> </w:t>
      </w:r>
      <w:r>
        <w:t xml:space="preserve">Table </w:t>
      </w:r>
      <w:hyperlink w:anchor="tab:h3">
        <w:r>
          <w:rPr>
            <w:rStyle w:val="Hyperlink"/>
          </w:rPr>
          <w:t xml:space="preserve">6.6</w:t>
        </w:r>
      </w:hyperlink>
      <w:r>
        <w:t xml:space="preserve">). The architectural advantage that does survive ablation</w:t>
      </w:r>
      <w:r>
        <w:t xml:space="preserve"> </w:t>
      </w:r>
      <w:r>
        <w:t xml:space="preserve">is grounding: ’s schema-enforced specialist output achieves</w:t>
      </w:r>
      <w:r>
        <w:t xml:space="preserve"> </w:t>
      </w:r>
      <m:oMath>
        <m:r>
          <m:t>100</m:t>
        </m:r>
        <m:r>
          <m:t>%</m:t>
        </m:r>
      </m:oMath>
      <w:r>
        <w:t xml:space="preserve"> </w:t>
      </w:r>
      <w:r>
        <w:t xml:space="preserve">verbatim citation of contract text on every predicted clause, against</w:t>
      </w:r>
      <w:r>
        <w:t xml:space="preserve"> </w:t>
      </w:r>
      <m:oMath>
        <m:r>
          <m:t>54</m:t>
        </m:r>
        <m:r>
          <m:t>%</m:t>
        </m:r>
      </m:oMath>
      <w:r>
        <w:t xml:space="preserve"> </w:t>
      </w:r>
      <w:r>
        <w:t xml:space="preserve">for  and</w:t>
      </w:r>
      <w:r>
        <w:t xml:space="preserve"> </w:t>
      </w:r>
      <m:oMath>
        <m:r>
          <m:t>42</m:t>
        </m:r>
        <m:r>
          <m:t>%</m:t>
        </m:r>
      </m:oMath>
      <w:r>
        <w:t xml:space="preserve"> </w:t>
      </w:r>
      <w:r>
        <w:t xml:space="preserve">for  (Table </w:t>
      </w:r>
      <w:hyperlink w:anchor="tab:grounding">
        <w:r>
          <w:rPr>
            <w:rStyle w:val="Hyperlink"/>
          </w:rPr>
          <w:t xml:space="preserve">6.9</w:t>
        </w:r>
      </w:hyperlink>
      <w:r>
        <w:t xml:space="preserve">). The</w:t>
      </w:r>
      <w:r>
        <w:t xml:space="preserve"> </w:t>
      </w:r>
      <w:r>
        <w:t xml:space="preserve">LLM-mediated routing call adds orchestrator cost without measurable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benefit, but the specialist scaffold to which the router dispatches carries</w:t>
      </w:r>
      <w:r>
        <w:t xml:space="preserve"> </w:t>
      </w:r>
      <w:r>
        <w:t xml:space="preserve">the auditability surplus.</w:t>
      </w:r>
    </w:p>
    <w:p>
      <w:pPr>
        <w:pStyle w:val="Heading2"/>
      </w:pPr>
      <w:bookmarkStart w:id="164" w:name="sec:concl:rqs"/>
      <w:r>
        <w:t xml:space="preserve">Answers to the Research Questions</w:t>
      </w:r>
      <w:bookmarkEnd w:id="164"/>
    </w:p>
    <w:p>
      <w:pPr>
        <w:pStyle w:val="Heading5"/>
      </w:pPr>
      <w:bookmarkStart w:id="165" w:name="main-rq."/>
      <w:r>
        <w:t xml:space="preserve">Main RQ.</w:t>
      </w:r>
      <w:bookmarkEnd w:id="165"/>
    </w:p>
    <w:p>
      <w:pPr>
        <w:pStyle w:val="FirstParagraph"/>
      </w:pPr>
      <w:r>
        <w:rPr>
          <w:i/>
        </w:rPr>
        <w:t xml:space="preserve">Can a multi-agent framework improve contract clause extraction accuracy</w:t>
      </w:r>
      <w:r>
        <w:rPr>
          <w:i/>
        </w:rPr>
        <w:t xml:space="preserve"> </w:t>
      </w:r>
      <w:r>
        <w:rPr>
          <w:i/>
        </w:rPr>
        <w:t xml:space="preserve">beyond single-agent baselines while providing superior explainability?</w:t>
      </w:r>
      <w:r>
        <w:t xml:space="preserve"> </w:t>
      </w:r>
      <w:r>
        <w:t xml:space="preserve">On accuracy (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), multi-agent decomposition is dominated at the pooled</w:t>
      </w:r>
      <w:r>
        <w:t xml:space="preserve"> </w:t>
      </w:r>
      <w:r>
        <w:t xml:space="preserve">level by  (B0), and conditionally improves only on the</w:t>
      </w:r>
      <w:r>
        <w:t xml:space="preserve"> </w:t>
      </w:r>
      <w:r>
        <w:t xml:space="preserve">OpenAI family and on lighter capability tiers. On efficiency</w:t>
      </w:r>
      <w:r>
        <w:t xml:space="preserve"> </w:t>
      </w:r>
      <w:r>
        <w:t xml:space="preserve">(cost-adjusted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), multi-agent configurations are Pareto-dominated by B0</w:t>
      </w:r>
      <w:r>
        <w:t xml:space="preserve"> </w:t>
      </w:r>
      <w:r>
        <w:t xml:space="preserve">deployments on cheaper models (Figure </w:t>
      </w:r>
      <w:hyperlink w:anchor="fig:pareto">
        <w:r>
          <w:rPr>
            <w:rStyle w:val="Hyperlink"/>
          </w:rPr>
          <w:t xml:space="preserve">[fig:pareto]</w:t>
        </w:r>
      </w:hyperlink>
      <w:r>
        <w:t xml:space="preserve">). On explainability,</w:t>
      </w:r>
      <w:r>
        <w:t xml:space="preserve"> </w:t>
      </w:r>
      <w:r>
        <w:t xml:space="preserve">the pipeline (, M0) and routed-specialist (, M1) topologies</w:t>
      </w:r>
      <w:r>
        <w:t xml:space="preserve"> </w:t>
      </w:r>
      <w:r>
        <w:t xml:space="preserve">produce the trace primitives that production review needs</w:t>
      </w:r>
      <w:r>
        <w:t xml:space="preserve"> </w:t>
      </w:r>
      <w:r>
        <w:t xml:space="preserve">(Section </w:t>
      </w:r>
      <w:hyperlink w:anchor="sec:auditability">
        <w:r>
          <w:rPr>
            <w:rStyle w:val="Hyperlink"/>
          </w:rPr>
          <w:t xml:space="preserve">[sec:auditability]</w:t>
        </w:r>
      </w:hyperlink>
      <w:r>
        <w:t xml:space="preserve">), which is the axis on which the practitioner</w:t>
      </w:r>
      <w:r>
        <w:t xml:space="preserve"> </w:t>
      </w:r>
      <w:r>
        <w:t xml:space="preserve">argument for multi-agent architectures rests</w:t>
      </w:r>
      <w:r>
        <w:t xml:space="preserve"> </w:t>
      </w:r>
      <w:r>
        <w:t xml:space="preserve">(Section </w:t>
      </w:r>
      <w:hyperlink w:anchor="sec:disc:practitioner">
        <w:r>
          <w:rPr>
            <w:rStyle w:val="Hyperlink"/>
          </w:rPr>
          <w:t xml:space="preserve">7.5</w:t>
        </w:r>
      </w:hyperlink>
      <w:r>
        <w:t xml:space="preserve">).</w:t>
      </w:r>
    </w:p>
    <w:p>
      <w:pPr>
        <w:pStyle w:val="Heading5"/>
      </w:pPr>
      <w:bookmarkStart w:id="166" w:name="rq1-architectural-pattern-by-condition."/>
      <w:r>
        <w:t xml:space="preserve">RQ1 — Architectural pattern by condition.</w:t>
      </w:r>
      <w:bookmarkEnd w:id="166"/>
    </w:p>
    <w:p>
      <w:pPr>
        <w:pStyle w:val="FirstParagraph"/>
      </w:pPr>
      <w:r>
        <w:t xml:space="preserve">No pattern wins universally. Pooled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ranks  </w:t>
      </w:r>
      <m:oMath>
        <m:r>
          <m:t>&gt;</m:t>
        </m:r>
      </m:oMath>
      <w:r>
        <w:t xml:space="preserve"> </w:t>
      </w:r>
      <w:r>
        <w:t xml:space="preserve"> </w:t>
      </w:r>
      <m:oMath>
        <m:r>
          <m:t>&gt;</m:t>
        </m:r>
      </m:oMath>
      <w:r>
        <w:t xml:space="preserve"> </w:t>
      </w:r>
      <w:r>
        <w:t xml:space="preserve"> </w:t>
      </w:r>
      <m:oMath>
        <m:r>
          <m:t>&gt;</m:t>
        </m:r>
      </m:oMath>
      <w:r>
        <w:t xml:space="preserve"> </w:t>
      </w:r>
      <w:r>
        <w:t xml:space="preserve"> </w:t>
      </w:r>
      <m:oMath>
        <m:r>
          <m:t>≈</m:t>
        </m:r>
      </m:oMath>
      <w:r>
        <w:t xml:space="preserve"> </w:t>
      </w:r>
      <w:r>
        <w:t xml:space="preserve"> within a</w:t>
      </w:r>
      <w:r>
        <w:t xml:space="preserve"> </w:t>
      </w:r>
      <m:oMath>
        <m:r>
          <m:t>0.011</m:t>
        </m:r>
      </m:oMath>
      <w:r>
        <w:t xml:space="preserve">-point band. The</w:t>
      </w:r>
      <w:r>
        <w:t xml:space="preserve"> </w:t>
      </w:r>
      <w:r>
        <w:t xml:space="preserve">model-family interaction is the dominant signal: the Anthropic family peaks</w:t>
      </w:r>
      <w:r>
        <w:t xml:space="preserve"> </w:t>
      </w:r>
      <w:r>
        <w:t xml:space="preserve">under  (B1), the Google family under  (B0), and the OpenAI</w:t>
      </w:r>
      <w:r>
        <w:t xml:space="preserve"> </w:t>
      </w:r>
      <w:r>
        <w:t xml:space="preserve">family under  (M0). The prevalence-tier interaction is also large: M1</w:t>
      </w:r>
      <w:r>
        <w:t xml:space="preserve"> </w:t>
      </w:r>
      <w:r>
        <w:t xml:space="preserve">specialists lead on common-tier categories, M0 on moderate, and B0 on rare</w:t>
      </w:r>
      <w:r>
        <w:t xml:space="preserve"> </w:t>
      </w:r>
      <w:r>
        <w:t xml:space="preserve">(Figure </w:t>
      </w:r>
      <w:hyperlink w:anchor="fig:tier-winners">
        <w:r>
          <w:rPr>
            <w:rStyle w:val="Hyperlink"/>
          </w:rPr>
          <w:t xml:space="preserve">[fig:tier-winners]</w:t>
        </w:r>
      </w:hyperlink>
      <w:r>
        <w:t xml:space="preserve">). The capability-tier interaction completes the</w:t>
      </w:r>
      <w:r>
        <w:t xml:space="preserve"> </w:t>
      </w:r>
      <w:r>
        <w:t xml:space="preserve">picture:  helps light and mid models,  helps heavy models. The</w:t>
      </w:r>
      <w:r>
        <w:t xml:space="preserve"> </w:t>
      </w:r>
      <w:r>
        <w:t xml:space="preserve">answer to RQ1’s</w:t>
      </w:r>
      <w:r>
        <w:t xml:space="preserve"> </w:t>
      </w:r>
      <w:r>
        <w:t xml:space="preserve">“</w:t>
      </w:r>
      <w:r>
        <w:t xml:space="preserve">under what conditions</w:t>
      </w:r>
      <w:r>
        <w:t xml:space="preserve">”</w:t>
      </w:r>
      <w:r>
        <w:t xml:space="preserve"> </w:t>
      </w:r>
      <w:r>
        <w:t xml:space="preserve">clause is therefore: M0 is preferable</w:t>
      </w:r>
      <w:r>
        <w:t xml:space="preserve"> </w:t>
      </w:r>
      <w:r>
        <w:t xml:space="preserve">when the model is OpenAI-family or light-tier,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primary metric, and the practitioner accepts the</w:t>
      </w:r>
      <w:r>
        <w:t xml:space="preserve"> </w:t>
      </w:r>
      <m:oMath>
        <m:r>
          <m:t>1.67</m:t>
        </m:r>
        <m:r>
          <m:t>×</m:t>
        </m:r>
      </m:oMath>
      <w:r>
        <w:t xml:space="preserve"> </w:t>
      </w:r>
      <w:r>
        <w:t xml:space="preserve">cost premium.</w:t>
      </w:r>
    </w:p>
    <w:p>
      <w:pPr>
        <w:pStyle w:val="Heading5"/>
      </w:pPr>
      <w:bookmarkStart w:id="167" w:name="X1cc7310a8a7af1c51cc7a754f15119350675cbf"/>
      <w:r>
        <w:t xml:space="preserve">RQ2 — Multi-agent vs. single-agent on accuracy and cost.</w:t>
      </w:r>
      <w:bookmarkEnd w:id="167"/>
    </w:p>
    <w:p>
      <w:pPr>
        <w:pStyle w:val="FirstParagraph"/>
      </w:pPr>
      <w:r>
        <w:t xml:space="preserve">Multi-agent configurations carry mean cost premiums of</w:t>
      </w:r>
      <w:r>
        <w:t xml:space="preserve"> </w:t>
      </w:r>
      <m:oMath>
        <m:r>
          <m:t>1.23</m:t>
        </m:r>
        <m:r>
          <m:t>×</m:t>
        </m:r>
      </m:oMath>
      <w:r>
        <w:t xml:space="preserve"> </w:t>
      </w:r>
      <w:r>
        <w:t xml:space="preserve">(, M1) to</w:t>
      </w:r>
      <w:r>
        <w:t xml:space="preserve"> </w:t>
      </w:r>
      <m:oMath>
        <m:r>
          <m:t>1.67</m:t>
        </m:r>
        <m:r>
          <m:t>×</m:t>
        </m:r>
      </m:oMath>
      <w:r>
        <w:t xml:space="preserve"> </w:t>
      </w:r>
      <w:r>
        <w:t xml:space="preserve">(, M0) over  (B0) without</w:t>
      </w:r>
      <w:r>
        <w:t xml:space="preserve"> </w:t>
      </w:r>
      <w:r>
        <w:t xml:space="preserve">compensating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gains pooled across the panel.  occupies the Pareto</w:t>
      </w:r>
      <w:r>
        <w:t xml:space="preserve"> </w:t>
      </w:r>
      <w:r>
        <w:t xml:space="preserve">frontier at every cost level (Figure </w:t>
      </w:r>
      <w:hyperlink w:anchor="fig:pareto">
        <w:r>
          <w:rPr>
            <w:rStyle w:val="Hyperlink"/>
          </w:rPr>
          <w:t xml:space="preserve">[fig:pareto]</w:t>
        </w:r>
      </w:hyperlink>
      <w:r>
        <w:t xml:space="preserve">). The only multi-agent</w:t>
      </w:r>
      <w:r>
        <w:t xml:space="preserve"> </w:t>
      </w:r>
      <w:r>
        <w:t xml:space="preserve">cost premium that pays back in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terms is M0 on the OpenAI family, and</w:t>
      </w:r>
      <w:r>
        <w:t xml:space="preserve"> </w:t>
      </w:r>
      <w:r>
        <w:t xml:space="preserve">even that is dominated in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/$ by a B0 deployment on Gemini 2.5 Flash.</w:t>
      </w:r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  leads pooled and the premium is partially justified for</w:t>
      </w:r>
      <w:r>
        <w:t xml:space="preserve"> </w:t>
      </w:r>
      <w:r>
        <w:t xml:space="preserve">precision-critical deployments.</w:t>
      </w:r>
      <w:r>
        <w:t xml:space="preserve"> </w:t>
      </w:r>
      <w:r>
        <w:t xml:space="preserve">This Pareto-dominance result is conditional on per-call provider billing</w:t>
      </w:r>
      <w:r>
        <w:t xml:space="preserve"> </w:t>
      </w:r>
      <w:r>
        <w:t xml:space="preserve">without prompt caching. Caching, supported by every provider in the panel,</w:t>
      </w:r>
      <w:r>
        <w:t xml:space="preserve"> </w:t>
      </w:r>
      <w:r>
        <w:t xml:space="preserve">would shrink the M0/M1 premium toward the orchestrator-hop overhead alone</w:t>
      </w:r>
      <w:r>
        <w:t xml:space="preserve"> </w:t>
      </w:r>
      <w:r>
        <w:t xml:space="preserve">and may invert the frontier on long-contract repeated-category workloads</w:t>
      </w:r>
      <w:r>
        <w:t xml:space="preserve"> </w:t>
      </w:r>
      <w:r>
        <w:t xml:space="preserve">where the system prompt and contract text are amortised across many</w:t>
      </w:r>
      <w:r>
        <w:t xml:space="preserve"> </w:t>
      </w:r>
      <w:r>
        <w:t xml:space="preserve">extraction calls (Section </w:t>
      </w:r>
      <w:hyperlink w:anchor="sec:concl:outlook">
        <w:r>
          <w:rPr>
            <w:rStyle w:val="Hyperlink"/>
          </w:rPr>
          <w:t xml:space="preserve">8.4</w:t>
        </w:r>
      </w:hyperlink>
      <w:r>
        <w:t xml:space="preserve">); under that cost model, RQ2 is open.</w:t>
      </w:r>
    </w:p>
    <w:p>
      <w:pPr>
        <w:pStyle w:val="Heading5"/>
      </w:pPr>
      <w:bookmarkStart w:id="168" w:name="rq3-auditable-reasoning-traces."/>
      <w:r>
        <w:t xml:space="preserve">RQ3 — Auditable reasoning traces.</w:t>
      </w:r>
      <w:bookmarkEnd w:id="168"/>
    </w:p>
    <w:p>
      <w:pPr>
        <w:pStyle w:val="FirstParagraph"/>
      </w:pPr>
      <w:r>
        <w:t xml:space="preserve">The parent–child trace structure of  (M0) and  (M1) produces</w:t>
      </w:r>
      <w:r>
        <w:t xml:space="preserve"> </w:t>
      </w:r>
      <w:r>
        <w:t xml:space="preserve">decision attribution (routing decision, specialist extraction, validation</w:t>
      </w:r>
      <w:r>
        <w:t xml:space="preserve"> </w:t>
      </w:r>
      <w:r>
        <w:t xml:space="preserve">outcome) that  (B0) cannot (Section </w:t>
      </w:r>
      <w:hyperlink w:anchor="sec:auditability">
        <w:r>
          <w:rPr>
            <w:rStyle w:val="Hyperlink"/>
          </w:rPr>
          <w:t xml:space="preserve">[sec:auditability]</w:t>
        </w:r>
      </w:hyperlink>
      <w:r>
        <w:t xml:space="preserve">). Trace</w:t>
      </w:r>
      <w:r>
        <w:t xml:space="preserve"> </w:t>
      </w:r>
      <w:r>
        <w:t xml:space="preserve">completeness is</w:t>
      </w:r>
      <w:r>
        <w:t xml:space="preserve"> </w:t>
      </w:r>
      <m:oMath>
        <m:r>
          <m:t>100</m:t>
        </m:r>
        <m:r>
          <m:t>%</m:t>
        </m:r>
      </m:oMath>
      <w:r>
        <w:t xml:space="preserve"> </w:t>
      </w:r>
      <w:r>
        <w:t xml:space="preserve">on B0/B1/M2/M0 and</w:t>
      </w:r>
      <w:r>
        <w:t xml:space="preserve"> </w:t>
      </w:r>
      <m:oMath>
        <m:r>
          <m:t>95.2</m:t>
        </m:r>
        <m:r>
          <m:t>%</m:t>
        </m:r>
      </m:oMath>
      <w:r>
        <w:t xml:space="preserve"> </w:t>
      </w:r>
      <w:r>
        <w:t xml:space="preserve">on M1, with the residual</w:t>
      </w:r>
      <w:r>
        <w:t xml:space="preserve"> </w:t>
      </w:r>
      <m:oMath>
        <m:r>
          <m:t>4.8</m:t>
        </m:r>
        <m:r>
          <m:t>%</m:t>
        </m:r>
      </m:oMath>
      <w:r>
        <w:t xml:space="preserve"> </w:t>
      </w:r>
      <w:r>
        <w:t xml:space="preserve">attributable to provider-side truncation on long contracts</w:t>
      </w:r>
      <w:r>
        <w:t xml:space="preserve"> </w:t>
      </w:r>
      <w:r>
        <w:t xml:space="preserve">(Section </w:t>
      </w:r>
      <w:hyperlink w:anchor="sec:sys:trace-properties">
        <w:r>
          <w:rPr>
            <w:rStyle w:val="Hyperlink"/>
          </w:rPr>
          <w:t xml:space="preserve">5.6.0.0.2</w:t>
        </w:r>
      </w:hyperlink>
      <w:r>
        <w:t xml:space="preserve">). The trace structure is paired with</w:t>
      </w:r>
      <w:r>
        <w:t xml:space="preserve"> </w:t>
      </w:r>
      <w:r>
        <w:t xml:space="preserve">schema-enforced grounding:  reaches</w:t>
      </w:r>
      <w:r>
        <w:t xml:space="preserve"> </w:t>
      </w:r>
      <m:oMath>
        <m:r>
          <m:t>100</m:t>
        </m:r>
        <m:r>
          <m:t>%</m:t>
        </m:r>
      </m:oMath>
      <w:r>
        <w:t xml:space="preserve"> </w:t>
      </w:r>
      <w:r>
        <w:t xml:space="preserve">verbatim contract-text</w:t>
      </w:r>
      <w:r>
        <w:t xml:space="preserve"> </w:t>
      </w:r>
      <w:r>
        <w:t xml:space="preserve">citation on every predicted clause and  reaches</w:t>
      </w:r>
      <w:r>
        <w:t xml:space="preserve"> </w:t>
      </w:r>
      <m:oMath>
        <m:r>
          <m:t>89</m:t>
        </m:r>
        <m:r>
          <m:t>%</m:t>
        </m:r>
      </m:oMath>
      <w:r>
        <w:t xml:space="preserve">, against</w:t>
      </w:r>
      <w:r>
        <w:t xml:space="preserve"> </w:t>
      </w:r>
      <m:oMath>
        <m:r>
          <m:t>54</m:t>
        </m:r>
        <m:r>
          <m:t>%</m:t>
        </m:r>
      </m:oMath>
      <w:r>
        <w:t xml:space="preserve"> </w:t>
      </w:r>
      <w:r>
        <w:t xml:space="preserve">for  and</w:t>
      </w:r>
      <w:r>
        <w:t xml:space="preserve"> </w:t>
      </w:r>
      <m:oMath>
        <m:r>
          <m:t>42</m:t>
        </m:r>
        <m:r>
          <m:t>%</m:t>
        </m:r>
      </m:oMath>
      <w:r>
        <w:t xml:space="preserve"> </w:t>
      </w:r>
      <w:r>
        <w:t xml:space="preserve">for  (Table </w:t>
      </w:r>
      <w:hyperlink w:anchor="tab:grounding">
        <w:r>
          <w:rPr>
            <w:rStyle w:val="Hyperlink"/>
          </w:rPr>
          <w:t xml:space="preserve">6.9</w:t>
        </w:r>
      </w:hyperlink>
      <w:r>
        <w:t xml:space="preserve">).</w:t>
      </w:r>
    </w:p>
    <w:p>
      <w:pPr>
        <w:pStyle w:val="BodyText"/>
      </w:pPr>
      <w:r>
        <w:t xml:space="preserve">Three practitioner-relevant tradeoffs attend this auditability surplus.</w:t>
      </w:r>
      <w:r>
        <w:t xml:space="preserve"> </w:t>
      </w:r>
      <w:r>
        <w:rPr>
          <w:i/>
        </w:rPr>
        <w:t xml:space="preserve">Storage cost</w:t>
      </w:r>
      <w:r>
        <w:t xml:space="preserve"> </w:t>
      </w:r>
      <w:r>
        <w:t xml:space="preserve">scales approximately</w:t>
      </w:r>
      <w:r>
        <w:t xml:space="preserve"> </w:t>
      </w:r>
      <m:oMath>
        <m:r>
          <m:t>4</m:t>
        </m:r>
        <m:r>
          <m:t>×</m:t>
        </m:r>
      </m:oMath>
      <w:r>
        <w:t xml:space="preserve"> </w:t>
      </w:r>
      <w:r>
        <w:t xml:space="preserve">per M1 call (orchestrator</w:t>
      </w:r>
      <w:r>
        <w:t xml:space="preserve"> </w:t>
      </w:r>
      <w:r>
        <w:t xml:space="preserve">hop plus three specialist sub-prompts logged at inference time).</w:t>
      </w:r>
      <w:r>
        <w:t xml:space="preserve"> </w:t>
      </w:r>
      <w:r>
        <w:rPr>
          <w:i/>
        </w:rPr>
        <w:t xml:space="preserve">Attribution faithfulness</w:t>
      </w:r>
      <w:r>
        <w:t xml:space="preserve"> </w:t>
      </w:r>
      <w:r>
        <w:t xml:space="preserve">is bounded by the trace format: the record</w:t>
      </w:r>
      <w:r>
        <w:t xml:space="preserve"> </w:t>
      </w:r>
      <w:r>
        <w:t xml:space="preserve">is faithful to the call graph but does not certify the model’s internal</w:t>
      </w:r>
      <w:r>
        <w:t xml:space="preserve"> </w:t>
      </w:r>
      <w:r>
        <w:t xml:space="preserve">computation.</w:t>
      </w:r>
      <w:r>
        <w:t xml:space="preserve"> </w:t>
      </w:r>
      <w:r>
        <w:rPr>
          <w:i/>
        </w:rPr>
        <w:t xml:space="preserve">Routing redundancy</w:t>
      </w:r>
      <w:r>
        <w:t xml:space="preserve"> </w:t>
      </w:r>
      <w:r>
        <w:t xml:space="preserve">adds latency without decision</w:t>
      </w:r>
      <w:r>
        <w:t xml:space="preserve"> </w:t>
      </w:r>
      <w:r>
        <w:t xml:space="preserve">diversity: the</w:t>
      </w:r>
      <w:r>
        <w:t xml:space="preserve"> </w:t>
      </w:r>
      <m:oMath>
        <m:r>
          <m:t>99.91</m:t>
        </m:r>
        <m:r>
          <m:t>%</m:t>
        </m:r>
      </m:oMath>
      <w:r>
        <w:t xml:space="preserve"> </w:t>
      </w:r>
      <w:r>
        <w:t xml:space="preserve">deterministic routing result means the</w:t>
      </w:r>
      <w:r>
        <w:t xml:space="preserve"> </w:t>
      </w:r>
      <w:r>
        <w:t xml:space="preserve">orchestrator layer can be replaced by a static dictionary at zero LLM cost.</w:t>
      </w:r>
    </w:p>
    <w:p>
      <w:pPr>
        <w:pStyle w:val="Heading2"/>
      </w:pPr>
      <w:bookmarkStart w:id="169" w:name="sec:concl:limitations"/>
      <w:r>
        <w:t xml:space="preserve">Limitations</w:t>
      </w:r>
      <w:bookmarkEnd w:id="169"/>
    </w:p>
    <w:p>
      <w:pPr>
        <w:pStyle w:val="FirstParagraph"/>
      </w:pPr>
      <w:bookmarkStart w:id="170" w:name="sec:disc:threats"/>
      <w:r>
        <w:t xml:space="preserve">[sec:disc:threats]</w:t>
      </w:r>
      <w:bookmarkEnd w:id="170"/>
    </w:p>
    <w:p>
      <w:pPr>
        <w:pStyle w:val="BodyText"/>
      </w:pPr>
      <w:r>
        <w:t xml:space="preserve">The limitations below bound the generalisation of these findings; they</w:t>
      </w:r>
      <w:r>
        <w:t xml:space="preserve"> </w:t>
      </w:r>
      <w:r>
        <w:t xml:space="preserve">expand the threats formalised in Section </w:t>
      </w:r>
      <w:hyperlink w:anchor="sec:meth:threats">
        <w:r>
          <w:rPr>
            <w:rStyle w:val="Hyperlink"/>
          </w:rPr>
          <w:t xml:space="preserve">4.7</w:t>
        </w:r>
      </w:hyperlink>
      <w:r>
        <w:t xml:space="preserve">.</w:t>
      </w:r>
    </w:p>
    <w:p>
      <w:pPr>
        <w:pStyle w:val="Heading5"/>
      </w:pPr>
      <w:bookmarkStart w:id="171" w:name="single-benchmark."/>
      <w:r>
        <w:t xml:space="preserve">Single benchmark.</w:t>
      </w:r>
      <w:bookmarkEnd w:id="171"/>
    </w:p>
    <w:p>
      <w:pPr>
        <w:pStyle w:val="FirstParagraph"/>
      </w:pPr>
      <w:r>
        <w:t xml:space="preserve">The evaluation is on the 102-contract CUAD test split under the upsampled-positive</w:t>
      </w:r>
      <w:r>
        <w:t xml:space="preserve"> </w:t>
      </w:r>
      <w:r>
        <w:t xml:space="preserve">class distribution (Section </w:t>
      </w:r>
      <w:hyperlink w:anchor="sec:meth:sampling">
        <w:r>
          <w:rPr>
            <w:rStyle w:val="Hyperlink"/>
          </w:rPr>
          <w:t xml:space="preserve">4.2.0.0.1</w:t>
        </w:r>
      </w:hyperlink>
      <w:r>
        <w:t xml:space="preserve">). The findings may not extrapolate</w:t>
      </w:r>
      <w:r>
        <w:t xml:space="preserve"> </w:t>
      </w:r>
      <w:r>
        <w:t xml:space="preserve">to non-CUAD clause taxonomies, to non-English contracts, or to non-U.S. jurisdictions.</w:t>
      </w:r>
      <w:r>
        <w:t xml:space="preserve"> </w:t>
      </w:r>
      <w:r>
        <w:t xml:space="preserve">The contract-length moderation result</w:t>
      </w:r>
      <w:r>
        <w:t xml:space="preserve"> </w:t>
      </w:r>
      <w:r>
        <w:t xml:space="preserve">(Section </w:t>
      </w:r>
      <w:hyperlink w:anchor="sec:res:length">
        <w:r>
          <w:rPr>
            <w:rStyle w:val="Hyperlink"/>
          </w:rPr>
          <w:t xml:space="preserve">6.8</w:t>
        </w:r>
      </w:hyperlink>
      <w:r>
        <w:t xml:space="preserve">, Table </w:t>
      </w:r>
      <w:hyperlink w:anchor="tab:length-quartile">
        <w:r>
          <w:rPr>
            <w:rStyle w:val="Hyperlink"/>
          </w:rPr>
          <w:t xml:space="preserve">6.11</w:t>
        </w:r>
      </w:hyperlink>
      <w:r>
        <w:t xml:space="preserve">) shows that</w:t>
      </w:r>
      <w:r>
        <w:t xml:space="preserve"> </w:t>
      </w:r>
      <w:r>
        <w:t xml:space="preserve">the architectural ranking is not stable across document lengths within CUAD</w:t>
      </w:r>
      <w:r>
        <w:t xml:space="preserve"> </w:t>
      </w:r>
      <w:r>
        <w:t xml:space="preserve">itself: multi-agent helps on short contracts and hurts on long ones.</w:t>
      </w:r>
      <w:r>
        <w:t xml:space="preserve"> </w:t>
      </w:r>
      <w:r>
        <w:t xml:space="preserve">The architectural ranking observed here is therefore a ranking on this</w:t>
      </w:r>
      <w:r>
        <w:t xml:space="preserve"> </w:t>
      </w:r>
      <w:r>
        <w:t xml:space="preserve">evaluation envelope, not a universal ranking.</w:t>
      </w:r>
    </w:p>
    <w:p>
      <w:pPr>
        <w:pStyle w:val="Heading5"/>
      </w:pPr>
      <w:bookmarkStart w:id="172" w:name="test-set-contamination."/>
      <w:r>
        <w:t xml:space="preserve">Test-set contamination.</w:t>
      </w:r>
      <w:bookmarkEnd w:id="172"/>
    </w:p>
    <w:p>
      <w:pPr>
        <w:pStyle w:val="FirstParagraph"/>
      </w:pPr>
      <w:r>
        <w:t xml:space="preserve">CUAD [hendrycks2021cuad] has been publicly hosted on HuggingFace since</w:t>
      </w:r>
      <w:r>
        <w:t xml:space="preserve"> </w:t>
      </w:r>
      <w:r>
        <w:t xml:space="preserve">2021 and is plausibly present in the pre-training data of every model in the</w:t>
      </w:r>
      <w:r>
        <w:t xml:space="preserve"> </w:t>
      </w:r>
      <w:r>
        <w:t xml:space="preserve">panel; benchmark contamination is a documented threat to the construct</w:t>
      </w:r>
      <w:r>
        <w:t xml:space="preserve"> </w:t>
      </w:r>
      <w:r>
        <w:t xml:space="preserve">validity of LLM evaluations [sainz2023nlp,magar2022data]. The present</w:t>
      </w:r>
      <w:r>
        <w:t xml:space="preserve"> </w:t>
      </w:r>
      <w:r>
        <w:t xml:space="preserve">evaluation does not separate extraction skill from memorisation, and the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point estimates may overstate true extraction competence. Two</w:t>
      </w:r>
      <w:r>
        <w:t xml:space="preserve"> </w:t>
      </w:r>
      <w:r>
        <w:t xml:space="preserve">observations partially constrain the threat. First, the architectural</w:t>
      </w:r>
      <w:r>
        <w:t xml:space="preserve"> </w:t>
      </w:r>
      <w:r>
        <w:t xml:space="preserve">ranking varies systematically across model families with different</w:t>
      </w:r>
      <w:r>
        <w:t xml:space="preserve"> </w:t>
      </w:r>
      <w:r>
        <w:t xml:space="preserve">documented training cut-offs (Anthropic peaks under , Google under</w:t>
      </w:r>
      <w:r>
        <w:t xml:space="preserve"> </w:t>
      </w:r>
      <w:r>
        <w:t xml:space="preserve">, OpenAI under ; Section </w:t>
      </w:r>
      <w:hyperlink w:anchor="sec:disc:headline">
        <w:r>
          <w:rPr>
            <w:rStyle w:val="Hyperlink"/>
          </w:rPr>
          <w:t xml:space="preserve">7.1</w:t>
        </w:r>
      </w:hyperlink>
      <w:r>
        <w:t xml:space="preserve">), which uniform</w:t>
      </w:r>
      <w:r>
        <w:t xml:space="preserve"> </w:t>
      </w:r>
      <w:r>
        <w:t xml:space="preserve">memorisation would not predict. Second, the M0 classification-gate cascade</w:t>
      </w:r>
      <w:r>
        <w:t xml:space="preserve"> </w:t>
      </w:r>
      <w:r>
        <w:t xml:space="preserve">(Section </w:t>
      </w:r>
      <w:hyperlink w:anchor="sec:disc:cascade">
        <w:r>
          <w:rPr>
            <w:rStyle w:val="Hyperlink"/>
          </w:rPr>
          <w:t xml:space="preserve">7.2</w:t>
        </w:r>
      </w:hyperlink>
      <w:r>
        <w:t xml:space="preserve">) is a recall-loss mechanism — silent upstream</w:t>
      </w:r>
      <w:r>
        <w:t xml:space="preserve"> </w:t>
      </w:r>
      <w:r>
        <w:t xml:space="preserve">rejection on positive instances — that contamination cannot generate;</w:t>
      </w:r>
      <w:r>
        <w:t xml:space="preserve"> </w:t>
      </w:r>
      <w:r>
        <w:t xml:space="preserve">memorised content would, if anything, raise recall rather than collapse it.</w:t>
      </w:r>
      <w:r>
        <w:t xml:space="preserve"> </w:t>
      </w:r>
      <w:r>
        <w:t xml:space="preserve">A held-out non-CUAD evaluation (e.g. a clause subset from</w:t>
      </w:r>
      <w:r>
        <w:t xml:space="preserve"> </w:t>
      </w:r>
      <w:r>
        <w:t xml:space="preserve">LegalBench or ContractNLI [koreeda2021contractnli]) is identified in</w:t>
      </w:r>
      <w:r>
        <w:t xml:space="preserve"> </w:t>
      </w:r>
      <w:r>
        <w:t xml:space="preserve">Section </w:t>
      </w:r>
      <w:hyperlink w:anchor="sec:concl:outlook">
        <w:r>
          <w:rPr>
            <w:rStyle w:val="Hyperlink"/>
          </w:rPr>
          <w:t xml:space="preserve">8.4</w:t>
        </w:r>
      </w:hyperlink>
      <w:r>
        <w:t xml:space="preserve"> </w:t>
      </w:r>
      <w:r>
        <w:t xml:space="preserve">as the highest-priority extension.</w:t>
      </w:r>
    </w:p>
    <w:p>
      <w:pPr>
        <w:pStyle w:val="Heading5"/>
      </w:pPr>
      <w:bookmarkStart w:id="173" w:name="pinned-model-snapshots."/>
      <w:r>
        <w:t xml:space="preserve">Pinned model snapshots.</w:t>
      </w:r>
      <w:bookmarkEnd w:id="173"/>
    </w:p>
    <w:p>
      <w:pPr>
        <w:pStyle w:val="FirstParagraph"/>
      </w:pPr>
      <w:r>
        <w:t xml:space="preserve">Model identifiers are pinned to specific snapshots in the run metadata.</w:t>
      </w:r>
      <w:r>
        <w:t xml:space="preserve"> </w:t>
      </w:r>
      <w:r>
        <w:t xml:space="preserve">Provider behaviour can shift under silent model updates; the family</w:t>
      </w:r>
      <w:r>
        <w:t xml:space="preserve"> </w:t>
      </w:r>
      <w:r>
        <w:t xml:space="preserve">interaction observed here may not be stable across future provider releases.</w:t>
      </w:r>
      <w:r>
        <w:t xml:space="preserve"> </w:t>
      </w:r>
      <w:r>
        <w:t xml:space="preserve">The qualitative pattern — that architecture choice interacts with model</w:t>
      </w:r>
      <w:r>
        <w:t xml:space="preserve"> </w:t>
      </w:r>
      <w:r>
        <w:t xml:space="preserve">family more than with any within-architecture variable — is consistent</w:t>
      </w:r>
      <w:r>
        <w:t xml:space="preserve"> </w:t>
      </w:r>
      <w:r>
        <w:t xml:space="preserve">with findings reported across task domains in the recent</w:t>
      </w:r>
      <w:r>
        <w:t xml:space="preserve"> </w:t>
      </w:r>
      <w:r>
        <w:t xml:space="preserve">literature [gao2025single,cemri2025why], suggesting the pattern</w:t>
      </w:r>
      <w:r>
        <w:t xml:space="preserve"> </w:t>
      </w:r>
      <w:r>
        <w:t xml:space="preserve">generalises even where specific point estimates do not.</w:t>
      </w:r>
    </w:p>
    <w:p>
      <w:pPr>
        <w:pStyle w:val="Heading5"/>
      </w:pPr>
      <w:bookmarkStart w:id="174" w:name="closed-proprietary-panel."/>
      <w:r>
        <w:t xml:space="preserve">Closed proprietary panel.</w:t>
      </w:r>
      <w:bookmarkEnd w:id="174"/>
    </w:p>
    <w:p>
      <w:pPr>
        <w:pStyle w:val="FirstParagraph"/>
      </w:pPr>
      <w:r>
        <w:t xml:space="preserve">Open-weights models are excluded (Section </w:t>
      </w:r>
      <w:hyperlink w:anchor="sec:meth:models">
        <w:r>
          <w:rPr>
            <w:rStyle w:val="Hyperlink"/>
          </w:rPr>
          <w:t xml:space="preserve">4.3</w:t>
        </w:r>
      </w:hyperlink>
      <w:r>
        <w:t xml:space="preserve">).</w:t>
      </w:r>
      <w:r>
        <w:t xml:space="preserve"> </w:t>
      </w:r>
      <w:r>
        <w:t xml:space="preserve">The proprietary–open-source gap reported by liu2025contracteval is</w:t>
      </w:r>
      <w:r>
        <w:t xml:space="preserve"> </w:t>
      </w:r>
      <w:r>
        <w:t xml:space="preserve">not re-examined here. The finding that multi-agent decomposition does not</w:t>
      </w:r>
      <w:r>
        <w:t xml:space="preserve"> </w:t>
      </w:r>
      <w:r>
        <w:t xml:space="preserve">improve pooled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may not transfer to a panel of weaker open-weights</w:t>
      </w:r>
      <w:r>
        <w:t xml:space="preserve"> </w:t>
      </w:r>
      <w:r>
        <w:t xml:space="preserve">models, where decomposition’s capability-equalisation effect</w:t>
      </w:r>
      <w:r>
        <w:t xml:space="preserve"> </w:t>
      </w:r>
      <w:r>
        <w:t xml:space="preserve">(Section </w:t>
      </w:r>
      <w:hyperlink w:anchor="sec:disc:headline">
        <w:r>
          <w:rPr>
            <w:rStyle w:val="Hyperlink"/>
          </w:rPr>
          <w:t xml:space="preserve">7.1</w:t>
        </w:r>
      </w:hyperlink>
      <w:r>
        <w:t xml:space="preserve">) might be larger. Open-weights extension</w:t>
      </w:r>
      <w:r>
        <w:t xml:space="preserve"> </w:t>
      </w:r>
      <w:r>
        <w:t xml:space="preserve">is identified in Section </w:t>
      </w:r>
      <w:hyperlink w:anchor="sec:concl:outlook">
        <w:r>
          <w:rPr>
            <w:rStyle w:val="Hyperlink"/>
          </w:rPr>
          <w:t xml:space="preserve">8.4</w:t>
        </w:r>
      </w:hyperlink>
      <w:r>
        <w:t xml:space="preserve"> </w:t>
      </w:r>
      <w:r>
        <w:t xml:space="preserve">as the most consequential</w:t>
      </w:r>
      <w:r>
        <w:t xml:space="preserve"> </w:t>
      </w:r>
      <w:r>
        <w:t xml:space="preserve">extension of the present work.</w:t>
      </w:r>
    </w:p>
    <w:p>
      <w:pPr>
        <w:pStyle w:val="Heading2"/>
      </w:pPr>
      <w:bookmarkStart w:id="175" w:name="sec:concl:outlook"/>
      <w:r>
        <w:t xml:space="preserve">Future Work</w:t>
      </w:r>
      <w:bookmarkEnd w:id="175"/>
    </w:p>
    <w:p>
      <w:pPr>
        <w:pStyle w:val="FirstParagraph"/>
      </w:pPr>
      <w:r>
        <w:t xml:space="preserve">Three axes under-determine the conclusion: untested architectural patterns,</w:t>
      </w:r>
      <w:r>
        <w:t xml:space="preserve"> </w:t>
      </w:r>
      <w:r>
        <w:t xml:space="preserve">evaluation beyond CUAD, and cost mechanisms not exercised in the experiments.</w:t>
      </w:r>
    </w:p>
    <w:p>
      <w:pPr>
        <w:pStyle w:val="Heading5"/>
      </w:pPr>
      <w:bookmarkStart w:id="176" w:name="untested-architectural-patterns."/>
      <w:r>
        <w:t xml:space="preserve">Untested architectural patterns.</w:t>
      </w:r>
      <w:bookmarkEnd w:id="176"/>
    </w:p>
    <w:p>
      <w:pPr>
        <w:pStyle w:val="FirstParagraph"/>
      </w:pPr>
      <w:r>
        <w:t xml:space="preserve">Three patterns absent from the five-configuration grid are expected to</w:t>
      </w:r>
      <w:r>
        <w:t xml:space="preserve"> </w:t>
      </w:r>
      <w:r>
        <w:t xml:space="preserve">behave differently. Reflective verifier agents [shinn2023reflexion]</w:t>
      </w:r>
      <w:r>
        <w:t xml:space="preserve"> </w:t>
      </w:r>
      <w:r>
        <w:t xml:space="preserve">could absorb the classification-gate cascade (Section </w:t>
      </w:r>
      <w:hyperlink w:anchor="sec:disc:cascade">
        <w:r>
          <w:rPr>
            <w:rStyle w:val="Hyperlink"/>
          </w:rPr>
          <w:t xml:space="preserve">7.2</w:t>
        </w:r>
      </w:hyperlink>
      <w:r>
        <w:t xml:space="preserve">) by</w:t>
      </w:r>
      <w:r>
        <w:t xml:space="preserve"> </w:t>
      </w:r>
      <w:r>
        <w:t xml:space="preserve">letting the extractor override a silent rejection on confidence-flagged</w:t>
      </w:r>
      <w:r>
        <w:t xml:space="preserve"> </w:t>
      </w:r>
      <w:r>
        <w:t xml:space="preserve">borderline cases. Tool-calling specialists that retrieve clause exemplars</w:t>
      </w:r>
      <w:r>
        <w:t xml:space="preserve"> </w:t>
      </w:r>
      <w:r>
        <w:t xml:space="preserve">or jurisdictional indicators before extracting extend the design to</w:t>
      </w:r>
      <w:r>
        <w:t xml:space="preserve"> </w:t>
      </w:r>
      <w:r>
        <w:t xml:space="preserve">open-taxonomy deployments (Section </w:t>
      </w:r>
      <w:hyperlink w:anchor="sec:disc:practitioner">
        <w:r>
          <w:rPr>
            <w:rStyle w:val="Hyperlink"/>
          </w:rPr>
          <w:t xml:space="preserve">7.5</w:t>
        </w:r>
      </w:hyperlink>
      <w:r>
        <w:t xml:space="preserve">). Hierarchical</w:t>
      </w:r>
      <w:r>
        <w:t xml:space="preserve"> </w:t>
      </w:r>
      <w:r>
        <w:t xml:space="preserve">orchestration (a portfolio-level orchestrator over per-contract</w:t>
      </w:r>
      <w:r>
        <w:t xml:space="preserve"> </w:t>
      </w:r>
      <w:r>
        <w:t xml:space="preserve">extraction agents) targets cross-contract reasoning, which is not exercised</w:t>
      </w:r>
      <w:r>
        <w:t xml:space="preserve"> </w:t>
      </w:r>
      <w:r>
        <w:t xml:space="preserve">by any current public benchmark.</w:t>
      </w:r>
    </w:p>
    <w:p>
      <w:pPr>
        <w:pStyle w:val="Heading5"/>
      </w:pPr>
      <w:bookmarkStart w:id="177" w:name="beyond-cuad."/>
      <w:r>
        <w:t xml:space="preserve">Beyond CUAD.</w:t>
      </w:r>
      <w:bookmarkEnd w:id="177"/>
    </w:p>
    <w:p>
      <w:pPr>
        <w:pStyle w:val="FirstParagraph"/>
      </w:pPr>
      <w:r>
        <w:t xml:space="preserve">Four extensions widen the evaluation envelope: open-weights models, where</w:t>
      </w:r>
      <w:r>
        <w:t xml:space="preserve"> </w:t>
      </w:r>
      <w:r>
        <w:t xml:space="preserve">the proprietary–open-source gap of liu2025contracteval may</w:t>
      </w:r>
      <w:r>
        <w:t xml:space="preserve"> </w:t>
      </w:r>
      <w:r>
        <w:t xml:space="preserve">amplify M0’s capability-equalisation effect and invert the architectural</w:t>
      </w:r>
      <w:r>
        <w:t xml:space="preserve"> </w:t>
      </w:r>
      <w:r>
        <w:t xml:space="preserve">ranking; retrieve-then-extract on a multi-contract corpus, the</w:t>
      </w:r>
      <w:r>
        <w:t xml:space="preserve"> </w:t>
      </w:r>
      <w:r>
        <w:t xml:space="preserve">production-relevant generalisation of M0; document-quality stress tests</w:t>
      </w:r>
      <w:r>
        <w:t xml:space="preserve"> </w:t>
      </w:r>
      <w:r>
        <w:t xml:space="preserve">(OCR noise, redactions, mixed-format inputs) that probe whether the</w:t>
      </w:r>
      <w:r>
        <w:t xml:space="preserve"> </w:t>
      </w:r>
      <w:r>
        <w:t xml:space="preserve">ranking survives preprocessing degradation; and formal user studies with</w:t>
      </w:r>
      <w:r>
        <w:t xml:space="preserve"> </w:t>
      </w:r>
      <w:r>
        <w:t xml:space="preserve">practising reviewers, which would close the loop on RQ3 by measuring</w:t>
      </w:r>
      <w:r>
        <w:t xml:space="preserve"> </w:t>
      </w:r>
      <w:r>
        <w:t xml:space="preserve">whether M0/M1 trace primitives actually shorten review time — the</w:t>
      </w:r>
      <w:r>
        <w:t xml:space="preserve"> </w:t>
      </w:r>
      <w:r>
        <w:t xml:space="preserve">property treated here as a system feature rather than an outcome.</w:t>
      </w:r>
    </w:p>
    <w:p>
      <w:pPr>
        <w:pStyle w:val="Heading5"/>
      </w:pPr>
      <w:bookmarkStart w:id="178" w:name="cost-mechanisms."/>
      <w:r>
        <w:t xml:space="preserve">Cost mechanisms.</w:t>
      </w:r>
      <w:bookmarkEnd w:id="178"/>
    </w:p>
    <w:p>
      <w:pPr>
        <w:pStyle w:val="FirstParagraph"/>
      </w:pPr>
      <w:r>
        <w:t xml:space="preserve">Two cost mechanisms not exercised here would re-form the Pareto frontier</w:t>
      </w:r>
      <w:r>
        <w:t xml:space="preserve"> </w:t>
      </w:r>
      <w:r>
        <w:t xml:space="preserve">of Section </w:t>
      </w:r>
      <w:hyperlink w:anchor="sec:res:cost">
        <w:r>
          <w:rPr>
            <w:rStyle w:val="Hyperlink"/>
          </w:rPr>
          <w:t xml:space="preserve">6.7</w:t>
        </w:r>
      </w:hyperlink>
      <w:r>
        <w:t xml:space="preserve">. Prompt caching, supported by every provider in the</w:t>
      </w:r>
      <w:r>
        <w:t xml:space="preserve"> </w:t>
      </w:r>
      <w:r>
        <w:t xml:space="preserve">panel, would cut the marginal cost of per-category re-prompting that</w:t>
      </w:r>
      <w:r>
        <w:t xml:space="preserve"> </w:t>
      </w:r>
      <w:r>
        <w:t xml:space="preserve">dominates the B0 cost structure on long contracts and shrink the</w:t>
      </w:r>
      <w:r>
        <w:t xml:space="preserve"> </w:t>
      </w:r>
      <m:oMath>
        <m:r>
          <m:t>23</m:t>
        </m:r>
      </m:oMath>
      <w:r>
        <w:t xml:space="preserve">–</w:t>
      </w:r>
      <m:oMath>
        <m:r>
          <m:t>67</m:t>
        </m:r>
        <m:r>
          <m:t>%</m:t>
        </m:r>
      </m:oMath>
      <w:r>
        <w:t xml:space="preserve"> </w:t>
      </w:r>
      <w:r>
        <w:t xml:space="preserve">multi-agent premium. Structured-output decoding would reduce</w:t>
      </w:r>
      <w:r>
        <w:t xml:space="preserve"> </w:t>
      </w:r>
      <w:r>
        <w:t xml:space="preserve">M0 classifier-call latency to where the cascade exchange becomes acceptable</w:t>
      </w:r>
      <w:r>
        <w:t xml:space="preserve"> </w:t>
      </w:r>
      <w:r>
        <w:t xml:space="preserve">on more models. The cost ranking under caching and constrained decoding</w:t>
      </w:r>
      <w:r>
        <w:t xml:space="preserve"> </w:t>
      </w:r>
      <w:r>
        <w:t xml:space="preserve">remains open.</w:t>
      </w:r>
    </w:p>
    <w:p>
      <w:pPr>
        <w:pStyle w:val="BodyText"/>
      </w:pPr>
      <w:r>
        <w:t xml:space="preserve">On accuracy alone, the slice tested here does not justify multi-agent</w:t>
      </w:r>
      <w:r>
        <w:t xml:space="preserve"> </w:t>
      </w:r>
      <w:r>
        <w:t xml:space="preserve">deployment over a strong single-agent baseline. The case for multi-agent</w:t>
      </w:r>
      <w:r>
        <w:t xml:space="preserve"> </w:t>
      </w:r>
      <w:r>
        <w:t xml:space="preserve">architectures rests on axes the benchmark does not measure: auditability,</w:t>
      </w:r>
      <w:r>
        <w:t xml:space="preserve"> </w:t>
      </w:r>
      <w:r>
        <w:t xml:space="preserve">open-taxonomy extensibility, and cross-contract reasoning. Future work</w:t>
      </w:r>
      <w:r>
        <w:t xml:space="preserve"> </w:t>
      </w:r>
      <w:r>
        <w:t xml:space="preserve">should evaluate those axes directly.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Strict reproducibility requires pinned dated snapshots.</w:t>
      </w:r>
      <w:r>
        <w:t xml:space="preserve"> </w:t>
      </w:r>
      <w:r>
        <w:t xml:space="preserve">OpenAI publishes dated aliases (e.g. </w:t>
      </w:r>
      <w:r>
        <w:rPr>
          <w:rStyle w:val="VerbatimChar"/>
        </w:rPr>
        <w:t xml:space="preserve">gpt-4.1-2025-04-14</w:t>
      </w:r>
      <w:r>
        <w:t xml:space="preserve">); Anthropic</w:t>
      </w:r>
      <w:r>
        <w:t xml:space="preserve"> </w:t>
      </w:r>
      <w:r>
        <w:t xml:space="preserve">publishes</w:t>
      </w:r>
      <w:r>
        <w:t xml:space="preserve"> </w:t>
      </w:r>
      <w:r>
        <w:rPr>
          <w:rStyle w:val="VerbatimChar"/>
        </w:rPr>
        <w:t xml:space="preserve">claude-opus-4-6-&lt;date&gt;</w:t>
      </w:r>
      <w:r>
        <w:t xml:space="preserve">. Pinned variants were not available for</w:t>
      </w:r>
      <w:r>
        <w:t xml:space="preserve"> </w:t>
      </w:r>
      <w:r>
        <w:t xml:space="preserve">all models at the time experiments were run. As a consequence, a silent provider-side</w:t>
      </w:r>
      <w:r>
        <w:t xml:space="preserve"> </w:t>
      </w:r>
      <w:r>
        <w:t xml:space="preserve">release of any aliased model between 14 and 17 April 2026 would have shifted that</w:t>
      </w:r>
      <w:r>
        <w:t xml:space="preserve"> </w:t>
      </w:r>
      <w:r>
        <w:t xml:space="preserve">model’s behaviour mid-experiment in a way the run logs cannot detect; no post-hoc</w:t>
      </w:r>
      <w:r>
        <w:t xml:space="preserve"> </w:t>
      </w:r>
      <w:r>
        <w:t xml:space="preserve">API-fingerprint check (e.g. deterministic-prompt response stability) was</w:t>
      </w:r>
      <w:r>
        <w:t xml:space="preserve"> </w:t>
      </w:r>
      <w:r>
        <w:t xml:space="preserve">performed, and the family-by-configuration interaction observed in</w:t>
      </w:r>
      <w:r>
        <w:t xml:space="preserve"> </w:t>
      </w:r>
      <w:r>
        <w:t xml:space="preserve">Chapter </w:t>
      </w:r>
      <w:hyperlink w:anchor="chapter:results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for the affected models (Gemini 2.5/3/3.1 and</w:t>
      </w:r>
      <w:r>
        <w:t xml:space="preserve"> </w:t>
      </w:r>
      <w:r>
        <w:t xml:space="preserve">GPT-4.1/Mini/Nano) cannot be ruled out as a snapshot-drift artefact rather</w:t>
      </w:r>
      <w:r>
        <w:t xml:space="preserve"> </w:t>
      </w:r>
      <w:r>
        <w:t xml:space="preserve">than a stable model property.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Inspection of</w:t>
      </w:r>
      <w:r>
        <w:t xml:space="preserve"> </w:t>
      </w:r>
      <w:r>
        <w:t xml:space="preserve">the dropped records shows the failure mode is empty model completions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raw_response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""</w:t>
      </w:r>
      <w:r>
        <w:t xml:space="preserve">) rather than structurally malformed</w:t>
      </w:r>
      <w:r>
        <w:t xml:space="preserve"> </w:t>
      </w:r>
      <w:r>
        <w:t xml:space="preserve">JSON; the parser reaches no classification token because the model returned</w:t>
      </w:r>
      <w:r>
        <w:t xml:space="preserve"> </w:t>
      </w:r>
      <w:r>
        <w:t xml:space="preserve">no token at all. The B0 concentration reflects ’s stricter span</w:t>
      </w:r>
      <w:r>
        <w:t xml:space="preserve"> </w:t>
      </w:r>
      <w:r>
        <w:t xml:space="preserve">acceptance criterion: B0 lacks the structured-output schema enforcement that</w:t>
      </w:r>
      <w:r>
        <w:t xml:space="preserve"> </w:t>
      </w:r>
      <w:r>
        <w:t xml:space="preserve">M0/M1 specialist prompts provide, so an empty completion is unrecoverable</w:t>
      </w:r>
      <w:r>
        <w:t xml:space="preserve"> </w:t>
      </w:r>
      <w:r>
        <w:t xml:space="preserve">for B0 but retried by the M0/M1 extractor downstream of the gate. The</w:t>
      </w:r>
      <w:r>
        <w:t xml:space="preserve"> </w:t>
      </w:r>
      <w:r>
        <w:t xml:space="preserve">criterion is parser-version-stable because the four-value classification</w:t>
      </w:r>
      <w:r>
        <w:t xml:space="preserve"> </w:t>
      </w:r>
      <w:r>
        <w:t xml:space="preserve">vocabulary is fixed in code, not configurable.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Per-model reweighted point estimates are released alongside</w:t>
      </w:r>
      <w:r>
        <w:t xml:space="preserve"> </w:t>
      </w:r>
      <w:r>
        <w:t xml:space="preserve">the experiment artefacts (Section </w:t>
      </w:r>
      <w:hyperlink w:anchor="sec:sys:opensource">
        <w:r>
          <w:rPr>
            <w:rStyle w:val="Hyperlink"/>
          </w:rPr>
          <w:t xml:space="preserve">5.7.0.0.5</w:t>
        </w:r>
      </w:hyperlink>
      <w:r>
        <w:t xml:space="preserve">); the reweighting is</w:t>
      </w:r>
      <w:r>
        <w:t xml:space="preserve"> </w:t>
      </w:r>
      <w:r>
        <w:t xml:space="preserve">applied at the metric level and does not require re-running model inference.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</w:t>
      </w:r>
      <w:r>
        <w:t xml:space="preserve"> </w:t>
      </w:r>
      <w:r>
        <w:t xml:space="preserve">rare-tier mean masks per-category heterogeneity. M0 leads decisively on</w:t>
      </w:r>
      <w:r>
        <w:t xml:space="preserve"> </w:t>
      </w:r>
      <w:r>
        <w:t xml:space="preserve">specific rare categories where the gate’s precision gain compensates the</w:t>
      </w:r>
      <w:r>
        <w:t xml:space="preserve"> </w:t>
      </w:r>
      <w:r>
        <w:t xml:space="preserve">recall cost:</w:t>
      </w:r>
      <w:r>
        <w:t xml:space="preserve"> </w:t>
      </w:r>
      <w:r>
        <w:rPr>
          <w:i/>
        </w:rPr>
        <w:t xml:space="preserve">Source Code Escrow</w:t>
      </w:r>
      <w:r>
        <w:t xml:space="preserve"> </w:t>
      </w:r>
      <w:r>
        <w:t xml:space="preserve">(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=</m:t>
        </m:r>
        <m:r>
          <m:t>1.000</m:t>
        </m:r>
      </m:oMath>
      <w:r>
        <w:t xml:space="preserve"> </w:t>
      </w:r>
      <w:r>
        <w:t xml:space="preserve">vs. B0 </w:t>
      </w:r>
      <m:oMath>
        <m:r>
          <m:t>0.943</m:t>
        </m:r>
      </m:oMath>
      <w:r>
        <w:t xml:space="preserve">),</w:t>
      </w:r>
      <w:r>
        <w:t xml:space="preserve"> </w:t>
      </w:r>
      <w:r>
        <w:rPr>
          <w:i/>
        </w:rPr>
        <w:t xml:space="preserve">Joint IP Ownership</w:t>
      </w:r>
      <w:r>
        <w:t xml:space="preserve"> </w:t>
      </w:r>
      <w:r>
        <w:t xml:space="preserve">(</w:t>
      </w:r>
      <m:oMath>
        <m:r>
          <m:t>+</m:t>
        </m:r>
        <m:r>
          <m:t>0.142</m:t>
        </m:r>
      </m:oMath>
      <w:r>
        <w:t xml:space="preserve"> </w:t>
      </w:r>
      <w:r>
        <w:t xml:space="preserve">over B0),</w:t>
      </w:r>
      <w:r>
        <w:t xml:space="preserve"> </w:t>
      </w:r>
      <w:r>
        <w:rPr>
          <w:i/>
        </w:rPr>
        <w:t xml:space="preserve">No-Solicit of</w:t>
      </w:r>
      <w:r>
        <w:rPr>
          <w:i/>
        </w:rPr>
        <w:t xml:space="preserve"> </w:t>
      </w:r>
      <w:r>
        <w:rPr>
          <w:i/>
        </w:rPr>
        <w:t xml:space="preserve">Customers</w:t>
      </w:r>
      <w:r>
        <w:t xml:space="preserve"> </w:t>
      </w:r>
      <w:r>
        <w:t xml:space="preserve">(</w:t>
      </w:r>
      <m:oMath>
        <m:r>
          <m:t>+</m:t>
        </m:r>
        <m:r>
          <m:t>0.233</m:t>
        </m:r>
      </m:oMath>
      <w:r>
        <w:t xml:space="preserve">). The tier-mean ranking is dominated by Gemini-family</w:t>
      </w:r>
      <w:r>
        <w:t xml:space="preserve"> </w:t>
      </w:r>
      <w:r>
        <w:t xml:space="preserve">cascade collapse on a subset of rare categories</w:t>
      </w:r>
      <w:r>
        <w:t xml:space="preserve"> </w:t>
      </w:r>
      <w:r>
        <w:t xml:space="preserve">(Section </w:t>
      </w:r>
      <w:hyperlink w:anchor="sec:res:cascade">
        <w:r>
          <w:rPr>
            <w:rStyle w:val="Hyperlink"/>
          </w:rPr>
          <w:t xml:space="preserve">6.5</w:t>
        </w:r>
      </w:hyperlink>
      <w:r>
        <w:t xml:space="preserve">), not by uniform M0 weakness across the rare tier.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https://github.com/ndtrung00/agentic-ai-for-cl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7" Target="https://github.com/ndtrung00/agentic-ai-for-cl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and Evaluation of Multi-Agentic AI Systems for Contract Lifecycle Management SaaS Platforms</dc:title>
  <dc:creator>Nguyen, Duc Trung, B.Sc.</dc:creator>
  <cp:keywords/>
  <dcterms:created xsi:type="dcterms:W3CDTF">2026-05-03T20:12:22Z</dcterms:created>
  <dcterms:modified xsi:type="dcterms:W3CDTF">2026-05-03T20:12:22Z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2026</vt:lpwstr>
  </property>
</Properties>
</file>