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72C" w:rsidRDefault="002C1EB4">
      <w:pPr>
        <w:spacing w:before="1440" w:after="200"/>
        <w:jc w:val="center"/>
      </w:pPr>
      <w:r>
        <w:rPr>
          <w:b/>
          <w:bCs/>
          <w:color w:val="1F4E79"/>
          <w:sz w:val="48"/>
          <w:szCs w:val="48"/>
        </w:rPr>
        <w:t>BUSINESS ANALYTICS CASE STUDY</w:t>
      </w:r>
    </w:p>
    <w:p w:rsidR="0051372C" w:rsidRDefault="002C1EB4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Telco Customer Churn Analysis</w:t>
      </w:r>
    </w:p>
    <w:p w:rsidR="0051372C" w:rsidRDefault="002C1EB4">
      <w:pPr>
        <w:pBdr>
          <w:bottom w:val="single" w:sz="8" w:space="4" w:color="2E75B6"/>
        </w:pBdr>
        <w:spacing w:after="800"/>
        <w:jc w:val="center"/>
      </w:pPr>
      <w:r>
        <w:t xml:space="preserve"> </w:t>
      </w:r>
    </w:p>
    <w:p w:rsidR="0051372C" w:rsidRDefault="0051372C">
      <w:pPr>
        <w:spacing w:before="80" w:after="80"/>
      </w:pPr>
    </w:p>
    <w:p w:rsidR="0051372C" w:rsidRDefault="002C1EB4">
      <w:pPr>
        <w:spacing w:before="200" w:after="80"/>
        <w:jc w:val="center"/>
      </w:pPr>
      <w:r>
        <w:rPr>
          <w:color w:val="555555"/>
        </w:rPr>
        <w:t>Prepared by:</w:t>
      </w:r>
    </w:p>
    <w:p w:rsidR="0051372C" w:rsidRDefault="002C1EB4">
      <w:pPr>
        <w:spacing w:after="80"/>
        <w:jc w:val="center"/>
      </w:pPr>
      <w:proofErr w:type="spellStart"/>
      <w:r>
        <w:rPr>
          <w:b/>
          <w:bCs/>
          <w:color w:val="1A1A1A"/>
          <w:sz w:val="26"/>
          <w:szCs w:val="26"/>
        </w:rPr>
        <w:t>Ndubuisi</w:t>
      </w:r>
      <w:proofErr w:type="spellEnd"/>
      <w:r>
        <w:rPr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b/>
          <w:bCs/>
          <w:color w:val="1A1A1A"/>
          <w:sz w:val="26"/>
          <w:szCs w:val="26"/>
        </w:rPr>
        <w:t>Favour</w:t>
      </w:r>
      <w:proofErr w:type="spellEnd"/>
      <w:r>
        <w:rPr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b/>
          <w:bCs/>
          <w:color w:val="1A1A1A"/>
          <w:sz w:val="26"/>
          <w:szCs w:val="26"/>
        </w:rPr>
        <w:t>Adaku</w:t>
      </w:r>
      <w:proofErr w:type="spellEnd"/>
    </w:p>
    <w:p w:rsidR="0051372C" w:rsidRDefault="002C1EB4">
      <w:pPr>
        <w:spacing w:after="80"/>
        <w:jc w:val="center"/>
      </w:pPr>
      <w:r>
        <w:rPr>
          <w:color w:val="555555"/>
        </w:rPr>
        <w:t>Data Analytics Intern</w:t>
      </w:r>
    </w:p>
    <w:p w:rsidR="0051372C" w:rsidRDefault="002C1EB4">
      <w:pPr>
        <w:spacing w:after="80"/>
        <w:jc w:val="center"/>
      </w:pPr>
      <w:proofErr w:type="spellStart"/>
      <w:r>
        <w:rPr>
          <w:color w:val="555555"/>
        </w:rPr>
        <w:t>AnalystLab</w:t>
      </w:r>
      <w:proofErr w:type="spellEnd"/>
      <w:r>
        <w:rPr>
          <w:color w:val="555555"/>
        </w:rPr>
        <w:t xml:space="preserve"> Africa Internship Program — Batch B</w:t>
      </w:r>
    </w:p>
    <w:p w:rsidR="0051372C" w:rsidRDefault="002C1EB4">
      <w:pPr>
        <w:spacing w:after="80"/>
        <w:jc w:val="center"/>
      </w:pPr>
      <w:r>
        <w:rPr>
          <w:color w:val="555555"/>
        </w:rPr>
        <w:t xml:space="preserve">June – August </w:t>
      </w:r>
      <w:proofErr w:type="gramStart"/>
      <w:r>
        <w:rPr>
          <w:color w:val="555555"/>
        </w:rPr>
        <w:t>2026  |</w:t>
      </w:r>
      <w:proofErr w:type="gramEnd"/>
      <w:r>
        <w:rPr>
          <w:color w:val="555555"/>
        </w:rPr>
        <w:t xml:space="preserve">  Week 5</w:t>
      </w:r>
    </w:p>
    <w:p w:rsidR="0051372C" w:rsidRDefault="002C1EB4">
      <w:pPr>
        <w:spacing w:after="80"/>
        <w:jc w:val="center"/>
      </w:pPr>
      <w:r>
        <w:rPr>
          <w:color w:val="555555"/>
        </w:rPr>
        <w:t>Dataset: Telco Customer Churn (</w:t>
      </w:r>
      <w:proofErr w:type="spellStart"/>
      <w:r>
        <w:rPr>
          <w:color w:val="555555"/>
        </w:rPr>
        <w:t>Kaggle</w:t>
      </w:r>
      <w:proofErr w:type="spellEnd"/>
      <w:r>
        <w:rPr>
          <w:color w:val="555555"/>
        </w:rPr>
        <w:t>)</w:t>
      </w:r>
    </w:p>
    <w:p w:rsidR="0051372C" w:rsidRDefault="002C1EB4">
      <w:r>
        <w:br w:type="page"/>
      </w:r>
    </w:p>
    <w:p w:rsidR="0051372C" w:rsidRDefault="002C1EB4">
      <w:pPr>
        <w:pStyle w:val="Heading1"/>
        <w:pBdr>
          <w:bottom w:val="single" w:sz="6" w:space="4" w:color="2E75B6"/>
        </w:pBdr>
      </w:pPr>
      <w:r>
        <w:lastRenderedPageBreak/>
        <w:t>1. Introduction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>Customer churn — the rate at which customers stop doing business with a company — is one of the most critical challenges facing telecommunications companies today. In a highly competitive industry where customer acquisition costs far exceed retention costs</w:t>
      </w:r>
      <w:r>
        <w:rPr>
          <w:color w:val="1A1A1A"/>
        </w:rPr>
        <w:t>, understanding why customers leave and predicting who is likely to leave next can have a transformative impact on business performance.</w:t>
      </w:r>
    </w:p>
    <w:p w:rsidR="0051372C" w:rsidRDefault="0051372C">
      <w:pPr>
        <w:spacing w:before="80" w:after="80"/>
      </w:pPr>
    </w:p>
    <w:p w:rsidR="0051372C" w:rsidRDefault="002C1EB4">
      <w:pPr>
        <w:spacing w:before="80" w:after="80"/>
        <w:jc w:val="both"/>
      </w:pPr>
      <w:r>
        <w:rPr>
          <w:color w:val="1A1A1A"/>
        </w:rPr>
        <w:t>This case study presents a comprehensive business analytics investigation of customer churn for a telecommunications c</w:t>
      </w:r>
      <w:r>
        <w:rPr>
          <w:color w:val="1A1A1A"/>
        </w:rPr>
        <w:t>ompany. Using a dataset of 7,043 customers, the analysis applies exploratory data analysis (EDA) techniques to uncover patterns, identify high-risk customer segments, and generate evidence-based business recommendations.</w:t>
      </w:r>
    </w:p>
    <w:p w:rsidR="0051372C" w:rsidRDefault="002C1EB4">
      <w:pPr>
        <w:pStyle w:val="Heading1"/>
        <w:pBdr>
          <w:bottom w:val="single" w:sz="6" w:space="4" w:color="2E75B6"/>
        </w:pBdr>
      </w:pPr>
      <w:r>
        <w:t>2. Business Problem Statement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>The t</w:t>
      </w:r>
      <w:r>
        <w:rPr>
          <w:color w:val="1A1A1A"/>
        </w:rPr>
        <w:t>elecommunications company under analysis is experiencing a customer churn rate of 26.5%, meaning more than 1 in 4 customers leaves within the observed period. This level of attrition represents a significant revenue risk and competitive disadvantage.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Core</w:t>
      </w:r>
      <w:r>
        <w:t xml:space="preserve"> Business Questions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Why are customers leaving the company?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Which factors contribute most to customer churn?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Which customer segments are most at risk of churning?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What actionable steps can the business take to reduce churn and improve customer lifetime value?</w:t>
      </w:r>
    </w:p>
    <w:p w:rsidR="0051372C" w:rsidRDefault="0051372C">
      <w:pPr>
        <w:spacing w:before="80" w:after="80"/>
      </w:pPr>
    </w:p>
    <w:p w:rsidR="0051372C" w:rsidRDefault="002C1EB4">
      <w:pPr>
        <w:spacing w:before="80" w:after="80"/>
      </w:pPr>
      <w:r>
        <w:rPr>
          <w:color w:val="1A1A1A"/>
        </w:rPr>
        <w:t>Addressing these questions through data is the central objective of this case study.</w:t>
      </w:r>
    </w:p>
    <w:p w:rsidR="0051372C" w:rsidRDefault="002C1EB4">
      <w:pPr>
        <w:pStyle w:val="Heading1"/>
        <w:pBdr>
          <w:bottom w:val="single" w:sz="6" w:space="4" w:color="2E75B6"/>
        </w:pBdr>
      </w:pPr>
      <w:r>
        <w:t>3. Dataset Description</w:t>
      </w:r>
    </w:p>
    <w:p w:rsidR="0051372C" w:rsidRDefault="002C1EB4">
      <w:pPr>
        <w:spacing w:before="80" w:after="80"/>
      </w:pPr>
      <w:r>
        <w:rPr>
          <w:color w:val="1A1A1A"/>
        </w:rPr>
        <w:t xml:space="preserve">The dataset used in this analysis is the IBM Telco Customer Churn dataset, publicly available on </w:t>
      </w:r>
      <w:proofErr w:type="spellStart"/>
      <w:r>
        <w:rPr>
          <w:color w:val="1A1A1A"/>
        </w:rPr>
        <w:t>Kaggle</w:t>
      </w:r>
      <w:proofErr w:type="spellEnd"/>
      <w:r>
        <w:rPr>
          <w:color w:val="1A1A1A"/>
        </w:rPr>
        <w:t>. It contains information about a fictional telecommunications company's customers in California.</w:t>
      </w:r>
    </w:p>
    <w:p w:rsidR="0051372C" w:rsidRDefault="0051372C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372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rPr>
                <w:b/>
                <w:bCs/>
                <w:color w:val="FFFFFF"/>
              </w:rPr>
              <w:t>Detail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rPr>
                <w:b/>
                <w:bCs/>
              </w:rPr>
              <w:t>Total Customers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7,043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rPr>
                <w:b/>
                <w:bCs/>
              </w:rPr>
              <w:t>Total 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21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rPr>
                <w:b/>
                <w:bCs/>
              </w:rPr>
              <w:t>Target 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Churn (Yes / No)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rPr>
                <w:b/>
                <w:bCs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 xml:space="preserve">11 blank </w:t>
            </w:r>
            <w:proofErr w:type="spellStart"/>
            <w:r>
              <w:t>TotalCharges</w:t>
            </w:r>
            <w:proofErr w:type="spellEnd"/>
            <w:r>
              <w:t xml:space="preserve"> (filled with 0)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rPr>
                <w:b/>
                <w:bCs/>
              </w:rPr>
              <w:t>Duplicate Rows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22 (removed)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rPr>
                <w:b/>
                <w:bCs/>
              </w:rPr>
              <w:lastRenderedPageBreak/>
              <w:t>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roofErr w:type="spellStart"/>
            <w:r>
              <w:t>Kaggle</w:t>
            </w:r>
            <w:proofErr w:type="spellEnd"/>
            <w:r>
              <w:t xml:space="preserve"> — Telco Customer Churn</w:t>
            </w:r>
          </w:p>
        </w:tc>
      </w:tr>
    </w:tbl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Key Variable Categories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Demographics: gender, </w:t>
      </w:r>
      <w:proofErr w:type="spellStart"/>
      <w:r>
        <w:rPr>
          <w:color w:val="1A1A1A"/>
        </w:rPr>
        <w:t>SeniorCitizen</w:t>
      </w:r>
      <w:proofErr w:type="spellEnd"/>
      <w:r>
        <w:rPr>
          <w:color w:val="1A1A1A"/>
        </w:rPr>
        <w:t>, Partner, Dependents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Services: </w:t>
      </w:r>
      <w:proofErr w:type="spellStart"/>
      <w:r>
        <w:rPr>
          <w:color w:val="1A1A1A"/>
        </w:rPr>
        <w:t>PhoneService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MultipleLines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InternetService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OnlineSecurity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TechSupport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StreamingTV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StreamingMovies</w:t>
      </w:r>
      <w:proofErr w:type="spellEnd"/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Account: Contract type, </w:t>
      </w:r>
      <w:proofErr w:type="spellStart"/>
      <w:r>
        <w:rPr>
          <w:color w:val="1A1A1A"/>
        </w:rPr>
        <w:t>PaperlessBilling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PaymentMethod</w:t>
      </w:r>
      <w:proofErr w:type="spellEnd"/>
      <w:r>
        <w:rPr>
          <w:color w:val="1A1A1A"/>
        </w:rPr>
        <w:t>, tenure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Financials: </w:t>
      </w:r>
      <w:proofErr w:type="spellStart"/>
      <w:r>
        <w:rPr>
          <w:color w:val="1A1A1A"/>
        </w:rPr>
        <w:t>MonthlyCharges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TotalCharges</w:t>
      </w:r>
      <w:proofErr w:type="spellEnd"/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Target: Churn (Yes = customer left, N</w:t>
      </w:r>
      <w:r>
        <w:rPr>
          <w:color w:val="1A1A1A"/>
        </w:rPr>
        <w:t>o = customer stayed)</w:t>
      </w:r>
    </w:p>
    <w:p w:rsidR="0051372C" w:rsidRDefault="002C1EB4">
      <w:pPr>
        <w:pStyle w:val="Heading1"/>
        <w:pBdr>
          <w:bottom w:val="single" w:sz="6" w:space="4" w:color="2E75B6"/>
        </w:pBdr>
      </w:pPr>
      <w:r>
        <w:t>4. Data Analysis Process</w:t>
      </w:r>
    </w:p>
    <w:p w:rsidR="0051372C" w:rsidRDefault="002C1EB4">
      <w:pPr>
        <w:pStyle w:val="Heading2"/>
      </w:pPr>
      <w:r>
        <w:t>4.1 Data Cleaning</w:t>
      </w:r>
    </w:p>
    <w:p w:rsidR="0051372C" w:rsidRDefault="002C1EB4">
      <w:pPr>
        <w:spacing w:before="80" w:after="80"/>
      </w:pPr>
      <w:r>
        <w:rPr>
          <w:color w:val="1A1A1A"/>
        </w:rPr>
        <w:t>The following cleaning steps were applied to prepare the dataset for analysis: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TotalCharges</w:t>
      </w:r>
      <w:proofErr w:type="spellEnd"/>
      <w:r>
        <w:rPr>
          <w:color w:val="1A1A1A"/>
        </w:rPr>
        <w:t xml:space="preserve"> column was converted from text to numeric format; 11 blank values were replaced with 0 (these belong</w:t>
      </w:r>
      <w:r>
        <w:rPr>
          <w:color w:val="1A1A1A"/>
        </w:rPr>
        <w:t>ed to new customers with zero tenure)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customerID</w:t>
      </w:r>
      <w:proofErr w:type="spellEnd"/>
      <w:r>
        <w:rPr>
          <w:color w:val="1A1A1A"/>
        </w:rPr>
        <w:t xml:space="preserve"> column was removed as it provides no analytical value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SeniorCitizen</w:t>
      </w:r>
      <w:proofErr w:type="spellEnd"/>
      <w:r>
        <w:rPr>
          <w:color w:val="1A1A1A"/>
        </w:rPr>
        <w:t xml:space="preserve"> column was converted from binary (0/1) to readable labels (No/Yes)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22 duplicate rows were identified and removed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Final cleaned data</w:t>
      </w:r>
      <w:r>
        <w:rPr>
          <w:color w:val="1A1A1A"/>
        </w:rPr>
        <w:t>set: 7,043 rows x 20 columns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4.2 Exploratory Data Analysis</w:t>
      </w:r>
    </w:p>
    <w:p w:rsidR="0051372C" w:rsidRDefault="002C1EB4">
      <w:pPr>
        <w:spacing w:before="80" w:after="80"/>
      </w:pPr>
      <w:r>
        <w:rPr>
          <w:color w:val="1A1A1A"/>
        </w:rPr>
        <w:t>Exploratory analysis was conducted across four dimensions: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Overall churn distribution (bar chart and pie chart)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Demographic breakdown — gender, senior citizen status, partner, dependents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Service and contract analysis — contract type, internet service, payment method, paperless billing</w:t>
      </w:r>
    </w:p>
    <w:p w:rsidR="0051372C" w:rsidRDefault="002C1EB4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Financial and tenure analysis — monthly charges distribution, box plots, scatter plots, and correlation </w:t>
      </w:r>
      <w:proofErr w:type="spellStart"/>
      <w:r>
        <w:rPr>
          <w:color w:val="1A1A1A"/>
        </w:rPr>
        <w:t>heatmap</w:t>
      </w:r>
      <w:proofErr w:type="spellEnd"/>
    </w:p>
    <w:p w:rsidR="0051372C" w:rsidRDefault="002C1EB4">
      <w:pPr>
        <w:pStyle w:val="Heading1"/>
        <w:pBdr>
          <w:bottom w:val="single" w:sz="6" w:space="4" w:color="2E75B6"/>
        </w:pBdr>
      </w:pPr>
      <w:r>
        <w:t>5. Key Findings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1372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26.5%</w:t>
            </w:r>
          </w:p>
          <w:p w:rsidR="0051372C" w:rsidRDefault="002C1EB4">
            <w:pPr>
              <w:jc w:val="center"/>
            </w:pPr>
            <w:r>
              <w:rPr>
                <w:color w:val="555555"/>
                <w:sz w:val="18"/>
                <w:szCs w:val="18"/>
              </w:rPr>
              <w:t>Overall Churn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1,869</w:t>
            </w:r>
          </w:p>
          <w:p w:rsidR="0051372C" w:rsidRDefault="002C1EB4">
            <w:pPr>
              <w:jc w:val="center"/>
            </w:pPr>
            <w:r>
              <w:rPr>
                <w:color w:val="555555"/>
                <w:sz w:val="18"/>
                <w:szCs w:val="18"/>
              </w:rPr>
              <w:t>Customers Churned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42.7%</w:t>
            </w:r>
          </w:p>
          <w:p w:rsidR="0051372C" w:rsidRDefault="002C1EB4">
            <w:pPr>
              <w:jc w:val="center"/>
            </w:pPr>
            <w:r>
              <w:rPr>
                <w:color w:val="555555"/>
                <w:sz w:val="18"/>
                <w:szCs w:val="18"/>
              </w:rPr>
              <w:t>Month-to-Month Churn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18 months</w:t>
            </w:r>
          </w:p>
          <w:p w:rsidR="0051372C" w:rsidRDefault="002C1EB4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Avg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Tenure (Churned)</w:t>
            </w:r>
          </w:p>
        </w:tc>
      </w:tr>
    </w:tbl>
    <w:p w:rsidR="0051372C" w:rsidRDefault="0051372C">
      <w:pPr>
        <w:spacing w:before="80" w:after="80"/>
      </w:pP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Finding 1 — Contract Type is the Strongest Predictor of Churn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lastRenderedPageBreak/>
        <w:t xml:space="preserve">Customers on month-to-month contracts churn at a rate of 42.7%, compared to 11.3% for one-year contracts and </w:t>
      </w:r>
      <w:r>
        <w:rPr>
          <w:color w:val="1A1A1A"/>
        </w:rPr>
        <w:t>only 2.8% for two-year contracts. This 15x difference between month-to-month and two-year customers is the single most powerful finding in the dataset and represents the clearest opportunity for intervention.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Finding 2 — New Customers Are the Most Vulnera</w:t>
      </w:r>
      <w:r>
        <w:t>ble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>Churn rate declines sharply with tenure. Customers in their first 12 months churn at the highest rate, while those with 49-72 months of tenure churn at only 9.5%. This indicates that the first year of a customer relationship is the most critical window for</w:t>
      </w:r>
      <w:r>
        <w:rPr>
          <w:color w:val="1A1A1A"/>
        </w:rPr>
        <w:t xml:space="preserve"> retention efforts.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Finding 3 — Fiber Optic Customers Show Unexpected Dissatisfaction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>Despite being the premium internet service, fiber optic customers churn at 41.9% — significantly higher than DSL customers (19.0%) and customers with no internet service</w:t>
      </w:r>
      <w:r>
        <w:rPr>
          <w:color w:val="1A1A1A"/>
        </w:rPr>
        <w:t xml:space="preserve"> (7.4%). This suggests potential issues with pricing, perceived value, or service quality among this high-paying segment.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Finding 4 — Payment Method Signals Engagement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>Customers who pay by electronic check churn at 45.3%, the highest of any payment method</w:t>
      </w:r>
      <w:r>
        <w:rPr>
          <w:color w:val="1A1A1A"/>
        </w:rPr>
        <w:t>. In contrast, customers using automatic payment methods (credit card or bank transfer) churn at only 15-17%. Manual payment methods may indicate lower engagement and weaker commitment to the service.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 xml:space="preserve">Finding 5 — Senior Citizens and Customers </w:t>
      </w:r>
      <w:proofErr w:type="gramStart"/>
      <w:r>
        <w:t>Without</w:t>
      </w:r>
      <w:proofErr w:type="gramEnd"/>
      <w:r>
        <w:t xml:space="preserve"> Supp</w:t>
      </w:r>
      <w:r>
        <w:t>ort Services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>Senior citizens churn at 41.7% compared to 23.6% for non-seniors. Additionally, customers without online security churn at approximately twice the rate of those who have it, suggesting that add-on services create stickiness and improve retenti</w:t>
      </w:r>
      <w:r>
        <w:rPr>
          <w:color w:val="1A1A1A"/>
        </w:rPr>
        <w:t>on.</w:t>
      </w:r>
    </w:p>
    <w:p w:rsidR="0051372C" w:rsidRDefault="002C1EB4">
      <w:pPr>
        <w:pStyle w:val="Heading1"/>
        <w:pBdr>
          <w:bottom w:val="single" w:sz="6" w:space="4" w:color="2E75B6"/>
        </w:pBdr>
      </w:pPr>
      <w:r>
        <w:t>6. Business Insights</w:t>
      </w:r>
    </w:p>
    <w:p w:rsidR="0051372C" w:rsidRDefault="0051372C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1372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FFFFFF"/>
              </w:rPr>
              <w:t>Customer Segment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FFFFFF"/>
              </w:rPr>
              <w:t>Churn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FFFFFF"/>
              </w:rPr>
              <w:t>Risk Level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Month-to-month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</w:rPr>
              <w:t>42.7%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C62828"/>
              </w:rPr>
              <w:t>CRITICAL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Electronic check 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</w:rPr>
              <w:t>45.3%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C62828"/>
              </w:rPr>
              <w:t>CRITICAL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Fiber optic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</w:rPr>
              <w:t>41.9%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E65100"/>
              </w:rPr>
              <w:t>HIGH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Senior citizens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</w:rPr>
              <w:t>41.7%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E65100"/>
              </w:rPr>
              <w:t>HIGH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Tenure 0-12 months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</w:rPr>
              <w:t>~47%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E65100"/>
              </w:rPr>
              <w:t>HIGH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No online 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</w:rPr>
              <w:t>~41%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E65100"/>
              </w:rPr>
              <w:t>HIGH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t>One-year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</w:rPr>
              <w:t>11.3%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2E7D32"/>
              </w:rPr>
              <w:t>MODERATE</w:t>
            </w:r>
          </w:p>
        </w:tc>
      </w:tr>
      <w:tr w:rsidR="0051372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r>
              <w:lastRenderedPageBreak/>
              <w:t>Two-year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</w:rPr>
              <w:t>2.8%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372C" w:rsidRDefault="002C1EB4">
            <w:pPr>
              <w:jc w:val="center"/>
            </w:pPr>
            <w:r>
              <w:rPr>
                <w:b/>
                <w:bCs/>
                <w:color w:val="1565C0"/>
              </w:rPr>
              <w:t>LOW</w:t>
            </w:r>
          </w:p>
        </w:tc>
      </w:tr>
    </w:tbl>
    <w:p w:rsidR="0051372C" w:rsidRDefault="0051372C">
      <w:pPr>
        <w:spacing w:before="80" w:after="80"/>
      </w:pPr>
    </w:p>
    <w:p w:rsidR="0051372C" w:rsidRDefault="0051372C">
      <w:pPr>
        <w:spacing w:before="80" w:after="80"/>
      </w:pPr>
    </w:p>
    <w:p w:rsidR="0051372C" w:rsidRDefault="002C1EB4">
      <w:pPr>
        <w:pStyle w:val="Heading1"/>
        <w:pBdr>
          <w:bottom w:val="single" w:sz="6" w:space="4" w:color="2E75B6"/>
        </w:pBdr>
      </w:pPr>
      <w:r>
        <w:t>7. Recommendations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Recommendation 1 — Incentivize Long-Term Contract Upgrades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>Month-to-month customers represent the highest churn risk at 42.7%. The business should introduce incentives for customers to upgrade to annual or two-year contracts, such as discounted monthly rates, free add-on services (e.g., online security), or loyalt</w:t>
      </w:r>
      <w:r>
        <w:rPr>
          <w:color w:val="1A1A1A"/>
        </w:rPr>
        <w:t>y rewards. Even a 10% reduction in month-to-month churn would retain approximately 162 additional customers per cycle.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Recommendation 2 — Implement a New Customer Retention Program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>The first 12 months are the most vulnerable period for churn. A structured</w:t>
      </w:r>
      <w:r>
        <w:rPr>
          <w:color w:val="1A1A1A"/>
        </w:rPr>
        <w:t xml:space="preserve"> onboarding program should be introduced, including proactive check-in calls at months 1, 3, and 6, personalized welcome offers, tutorial resources, and satisfaction surveys. Early engagement builds loyalty and reduces the likelihood of early departure.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R</w:t>
      </w:r>
      <w:r>
        <w:t>ecommendation 3 — Investigate and Address Fiber Optic Dissatisfaction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 xml:space="preserve">Fiber optic customers churn at nearly the same rate as month-to-month customers, despite being the highest-paying segment. The business should conduct targeted satisfaction surveys with </w:t>
      </w:r>
      <w:r>
        <w:rPr>
          <w:color w:val="1A1A1A"/>
        </w:rPr>
        <w:t>fiber users to identify whether the issue is pricing, reliability, or customer support quality. Service quality improvements or price adjustments for long-term fiber subscribers should be prioritized.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Recommendation 4 — Bundle Add-On Services with Entry-Level Plans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 xml:space="preserve">Customers without online security or tech support churn at approximately double the rate of those who have these services. Bundling </w:t>
      </w:r>
      <w:proofErr w:type="spellStart"/>
      <w:r>
        <w:rPr>
          <w:color w:val="1A1A1A"/>
        </w:rPr>
        <w:t>OnlineSecurity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TechSupport</w:t>
      </w:r>
      <w:proofErr w:type="spellEnd"/>
      <w:r>
        <w:rPr>
          <w:color w:val="1A1A1A"/>
        </w:rPr>
        <w:t xml:space="preserve"> into standard plans, or offe</w:t>
      </w:r>
      <w:r>
        <w:rPr>
          <w:color w:val="1A1A1A"/>
        </w:rPr>
        <w:t>ring free 3-month trials of these services to at-risk customers, would increase stickiness and perceived value at a relatively low cost.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t>Recommendation 5 — Convert Electronic Check Users to Auto-Pay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>Electronic check users show the highest churn rate (45.3</w:t>
      </w:r>
      <w:r>
        <w:rPr>
          <w:color w:val="1A1A1A"/>
        </w:rPr>
        <w:t>%). The business should actively encourage this group to switch to automatic payment methods through small monthly incentives (e.g., a $2-3 discount) or one-time signup bonuses. Automatic payments reduce billing friction, improve payment consistency, and c</w:t>
      </w:r>
      <w:r>
        <w:rPr>
          <w:color w:val="1A1A1A"/>
        </w:rPr>
        <w:t>orrelate strongly with lower churn.</w:t>
      </w:r>
    </w:p>
    <w:p w:rsidR="0051372C" w:rsidRDefault="0051372C">
      <w:pPr>
        <w:spacing w:before="80" w:after="80"/>
      </w:pPr>
    </w:p>
    <w:p w:rsidR="0051372C" w:rsidRDefault="002C1EB4">
      <w:pPr>
        <w:pStyle w:val="Heading2"/>
      </w:pPr>
      <w:r>
        <w:lastRenderedPageBreak/>
        <w:t>Recommendation 6 — Develop a Senior Citizen Retention Strategy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>Senior citizens churn at 41.7%, significantly above the overall rate. A dedicated senior customer program — including simplified plan options, a dedicated h</w:t>
      </w:r>
      <w:r>
        <w:rPr>
          <w:color w:val="1A1A1A"/>
        </w:rPr>
        <w:t>elpline, and price-sensitive bundles — would address the unique needs of this growing demographic and improve retention in this underserved segment.</w:t>
      </w:r>
    </w:p>
    <w:p w:rsidR="0051372C" w:rsidRDefault="002C1EB4">
      <w:pPr>
        <w:pStyle w:val="Heading1"/>
        <w:pBdr>
          <w:bottom w:val="single" w:sz="6" w:space="4" w:color="2E75B6"/>
        </w:pBdr>
      </w:pPr>
      <w:r>
        <w:t>8. Conclusion</w:t>
      </w:r>
    </w:p>
    <w:p w:rsidR="0051372C" w:rsidRDefault="002C1EB4">
      <w:pPr>
        <w:spacing w:before="80" w:after="80"/>
        <w:jc w:val="both"/>
      </w:pPr>
      <w:r>
        <w:rPr>
          <w:color w:val="1A1A1A"/>
        </w:rPr>
        <w:t xml:space="preserve">This business analytics case study analyzed 7,043 customer records from a telecommunications </w:t>
      </w:r>
      <w:r>
        <w:rPr>
          <w:color w:val="1A1A1A"/>
        </w:rPr>
        <w:t>company to understand the drivers of customer churn and provide actionable recommendations.</w:t>
      </w:r>
    </w:p>
    <w:p w:rsidR="0051372C" w:rsidRDefault="0051372C">
      <w:pPr>
        <w:spacing w:before="80" w:after="80"/>
      </w:pPr>
    </w:p>
    <w:p w:rsidR="0051372C" w:rsidRDefault="002C1EB4">
      <w:pPr>
        <w:spacing w:before="80" w:after="80"/>
        <w:jc w:val="both"/>
      </w:pPr>
      <w:r>
        <w:rPr>
          <w:color w:val="1A1A1A"/>
        </w:rPr>
        <w:t>The analysis revealed that the company is losing 26.5% of its customers — a rate that, if left unaddressed, poses a significant long-term revenue risk. The four mo</w:t>
      </w:r>
      <w:r>
        <w:rPr>
          <w:color w:val="1A1A1A"/>
        </w:rPr>
        <w:t>st powerful predictors of churn were identified as contract type, customer tenure, internet service type, and payment method. Together, these factors point to a clear business narrative: customers who are less committed (short contracts, manual payments, n</w:t>
      </w:r>
      <w:r>
        <w:rPr>
          <w:color w:val="1A1A1A"/>
        </w:rPr>
        <w:t>ewer relationships) are far more likely to leave.</w:t>
      </w:r>
    </w:p>
    <w:p w:rsidR="0051372C" w:rsidRDefault="0051372C">
      <w:pPr>
        <w:spacing w:before="80" w:after="80"/>
      </w:pPr>
    </w:p>
    <w:p w:rsidR="0051372C" w:rsidRDefault="002C1EB4">
      <w:pPr>
        <w:spacing w:before="80" w:after="80"/>
        <w:jc w:val="both"/>
      </w:pPr>
      <w:r>
        <w:rPr>
          <w:color w:val="1A1A1A"/>
        </w:rPr>
        <w:t>The six recommendations provided in this report are directly grounded in the data and offer practical, cost-effective pathways to reducing churn. Prioritizing contract upgrade incentives, early-stage reten</w:t>
      </w:r>
      <w:r>
        <w:rPr>
          <w:color w:val="1A1A1A"/>
        </w:rPr>
        <w:t>tion programs, and fiber optic service improvements would likely yield the greatest impact in the shortest timeframe.</w:t>
      </w:r>
    </w:p>
    <w:p w:rsidR="0051372C" w:rsidRDefault="0051372C">
      <w:pPr>
        <w:spacing w:before="80" w:after="80"/>
      </w:pPr>
    </w:p>
    <w:p w:rsidR="0051372C" w:rsidRDefault="002C1EB4">
      <w:pPr>
        <w:spacing w:before="80" w:after="80"/>
        <w:jc w:val="both"/>
      </w:pPr>
      <w:r>
        <w:rPr>
          <w:color w:val="1A1A1A"/>
        </w:rPr>
        <w:t xml:space="preserve">Data-driven decision-making of this kind empowers the business to move from reactive customer management to proactive retention strategy </w:t>
      </w:r>
      <w:r>
        <w:rPr>
          <w:color w:val="1A1A1A"/>
        </w:rPr>
        <w:t>— ultimately protecting revenue, improving customer satisfaction, and strengthening competitive positioning.</w:t>
      </w:r>
    </w:p>
    <w:p w:rsidR="0051372C" w:rsidRDefault="0051372C">
      <w:pPr>
        <w:spacing w:before="80" w:after="80"/>
      </w:pPr>
    </w:p>
    <w:p w:rsidR="0051372C" w:rsidRDefault="002C1EB4">
      <w:pPr>
        <w:pBdr>
          <w:top w:val="single" w:sz="4" w:space="4" w:color="2E75B6"/>
        </w:pBdr>
        <w:spacing w:before="400" w:after="80"/>
        <w:jc w:val="center"/>
      </w:pPr>
      <w:r>
        <w:rPr>
          <w:color w:val="888888"/>
          <w:sz w:val="18"/>
          <w:szCs w:val="18"/>
        </w:rPr>
        <w:t xml:space="preserve">Prepared by </w:t>
      </w:r>
      <w:proofErr w:type="spellStart"/>
      <w:r>
        <w:rPr>
          <w:color w:val="888888"/>
          <w:sz w:val="18"/>
          <w:szCs w:val="18"/>
        </w:rPr>
        <w:t>Ndubuisi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F</w:t>
      </w:r>
      <w:bookmarkStart w:id="0" w:name="_GoBack"/>
      <w:bookmarkEnd w:id="0"/>
      <w:r>
        <w:rPr>
          <w:color w:val="888888"/>
          <w:sz w:val="18"/>
          <w:szCs w:val="18"/>
        </w:rPr>
        <w:t>avour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proofErr w:type="gramStart"/>
      <w:r>
        <w:rPr>
          <w:color w:val="888888"/>
          <w:sz w:val="18"/>
          <w:szCs w:val="18"/>
        </w:rPr>
        <w:t>Adaku</w:t>
      </w:r>
      <w:proofErr w:type="spellEnd"/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spellStart"/>
      <w:r>
        <w:rPr>
          <w:color w:val="888888"/>
          <w:sz w:val="18"/>
          <w:szCs w:val="18"/>
        </w:rPr>
        <w:t>AnalystLab</w:t>
      </w:r>
      <w:proofErr w:type="spellEnd"/>
      <w:r>
        <w:rPr>
          <w:color w:val="888888"/>
          <w:sz w:val="18"/>
          <w:szCs w:val="18"/>
        </w:rPr>
        <w:t xml:space="preserve"> Africa  |  Batch B  |  Week 5  |  June 2026</w:t>
      </w:r>
    </w:p>
    <w:sectPr w:rsidR="005137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3282C"/>
    <w:multiLevelType w:val="hybridMultilevel"/>
    <w:tmpl w:val="9AA40C98"/>
    <w:lvl w:ilvl="0" w:tplc="A89AC0F6">
      <w:start w:val="1"/>
      <w:numFmt w:val="bullet"/>
      <w:lvlText w:val="●"/>
      <w:lvlJc w:val="left"/>
      <w:pPr>
        <w:ind w:left="720" w:hanging="360"/>
      </w:pPr>
    </w:lvl>
    <w:lvl w:ilvl="1" w:tplc="2744A6B0">
      <w:start w:val="1"/>
      <w:numFmt w:val="bullet"/>
      <w:lvlText w:val="○"/>
      <w:lvlJc w:val="left"/>
      <w:pPr>
        <w:ind w:left="1440" w:hanging="360"/>
      </w:pPr>
    </w:lvl>
    <w:lvl w:ilvl="2" w:tplc="4356C74E">
      <w:start w:val="1"/>
      <w:numFmt w:val="bullet"/>
      <w:lvlText w:val="■"/>
      <w:lvlJc w:val="left"/>
      <w:pPr>
        <w:ind w:left="2160" w:hanging="360"/>
      </w:pPr>
    </w:lvl>
    <w:lvl w:ilvl="3" w:tplc="71EE4292">
      <w:start w:val="1"/>
      <w:numFmt w:val="bullet"/>
      <w:lvlText w:val="●"/>
      <w:lvlJc w:val="left"/>
      <w:pPr>
        <w:ind w:left="2880" w:hanging="360"/>
      </w:pPr>
    </w:lvl>
    <w:lvl w:ilvl="4" w:tplc="6FD23566">
      <w:start w:val="1"/>
      <w:numFmt w:val="bullet"/>
      <w:lvlText w:val="○"/>
      <w:lvlJc w:val="left"/>
      <w:pPr>
        <w:ind w:left="3600" w:hanging="360"/>
      </w:pPr>
    </w:lvl>
    <w:lvl w:ilvl="5" w:tplc="E506B382">
      <w:start w:val="1"/>
      <w:numFmt w:val="bullet"/>
      <w:lvlText w:val="■"/>
      <w:lvlJc w:val="left"/>
      <w:pPr>
        <w:ind w:left="4320" w:hanging="360"/>
      </w:pPr>
    </w:lvl>
    <w:lvl w:ilvl="6" w:tplc="28D01E24">
      <w:start w:val="1"/>
      <w:numFmt w:val="bullet"/>
      <w:lvlText w:val="●"/>
      <w:lvlJc w:val="left"/>
      <w:pPr>
        <w:ind w:left="5040" w:hanging="360"/>
      </w:pPr>
    </w:lvl>
    <w:lvl w:ilvl="7" w:tplc="98544E00">
      <w:start w:val="1"/>
      <w:numFmt w:val="bullet"/>
      <w:lvlText w:val="●"/>
      <w:lvlJc w:val="left"/>
      <w:pPr>
        <w:ind w:left="5760" w:hanging="360"/>
      </w:pPr>
    </w:lvl>
    <w:lvl w:ilvl="8" w:tplc="A606ADD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9993CF6"/>
    <w:multiLevelType w:val="hybridMultilevel"/>
    <w:tmpl w:val="DC74E01C"/>
    <w:lvl w:ilvl="0" w:tplc="12906E52">
      <w:start w:val="1"/>
      <w:numFmt w:val="bullet"/>
      <w:lvlText w:val="•"/>
      <w:lvlJc w:val="left"/>
      <w:pPr>
        <w:ind w:left="720" w:hanging="360"/>
      </w:pPr>
    </w:lvl>
    <w:lvl w:ilvl="1" w:tplc="C5BC600A">
      <w:numFmt w:val="decimal"/>
      <w:lvlText w:val=""/>
      <w:lvlJc w:val="left"/>
    </w:lvl>
    <w:lvl w:ilvl="2" w:tplc="EBC812F4">
      <w:numFmt w:val="decimal"/>
      <w:lvlText w:val=""/>
      <w:lvlJc w:val="left"/>
    </w:lvl>
    <w:lvl w:ilvl="3" w:tplc="942E3358">
      <w:numFmt w:val="decimal"/>
      <w:lvlText w:val=""/>
      <w:lvlJc w:val="left"/>
    </w:lvl>
    <w:lvl w:ilvl="4" w:tplc="33A0D47A">
      <w:numFmt w:val="decimal"/>
      <w:lvlText w:val=""/>
      <w:lvlJc w:val="left"/>
    </w:lvl>
    <w:lvl w:ilvl="5" w:tplc="E1A07126">
      <w:numFmt w:val="decimal"/>
      <w:lvlText w:val=""/>
      <w:lvlJc w:val="left"/>
    </w:lvl>
    <w:lvl w:ilvl="6" w:tplc="4E601A9E">
      <w:numFmt w:val="decimal"/>
      <w:lvlText w:val=""/>
      <w:lvlJc w:val="left"/>
    </w:lvl>
    <w:lvl w:ilvl="7" w:tplc="7E5E57F4">
      <w:numFmt w:val="decimal"/>
      <w:lvlText w:val=""/>
      <w:lvlJc w:val="left"/>
    </w:lvl>
    <w:lvl w:ilvl="8" w:tplc="B7269B64">
      <w:numFmt w:val="decimal"/>
      <w:lvlText w:val=""/>
      <w:lvlJc w:val="left"/>
    </w:lvl>
  </w:abstractNum>
  <w:abstractNum w:abstractNumId="2">
    <w:nsid w:val="71187EB7"/>
    <w:multiLevelType w:val="hybridMultilevel"/>
    <w:tmpl w:val="17A2194E"/>
    <w:lvl w:ilvl="0" w:tplc="06C408E6">
      <w:start w:val="1"/>
      <w:numFmt w:val="decimal"/>
      <w:lvlText w:val="%1."/>
      <w:lvlJc w:val="left"/>
      <w:pPr>
        <w:ind w:left="720" w:hanging="360"/>
      </w:pPr>
    </w:lvl>
    <w:lvl w:ilvl="1" w:tplc="BA68A09C">
      <w:numFmt w:val="decimal"/>
      <w:lvlText w:val=""/>
      <w:lvlJc w:val="left"/>
    </w:lvl>
    <w:lvl w:ilvl="2" w:tplc="FC2E0C80">
      <w:numFmt w:val="decimal"/>
      <w:lvlText w:val=""/>
      <w:lvlJc w:val="left"/>
    </w:lvl>
    <w:lvl w:ilvl="3" w:tplc="D08C3026">
      <w:numFmt w:val="decimal"/>
      <w:lvlText w:val=""/>
      <w:lvlJc w:val="left"/>
    </w:lvl>
    <w:lvl w:ilvl="4" w:tplc="8654CD54">
      <w:numFmt w:val="decimal"/>
      <w:lvlText w:val=""/>
      <w:lvlJc w:val="left"/>
    </w:lvl>
    <w:lvl w:ilvl="5" w:tplc="89BEA19C">
      <w:numFmt w:val="decimal"/>
      <w:lvlText w:val=""/>
      <w:lvlJc w:val="left"/>
    </w:lvl>
    <w:lvl w:ilvl="6" w:tplc="4670C16E">
      <w:numFmt w:val="decimal"/>
      <w:lvlText w:val=""/>
      <w:lvlJc w:val="left"/>
    </w:lvl>
    <w:lvl w:ilvl="7" w:tplc="25B02258">
      <w:numFmt w:val="decimal"/>
      <w:lvlText w:val=""/>
      <w:lvlJc w:val="left"/>
    </w:lvl>
    <w:lvl w:ilvl="8" w:tplc="DFB6EC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72C"/>
    <w:rsid w:val="002C1EB4"/>
    <w:rsid w:val="0051372C"/>
    <w:rsid w:val="00A8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5440FA-6BEE-490C-9AA0-43589E61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2026-07-01T01:30:00Z</dcterms:created>
  <dcterms:modified xsi:type="dcterms:W3CDTF">2026-07-01T01:30:00Z</dcterms:modified>
</cp:coreProperties>
</file>