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Q360</w:t>
      </w:r>
    </w:p>
    <w:p>
      <w:pPr>
        <w:jc w:val="center"/>
      </w:pPr>
      <w:r>
        <w:rPr>
          <w:b/>
          <w:sz w:val="36"/>
        </w:rPr>
        <w:t>Health Underwriting &amp; Pricing Core</w:t>
      </w:r>
    </w:p>
    <w:p/>
    <w:p>
      <w:pPr>
        <w:jc w:val="center"/>
      </w:pPr>
      <w:r>
        <w:rPr>
          <w:b/>
          <w:sz w:val="30"/>
        </w:rPr>
        <w:t>Q360-MVP-DOC-001</w:t>
      </w:r>
    </w:p>
    <w:p>
      <w:pPr>
        <w:jc w:val="center"/>
      </w:pPr>
      <w:r>
        <w:rPr>
          <w:b/>
          <w:sz w:val="40"/>
        </w:rPr>
        <w:t>VISÃO / ESPECIFICAÇÃO FUNCIONAL — V1</w:t>
      </w:r>
    </w:p>
    <w:p/>
    <w:p>
      <w:pPr>
        <w:spacing w:after="80"/>
      </w:pPr>
      <w:r>
        <w:t>Documento funcional normativo para implementação do MVP. Define o comportamento funcional, regras, estados, validações, ecrãs e critérios de aceitação da V1. Não autoriza a implementação de funcionalidades V2.</w:t>
      </w:r>
    </w:p>
    <w:p>
      <w:pPr>
        <w:spacing w:after="80"/>
      </w:pPr>
      <w:r>
        <w:t>Versão: 1.0  |  Estado: REVIEW  |  Data: 04/09/2026</w:t>
      </w:r>
    </w:p>
    <w:p>
      <w:pPr>
        <w:spacing w:after="80"/>
      </w:pPr>
      <w:r>
        <w:t>Documento-mestre relacionado: Q360-MVP-DOC-000 — Master Documentation &amp; Implementation Index</w:t>
      </w:r>
    </w:p>
    <w:p>
      <w:r>
        <w:br w:type="page"/>
      </w:r>
    </w:p>
    <w:p>
      <w:pPr>
        <w:pStyle w:val="Heading1"/>
      </w:pPr>
      <w:r>
        <w:t>1. Controlo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Q360-MVP-DOC-001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Nome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Visão / Especificação Funcional Q360 V1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Produto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Q360 Health Underwriting &amp; Pricing Core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Release alvo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V1 — MVP robusto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Autoridade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Normativo funcional da V1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Dependência principal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Q360-MVP-DOC-000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Documentos dependentes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DOC-002, DOC-003, DOC-004 e artefactos ART-005 a ART-013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Público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Product Owner, Subscrição, Actuariado, Arquitectura, Backend, Frontend, QA, DevOps e Segurança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Regra de alteração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Qualquer alteração funcional deve ser identificada, versionada e aprovada antes de alterar artefactos derivados</w:t>
            </w:r>
          </w:p>
        </w:tc>
      </w:tr>
    </w:tbl>
    <w:p/>
    <w:p>
      <w:pPr>
        <w:pStyle w:val="Heading1"/>
      </w:pPr>
      <w:r>
        <w:t>2. Finalidade</w:t>
      </w:r>
    </w:p>
    <w:p>
      <w:pPr>
        <w:spacing w:after="80"/>
      </w:pPr>
      <w:r>
        <w:t>O Q360 V1 é um sistema de cotação e subscrição de seguros de saúde orientado ao trabalho técnico de subscritores. O MVP deve permitir configurar produtos e planos, registar proponentes e beneficiários, validar elegibilidade, calcular prémios de forma determinística, explicar o cálculo, submeter a cotação para análise, aprovar/rejeitar dentro da autoridade configurada e conservar um snapshot auditável que permita reproduzir o resultado.</w:t>
      </w:r>
    </w:p>
    <w:p>
      <w:pPr>
        <w:spacing w:after="80"/>
      </w:pPr>
      <w:r>
        <w:t>A V1 privilegia segurança operacional, consistência, rastreabilidade, versionamento e capacidade de evolução. O sistema deve impedir que um utilizador obtenha resultados não explicáveis por alteração acidental de parâmetros, regra, tarifa ou dados de entrada.</w:t>
      </w:r>
    </w:p>
    <w:p>
      <w:pPr>
        <w:pStyle w:val="Heading1"/>
      </w:pPr>
      <w:r>
        <w:t>3. Princípios Funcionais Obrigatórios</w:t>
      </w:r>
    </w:p>
    <w:p>
      <w:pPr>
        <w:pStyle w:val="ListBullet"/>
        <w:spacing w:after="40"/>
      </w:pPr>
      <w:r>
        <w:t>Determinismo: os mesmos inputs, versões de configuração e data de referência devem produzir o mesmo resultado.</w:t>
      </w:r>
    </w:p>
    <w:p>
      <w:pPr>
        <w:pStyle w:val="ListBullet"/>
        <w:spacing w:after="40"/>
      </w:pPr>
      <w:r>
        <w:t>Snapshot: cada cotação submetida deve conservar os dados relevantes usados no cálculo e as versões dos artefactos de pricing.</w:t>
      </w:r>
    </w:p>
    <w:p>
      <w:pPr>
        <w:pStyle w:val="ListBullet"/>
        <w:spacing w:after="40"/>
      </w:pPr>
      <w:r>
        <w:t>Versionamento temporal: produto, plano, cobertura, tarifa, tabela, regra e parâmetros devem possuir vigência controlada quando aplicável.</w:t>
      </w:r>
    </w:p>
    <w:p>
      <w:pPr>
        <w:pStyle w:val="ListBullet"/>
        <w:spacing w:after="40"/>
      </w:pPr>
      <w:r>
        <w:t>Configuração antes de código: parâmetros comerciais e tarifários não devem ser hardcoded quando forem configuráveis.</w:t>
      </w:r>
    </w:p>
    <w:p>
      <w:pPr>
        <w:pStyle w:val="ListBullet"/>
        <w:spacing w:after="40"/>
      </w:pPr>
      <w:r>
        <w:t>Separação de responsabilidades: quem aprova não pode aprovar a própria submissão.</w:t>
      </w:r>
    </w:p>
    <w:p>
      <w:pPr>
        <w:pStyle w:val="ListBullet"/>
        <w:spacing w:after="40"/>
      </w:pPr>
      <w:r>
        <w:t>Auditabilidade: alterações críticas devem gerar registo de auditoria com actor, timestamp, acção e referência do objecto.</w:t>
      </w:r>
    </w:p>
    <w:p>
      <w:pPr>
        <w:pStyle w:val="ListBullet"/>
        <w:spacing w:after="40"/>
      </w:pPr>
      <w:r>
        <w:t>Isolamento por tenant: os dados de uma entidade não podem ser consultados ou alterados por outra entidade.</w:t>
      </w:r>
    </w:p>
    <w:p>
      <w:pPr>
        <w:pStyle w:val="ListBullet"/>
        <w:spacing w:after="40"/>
      </w:pPr>
      <w:r>
        <w:t>Precisão monetária: cálculos financeiros usam decimal exacto e regras explícitas de arredondamento; nunca usar floating point para prémios.</w:t>
      </w:r>
    </w:p>
    <w:p>
      <w:pPr>
        <w:pStyle w:val="ListBullet"/>
        <w:spacing w:after="40"/>
      </w:pPr>
      <w:r>
        <w:t>Fail-safe: perante configuração ausente, inválida ou incompatível, o sistema deve bloquear a cotação em vez de produzir um prémio silenciosamente incorrecto.</w:t>
      </w:r>
    </w:p>
    <w:p>
      <w:pPr>
        <w:pStyle w:val="ListBullet"/>
        <w:spacing w:after="40"/>
      </w:pPr>
      <w:r>
        <w:t>Extensibilidade: V1 deve criar fronteiras claras para futura evolução V2 sem misturar funcionalidades clínicas, sinistros avançados ou resseguro no núcleo MVP.</w:t>
      </w:r>
    </w:p>
    <w:p>
      <w:pPr>
        <w:pStyle w:val="Heading1"/>
      </w:pPr>
      <w:r>
        <w:t>4. Escopo V1 e Fronteira com V2</w:t>
      </w:r>
    </w:p>
    <w:p>
      <w:pPr>
        <w:pStyle w:val="Heading2"/>
      </w:pPr>
      <w:r>
        <w:t>4.1 Incluído na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V1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Identidade e acesso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Autenticação, autorização, perfis, permissões e segregação de tenant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Configuração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Produto, plano, coberturas/benefícios, parâmetros e versões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Proponente, titular, dependente e dados necessários à cotação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Elegibilidade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Validações funcionais e de configuração aplicáveis ao produto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Pricing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Tarifas/tabelas, factores configuráveis, cálculo determinístico e explicação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Cotação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Criação, simulação, recálculo, submissão, revisão, aprovação, rejeição, expiração e cancelamento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Subscrição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Workflow técnico, decisões e motivos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Documentos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Dados/proposta necessários à emissão futura e artefactos documentais definidos para V1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Histórico de alterações e decisões críticas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Integração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APIs e eventos estritamente necessários ao V1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Qualidade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Golden tests, testes de regras, testes de API e critérios de aceitação</w:t>
            </w:r>
          </w:p>
        </w:tc>
      </w:tr>
    </w:tbl>
    <w:p/>
    <w:p>
      <w:pPr>
        <w:pStyle w:val="Heading2"/>
      </w:pPr>
      <w:r>
        <w:t>4.2 Explicitamente V2</w:t>
      </w:r>
    </w:p>
    <w:p>
      <w:pPr>
        <w:pStyle w:val="ListBullet"/>
        <w:spacing w:after="40"/>
      </w:pPr>
      <w:r>
        <w:t>Subscrição médica avançada e motor clínico de decisão.</w:t>
      </w:r>
    </w:p>
    <w:p>
      <w:pPr>
        <w:pStyle w:val="ListBullet"/>
        <w:spacing w:after="40"/>
      </w:pPr>
      <w:r>
        <w:t>Integração clínica FHIR/ICD avançada e gestão de informação médica detalhada.</w:t>
      </w:r>
    </w:p>
    <w:p>
      <w:pPr>
        <w:pStyle w:val="ListBullet"/>
        <w:spacing w:after="40"/>
      </w:pPr>
      <w:r>
        <w:t>TPA, autorização de actos médicos, claims intelligence e fraude/FWA.</w:t>
      </w:r>
    </w:p>
    <w:p>
      <w:pPr>
        <w:pStyle w:val="ListBullet"/>
        <w:spacing w:after="40"/>
      </w:pPr>
      <w:r>
        <w:t>Redes de prestadores e optimização avançada de rede.</w:t>
      </w:r>
    </w:p>
    <w:p>
      <w:pPr>
        <w:pStyle w:val="ListBullet"/>
        <w:spacing w:after="40"/>
      </w:pPr>
      <w:r>
        <w:t>Resseguro e tratados/facultativo.</w:t>
      </w:r>
    </w:p>
    <w:p>
      <w:pPr>
        <w:pStyle w:val="ListBullet"/>
        <w:spacing w:after="40"/>
      </w:pPr>
      <w:r>
        <w:t>Modelos avançados de experiência de grupo, credibilidade e actuarial analytics.</w:t>
      </w:r>
    </w:p>
    <w:p>
      <w:pPr>
        <w:pStyle w:val="ListBullet"/>
        <w:spacing w:after="40"/>
      </w:pPr>
      <w:r>
        <w:t>Renewal intelligence e optimização automática de renovação.</w:t>
      </w:r>
    </w:p>
    <w:p>
      <w:pPr>
        <w:pStyle w:val="ListBullet"/>
        <w:spacing w:after="40"/>
      </w:pPr>
      <w:r>
        <w:t>Portais externos completos de segurado, prestador ou corretor.</w:t>
      </w:r>
    </w:p>
    <w:p>
      <w:pPr>
        <w:pStyle w:val="ListBullet"/>
        <w:spacing w:after="40"/>
      </w:pPr>
      <w:r>
        <w:t>Machine learning/predictive underwriting.</w:t>
      </w:r>
    </w:p>
    <w:p>
      <w:pPr>
        <w:pStyle w:val="ListBullet"/>
        <w:spacing w:after="40"/>
      </w:pPr>
      <w:r>
        <w:t>Orquestração clínica e processos médicos especializados.</w:t>
      </w:r>
    </w:p>
    <w:p>
      <w:pPr>
        <w:spacing w:after="80"/>
      </w:pPr>
      <w:r>
        <w:t>Regra de fronteira: uma necessidade que dependa de qualquer item acima deve ser registada como V2 ou como decisão de produto explicitamente aprovada. Não deve ser introduzida silenciosamente na V1.</w:t>
      </w:r>
    </w:p>
    <w:p>
      <w:pPr>
        <w:pStyle w:val="Heading1"/>
      </w:pPr>
      <w:r>
        <w:t>5. Objectivos de Negócio da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Objectivo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observável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OBJ-01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Reduzir trabalho manual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Uma cotação standard pode ser criada e recalculada sem folhas externas.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OBJ-02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Aumentar consistência técnica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 pricing segue versões controladas de tarifas, parâmetros e regras.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OBJ-03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Melhorar explicabilidade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 subscritor consegue identificar como o prémio foi obtido.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OBJ-04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Controlar autoridade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Submissão, aprovação e rejeição respeitam workflow e segregação.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OBJ-05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Garantir reprodução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Uma cotação submetida pode ser reconstituída a partir do snapshot.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OBJ-06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Criar base evolutiva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 arquitectura funcional permite adicionar V2 sem reescrever o núcleo de V1.</w:t>
            </w:r>
          </w:p>
        </w:tc>
      </w:tr>
    </w:tbl>
    <w:p/>
    <w:p>
      <w:pPr>
        <w:pStyle w:val="Heading1"/>
      </w:pPr>
      <w:r>
        <w:t>6. Actores e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Actor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Responsabilidade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Capacidades V1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Administrador de Tenant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Configuração administrativa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Gerir utilizadores, perfis e parâmetros autorizados.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Configurador de Produto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Configuração técnica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Gerir produtos, planos, benefícios, vigências e parâmetros dentro da sua autoridade.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Subscritor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Operação técnica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Criar cotação, simular, rever, submeter, consultar explicação e decidir quando autorizado.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Aprovador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Controlo técnico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Aprovar ou rejeitar cotações submetidas, sem autoaprovação.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Leitor/Auditor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Consulta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Consultar informação e histórico sem alterar dados.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Serviço de Pricing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Componente interno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Executar cálculo determinístico a partir de inputs e versões.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Serviço de Workflow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Componente interno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Controlar transições válidas e permissões.</w:t>
            </w:r>
          </w:p>
        </w:tc>
      </w:tr>
    </w:tbl>
    <w:p/>
    <w:p>
      <w:pPr>
        <w:pStyle w:val="Heading1"/>
      </w:pPr>
      <w:r>
        <w:t>7. Modelo Funcional de Domínio</w:t>
      </w:r>
    </w:p>
    <w:p>
      <w:pPr>
        <w:spacing w:after="80"/>
      </w:pPr>
      <w:r>
        <w:t>A relação funcional mínima da V1 é: Tenant → Produto → Versão do Produto → Plano → Cobertura/Benefício → Configuração Tarifária/Parâmetros → Proponente → Beneficiários → Cotação → Cenário/Versão de cálculo → Resultado de Pricing → Submissão → Decisão.</w:t>
      </w:r>
    </w:p>
    <w:p>
      <w:pPr>
        <w:spacing w:after="80"/>
      </w:pPr>
      <w:r>
        <w:t>Uma cotação não deve depender do estado mutável actual de um produto para explicar uma decisão passada. O cálculo submetido deve apontar para versões imutáveis ou identificáveis dos artefactos utilizados.</w:t>
      </w:r>
    </w:p>
    <w:p>
      <w:pPr>
        <w:pStyle w:val="Heading2"/>
      </w:pPr>
      <w:r>
        <w:t>7.1 Entidades funcionais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Entidade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Finalidade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Regra essencial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Tenant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Isolamento organizacional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Obrigatória em todos os objectos de negócio.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User / Role / Permission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Acesso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Permissões devem ser explícitas.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Produto de seguro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Identificador estável e estado controlado.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Product Version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Vigência/configuração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Não alterar retroactivamente uma versão usada por cotação submetida.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Oferta tarifária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Ligado a versão de produto.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Benefit/Coverage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Cobertura/benefício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Com limites, franquias/condições apenas quando configurados.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Pricing Configuration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Tarifas/factores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Versionada e com vigência.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Proposer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Entidade que solicita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Pode ser pessoa singular ou colectiva, conforme configuração.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Member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Pessoa coberta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Titular/dependente e atributos necessários ao pricing.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Cabeçalho da cotação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Possui ciclo de vida próprio.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 Version/Snapshot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Reprodução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Conserva inputs e referências de configuração.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Pricing Result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Resultado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Detalha componentes e total.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Underwriting Decision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Decisão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Aprovação/rejeição com actor, data e motivo.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Audit Event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Rastreabilidade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Imutável para eventos de auditoria.</w:t>
            </w:r>
          </w:p>
        </w:tc>
      </w:tr>
    </w:tbl>
    <w:p/>
    <w:p>
      <w:pPr>
        <w:pStyle w:val="Heading1"/>
      </w:pPr>
      <w:r>
        <w:t>8. Fluxo End-to-End da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Etapa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Acção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Saída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Bloqueio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Seleccionar produto/plano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Contexto de cotação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Produto/plano inexistente ou fora de vigência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Registar proponente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Proponente validado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Campos obrigatórios inválidos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Registar titulares/dependentes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População elegível para análise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Duplicados, dados incompatíveis ou elegibilidade inválida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Executar validações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Lista de validações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Erro impeditivo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Calcular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Resultado de pricing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Configuração ausente/incompatível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Explicar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Breakdown do prémio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Resultado não explicável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Guardar cenário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Versão calculada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Conflito de concorrência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Submeter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Quote SUBMITTED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Faltam campos/validações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Rever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Quote UNDER_REVIEW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Actor sem permissão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Decidir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APPROVED ou REJECTED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Autoaprovação ou decisão inválida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Finalizar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Quote pronta para processo posterior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Estado não permite finalização</w:t>
            </w:r>
          </w:p>
        </w:tc>
      </w:tr>
    </w:tbl>
    <w:p/>
    <w:p>
      <w:pPr>
        <w:pStyle w:val="Heading1"/>
      </w:pPr>
      <w:r>
        <w:t>9. Casos de Uso Normativos</w:t>
      </w:r>
    </w:p>
    <w:p>
      <w:pPr>
        <w:pStyle w:val="Heading2"/>
      </w:pPr>
      <w:r>
        <w:t>UC-01 — Criar Cotação</w:t>
      </w:r>
    </w:p>
    <w:p>
      <w:pPr>
        <w:spacing w:after="80"/>
      </w:pPr>
      <w:r>
        <w:t>Pré-condições: utilizador autenticado; tenant activo; produto/plano seleccionável. O utilizador escolhe produto, versão/plano e data de referência. O sistema cria uma cotação em estado DRAFT e gera identificador único.</w:t>
      </w:r>
    </w:p>
    <w:p>
      <w:pPr>
        <w:spacing w:after="80"/>
      </w:pPr>
      <w:r>
        <w:t>Critérios: a cotação deve estar vinculada ao tenant; a versão de produto deve ser válida para a data de referência; o sistema não deve aceitar uma versão inexistente, inactiva ou incompatível.</w:t>
      </w:r>
    </w:p>
    <w:p>
      <w:pPr>
        <w:pStyle w:val="Heading2"/>
      </w:pPr>
      <w:r>
        <w:t>UC-02 — Registar Proponente</w:t>
      </w:r>
    </w:p>
    <w:p>
      <w:pPr>
        <w:spacing w:after="80"/>
      </w:pPr>
      <w:r>
        <w:t>O utilizador introduz os dados mínimos definidos pelo produto. O sistema valida formato, obrigatoriedade, unicidade quando aplicável e coerência. A validação deve distinguir erro de campo, erro de negócio e erro de configuração.</w:t>
      </w:r>
    </w:p>
    <w:p>
      <w:pPr>
        <w:pStyle w:val="Heading2"/>
      </w:pPr>
      <w:r>
        <w:t>UC-03 — Adicionar Beneficiário</w:t>
      </w:r>
    </w:p>
    <w:p>
      <w:pPr>
        <w:spacing w:after="80"/>
      </w:pPr>
      <w:r>
        <w:t>Cada membro deve ser classificado como TITULAR ou DEPENDENTE. O sistema deve aplicar as regras configuradas para relação, idade, quantidade e elegibilidade. Os dados clínicos detalhados não fazem parte do núcleo comercial V1.</w:t>
      </w:r>
    </w:p>
    <w:p>
      <w:pPr>
        <w:pStyle w:val="Heading2"/>
      </w:pPr>
      <w:r>
        <w:t>UC-04 — Calcular Prémio</w:t>
      </w:r>
    </w:p>
    <w:p>
      <w:pPr>
        <w:spacing w:after="80"/>
      </w:pPr>
      <w:r>
        <w:t>O sistema recolhe os inputs do cenário, resolve a configuração aplicável pela data de referência, executa as regras na ordem definida e devolve componentes, subtotais, arredondamentos e total.</w:t>
      </w:r>
    </w:p>
    <w:p>
      <w:pPr>
        <w:spacing w:after="80"/>
      </w:pPr>
      <w:r>
        <w:t>Nenhum componente financeiro deve ser apresentado sem origem identificável: tabela/factor/parâmetro/regra ou fórmula configurada.</w:t>
      </w:r>
    </w:p>
    <w:p>
      <w:pPr>
        <w:pStyle w:val="Heading2"/>
      </w:pPr>
      <w:r>
        <w:t>UC-05 — Recalcular</w:t>
      </w:r>
    </w:p>
    <w:p>
      <w:pPr>
        <w:spacing w:after="80"/>
      </w:pPr>
      <w:r>
        <w:t>O utilizador pode recalcular enquanto a cotação permitir edição. O recálculo não deve apagar o histórico. Cada cálculo relevante deve possuir versão ou número de execução e referência às configurações utilizadas.</w:t>
      </w:r>
    </w:p>
    <w:p>
      <w:pPr>
        <w:pStyle w:val="Heading2"/>
      </w:pPr>
      <w:r>
        <w:t>UC-06 — Submeter para Subscrição</w:t>
      </w:r>
    </w:p>
    <w:p>
      <w:pPr>
        <w:spacing w:after="80"/>
      </w:pPr>
      <w:r>
        <w:t>A submissão valida completude, consistência, elegibilidade, pricing e permissões. Se existir erro impeditivo, a cotação permanece no estado anterior e apresenta lista accionável de correcções.</w:t>
      </w:r>
    </w:p>
    <w:p>
      <w:pPr>
        <w:pStyle w:val="Heading2"/>
      </w:pPr>
      <w:r>
        <w:t>UC-07 — Rever e Aprovar</w:t>
      </w:r>
    </w:p>
    <w:p>
      <w:pPr>
        <w:spacing w:after="80"/>
      </w:pPr>
      <w:r>
        <w:t>O aprovador consulta resumo, beneficiários, prémio, breakdown, alertas, regras aplicadas e histórico. Aprovação exige actor autorizado diferente do originador quando este for o mesmo utilizador.</w:t>
      </w:r>
    </w:p>
    <w:p>
      <w:pPr>
        <w:pStyle w:val="Heading2"/>
      </w:pPr>
      <w:r>
        <w:t>UC-08 — Rejeitar</w:t>
      </w:r>
    </w:p>
    <w:p>
      <w:pPr>
        <w:spacing w:after="80"/>
      </w:pPr>
      <w:r>
        <w:t>A rejeição exige motivo seleccionável ou motivo textual conforme configuração. A decisão deve ficar registada e não pode ser apagada.</w:t>
      </w:r>
    </w:p>
    <w:p>
      <w:pPr>
        <w:pStyle w:val="Heading2"/>
      </w:pPr>
      <w:r>
        <w:t>UC-09 — Expirar</w:t>
      </w:r>
    </w:p>
    <w:p>
      <w:pPr>
        <w:spacing w:after="80"/>
      </w:pPr>
      <w:r>
        <w:t>Uma cotação pode tornar-se EXPIRED quando ultrapassa a validade configurada sem aprovação/finalização. O processo deve ser idempotente.</w:t>
      </w:r>
    </w:p>
    <w:p>
      <w:pPr>
        <w:pStyle w:val="Heading2"/>
      </w:pPr>
      <w:r>
        <w:t>UC-10 — Cancelar</w:t>
      </w:r>
    </w:p>
    <w:p>
      <w:pPr>
        <w:spacing w:after="80"/>
      </w:pPr>
      <w:r>
        <w:t>O cancelamento deve exigir permissão adequada e motivo. Uma cotação aprovada não pode ser cancelada por um actor sem autoridade específica.</w:t>
      </w:r>
    </w:p>
    <w:p>
      <w:pPr>
        <w:pStyle w:val="Heading1"/>
      </w:pPr>
      <w:r>
        <w:t>10. State Machine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Estado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Entrada permitida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Saídas válidas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Edição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Criação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CALCULATED, CANCELLED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CALCULATED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Pricing concluído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DRAFT, SUBMITTED, CANCELLED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Sim, conforme regra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SUBMITTED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Submissão válida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UNDER_REVIEW, REJECTED, CANCELLED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Não em campos críticos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UNDER_REVIEW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Abertura de análise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APPROVED, REJECTED, DRAFT*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Não; retorno exige motivo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APPROVED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Decisão positiva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EXPIRED/CANCELLED conforme regra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Não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REJECTED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Decisão negativa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DRAFT/novo ciclo somente por processo autorizado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Não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EXPIRED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Validade ultrapassada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Novo ciclo autorizado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Não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CANCELLED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Cancelamento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Nenhuma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Não</w:t>
            </w:r>
          </w:p>
        </w:tc>
      </w:tr>
    </w:tbl>
    <w:p/>
    <w:p>
      <w:pPr>
        <w:spacing w:after="80"/>
      </w:pPr>
      <w:r>
        <w:t>* O retorno de UNDER_REVIEW para DRAFT só deve existir se explicitamente autorizado pelo workflow e deve gerar motivo/histórico.</w:t>
      </w:r>
    </w:p>
    <w:p>
      <w:pPr>
        <w:pStyle w:val="Heading1"/>
      </w:pPr>
      <w:r>
        <w:t>11. Produto, Plano e Coberturas</w:t>
      </w:r>
    </w:p>
    <w:p>
      <w:pPr>
        <w:pStyle w:val="Heading2"/>
      </w:pPr>
      <w:r>
        <w:t>11.1 Produto</w:t>
      </w:r>
    </w:p>
    <w:p>
      <w:pPr>
        <w:pStyle w:val="ListBullet"/>
        <w:spacing w:after="40"/>
      </w:pPr>
      <w:r>
        <w:t>Código único por tenant.</w:t>
      </w:r>
    </w:p>
    <w:p>
      <w:pPr>
        <w:pStyle w:val="ListBullet"/>
        <w:spacing w:after="40"/>
      </w:pPr>
      <w:r>
        <w:t>Nome e descrição.</w:t>
      </w:r>
    </w:p>
    <w:p>
      <w:pPr>
        <w:pStyle w:val="ListBullet"/>
        <w:spacing w:after="40"/>
      </w:pPr>
      <w:r>
        <w:t>Estado: DRAFT, ACTIVE, SUSPENDED, RETIRED.</w:t>
      </w:r>
    </w:p>
    <w:p>
      <w:pPr>
        <w:pStyle w:val="ListBullet"/>
        <w:spacing w:after="40"/>
      </w:pPr>
      <w:r>
        <w:t>Versão funcional.</w:t>
      </w:r>
    </w:p>
    <w:p>
      <w:pPr>
        <w:pStyle w:val="ListBullet"/>
        <w:spacing w:after="40"/>
      </w:pPr>
      <w:r>
        <w:t>Data de início e, quando aplicável, data de fim de vigência.</w:t>
      </w:r>
    </w:p>
    <w:p>
      <w:pPr>
        <w:pStyle w:val="ListBullet"/>
        <w:spacing w:after="40"/>
      </w:pPr>
      <w:r>
        <w:t>Moeda de pricing configurada.</w:t>
      </w:r>
    </w:p>
    <w:p>
      <w:pPr>
        <w:pStyle w:val="ListBullet"/>
        <w:spacing w:after="40"/>
      </w:pPr>
      <w:r>
        <w:t>Referência às regras de elegibilidade e pricing.</w:t>
      </w:r>
    </w:p>
    <w:p>
      <w:pPr>
        <w:pStyle w:val="Heading2"/>
      </w:pPr>
      <w:r>
        <w:t>11.2 Plano</w:t>
      </w:r>
    </w:p>
    <w:p>
      <w:pPr>
        <w:pStyle w:val="ListBullet"/>
        <w:spacing w:after="40"/>
      </w:pPr>
      <w:r>
        <w:t>Código único dentro do produto/tenant.</w:t>
      </w:r>
    </w:p>
    <w:p>
      <w:pPr>
        <w:pStyle w:val="ListBullet"/>
        <w:spacing w:after="40"/>
      </w:pPr>
      <w:r>
        <w:t>Nome comercial e descrição técnica.</w:t>
      </w:r>
    </w:p>
    <w:p>
      <w:pPr>
        <w:pStyle w:val="ListBullet"/>
        <w:spacing w:after="40"/>
      </w:pPr>
      <w:r>
        <w:t>Coberturas/benefícios associados.</w:t>
      </w:r>
    </w:p>
    <w:p>
      <w:pPr>
        <w:pStyle w:val="ListBullet"/>
        <w:spacing w:after="40"/>
      </w:pPr>
      <w:r>
        <w:t>Configuração de elegibilidade.</w:t>
      </w:r>
    </w:p>
    <w:p>
      <w:pPr>
        <w:pStyle w:val="ListBullet"/>
        <w:spacing w:after="40"/>
      </w:pPr>
      <w:r>
        <w:t>Configuração tarifária aplicável.</w:t>
      </w:r>
    </w:p>
    <w:p>
      <w:pPr>
        <w:pStyle w:val="ListBullet"/>
        <w:spacing w:after="40"/>
      </w:pPr>
      <w:r>
        <w:t>Vigência independente quando necessário, mas nunca fora da vigência do produto.</w:t>
      </w:r>
    </w:p>
    <w:p>
      <w:pPr>
        <w:pStyle w:val="Heading2"/>
      </w:pPr>
      <w:r>
        <w:t>11.3 Cobertura/Benefício</w:t>
      </w:r>
    </w:p>
    <w:p>
      <w:pPr>
        <w:pStyle w:val="ListBullet"/>
        <w:spacing w:after="40"/>
      </w:pPr>
      <w:r>
        <w:t>Código e nome.</w:t>
      </w:r>
    </w:p>
    <w:p>
      <w:pPr>
        <w:pStyle w:val="ListBullet"/>
        <w:spacing w:after="40"/>
      </w:pPr>
      <w:r>
        <w:t>Descrição.</w:t>
      </w:r>
    </w:p>
    <w:p>
      <w:pPr>
        <w:pStyle w:val="ListBullet"/>
        <w:spacing w:after="40"/>
      </w:pPr>
      <w:r>
        <w:t>Estado.</w:t>
      </w:r>
    </w:p>
    <w:p>
      <w:pPr>
        <w:pStyle w:val="ListBullet"/>
        <w:spacing w:after="40"/>
      </w:pPr>
      <w:r>
        <w:t>Limite/valor quando aplicável.</w:t>
      </w:r>
    </w:p>
    <w:p>
      <w:pPr>
        <w:pStyle w:val="ListBullet"/>
        <w:spacing w:after="40"/>
      </w:pPr>
      <w:r>
        <w:t>Unidade e moeda quando aplicável.</w:t>
      </w:r>
    </w:p>
    <w:p>
      <w:pPr>
        <w:pStyle w:val="ListBullet"/>
        <w:spacing w:after="40"/>
      </w:pPr>
      <w:r>
        <w:t>Regras de inclusão/exclusão configuráveis.</w:t>
      </w:r>
    </w:p>
    <w:p>
      <w:pPr>
        <w:pStyle w:val="ListBullet"/>
        <w:spacing w:after="40"/>
      </w:pPr>
      <w:r>
        <w:t>Ordem/identificador para apresentação.</w:t>
      </w:r>
    </w:p>
    <w:p>
      <w:pPr>
        <w:pStyle w:val="Heading1"/>
      </w:pPr>
      <w:r>
        <w:t>12. Dados do Proponente e Beneficiários</w:t>
      </w:r>
    </w:p>
    <w:p>
      <w:pPr>
        <w:pStyle w:val="Heading2"/>
      </w:pPr>
      <w:r>
        <w:t>12.1 Proponente — campos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Obrigatório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Validação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Tipo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Valor suportado pela configuração: INDIVIDUAL ou CORPORATE.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Nome legal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Não vazio; comprimento configurado.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Documento/Identificador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Conforme produto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Formato e unicidade conforme configuração.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Contacto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Conforme produto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Formato válido quando preenchido.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Conforme produto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Formato válido quando preenchido.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Endereço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Conforme produto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Estrutura normalizada quando exigida.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Data de nascimento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Se individual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Data válida e não futura.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Metadados de origem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Valores controlados; não permitir texto livre em campos codificados.</w:t>
            </w:r>
          </w:p>
        </w:tc>
      </w:tr>
    </w:tbl>
    <w:p/>
    <w:p>
      <w:pPr>
        <w:pStyle w:val="Heading2"/>
      </w:pPr>
      <w:r>
        <w:t>12.2 Beneficiário — campos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Obrigatório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Regra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Tipo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TITULAR ou DEPENDENTE.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Nome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Não vazio.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Data de nascimento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Data válida; idade calculada pela data de referência.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Sexo/género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Se requerido pelo pricing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Domínio controlado.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Relação com titular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Para dependente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Domínio configurado.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Identificador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Conforme produto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Formato e duplicação controlados.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Plano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Plano válido para a cotação.</w:t>
            </w:r>
          </w:p>
        </w:tc>
      </w:tr>
    </w:tbl>
    <w:p/>
    <w:p>
      <w:pPr>
        <w:spacing w:after="80"/>
      </w:pPr>
      <w:r>
        <w:t>A idade usada no pricing deve ser calculada a partir da data de nascimento e da data de referência do cálculo. A regra exacta de fronteira de aniversário deve ser uma regra funcional versionada, não uma decisão ad hoc do programador.</w:t>
      </w:r>
    </w:p>
    <w:p>
      <w:pPr>
        <w:pStyle w:val="Heading1"/>
      </w:pPr>
      <w:r>
        <w:t>13. Elegibilidade</w:t>
      </w:r>
    </w:p>
    <w:p>
      <w:pPr>
        <w:spacing w:after="80"/>
      </w:pPr>
      <w:r>
        <w:t>A elegibilidade V1 é configurável e deve ser expressa por regras simples e determinísticas. O motor deve distinguir: elegível, inelegível e revisão manual.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Exemplo funcional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Comportamento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Hard stop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Idade fora do intervalo permitido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Bloquear submissão.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Campo opcional em falta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Permitir continuar, se política permitir.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Referral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Condição requer decisão técnica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Permitir submissão para revisão; impedir aprovação automática quando configurado.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Configuration error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Não existe regra/tarifa aplicável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Bloquear cálculo/submissão e gerar erro técnico funcional.</w:t>
            </w:r>
          </w:p>
        </w:tc>
      </w:tr>
    </w:tbl>
    <w:p/>
    <w:p>
      <w:pPr>
        <w:pStyle w:val="Heading1"/>
      </w:pPr>
      <w:r>
        <w:t>14. Pricing V1 — Especificação Funcional</w:t>
      </w:r>
    </w:p>
    <w:p>
      <w:pPr>
        <w:spacing w:after="80"/>
      </w:pPr>
      <w:r>
        <w:t>O pricing deve ser determinístico e decomponível. A especificação funcional não inventa valores comerciais que não tenham sido fornecidos. Taxas, limites, factores, percentagens, mínimos e máximos são parâmetros configuráveis e versionados.</w:t>
      </w:r>
    </w:p>
    <w:p>
      <w:pPr>
        <w:pStyle w:val="Heading2"/>
      </w:pPr>
      <w:r>
        <w:t>14.1 Modelo conceptual</w:t>
      </w:r>
    </w:p>
    <w:p>
      <w:pPr>
        <w:spacing w:after="80"/>
      </w:pPr>
      <w:r>
        <w:t>Para cada beneficiário elegível, o sistema determina a tarifa base aplicável e os factores configurados. O prémio técnico individual é composto segundo a fórmula da configuração. O total é a soma dos componentes após aplicação das regras de arredondamento definidas.</w:t>
      </w:r>
    </w:p>
    <w:p>
      <w:pPr>
        <w:spacing w:after="80"/>
      </w:pPr>
      <w:r>
        <w:t>Modelo abstracto: Prémio Individual = Tarifa Base × Factor(es) configurado(s) +/− Componentes configurados. Prémio do Grupo = Σ Prémios Individuais + Componentes de Grupo configurados. O sistema deve permitir que a configuração defina fórmulas mais específicas sem alterar código.</w:t>
      </w:r>
    </w:p>
    <w:p>
      <w:pPr>
        <w:pStyle w:val="Heading2"/>
      </w:pPr>
      <w:r>
        <w:t>14.2 Regras de cálculo</w:t>
      </w:r>
    </w:p>
    <w:p>
      <w:pPr>
        <w:pStyle w:val="ListBullet"/>
        <w:spacing w:after="40"/>
      </w:pPr>
      <w:r>
        <w:t>Todos os valores monetários usam precisão decimal exacta.</w:t>
      </w:r>
    </w:p>
    <w:p>
      <w:pPr>
        <w:pStyle w:val="ListBullet"/>
        <w:spacing w:after="40"/>
      </w:pPr>
      <w:r>
        <w:t>A moeda da cotação deve ser conhecida antes do cálculo.</w:t>
      </w:r>
    </w:p>
    <w:p>
      <w:pPr>
        <w:pStyle w:val="ListBullet"/>
        <w:spacing w:after="40"/>
      </w:pPr>
      <w:r>
        <w:t>A data de referência determina as versões de pricing aplicáveis.</w:t>
      </w:r>
    </w:p>
    <w:p>
      <w:pPr>
        <w:pStyle w:val="ListBullet"/>
        <w:spacing w:after="40"/>
      </w:pPr>
      <w:r>
        <w:t>Cada factor aplicado deve aparecer no breakdown.</w:t>
      </w:r>
    </w:p>
    <w:p>
      <w:pPr>
        <w:pStyle w:val="ListBullet"/>
        <w:spacing w:after="40"/>
      </w:pPr>
      <w:r>
        <w:t>O arredondamento deve ocorrer exactamente nos pontos definidos pela configuração; não arredondar indiscriminadamente em cada operação.</w:t>
      </w:r>
    </w:p>
    <w:p>
      <w:pPr>
        <w:pStyle w:val="ListBullet"/>
        <w:spacing w:after="40"/>
      </w:pPr>
      <w:r>
        <w:t>O total apresentado deve ser matematicamente consistente com os componentes persistidos.</w:t>
      </w:r>
    </w:p>
    <w:p>
      <w:pPr>
        <w:pStyle w:val="ListBullet"/>
        <w:spacing w:after="40"/>
      </w:pPr>
      <w:r>
        <w:t>Alteração de qualquer input relevante invalida o resultado anterior para fins de submissão e exige novo cálculo.</w:t>
      </w:r>
    </w:p>
    <w:p>
      <w:pPr>
        <w:pStyle w:val="ListBullet"/>
        <w:spacing w:after="40"/>
      </w:pPr>
      <w:r>
        <w:t>Configuração incompatível ou ausente é erro bloqueante.</w:t>
      </w:r>
    </w:p>
    <w:p>
      <w:pPr>
        <w:pStyle w:val="ListBullet"/>
        <w:spacing w:after="40"/>
      </w:pPr>
      <w:r>
        <w:t>O motor deve devolver também uma explicação estruturada, não apenas o total.</w:t>
      </w:r>
    </w:p>
    <w:p>
      <w:pPr>
        <w:pStyle w:val="Heading2"/>
      </w:pPr>
      <w:r>
        <w:t>14.3 Breakdown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Conteúdo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Base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Tarifa/tabela e valor seleccionado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Factores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Código, descrição, valor e efeito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Ajustamentos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Componente, razão e valor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Impostos/taxas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Somente se configurados para o produto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Arredondamento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Regra e resultado antes/depois quando relevante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Total individual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Valor final por beneficiário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Total grupo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Somatório e componentes de grupo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Versões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IDs/versões das configurações utilizadas</w:t>
            </w:r>
          </w:p>
        </w:tc>
      </w:tr>
    </w:tbl>
    <w:p/>
    <w:p>
      <w:pPr>
        <w:pStyle w:val="Heading1"/>
      </w:pPr>
      <w:r>
        <w:t>15. Cenários, Recalculo e Snapshot</w:t>
      </w:r>
    </w:p>
    <w:p>
      <w:pPr>
        <w:spacing w:after="80"/>
      </w:pPr>
      <w:r>
        <w:t>Uma cotação pode possuir múltiplos cenários durante a negociação técnica. Um cenário é uma fotografia funcional de inputs e resultado de pricing. O cenário submetido torna-se referência normativa da decisão.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Regra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Comportamento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Novo cenário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Criar cópia controlada dos inputs, com novo identificador.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Alteração de input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Marcar o resultado anterior como desactualizado.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Recalcular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Gerar novo resultado e nova referência de execução.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Submissão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Fixar snapshot do conjunto relevante.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Após aprovação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Não alterar silenciosamente inputs ou pricing.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Reprodução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Usar snapshot + versões de configuração, não o estado corrente.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Concorrência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Impedir sobrescrita silenciosa de alterações de outro utilizador.</w:t>
            </w:r>
          </w:p>
        </w:tc>
      </w:tr>
    </w:tbl>
    <w:p/>
    <w:p>
      <w:pPr>
        <w:pStyle w:val="Heading1"/>
      </w:pPr>
      <w:r>
        <w:t>16. Ecrãs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Ecrã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Finalidade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Elementos principais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Acesso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Utilizador, credenciais/SSO conforme ambiente, mensagens de erro.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Visão operacional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Cotações recentes, pendentes, aprovadas, rejeitadas e indicadores básicos.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Produtos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Consulta/configuração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Pesquisa, filtros, estado, vigência.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Produto — detalhe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Configuração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Versão, planos, coberturas, vigência, regras.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Nova Cotação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Criação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Produto/plano, proponente, data de referência.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Beneficiários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População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Tabela, inclusão, edição, remoção, validações.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Pricing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Cálculo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Inputs, botão calcular, estado, breakdown, alertas.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 Summary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Resumo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Proponente, população, plano, prémio, validade, versão.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Subscrição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Análise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Alertas, breakdown, histórico, decisão.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Rastreabilidade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Linha temporal e detalhe dos eventos autorizados.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Administração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Configuração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Utilizadores, perfis e parâmetros autorizados.</w:t>
            </w:r>
          </w:p>
        </w:tc>
      </w:tr>
    </w:tbl>
    <w:p/>
    <w:p>
      <w:pPr>
        <w:pStyle w:val="Heading2"/>
      </w:pPr>
      <w:r>
        <w:t>16.1 Regras de UX funcionais</w:t>
      </w:r>
    </w:p>
    <w:p>
      <w:pPr>
        <w:pStyle w:val="ListBullet"/>
        <w:spacing w:after="40"/>
      </w:pPr>
      <w:r>
        <w:t>Campos obrigatórios devem ser identificados antes da submissão.</w:t>
      </w:r>
    </w:p>
    <w:p>
      <w:pPr>
        <w:pStyle w:val="ListBullet"/>
        <w:spacing w:after="40"/>
      </w:pPr>
      <w:r>
        <w:t>Erros devem aparecer junto ao campo e num resumo de erros quando houver múltiplos.</w:t>
      </w:r>
    </w:p>
    <w:p>
      <w:pPr>
        <w:pStyle w:val="ListBullet"/>
        <w:spacing w:after="40"/>
      </w:pPr>
      <w:r>
        <w:t>Valores monetários devem apresentar moeda.</w:t>
      </w:r>
    </w:p>
    <w:p>
      <w:pPr>
        <w:pStyle w:val="ListBullet"/>
        <w:spacing w:after="40"/>
      </w:pPr>
      <w:r>
        <w:t>Estados devem usar nomenclatura consistente em toda a aplicação.</w:t>
      </w:r>
    </w:p>
    <w:p>
      <w:pPr>
        <w:pStyle w:val="ListBullet"/>
        <w:spacing w:after="40"/>
      </w:pPr>
      <w:r>
        <w:t>Acções destrutivas exigem confirmação.</w:t>
      </w:r>
    </w:p>
    <w:p>
      <w:pPr>
        <w:pStyle w:val="ListBullet"/>
        <w:spacing w:after="40"/>
      </w:pPr>
      <w:r>
        <w:t>Botões de aprovação/rejeição só aparecem quando o actor e o estado permitem a acção.</w:t>
      </w:r>
    </w:p>
    <w:p>
      <w:pPr>
        <w:pStyle w:val="ListBullet"/>
        <w:spacing w:after="40"/>
      </w:pPr>
      <w:r>
        <w:t>O sistema deve informar quando o resultado de pricing está desactualizado.</w:t>
      </w:r>
    </w:p>
    <w:p>
      <w:pPr>
        <w:pStyle w:val="ListBullet"/>
        <w:spacing w:after="40"/>
      </w:pPr>
      <w:r>
        <w:t>O utilizador deve conseguir distinguir erro técnico, erro de negócio e aviso.</w:t>
      </w:r>
    </w:p>
    <w:p>
      <w:pPr>
        <w:pStyle w:val="ListBullet"/>
        <w:spacing w:after="40"/>
      </w:pPr>
      <w:r>
        <w:t>A UI não deve expor informação médica que não seja necessária ao escopo V1.</w:t>
      </w:r>
    </w:p>
    <w:p>
      <w:pPr>
        <w:pStyle w:val="Heading1"/>
      </w:pPr>
      <w:r>
        <w:t>17. Mensagens e Erros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Código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Mensagem funcional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Acção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Q360-VAL-001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Validação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Existem campos obrigatórios por preencher.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Corrigir os campos indicados.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Q360-VAL-002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Validação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 valor introduzido não respeita o formato esperado.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Corrigir o campo.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Q360-BR-001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Negócio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 produto/plano não está vigente na data seleccionada.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Seleccionar configuração válida.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Q360-BR-002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Negócio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 beneficiário não cumpre os critérios de elegibilidade.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Rever dados ou encaminhar para revisão.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Q360-PR-001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Pricing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Não existe configuração tarifária aplicável.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Bloquear cálculo e corrigir configuração.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Q360-PR-002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Pricing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 resultado de pricing está desactualizado.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Recalcular antes de submeter.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Q360-WF-001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Workflow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 transição solicitada não é permitida no estado actual.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Consultar estado e permissões.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Q360-WF-002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Workflow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 utilizador não pode aprovar a própria submissão.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Solicitar decisão a outro aprovador.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Q360-SEC-001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Segurança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 utilizador não possui permissão para esta operação.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Solicitar perfil adequado.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Q360-CON-001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Concorrência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 registo foi alterado por outro utilizador.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Actualizar e repetir a operação.</w:t>
            </w:r>
          </w:p>
        </w:tc>
      </w:tr>
    </w:tbl>
    <w:p/>
    <w:p>
      <w:pPr>
        <w:pStyle w:val="Heading1"/>
      </w:pPr>
      <w:r>
        <w:t>18. Permissões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6"/>
              </w:rPr>
              <w:t>Permissão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6"/>
              </w:rPr>
              <w:t>Admin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6"/>
              </w:rPr>
              <w:t>Config.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6"/>
              </w:rPr>
              <w:t>Subscritor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6"/>
              </w:rPr>
              <w:t>Aprovador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6"/>
              </w:rPr>
              <w:t>Auditor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quote:create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Opc.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quote:edit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quote:calculate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quote:submit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quote:review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Opc.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quote:approve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quote:reject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product:manage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pricing-config:manage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audit:read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6"/>
              </w:rPr>
              <w:t>✓</w:t>
            </w:r>
          </w:p>
        </w:tc>
      </w:tr>
    </w:tbl>
    <w:p/>
    <w:p>
      <w:pPr>
        <w:spacing w:after="80"/>
      </w:pPr>
      <w:r>
        <w:t>‘Opc.’ significa permitido somente quando explicitamente configurado pela matriz de autoridade. O DOC-003 deverá transformar esta matriz funcional em permissões técnicas exactas.</w:t>
      </w:r>
    </w:p>
    <w:p>
      <w:pPr>
        <w:pStyle w:val="Heading1"/>
      </w:pPr>
      <w:r>
        <w:t>19. Auditoria e Rastreabilidade</w:t>
      </w:r>
    </w:p>
    <w:p>
      <w:pPr>
        <w:spacing w:after="80"/>
      </w:pPr>
      <w:r>
        <w:t>Devem ser auditadas, no mínimo, criação/alteração de configuração, criação e submissão de cotação, cálculo relevante, alteração de inputs após cálculo, aprovação, rejeição, cancelamento, expiração e alterações de permissões.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Obrigatório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Actor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Tenant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Tipo de objecto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ID do objecto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Resultado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Origem técnica/request correlation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Sim, quando disponível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Motivo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Obrigatório para decisões e acções que o exijam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Before/After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Para alterações de configuração e dados críticos, conforme política</w:t>
            </w:r>
          </w:p>
        </w:tc>
      </w:tr>
    </w:tbl>
    <w:p/>
    <w:p>
      <w:pPr>
        <w:pStyle w:val="Heading1"/>
      </w:pPr>
      <w:r>
        <w:t>20. Segurança e Privacidade Funcional</w:t>
      </w:r>
    </w:p>
    <w:p>
      <w:pPr>
        <w:pStyle w:val="ListBullet"/>
        <w:spacing w:after="40"/>
      </w:pPr>
      <w:r>
        <w:t>Todas as operações devem ser autenticadas e autorizadas.</w:t>
      </w:r>
    </w:p>
    <w:p>
      <w:pPr>
        <w:pStyle w:val="ListBullet"/>
        <w:spacing w:after="40"/>
      </w:pPr>
      <w:r>
        <w:t>Tenant é uma fronteira de segurança, não apenas um filtro de UI.</w:t>
      </w:r>
    </w:p>
    <w:p>
      <w:pPr>
        <w:pStyle w:val="ListBullet"/>
        <w:spacing w:after="40"/>
      </w:pPr>
      <w:r>
        <w:t>Endpoints comerciais não devem devolver dados que o actor não esteja autorizado a consultar.</w:t>
      </w:r>
    </w:p>
    <w:p>
      <w:pPr>
        <w:pStyle w:val="ListBullet"/>
        <w:spacing w:after="40"/>
      </w:pPr>
      <w:r>
        <w:t>Dados sensíveis devem ser minimizados na V1.</w:t>
      </w:r>
    </w:p>
    <w:p>
      <w:pPr>
        <w:pStyle w:val="ListBullet"/>
        <w:spacing w:after="40"/>
      </w:pPr>
      <w:r>
        <w:t>Acções críticas devem exigir permissões específicas.</w:t>
      </w:r>
    </w:p>
    <w:p>
      <w:pPr>
        <w:pStyle w:val="ListBullet"/>
        <w:spacing w:after="40"/>
      </w:pPr>
      <w:r>
        <w:t>Sessões/tokens devem respeitar as políticas de segurança definidas pelo ambiente.</w:t>
      </w:r>
    </w:p>
    <w:p>
      <w:pPr>
        <w:pStyle w:val="ListBullet"/>
        <w:spacing w:after="40"/>
      </w:pPr>
      <w:r>
        <w:t>Tentativas de acesso indevido devem ser registadas conforme a política de auditoria.</w:t>
      </w:r>
    </w:p>
    <w:p>
      <w:pPr>
        <w:pStyle w:val="ListBullet"/>
        <w:spacing w:after="40"/>
      </w:pPr>
      <w:r>
        <w:t>Segredos, credenciais e tokens nunca devem ser persistidos em texto claro.</w:t>
      </w:r>
    </w:p>
    <w:p>
      <w:pPr>
        <w:pStyle w:val="ListBullet"/>
        <w:spacing w:after="40"/>
      </w:pPr>
      <w:r>
        <w:t>O sistema deve suportar segregação entre ambientes de desenvolvimento, teste e produção.</w:t>
      </w:r>
    </w:p>
    <w:p>
      <w:pPr>
        <w:pStyle w:val="Heading1"/>
      </w:pPr>
      <w:r>
        <w:t>21. Requisitos Não Funcionais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Critério funcional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Disponibilidade operacional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Falhas de dependências críticas devem ser detectáveis e não produzir resultados silenciosamente incorrectos.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Cotação standard deve responder dentro do SLA técnico definido para a V1, a ser confirmado no DOC-003.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Consistência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Transacções críticas não podem deixar cotação parcialmente actualizada.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Observabilidade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Logs estruturados, métricas e tracing devem permitir diagnosticar uma operação.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Segurança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RBAC/ABAC e isolamento de tenant aplicados no backend.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Acessibilidade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UI com navegação e mensagens utilizáveis, conforme baseline definido pelo frontend.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Auditabilidade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Decisões e alterações críticas reproduzíveis.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Evolução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Interfaces internas com baixo acoplamento e contratos explícitos.</w:t>
            </w:r>
          </w:p>
        </w:tc>
      </w:tr>
    </w:tbl>
    <w:p/>
    <w:p>
      <w:pPr>
        <w:pStyle w:val="Heading1"/>
      </w:pPr>
      <w:r>
        <w:t>22. Regras de Dados e Integridade</w:t>
      </w:r>
    </w:p>
    <w:p>
      <w:pPr>
        <w:pStyle w:val="ListBullet"/>
        <w:spacing w:after="40"/>
      </w:pPr>
      <w:r>
        <w:t>Identificadores técnicos devem ser únicos no contexto definido.</w:t>
      </w:r>
    </w:p>
    <w:p>
      <w:pPr>
        <w:pStyle w:val="ListBullet"/>
        <w:spacing w:after="40"/>
      </w:pPr>
      <w:r>
        <w:t>Códigos funcionais devem ter unicidade dentro do tenant quando aplicável.</w:t>
      </w:r>
    </w:p>
    <w:p>
      <w:pPr>
        <w:pStyle w:val="ListBullet"/>
        <w:spacing w:after="40"/>
      </w:pPr>
      <w:r>
        <w:t>Datas de vigência devem respeitar início ≤ fim.</w:t>
      </w:r>
    </w:p>
    <w:p>
      <w:pPr>
        <w:pStyle w:val="ListBullet"/>
        <w:spacing w:after="40"/>
      </w:pPr>
      <w:r>
        <w:t>Não pode existir mais de uma configuração activa concorrente para a mesma chave de pricing quando a regra exigir exclusividade.</w:t>
      </w:r>
    </w:p>
    <w:p>
      <w:pPr>
        <w:pStyle w:val="ListBullet"/>
        <w:spacing w:after="40"/>
      </w:pPr>
      <w:r>
        <w:t>Registos referenciados por uma cotação submetida não podem ser eliminados fisicamente se isso destruir a capacidade de auditoria.</w:t>
      </w:r>
    </w:p>
    <w:p>
      <w:pPr>
        <w:pStyle w:val="ListBullet"/>
        <w:spacing w:after="40"/>
      </w:pPr>
      <w:r>
        <w:t>Alterações de configuração devem preservar versões anteriores.</w:t>
      </w:r>
    </w:p>
    <w:p>
      <w:pPr>
        <w:pStyle w:val="ListBullet"/>
        <w:spacing w:after="40"/>
      </w:pPr>
      <w:r>
        <w:t>Valores monetários não devem ser armazenados como floating point.</w:t>
      </w:r>
    </w:p>
    <w:p>
      <w:pPr>
        <w:pStyle w:val="ListBullet"/>
        <w:spacing w:after="40"/>
      </w:pPr>
      <w:r>
        <w:t>Estados persistidos devem aceitar apenas valores do domínio definido.</w:t>
      </w:r>
    </w:p>
    <w:p>
      <w:pPr>
        <w:pStyle w:val="Heading1"/>
      </w:pPr>
      <w:r>
        <w:t>23. Integrações Funcionais V1</w:t>
      </w:r>
    </w:p>
    <w:p>
      <w:pPr>
        <w:spacing w:after="80"/>
      </w:pPr>
      <w:r>
        <w:t>V1 deve expor apenas contratos necessários ao funcionamento do núcleo. Integrações externas não devem ser introduzidas por conveniência.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Integração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V1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Regra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Identity Provider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Autenticação/claims conforme ambiente.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Frontend React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Consumidor principal da API.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RabbitMQ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Sim, quando necessário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Eventos assíncronos devem ser idempotentes e rastreáveis.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Persistência transaccional.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Redis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Opcional técnico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Somente para casos justificados; não pode ser fonte de verdade.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Serviço documental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Condicional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Somente se necessário ao fluxo V1.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FHIR/ICD/TPA/Claims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Reservado para V2.</w:t>
            </w:r>
          </w:p>
        </w:tc>
      </w:tr>
    </w:tbl>
    <w:p/>
    <w:p>
      <w:pPr>
        <w:pStyle w:val="Heading1"/>
      </w:pPr>
      <w:r>
        <w:t>24. Eventos Funcionais</w:t>
      </w:r>
    </w:p>
    <w:p>
      <w:pPr>
        <w:spacing w:after="80"/>
      </w:pPr>
      <w:r>
        <w:t>Eventos não devem ser publicados apenas porque existe RabbitMQ. Cada evento deve representar uma mudança de estado ou facto de negócio que tenha consumidor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Evento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Quando ocorre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Propriedades mínimas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QuoteCreated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Cotação criada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eventId, tenantId, quoteId, timestamp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QuoteCalculated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Pricing concluído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eventId, quoteId, calculationVersion, timestamp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QuoteSubmitted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Submissão aceite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eventId, quoteId, snapshotId, timestamp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QuoteApproved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Aprovação aceite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eventId, quoteId, decisionId, timestamp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QuoteRejected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Rejeição aceite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eventId, quoteId, decisionId, timestamp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QuoteCancelled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Cancelamento aceite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eventId, quoteId, reasonCode, timestamp</w:t>
            </w:r>
          </w:p>
        </w:tc>
      </w:tr>
    </w:tbl>
    <w:p/>
    <w:p>
      <w:pPr>
        <w:spacing w:after="80"/>
      </w:pPr>
      <w:r>
        <w:t>O ART-007 definirá nomes técnicos, exchanges, routing keys, payloads, headers, versionamento, DLQ e política de idempotência.</w:t>
      </w:r>
    </w:p>
    <w:p>
      <w:pPr>
        <w:pStyle w:val="Heading1"/>
      </w:pPr>
      <w:r>
        <w:t>25. Critérios de Aceitação Funcional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Critério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Um utilizador autorizado consegue criar uma cotação para produto/plano vigente.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AC-02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Uma cotação com dados obrigatórios em falta não pode ser submetida.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Beneficiários incompatíveis com regras de elegibilidade são bloqueados ou encaminhados conforme a regra.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AC-04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Um cálculo válido apresenta total e breakdown explicável.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O mesmo snapshot e configuração produzem o mesmo resultado.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Alteração de input relevante torna o resultado anterior desactualizado.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 submissão fixa um snapshot reproduzível.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AC-08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Um utilizador não consegue aprovar a própria submissão.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AC-09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 rejeição exige registo de motivo conforme configuração.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AC-10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As transições inválidas de estado são recusadas.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AC-11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As acções críticas aparecem no histórico de auditoria.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AC-12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Um tenant não consegue aceder a objectos de outro tenant.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AC-13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Configuração tarifária ausente bloqueia o pricing em vez de gerar um valor estimado.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AC-14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Uma cotação expirada não pode ser tratada como válida para submissão.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AC-15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Os dados e estados apresentados pela UI correspondem ao contrato da API.</w:t>
            </w:r>
          </w:p>
        </w:tc>
      </w:tr>
    </w:tbl>
    <w:p/>
    <w:p>
      <w:pPr>
        <w:pStyle w:val="Heading1"/>
      </w:pPr>
      <w:r>
        <w:t>26. Matriz de Rastreabilidade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Derivado para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Gestão de produto/plano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DOC-003, ART-005, ART-006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Gestão de proponente/membros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DOC-003, ART-005, ART-006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Elegibilidade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DOC-003, ART-008, ART-013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Pricing determinístico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DOC-003, DOC-004, ART-005, ART-008, ART-013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Breakdown/explainability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DOC-004, ART-006, ART-013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Quote lifecycle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ART-009, ART-006, ART-013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Workflow de subscrição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ART-009, ART-008, ART-006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DOC-004, ART-005, ART-006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FR-09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Segurança/tenant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DOC-004, ART-005, ART-006, ART-010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FR-10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Eventos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ART-007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NFR-01..08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Qualidade não funcional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DOC-003, DOC-004, ART-010, ART-013</w:t>
            </w:r>
          </w:p>
        </w:tc>
      </w:tr>
    </w:tbl>
    <w:p/>
    <w:p>
      <w:pPr>
        <w:pStyle w:val="Heading1"/>
      </w:pPr>
      <w:r>
        <w:t>27. Regras que NÃO devem ser inventadas pelo Programador</w:t>
      </w:r>
    </w:p>
    <w:p>
      <w:pPr>
        <w:pStyle w:val="ListBullet"/>
        <w:spacing w:after="40"/>
      </w:pPr>
      <w:r>
        <w:t>Taxas, prémios mínimos/máximos e factores comerciais.</w:t>
      </w:r>
    </w:p>
    <w:p>
      <w:pPr>
        <w:pStyle w:val="ListBullet"/>
        <w:spacing w:after="40"/>
      </w:pPr>
      <w:r>
        <w:t>Percentagens de desconto ou agravamento.</w:t>
      </w:r>
    </w:p>
    <w:p>
      <w:pPr>
        <w:pStyle w:val="ListBullet"/>
        <w:spacing w:after="40"/>
      </w:pPr>
      <w:r>
        <w:t>Impostos, taxas legais ou encargos que não tenham sido especificados.</w:t>
      </w:r>
    </w:p>
    <w:p>
      <w:pPr>
        <w:pStyle w:val="ListBullet"/>
        <w:spacing w:after="40"/>
      </w:pPr>
      <w:r>
        <w:t>Critérios médicos avançados.</w:t>
      </w:r>
    </w:p>
    <w:p>
      <w:pPr>
        <w:pStyle w:val="ListBullet"/>
        <w:spacing w:after="40"/>
      </w:pPr>
      <w:r>
        <w:t>Limites de autoridade financeira não aprovados.</w:t>
      </w:r>
    </w:p>
    <w:p>
      <w:pPr>
        <w:pStyle w:val="ListBullet"/>
        <w:spacing w:after="40"/>
      </w:pPr>
      <w:r>
        <w:t>Campos obrigatórios adicionais sem justificação no produto.</w:t>
      </w:r>
    </w:p>
    <w:p>
      <w:pPr>
        <w:pStyle w:val="ListBullet"/>
        <w:spacing w:after="40"/>
      </w:pPr>
      <w:r>
        <w:t>Estados novos fora da state machine.</w:t>
      </w:r>
    </w:p>
    <w:p>
      <w:pPr>
        <w:pStyle w:val="ListBullet"/>
        <w:spacing w:after="40"/>
      </w:pPr>
      <w:r>
        <w:t>Eventos sem consumidor/propósito definido.</w:t>
      </w:r>
    </w:p>
    <w:p>
      <w:pPr>
        <w:pStyle w:val="ListBullet"/>
        <w:spacing w:after="40"/>
      </w:pPr>
      <w:r>
        <w:t>Regras de arredondamento diferentes das oficialmente configuradas.</w:t>
      </w:r>
    </w:p>
    <w:p>
      <w:pPr>
        <w:pStyle w:val="ListBullet"/>
        <w:spacing w:after="40"/>
      </w:pPr>
      <w:r>
        <w:t>Qualquer integração externa não aprovada.</w:t>
      </w:r>
    </w:p>
    <w:p>
      <w:pPr>
        <w:spacing w:after="80"/>
      </w:pPr>
      <w:r>
        <w:t>Quando faltar uma decisão, deve ser criado um item de Open Decision (OD) ou Assumption (ASM) no Backlog/Specification Pack. O programador não deve resolver a lacuna por interpretação silenciosa.</w:t>
      </w:r>
    </w:p>
    <w:p>
      <w:pPr>
        <w:pStyle w:val="Heading1"/>
      </w:pPr>
      <w:r>
        <w:t>28. Open Decisions / Assumptions a Fechar Antes do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Decisão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 sugerido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6"/>
              </w:rPr>
              <w:t>Impacto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Valores comerciais/tarifários oficiais da V1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Product Owner + Subscrição/Actuariado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Pricing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Moedas suportadas na primeira release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Product Owner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Pricing/DB/API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Regras exactas de arredondamento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Actuariado/Financeiro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Pricing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Campos mínimos do proponente por tipo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Product Owner/Compliance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UI/API/DB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Critérios de elegibilidade V1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Subscrição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Rules/Pricing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Matriz de autoridade de aprovação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Direcção Técnica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Workflow/Security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Validade padrão da cotação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Product Owner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Workflow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Necessidade de documento/proposta na V1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Product Owner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Documents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SLA técnico de performance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Architecture/Engineering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NFR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OD-010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Lista final de eventos com consumidores reais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6"/>
              </w:rPr>
              <w:t>RabbitMQ</w:t>
            </w:r>
          </w:p>
        </w:tc>
      </w:tr>
    </w:tbl>
    <w:p/>
    <w:p>
      <w:pPr>
        <w:pStyle w:val="Heading1"/>
      </w:pPr>
      <w:r>
        <w:t>29. Definition of Done deste Documento</w:t>
      </w:r>
    </w:p>
    <w:p>
      <w:pPr>
        <w:pStyle w:val="ListBullet"/>
        <w:spacing w:after="40"/>
      </w:pPr>
      <w:r>
        <w:t>Todos os requisitos funcionais V1 relevantes estão identificados por ID.</w:t>
      </w:r>
    </w:p>
    <w:p>
      <w:pPr>
        <w:pStyle w:val="ListBullet"/>
        <w:spacing w:after="40"/>
      </w:pPr>
      <w:r>
        <w:t>A fronteira V1/V2 está explícita.</w:t>
      </w:r>
    </w:p>
    <w:p>
      <w:pPr>
        <w:pStyle w:val="ListBullet"/>
        <w:spacing w:after="40"/>
      </w:pPr>
      <w:r>
        <w:t>Os fluxos principais possuem estados e transições.</w:t>
      </w:r>
    </w:p>
    <w:p>
      <w:pPr>
        <w:pStyle w:val="ListBullet"/>
        <w:spacing w:after="40"/>
      </w:pPr>
      <w:r>
        <w:t>As regras críticas de pricing são determinísticas e não dependem de valores inventados.</w:t>
      </w:r>
    </w:p>
    <w:p>
      <w:pPr>
        <w:pStyle w:val="ListBullet"/>
        <w:spacing w:after="40"/>
      </w:pPr>
      <w:r>
        <w:t>Ecrãs e comportamentos funcionais estão descritos.</w:t>
      </w:r>
    </w:p>
    <w:p>
      <w:pPr>
        <w:pStyle w:val="ListBullet"/>
        <w:spacing w:after="40"/>
      </w:pPr>
      <w:r>
        <w:t>Critérios de aceitação são testáveis.</w:t>
      </w:r>
    </w:p>
    <w:p>
      <w:pPr>
        <w:pStyle w:val="ListBullet"/>
        <w:spacing w:after="40"/>
      </w:pPr>
      <w:r>
        <w:t>Lacunas de negócio estão registadas como Open Decisions.</w:t>
      </w:r>
    </w:p>
    <w:p>
      <w:pPr>
        <w:pStyle w:val="ListBullet"/>
        <w:spacing w:after="40"/>
      </w:pPr>
      <w:r>
        <w:t>Os documentos derivados são identificados.</w:t>
      </w:r>
    </w:p>
    <w:p>
      <w:pPr>
        <w:pStyle w:val="ListBullet"/>
        <w:spacing w:after="40"/>
      </w:pPr>
      <w:r>
        <w:t>Nenhum documento técnico posterior deve contradizer este documento sem change request aprovado.</w:t>
      </w:r>
    </w:p>
    <w:p>
      <w:pPr>
        <w:pStyle w:val="Heading1"/>
      </w:pPr>
      <w:r>
        <w:t>30. O que este documento autoriza</w:t>
      </w:r>
    </w:p>
    <w:p>
      <w:pPr>
        <w:spacing w:after="80"/>
      </w:pPr>
      <w:r>
        <w:t>Após aprovação formal, este documento autoriza a elaboração e implementação dos artefactos derivados abaixo, exclusivamente no escopo V1: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Artefacto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6"/>
              </w:rPr>
              <w:t>Uso autorizado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Q360-MVP-DOC-002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Planeamento dos 11 Sprints alinhado ao escopo funcional.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Q360-MVP-DOC-003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Backlog técnico detalhado e decomposição implementável.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Q360-MVP-DOC-004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Especificação de engenharia: arquitectura, componentes, contratos internos e decisões técnicas.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Q360-MVP-ART-005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Modelo relacional PostgreSQL derivado dos requisitos aprovados.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Q360-MVP-ART-006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Contrato OpenAPI derivado dos casos de uso e regras.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Q360-MVP-ART-007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Contratos RabbitMQ somente para eventos aprovados.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Q360-MVP-ART-008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Matriz Drools/regras, sem hardcoding de parâmetros comerciais.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Q360-MVP-ART-009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State machines implementáveis.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Q360-MVP-ART-010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Estrutura React e mapa de páginas/componentes.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Q360-MVP-ART-011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Seed Data coerente com o modelo aprovado.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Q360-MVP-ART-012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Migrations V001–V026 alinhadas ao DDL aprovado.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Q360-MVP-ART-013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6"/>
              </w:rPr>
              <w:t>Golden Tests e testes de regressão.</w:t>
            </w:r>
          </w:p>
        </w:tc>
      </w:tr>
    </w:tbl>
    <w:p/>
    <w:p>
      <w:pPr>
        <w:pStyle w:val="Heading1"/>
      </w:pPr>
      <w:r>
        <w:t>31. Dependências e Ordem de Implementação</w:t>
      </w:r>
    </w:p>
    <w:p>
      <w:pPr>
        <w:spacing w:after="80"/>
      </w:pPr>
      <w:r>
        <w:t>A implementação deve seguir a ordem normativa definida no DOC-000. Nenhum artefacto derivado deve ser tratado como fonte de verdade se contradizer este documento aprovado ou decisões posteriores formalmente registadas.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Documento/Artefacto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6"/>
              </w:rPr>
              <w:t>Dependência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Autoridade de documentação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Define comportamento funcional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Transforma requisitos em roadmap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Decompõe em backlog técnico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DOC-004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Fecha engenharia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ART-005..013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6"/>
              </w:rPr>
              <w:t>Implementação e validação</w:t>
            </w:r>
          </w:p>
        </w:tc>
      </w:tr>
    </w:tbl>
    <w:p/>
    <w:p>
      <w:pPr>
        <w:pStyle w:val="Heading1"/>
      </w:pPr>
      <w:r>
        <w:t>32. Checklist do Subscritor para Aceitação da V1</w:t>
      </w:r>
    </w:p>
    <w:p>
      <w:pPr>
        <w:pStyle w:val="ListBullet"/>
        <w:spacing w:after="40"/>
      </w:pPr>
      <w:r>
        <w:t>Consigo identificar o produto e plano usados numa cotação.</w:t>
      </w:r>
    </w:p>
    <w:p>
      <w:pPr>
        <w:pStyle w:val="ListBullet"/>
        <w:spacing w:after="40"/>
      </w:pPr>
      <w:r>
        <w:t>Consigo saber quais beneficiários estão incluídos.</w:t>
      </w:r>
    </w:p>
    <w:p>
      <w:pPr>
        <w:pStyle w:val="ListBullet"/>
        <w:spacing w:after="40"/>
      </w:pPr>
      <w:r>
        <w:t>Consigo saber por que razão uma pessoa foi aceite, bloqueada ou encaminhada.</w:t>
      </w:r>
    </w:p>
    <w:p>
      <w:pPr>
        <w:pStyle w:val="ListBullet"/>
        <w:spacing w:after="40"/>
      </w:pPr>
      <w:r>
        <w:t>Consigo calcular e recalcular sem perder o histórico.</w:t>
      </w:r>
    </w:p>
    <w:p>
      <w:pPr>
        <w:pStyle w:val="ListBullet"/>
        <w:spacing w:after="40"/>
      </w:pPr>
      <w:r>
        <w:t>Consigo ver exactamente como o prémio foi formado.</w:t>
      </w:r>
    </w:p>
    <w:p>
      <w:pPr>
        <w:pStyle w:val="ListBullet"/>
        <w:spacing w:after="40"/>
      </w:pPr>
      <w:r>
        <w:t>Consigo saber que tarifa/regras/configuração foram usadas.</w:t>
      </w:r>
    </w:p>
    <w:p>
      <w:pPr>
        <w:pStyle w:val="ListBullet"/>
        <w:spacing w:after="40"/>
      </w:pPr>
      <w:r>
        <w:t>Consigo submeter uma cotação completa.</w:t>
      </w:r>
    </w:p>
    <w:p>
      <w:pPr>
        <w:pStyle w:val="ListBullet"/>
        <w:spacing w:after="40"/>
      </w:pPr>
      <w:r>
        <w:t>Consigo acompanhar o estado e a decisão.</w:t>
      </w:r>
    </w:p>
    <w:p>
      <w:pPr>
        <w:pStyle w:val="ListBullet"/>
        <w:spacing w:after="40"/>
      </w:pPr>
      <w:r>
        <w:t>Consigo ver o motivo de uma rejeição.</w:t>
      </w:r>
    </w:p>
    <w:p>
      <w:pPr>
        <w:pStyle w:val="ListBullet"/>
        <w:spacing w:after="40"/>
      </w:pPr>
      <w:r>
        <w:t>Consigo confiar que uma cotação aprovada não será alterada silenciosamente.</w:t>
      </w:r>
    </w:p>
    <w:p>
      <w:pPr>
        <w:pStyle w:val="ListBullet"/>
        <w:spacing w:after="40"/>
      </w:pPr>
      <w:r>
        <w:t>Consigo localizar o histórico de alterações e decisões.</w:t>
      </w:r>
    </w:p>
    <w:p>
      <w:pPr>
        <w:pStyle w:val="Heading1"/>
      </w:pPr>
      <w:r>
        <w:t>33. Checklist do Programador Júnior</w:t>
      </w:r>
    </w:p>
    <w:p>
      <w:pPr>
        <w:pStyle w:val="ListBullet"/>
        <w:spacing w:after="40"/>
      </w:pPr>
      <w:r>
        <w:t>Antes de codificar, localizar o requisito FR/BR/NFR aplicável.</w:t>
      </w:r>
    </w:p>
    <w:p>
      <w:pPr>
        <w:pStyle w:val="ListBullet"/>
        <w:spacing w:after="40"/>
      </w:pPr>
      <w:r>
        <w:t>Não criar campo, estado, endpoint ou evento que não tenha origem num requisito ou decisão aprovada.</w:t>
      </w:r>
    </w:p>
    <w:p>
      <w:pPr>
        <w:pStyle w:val="ListBullet"/>
        <w:spacing w:after="40"/>
      </w:pPr>
      <w:r>
        <w:t>Não colocar valores tarifários directamente no código.</w:t>
      </w:r>
    </w:p>
    <w:p>
      <w:pPr>
        <w:pStyle w:val="ListBullet"/>
        <w:spacing w:after="40"/>
      </w:pPr>
      <w:r>
        <w:t>Não usar double/float para valores monetários.</w:t>
      </w:r>
    </w:p>
    <w:p>
      <w:pPr>
        <w:pStyle w:val="ListBullet"/>
        <w:spacing w:after="40"/>
      </w:pPr>
      <w:r>
        <w:t>Não ignorar tenantId em consultas de negócio.</w:t>
      </w:r>
    </w:p>
    <w:p>
      <w:pPr>
        <w:pStyle w:val="ListBullet"/>
        <w:spacing w:after="40"/>
      </w:pPr>
      <w:r>
        <w:t>Não permitir transições de estado fora da máquina definida.</w:t>
      </w:r>
    </w:p>
    <w:p>
      <w:pPr>
        <w:pStyle w:val="ListBullet"/>
        <w:spacing w:after="40"/>
      </w:pPr>
      <w:r>
        <w:t>Não permitir autoaprovação.</w:t>
      </w:r>
    </w:p>
    <w:p>
      <w:pPr>
        <w:pStyle w:val="ListBullet"/>
        <w:spacing w:after="40"/>
      </w:pPr>
      <w:r>
        <w:t>Não apagar histórico necessário para auditoria.</w:t>
      </w:r>
    </w:p>
    <w:p>
      <w:pPr>
        <w:pStyle w:val="ListBullet"/>
        <w:spacing w:after="40"/>
      </w:pPr>
      <w:r>
        <w:t>Não substituir um snapshot por leitura do estado corrente.</w:t>
      </w:r>
    </w:p>
    <w:p>
      <w:pPr>
        <w:pStyle w:val="ListBullet"/>
        <w:spacing w:after="40"/>
      </w:pPr>
      <w:r>
        <w:t>Não criar integração externa sem contrato e aprovação.</w:t>
      </w:r>
    </w:p>
    <w:p>
      <w:pPr>
        <w:pStyle w:val="ListBullet"/>
        <w:spacing w:after="40"/>
      </w:pPr>
      <w:r>
        <w:t>Todo comportamento novo deve possuir teste.</w:t>
      </w:r>
    </w:p>
    <w:p>
      <w:pPr>
        <w:pStyle w:val="ListBullet"/>
        <w:spacing w:after="40"/>
      </w:pPr>
      <w:r>
        <w:t>Se houver ambiguidade, abrir OD/ASM; não adivinhar.</w:t>
      </w:r>
    </w:p>
    <w:p>
      <w:pPr>
        <w:pStyle w:val="Heading1"/>
      </w:pPr>
      <w:r>
        <w:t>34. Resultado Esperado da V1</w:t>
      </w:r>
    </w:p>
    <w:p>
      <w:pPr>
        <w:spacing w:after="80"/>
      </w:pPr>
      <w:r>
        <w:t>Ao concluir a V1, o Q360 deve permitir que uma equipa de subscrição opere o ciclo técnico essencial de uma cotação de saúde num ambiente controlado: configurar uma oferta, receber os dados do proponente e população, validar elegibilidade, calcular um prémio reproduzível, explicar o resultado, submeter para análise, aprovar/rejeitar com segregação de funções e conservar a evidência técnica necessária à auditoria.</w:t>
      </w:r>
    </w:p>
    <w:p>
      <w:pPr>
        <w:spacing w:after="80"/>
      </w:pPr>
      <w:r>
        <w:t>A V1 não pretende ser o sistema clínico ou de claims completo. O seu sucesso mede-se pela robustez do núcleo de cotação/subscrição, pela qualidade do pricing determinístico e pela capacidade de evoluir para V2 sem comprometer os dados, contratos ou decisões da V1.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Q360-MVP-DOC-001 | Visão / Especificação Funcional V1 | REVIEW | 04/09/2026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