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Q360</w:t>
      </w:r>
    </w:p>
    <w:p>
      <w:pPr>
        <w:jc w:val="center"/>
      </w:pPr>
      <w:r>
        <w:rPr>
          <w:b/>
          <w:sz w:val="36"/>
        </w:rPr>
        <w:t>Health Underwriting &amp; Pricing Core</w:t>
      </w:r>
    </w:p>
    <w:p/>
    <w:p>
      <w:pPr>
        <w:jc w:val="center"/>
      </w:pPr>
      <w:r>
        <w:rPr>
          <w:b/>
          <w:sz w:val="30"/>
        </w:rPr>
        <w:t>Q360-MVP-DOC-002</w:t>
      </w:r>
    </w:p>
    <w:p>
      <w:pPr>
        <w:jc w:val="center"/>
      </w:pPr>
      <w:r>
        <w:rPr>
          <w:b/>
          <w:sz w:val="38"/>
        </w:rPr>
        <w:t>ROADMAP DE IMPLEMENTAÇÃO — 11 SPRINTS — V1</w:t>
      </w:r>
    </w:p>
    <w:p/>
    <w:p>
      <w:pPr>
        <w:spacing w:after="80"/>
      </w:pPr>
      <w:r>
        <w:t>Roadmap normativo de execução do MVP robusto. Organiza o trabalho por incrementos demonstráveis, dependências, gates, critérios de entrada/saída e artefactos de engenharia.</w:t>
      </w:r>
    </w:p>
    <w:p>
      <w:pPr>
        <w:spacing w:after="80"/>
      </w:pPr>
      <w:r>
        <w:t>Versão 1.0 | Estado: REVIEW | Data: 04/09/2026</w:t>
      </w:r>
    </w:p>
    <w:p>
      <w:pPr>
        <w:spacing w:after="80"/>
      </w:pPr>
      <w:r>
        <w:t>Fonte funcional: Q360-MVP-DOC-001 — Visão / Especificação Funcional Q360 V1</w:t>
      </w:r>
    </w:p>
    <w:p>
      <w:r>
        <w:br w:type="page"/>
      </w:r>
    </w:p>
    <w:p>
      <w:pPr>
        <w:pStyle w:val="Heading1"/>
      </w:pPr>
      <w:r>
        <w:t>1. Controlo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Campo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Valor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Q360-MVP-DOC-002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Nome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Roadmap de Implementação — 11 Sprints — V1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Produto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Q360 Health Underwriting &amp; Pricing Core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Escopo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V1 — Sistema Base / MVP robusto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REVIEW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Documento de entrada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Q360-MVP-DOC-001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Documento seguinte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Q360-MVP-DOC-003 — Backlog Técnico Integral V1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Cadência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11 Sprints sequenciais, com sobreposição técnica controlada quando não quebrar dependências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Princípio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Cada Sprint entrega um incremento potencialmente demonstrável e testável</w:t>
            </w:r>
          </w:p>
        </w:tc>
      </w:tr>
    </w:tbl>
    <w:p/>
    <w:p>
      <w:pPr>
        <w:pStyle w:val="Heading1"/>
      </w:pPr>
      <w:r>
        <w:t>2. Objectivo do Roadmap</w:t>
      </w:r>
    </w:p>
    <w:p>
      <w:pPr>
        <w:spacing w:after="80"/>
      </w:pPr>
      <w:r>
        <w:t>Este roadmap transforma a especificação funcional em uma sequência de implementação controlada. O objectivo não é apenas distribuir tarefas por calendário: é reduzir risco, respeitar dependências, garantir que decisões estruturantes sejam fechadas antes de gerar artefactos derivados e assegurar que cada Sprint produz evidência verificável.</w:t>
      </w:r>
    </w:p>
    <w:p>
      <w:pPr>
        <w:pStyle w:val="ListBullet"/>
        <w:spacing w:after="40"/>
      </w:pPr>
      <w:r>
        <w:t>Não iniciar o pricing definitivo antes da fundação de dados, versionamento e configuração.</w:t>
      </w:r>
    </w:p>
    <w:p>
      <w:pPr>
        <w:pStyle w:val="ListBullet"/>
        <w:spacing w:after="40"/>
      </w:pPr>
      <w:r>
        <w:t>Não iniciar o workflow de aprovação antes de existirem estados, permissões e quote lifecycle definidos.</w:t>
      </w:r>
    </w:p>
    <w:p>
      <w:pPr>
        <w:pStyle w:val="ListBullet"/>
        <w:spacing w:after="40"/>
      </w:pPr>
      <w:r>
        <w:t>Não gerar DDL, OpenAPI, RabbitMQ, React ou testes como artefactos independentes da especificação aprovada.</w:t>
      </w:r>
    </w:p>
    <w:p>
      <w:pPr>
        <w:pStyle w:val="ListBullet"/>
        <w:spacing w:after="40"/>
      </w:pPr>
      <w:r>
        <w:t>Não aceitar uma Sprint como concluída apenas porque o código compila; deve existir evidência de testes, revisão e demonstração.</w:t>
      </w:r>
    </w:p>
    <w:p>
      <w:pPr>
        <w:pStyle w:val="ListBullet"/>
        <w:spacing w:after="40"/>
      </w:pPr>
      <w:r>
        <w:t>Reservar Sprint 11 para integração, regressão, UAT e release candidate, evitando usar todo o tempo disponível para desenvolvimento.</w:t>
      </w:r>
    </w:p>
    <w:p>
      <w:pPr>
        <w:pStyle w:val="Heading1"/>
      </w:pPr>
      <w:r>
        <w:t>3. Modelo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Elemento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Regra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Sprint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Unidade de entrega funcional e técnica.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Epic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Domínio funcional que pode atravessar vários Sprints.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Capacidade demonstrável entregue por um ou mais componentes.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Story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Unidade de valor que pode ser aceite.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Task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Trabalho técnico específico.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Gate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Ponto de controlo que impede progressão quando critérios críticos não estão cumpridos.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Baseline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Conjunto de requisitos/artefactos considerados estáveis para a Sprint.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Incremento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Código + configuração + migração + testes + documentação necessários para demonstrar a capacidade.</w:t>
            </w:r>
          </w:p>
        </w:tc>
      </w:tr>
    </w:tbl>
    <w:p/>
    <w:p>
      <w:pPr>
        <w:pStyle w:val="Heading1"/>
      </w:pPr>
      <w:r>
        <w:t>4. Premissas e Restrições</w:t>
      </w:r>
    </w:p>
    <w:p>
      <w:pPr>
        <w:pStyle w:val="ListBullet"/>
        <w:spacing w:after="40"/>
      </w:pPr>
      <w:r>
        <w:t>Arquitectura base: modular monolith com fronteiras de domínio e portas/adapters, evitando microserviços prematuros.</w:t>
      </w:r>
    </w:p>
    <w:p>
      <w:pPr>
        <w:pStyle w:val="ListBullet"/>
        <w:spacing w:after="40"/>
      </w:pPr>
      <w:r>
        <w:t>Backend: Java + Spring Boot 3.x.</w:t>
      </w:r>
    </w:p>
    <w:p>
      <w:pPr>
        <w:pStyle w:val="ListBullet"/>
        <w:spacing w:after="40"/>
      </w:pPr>
      <w:r>
        <w:t>Persistência: PostgreSQL com Flyway como mecanismo de migrations.</w:t>
      </w:r>
    </w:p>
    <w:p>
      <w:pPr>
        <w:pStyle w:val="ListBullet"/>
        <w:spacing w:after="40"/>
      </w:pPr>
      <w:r>
        <w:t>Mensageria: RabbitMQ apenas onde houver facto de negócio/consumidor real.</w:t>
      </w:r>
    </w:p>
    <w:p>
      <w:pPr>
        <w:pStyle w:val="ListBullet"/>
        <w:spacing w:after="40"/>
      </w:pPr>
      <w:r>
        <w:t>Frontend: React + TypeScript, consumindo contratos OpenAPI.</w:t>
      </w:r>
    </w:p>
    <w:p>
      <w:pPr>
        <w:pStyle w:val="ListBullet"/>
        <w:spacing w:after="40"/>
      </w:pPr>
      <w:r>
        <w:t>Segurança: OAuth2/OIDC/JWT + RBAC/ABAC e isolamento por tenant.</w:t>
      </w:r>
    </w:p>
    <w:p>
      <w:pPr>
        <w:pStyle w:val="ListBullet"/>
        <w:spacing w:after="40"/>
      </w:pPr>
      <w:r>
        <w:t>Observabilidade: logs estruturados, métricas e tracing.</w:t>
      </w:r>
    </w:p>
    <w:p>
      <w:pPr>
        <w:pStyle w:val="ListBullet"/>
        <w:spacing w:after="40"/>
      </w:pPr>
      <w:r>
        <w:t>Qualidade: testes unitários, integração, API, regras e Golden Tests; Testcontainers quando aplicável.</w:t>
      </w:r>
    </w:p>
    <w:p>
      <w:pPr>
        <w:pStyle w:val="ListBullet"/>
        <w:spacing w:after="40"/>
      </w:pPr>
      <w:r>
        <w:t>Money: BigDecimal/decimal exacto e regras de rounding explícitas.</w:t>
      </w:r>
    </w:p>
    <w:p>
      <w:pPr>
        <w:pStyle w:val="ListBullet"/>
        <w:spacing w:after="40"/>
      </w:pPr>
      <w:r>
        <w:t>Configuração comercial: versionada e fora do código quando configurável.</w:t>
      </w:r>
    </w:p>
    <w:p>
      <w:pPr>
        <w:pStyle w:val="ListBullet"/>
        <w:spacing w:after="40"/>
      </w:pPr>
      <w:r>
        <w:t>V2 permanece fora do caminho crítico da V1.</w:t>
      </w:r>
    </w:p>
    <w:p>
      <w:pPr>
        <w:pStyle w:val="Heading1"/>
      </w:pPr>
      <w:r>
        <w:t>5. Gates do Programa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Gate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Momento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Critério de passagem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G0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Antes do Sprint 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Escopo V1 aprovado; DOC-000 e DOC-001 em baseline; owners definidos.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G1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Fim do Sprint 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Fundação executável, segurança base, DB/migrations e auditoria mínima operacionais.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G2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Fim do Sprint 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Produto/configuração, proponente e população conseguem alimentar uma cotação válida.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G3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Fim do Sprint 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Pricing determinístico calculável e explicável com regras versionadas.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G4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Fim do Sprint 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Ciclo principal de cotação/subscrição/documentação funciona end-to-end.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G5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Fim do Sprint 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Golden/UAT aprovados, riscos críticos fechados, release candidate e handoff.</w:t>
            </w:r>
          </w:p>
        </w:tc>
      </w:tr>
    </w:tbl>
    <w:p/>
    <w:p>
      <w:pPr>
        <w:pStyle w:val="Heading1"/>
      </w:pPr>
      <w:r>
        <w:t>6. Visão Geral dos 11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5"/>
              </w:rPr>
              <w:t>Sprint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5"/>
              </w:rPr>
              <w:t>Tema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5"/>
              </w:rPr>
              <w:t>Incremento principal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5"/>
              </w:rPr>
              <w:t>Gate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Fundação Segura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Repo, módulos, ambientes, identidade, DB, migrations, auditoria base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G1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Produto &amp; Configuração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Produtos, versões, planos, benefícios, parâmetros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Cliente &amp; População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Proponente, titulares, dependentes, elegibilidade base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G2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Pricing I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Tarifas, factores, cálculo determinístico, breakdown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Pricing II &amp; Rules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Rules/configuração, cenários, rounding, validações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G3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Cotação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Lifecycle, snapshots, versões, validade e totais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Workflow de Subscrição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Review, aprovação, rejeição, autoridade, state machine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Documentos &amp; Finalização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Proposta/documentação, numbering, validade e conclusão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G4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S09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APIs, Eventos &amp; Auditoria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Contratos finais, eventos, idempotência e audit trail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S10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Hardening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Security, performance, observabilidade, acessibilidade, erros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S11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Golden/UAT &amp; Release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Regressão, UAT, documentação, RC, handoff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G5</w:t>
            </w:r>
          </w:p>
        </w:tc>
      </w:tr>
    </w:tbl>
    <w:p/>
    <w:p>
      <w:pPr>
        <w:pStyle w:val="Heading1"/>
      </w:pPr>
      <w:r>
        <w:t>7. Planeamento Detalhado por Sprint</w:t>
      </w:r>
    </w:p>
    <w:p>
      <w:pPr>
        <w:pStyle w:val="Heading2"/>
      </w:pPr>
      <w:r>
        <w:t>SPRINT 01 — Fundação Segura</w:t>
      </w:r>
    </w:p>
    <w:p>
      <w:pPr>
        <w:pStyle w:val="Heading3"/>
      </w:pPr>
      <w:r>
        <w:t>Objectivo</w:t>
      </w:r>
    </w:p>
    <w:p>
      <w:pPr>
        <w:spacing w:after="80"/>
      </w:pPr>
      <w:r>
        <w:t>Criar a fundação executável sobre a qual todas as capacidades V1 serão construídas.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Repository, branching strategy, Maven multi-module e convenções.</w:t>
      </w:r>
    </w:p>
    <w:p>
      <w:pPr>
        <w:pStyle w:val="ListBullet"/>
        <w:spacing w:after="40"/>
      </w:pPr>
      <w:r>
        <w:t>Project bootstrap Spring Boot, configuração por ambiente e gestão de secrets.</w:t>
      </w:r>
    </w:p>
    <w:p>
      <w:pPr>
        <w:pStyle w:val="ListBullet"/>
        <w:spacing w:after="40"/>
      </w:pPr>
      <w:r>
        <w:t>PostgreSQL + Flyway + esquema base de tenant e identidade.</w:t>
      </w:r>
    </w:p>
    <w:p>
      <w:pPr>
        <w:pStyle w:val="ListBullet"/>
        <w:spacing w:after="40"/>
      </w:pPr>
      <w:r>
        <w:t>Autenticação/autorização base e propagação de tenant.</w:t>
      </w:r>
    </w:p>
    <w:p>
      <w:pPr>
        <w:pStyle w:val="ListBullet"/>
        <w:spacing w:after="40"/>
      </w:pPr>
      <w:r>
        <w:t>Audit foundation e correlation/request ID.</w:t>
      </w:r>
    </w:p>
    <w:p>
      <w:pPr>
        <w:pStyle w:val="ListBullet"/>
        <w:spacing w:after="40"/>
      </w:pPr>
      <w:r>
        <w:t>Tratamento global de erros e estrutura de API.</w:t>
      </w:r>
    </w:p>
    <w:p>
      <w:pPr>
        <w:pStyle w:val="ListBullet"/>
        <w:spacing w:after="40"/>
      </w:pPr>
      <w:r>
        <w:t>React shell, routing, layout base e cliente HTTP.</w:t>
      </w:r>
    </w:p>
    <w:p>
      <w:pPr>
        <w:pStyle w:val="ListBullet"/>
        <w:spacing w:after="40"/>
      </w:pPr>
      <w:r>
        <w:t>CI inicial: build, unit tests e quality gates mínimos.</w:t>
      </w:r>
    </w:p>
    <w:p>
      <w:pPr>
        <w:pStyle w:val="ListBullet"/>
        <w:spacing w:after="40"/>
      </w:pPr>
      <w:r>
        <w:t>Local development profile e Testcontainers foundation.</w:t>
      </w:r>
    </w:p>
    <w:p>
      <w:pPr>
        <w:pStyle w:val="Heading3"/>
      </w:pPr>
      <w:r>
        <w:t>Entregáveis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Artefacto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Critério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Backend foundation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Build limpo; módulos iniciam.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DB V001+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Migrations executam do zero.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Security base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Utilizador autenticado e endpoint protegido.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Tenant context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Request sem tenant válido não acede a dados.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Audit base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Acções críticas de fundação ficam rastreáveis.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Frontend shell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Login/shell/routing base executáveis.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Pipeline mínimo verde.</w:t>
            </w:r>
          </w:p>
        </w:tc>
      </w:tr>
    </w:tbl>
    <w:p/>
    <w:p>
      <w:pPr>
        <w:pStyle w:val="Heading3"/>
      </w:pPr>
      <w:r>
        <w:t>Riscos</w:t>
      </w:r>
    </w:p>
    <w:p>
      <w:pPr>
        <w:pStyle w:val="ListBullet"/>
        <w:spacing w:after="40"/>
      </w:pPr>
      <w:r>
        <w:t>Modelar demasiado cedo o domínio completo.</w:t>
      </w:r>
    </w:p>
    <w:p>
      <w:pPr>
        <w:pStyle w:val="ListBullet"/>
        <w:spacing w:after="40"/>
      </w:pPr>
      <w:r>
        <w:t>Permitir bypass de tenant para acelerar desenvolvimento.</w:t>
      </w:r>
    </w:p>
    <w:p>
      <w:pPr>
        <w:pStyle w:val="ListBullet"/>
        <w:spacing w:after="40"/>
      </w:pPr>
      <w:r>
        <w:t>Misturar configuração de negócio com configuração técnica.</w:t>
      </w:r>
    </w:p>
    <w:p>
      <w:pPr>
        <w:pStyle w:val="Heading3"/>
      </w:pPr>
      <w:r>
        <w:t>DoD</w:t>
      </w:r>
    </w:p>
    <w:p>
      <w:pPr>
        <w:pStyle w:val="ListBullet"/>
        <w:spacing w:after="40"/>
      </w:pPr>
      <w:r>
        <w:t>Build backend/frontend verde.</w:t>
      </w:r>
    </w:p>
    <w:p>
      <w:pPr>
        <w:pStyle w:val="ListBullet"/>
        <w:spacing w:after="40"/>
      </w:pPr>
      <w:r>
        <w:t>Migrations reproduzíveis.</w:t>
      </w:r>
    </w:p>
    <w:p>
      <w:pPr>
        <w:pStyle w:val="ListBullet"/>
        <w:spacing w:after="40"/>
      </w:pPr>
      <w:r>
        <w:t>Testes de segurança base.</w:t>
      </w:r>
    </w:p>
    <w:p>
      <w:pPr>
        <w:pStyle w:val="ListBullet"/>
        <w:spacing w:after="40"/>
      </w:pPr>
      <w:r>
        <w:t>Code review concluído.</w:t>
      </w:r>
    </w:p>
    <w:p>
      <w:pPr>
        <w:pStyle w:val="ListBullet"/>
        <w:spacing w:after="40"/>
      </w:pPr>
      <w:r>
        <w:t>Demo técnica executada.</w:t>
      </w:r>
    </w:p>
    <w:p>
      <w:pPr>
        <w:pStyle w:val="ListBullet"/>
        <w:spacing w:after="40"/>
      </w:pPr>
      <w:r>
        <w:t>G1 aprovado.</w:t>
      </w:r>
    </w:p>
    <w:p>
      <w:pPr>
        <w:pStyle w:val="Heading2"/>
      </w:pPr>
      <w:r>
        <w:t>SPRINT 02 — Produto, Plano e Configuração</w:t>
      </w:r>
    </w:p>
    <w:p>
      <w:pPr>
        <w:pStyle w:val="Heading3"/>
      </w:pPr>
      <w:r>
        <w:t>Objectivo</w:t>
      </w:r>
    </w:p>
    <w:p>
      <w:pPr>
        <w:spacing w:after="80"/>
      </w:pPr>
      <w:r>
        <w:t>Disponibilizar a oferta seguradora configurável e versionada que alimentará o pricing.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CRUD/controlos de Product, Product Version, Plan e Benefit/Coverage.</w:t>
      </w:r>
    </w:p>
    <w:p>
      <w:pPr>
        <w:pStyle w:val="ListBullet"/>
        <w:spacing w:after="40"/>
      </w:pPr>
      <w:r>
        <w:t>Estados e vigências.</w:t>
      </w:r>
    </w:p>
    <w:p>
      <w:pPr>
        <w:pStyle w:val="ListBullet"/>
        <w:spacing w:after="40"/>
      </w:pPr>
      <w:r>
        <w:t>Parâmetros configuráveis e versionados.</w:t>
      </w:r>
    </w:p>
    <w:p>
      <w:pPr>
        <w:pStyle w:val="ListBullet"/>
        <w:spacing w:after="40"/>
      </w:pPr>
      <w:r>
        <w:t>Regras de integridade entre produto, versão, plano e benefícios.</w:t>
      </w:r>
    </w:p>
    <w:p>
      <w:pPr>
        <w:pStyle w:val="ListBullet"/>
        <w:spacing w:after="40"/>
      </w:pPr>
      <w:r>
        <w:t>Pesquisa e filtros na UI.</w:t>
      </w:r>
    </w:p>
    <w:p>
      <w:pPr>
        <w:pStyle w:val="ListBullet"/>
        <w:spacing w:after="40"/>
      </w:pPr>
      <w:r>
        <w:t>Auditoria de alterações críticas.</w:t>
      </w:r>
    </w:p>
    <w:p>
      <w:pPr>
        <w:pStyle w:val="ListBullet"/>
        <w:spacing w:after="40"/>
      </w:pPr>
      <w:r>
        <w:t>Base para resolver configuração pela data de referência.</w:t>
      </w:r>
    </w:p>
    <w:p>
      <w:pPr>
        <w:pStyle w:val="Heading3"/>
      </w:pPr>
      <w:r>
        <w:t>Saída demonstrável</w:t>
      </w:r>
    </w:p>
    <w:p>
      <w:pPr>
        <w:spacing w:after="80"/>
      </w:pPr>
      <w:r>
        <w:t>Um configurador autorizado cria um produto, publica uma versão vigente, associa planos e benefícios e consulta a configuração histórica.</w:t>
      </w:r>
    </w:p>
    <w:p>
      <w:pPr>
        <w:pStyle w:val="Heading3"/>
      </w:pPr>
      <w:r>
        <w:t>Critérios de aceitação</w:t>
      </w:r>
    </w:p>
    <w:p>
      <w:pPr>
        <w:pStyle w:val="ListBullet"/>
        <w:spacing w:after="40"/>
      </w:pPr>
      <w:r>
        <w:t>Versões não podem ser alteradas retroactivamente quando já utilizadas por cotação submetida.</w:t>
      </w:r>
    </w:p>
    <w:p>
      <w:pPr>
        <w:pStyle w:val="ListBullet"/>
        <w:spacing w:after="40"/>
      </w:pPr>
      <w:r>
        <w:t>Vigências inválidas são rejeitadas.</w:t>
      </w:r>
    </w:p>
    <w:p>
      <w:pPr>
        <w:pStyle w:val="ListBullet"/>
        <w:spacing w:after="40"/>
      </w:pPr>
      <w:r>
        <w:t>Não existe plano órfão fora de um produto válido.</w:t>
      </w:r>
    </w:p>
    <w:p>
      <w:pPr>
        <w:pStyle w:val="ListBullet"/>
        <w:spacing w:after="40"/>
      </w:pPr>
      <w:r>
        <w:t>Alterações críticas são auditadas.</w:t>
      </w:r>
    </w:p>
    <w:p>
      <w:pPr>
        <w:pStyle w:val="Heading2"/>
      </w:pPr>
      <w:r>
        <w:t>SPRINT 03 — Proponente, Titulares, Dependentes e Elegibilidade</w:t>
      </w:r>
    </w:p>
    <w:p>
      <w:pPr>
        <w:pStyle w:val="Heading3"/>
      </w:pPr>
      <w:r>
        <w:t>Objectivo</w:t>
      </w:r>
    </w:p>
    <w:p>
      <w:pPr>
        <w:spacing w:after="80"/>
      </w:pPr>
      <w:r>
        <w:t>Permitir constituir a população de uma cotação e aplicar as validações de elegibilidade V1.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Proposer individual/corporate conforme configuração.</w:t>
      </w:r>
    </w:p>
    <w:p>
      <w:pPr>
        <w:pStyle w:val="ListBullet"/>
        <w:spacing w:after="40"/>
      </w:pPr>
      <w:r>
        <w:t>Titular e dependente.</w:t>
      </w:r>
    </w:p>
    <w:p>
      <w:pPr>
        <w:pStyle w:val="ListBullet"/>
        <w:spacing w:after="40"/>
      </w:pPr>
      <w:r>
        <w:t>Relações e atributos necessários ao pricing.</w:t>
      </w:r>
    </w:p>
    <w:p>
      <w:pPr>
        <w:pStyle w:val="ListBullet"/>
        <w:spacing w:after="40"/>
      </w:pPr>
      <w:r>
        <w:t>Validações de formato, obrigatoriedade e duplicação.</w:t>
      </w:r>
    </w:p>
    <w:p>
      <w:pPr>
        <w:pStyle w:val="ListBullet"/>
        <w:spacing w:after="40"/>
      </w:pPr>
      <w:r>
        <w:t>Cálculo de idade pela data de referência.</w:t>
      </w:r>
    </w:p>
    <w:p>
      <w:pPr>
        <w:pStyle w:val="ListBullet"/>
        <w:spacing w:after="40"/>
      </w:pPr>
      <w:r>
        <w:t>Regras de hard stop, warning e referral.</w:t>
      </w:r>
    </w:p>
    <w:p>
      <w:pPr>
        <w:pStyle w:val="ListBullet"/>
        <w:spacing w:after="40"/>
      </w:pPr>
      <w:r>
        <w:t>UI de beneficiários com inclusão/edição/remoção.</w:t>
      </w:r>
    </w:p>
    <w:p>
      <w:pPr>
        <w:pStyle w:val="ListBullet"/>
        <w:spacing w:after="40"/>
      </w:pPr>
      <w:r>
        <w:t>Mensagens funcionais Q360-VAL e Q360-BR.</w:t>
      </w:r>
    </w:p>
    <w:p>
      <w:pPr>
        <w:pStyle w:val="Heading3"/>
      </w:pPr>
      <w:r>
        <w:t>Gate G2</w:t>
      </w:r>
    </w:p>
    <w:p>
      <w:pPr>
        <w:spacing w:after="80"/>
      </w:pPr>
      <w:r>
        <w:t>A equipa deve conseguir criar um conjunto de beneficiários válido, executar as validações e demonstrar pelo menos um caso elegível, um bloqueado e um encaminhado para revisão.</w:t>
      </w:r>
    </w:p>
    <w:p>
      <w:pPr>
        <w:pStyle w:val="Heading2"/>
      </w:pPr>
      <w:r>
        <w:t>SPRINT 04 — Motor de Pricing I</w:t>
      </w:r>
    </w:p>
    <w:p>
      <w:pPr>
        <w:pStyle w:val="Heading3"/>
      </w:pPr>
      <w:r>
        <w:t>Objectivo</w:t>
      </w:r>
    </w:p>
    <w:p>
      <w:pPr>
        <w:spacing w:after="80"/>
      </w:pPr>
      <w:r>
        <w:t>Construir o núcleo determinístico de cálculo com tarifas, factores e breakdown.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Modelo de Pricing Configuration.</w:t>
      </w:r>
    </w:p>
    <w:p>
      <w:pPr>
        <w:pStyle w:val="ListBullet"/>
        <w:spacing w:after="40"/>
      </w:pPr>
      <w:r>
        <w:t>Selecção de tarifa por chave de negócio e data de referência.</w:t>
      </w:r>
    </w:p>
    <w:p>
      <w:pPr>
        <w:pStyle w:val="ListBullet"/>
        <w:spacing w:after="40"/>
      </w:pPr>
      <w:r>
        <w:t>Factores configuráveis.</w:t>
      </w:r>
    </w:p>
    <w:p>
      <w:pPr>
        <w:pStyle w:val="ListBullet"/>
        <w:spacing w:after="40"/>
      </w:pPr>
      <w:r>
        <w:t>Fórmula base abstracta da V1.</w:t>
      </w:r>
    </w:p>
    <w:p>
      <w:pPr>
        <w:pStyle w:val="ListBullet"/>
        <w:spacing w:after="40"/>
      </w:pPr>
      <w:r>
        <w:t>Componentes individuais e de grupo.</w:t>
      </w:r>
    </w:p>
    <w:p>
      <w:pPr>
        <w:pStyle w:val="ListBullet"/>
        <w:spacing w:after="40"/>
      </w:pPr>
      <w:r>
        <w:t>Precisão decimal.</w:t>
      </w:r>
    </w:p>
    <w:p>
      <w:pPr>
        <w:pStyle w:val="ListBullet"/>
        <w:spacing w:after="40"/>
      </w:pPr>
      <w:r>
        <w:t>Rounding conforme configuração.</w:t>
      </w:r>
    </w:p>
    <w:p>
      <w:pPr>
        <w:pStyle w:val="ListBullet"/>
        <w:spacing w:after="40"/>
      </w:pPr>
      <w:r>
        <w:t>Breakdown estruturado.</w:t>
      </w:r>
    </w:p>
    <w:p>
      <w:pPr>
        <w:pStyle w:val="ListBullet"/>
        <w:spacing w:after="40"/>
      </w:pPr>
      <w:r>
        <w:t>Identificação das versões usadas no cálculo.</w:t>
      </w:r>
    </w:p>
    <w:p>
      <w:pPr>
        <w:pStyle w:val="ListBullet"/>
        <w:spacing w:after="40"/>
      </w:pPr>
      <w:r>
        <w:t>Testes unitários e cenários de pricing.</w:t>
      </w:r>
    </w:p>
    <w:p>
      <w:pPr>
        <w:pStyle w:val="Heading3"/>
      </w:pPr>
      <w:r>
        <w:t>Saída demonstrável</w:t>
      </w:r>
    </w:p>
    <w:p>
      <w:pPr>
        <w:spacing w:after="80"/>
      </w:pPr>
      <w:r>
        <w:t>Dado um conjunto fixo de inputs e uma configuração conhecida, o motor produz sempre o mesmo resultado e explica cada componente.</w:t>
      </w:r>
    </w:p>
    <w:p>
      <w:pPr>
        <w:pStyle w:val="Heading2"/>
      </w:pPr>
      <w:r>
        <w:t>SPRINT 05 — Pricing II, Rules e Cenários</w:t>
      </w:r>
    </w:p>
    <w:p>
      <w:pPr>
        <w:pStyle w:val="Heading3"/>
      </w:pPr>
      <w:r>
        <w:t>Objectivo</w:t>
      </w:r>
    </w:p>
    <w:p>
      <w:pPr>
        <w:spacing w:after="80"/>
      </w:pPr>
      <w:r>
        <w:t>Completar o motor com regras configuráveis, validações e cenários sem introduzir lógica comercial hardcoded.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Rules matrix / Drools quando justificado pelas regras V1.</w:t>
      </w:r>
    </w:p>
    <w:p>
      <w:pPr>
        <w:pStyle w:val="ListBullet"/>
        <w:spacing w:after="40"/>
      </w:pPr>
      <w:r>
        <w:t>Separação entre lógica de decisão e parâmetros.</w:t>
      </w:r>
    </w:p>
    <w:p>
      <w:pPr>
        <w:pStyle w:val="ListBullet"/>
        <w:spacing w:after="40"/>
      </w:pPr>
      <w:r>
        <w:t>Ordem de execução das regras.</w:t>
      </w:r>
    </w:p>
    <w:p>
      <w:pPr>
        <w:pStyle w:val="ListBullet"/>
        <w:spacing w:after="40"/>
      </w:pPr>
      <w:r>
        <w:t>Resultado: PASS / WARNING / REFER / BLOCK conforme modelo aprovado.</w:t>
      </w:r>
    </w:p>
    <w:p>
      <w:pPr>
        <w:pStyle w:val="ListBullet"/>
        <w:spacing w:after="40"/>
      </w:pPr>
      <w:r>
        <w:t>Gestão de cenário e cálculo versionado.</w:t>
      </w:r>
    </w:p>
    <w:p>
      <w:pPr>
        <w:pStyle w:val="ListBullet"/>
        <w:spacing w:after="40"/>
      </w:pPr>
      <w:r>
        <w:t>Detecção de pricing desactualizado.</w:t>
      </w:r>
    </w:p>
    <w:p>
      <w:pPr>
        <w:pStyle w:val="ListBullet"/>
        <w:spacing w:after="40"/>
      </w:pPr>
      <w:r>
        <w:t>Validação de consistência dos componentes.</w:t>
      </w:r>
    </w:p>
    <w:p>
      <w:pPr>
        <w:pStyle w:val="ListBullet"/>
        <w:spacing w:after="40"/>
      </w:pPr>
      <w:r>
        <w:t>Golden cases iniciais para pricing.</w:t>
      </w:r>
    </w:p>
    <w:p>
      <w:pPr>
        <w:pStyle w:val="ListBullet"/>
        <w:spacing w:after="40"/>
      </w:pPr>
      <w:r>
        <w:t>Failure-safe quando configuração é inexistente ou incompatível.</w:t>
      </w:r>
    </w:p>
    <w:p>
      <w:pPr>
        <w:pStyle w:val="Heading3"/>
      </w:pPr>
      <w:r>
        <w:t>Gate G3</w:t>
      </w:r>
    </w:p>
    <w:p>
      <w:pPr>
        <w:pStyle w:val="ListBullet"/>
        <w:spacing w:after="40"/>
      </w:pPr>
      <w:r>
        <w:t>Todos os casos de pricing aprovados têm resultado determinístico.</w:t>
      </w:r>
    </w:p>
    <w:p>
      <w:pPr>
        <w:pStyle w:val="ListBullet"/>
        <w:spacing w:after="40"/>
      </w:pPr>
      <w:r>
        <w:t>Existe breakdown verificável.</w:t>
      </w:r>
    </w:p>
    <w:p>
      <w:pPr>
        <w:pStyle w:val="ListBullet"/>
        <w:spacing w:after="40"/>
      </w:pPr>
      <w:r>
        <w:t>Regras têm IDs e versão.</w:t>
      </w:r>
    </w:p>
    <w:p>
      <w:pPr>
        <w:pStyle w:val="ListBullet"/>
        <w:spacing w:after="40"/>
      </w:pPr>
      <w:r>
        <w:t>Configuração ausente bloqueia cálculo.</w:t>
      </w:r>
    </w:p>
    <w:p>
      <w:pPr>
        <w:pStyle w:val="ListBullet"/>
        <w:spacing w:after="40"/>
      </w:pPr>
      <w:r>
        <w:t>Golden cases críticos estão verdes.</w:t>
      </w:r>
    </w:p>
    <w:p>
      <w:pPr>
        <w:pStyle w:val="Heading2"/>
      </w:pPr>
      <w:r>
        <w:t>SPRINT 06 — Cotação</w:t>
      </w:r>
    </w:p>
    <w:p>
      <w:pPr>
        <w:pStyle w:val="Heading3"/>
      </w:pPr>
      <w:r>
        <w:t>Objectivo</w:t>
      </w:r>
    </w:p>
    <w:p>
      <w:pPr>
        <w:spacing w:after="80"/>
      </w:pPr>
      <w:r>
        <w:t>Transformar dados + pricing em uma cotação operacional completa e versionada.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Quote aggregate e estados iniciais.</w:t>
      </w:r>
    </w:p>
    <w:p>
      <w:pPr>
        <w:pStyle w:val="ListBullet"/>
        <w:spacing w:after="40"/>
      </w:pPr>
      <w:r>
        <w:t>Criação de cotação.</w:t>
      </w:r>
    </w:p>
    <w:p>
      <w:pPr>
        <w:pStyle w:val="ListBullet"/>
        <w:spacing w:after="40"/>
      </w:pPr>
      <w:r>
        <w:t>Selecção de produto/plano.</w:t>
      </w:r>
    </w:p>
    <w:p>
      <w:pPr>
        <w:pStyle w:val="ListBullet"/>
        <w:spacing w:after="40"/>
      </w:pPr>
      <w:r>
        <w:t>Associação de proponente e população.</w:t>
      </w:r>
    </w:p>
    <w:p>
      <w:pPr>
        <w:pStyle w:val="ListBullet"/>
        <w:spacing w:after="40"/>
      </w:pPr>
      <w:r>
        <w:t>Execução/reexecução de pricing.</w:t>
      </w:r>
    </w:p>
    <w:p>
      <w:pPr>
        <w:pStyle w:val="ListBullet"/>
        <w:spacing w:after="40"/>
      </w:pPr>
      <w:r>
        <w:t>Quote Version / Scenario.</w:t>
      </w:r>
    </w:p>
    <w:p>
      <w:pPr>
        <w:pStyle w:val="ListBullet"/>
        <w:spacing w:after="40"/>
      </w:pPr>
      <w:r>
        <w:t>Snapshot de inputs e referências.</w:t>
      </w:r>
    </w:p>
    <w:p>
      <w:pPr>
        <w:pStyle w:val="ListBullet"/>
        <w:spacing w:after="40"/>
      </w:pPr>
      <w:r>
        <w:t>Validade da cotação.</w:t>
      </w:r>
    </w:p>
    <w:p>
      <w:pPr>
        <w:pStyle w:val="ListBullet"/>
        <w:spacing w:after="40"/>
      </w:pPr>
      <w:r>
        <w:t>Resumo e total.</w:t>
      </w:r>
    </w:p>
    <w:p>
      <w:pPr>
        <w:pStyle w:val="ListBullet"/>
        <w:spacing w:after="40"/>
      </w:pPr>
      <w:r>
        <w:t>Optimistic locking/concurrency.</w:t>
      </w:r>
    </w:p>
    <w:p>
      <w:pPr>
        <w:pStyle w:val="ListBullet"/>
        <w:spacing w:after="40"/>
      </w:pPr>
      <w:r>
        <w:t>Histórico de alterações.</w:t>
      </w:r>
    </w:p>
    <w:p>
      <w:pPr>
        <w:pStyle w:val="Heading3"/>
      </w:pPr>
      <w:r>
        <w:t>Saída demonstrável</w:t>
      </w:r>
    </w:p>
    <w:p>
      <w:pPr>
        <w:spacing w:after="80"/>
      </w:pPr>
      <w:r>
        <w:t>Um subscritor cria uma cotação, altera inputs, recalcula, compara o estado actual com o anterior e obtém um resultado pronto para submissão.</w:t>
      </w:r>
    </w:p>
    <w:p>
      <w:pPr>
        <w:pStyle w:val="Heading2"/>
      </w:pPr>
      <w:r>
        <w:t>SPRINT 07 — Workflow de Subscrição</w:t>
      </w:r>
    </w:p>
    <w:p>
      <w:pPr>
        <w:pStyle w:val="Heading3"/>
      </w:pPr>
      <w:r>
        <w:t>Objectivo</w:t>
      </w:r>
    </w:p>
    <w:p>
      <w:pPr>
        <w:spacing w:after="80"/>
      </w:pPr>
      <w:r>
        <w:t>Controlar o processo técnico de revisão e decisão.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State Machine formal.</w:t>
      </w:r>
    </w:p>
    <w:p>
      <w:pPr>
        <w:pStyle w:val="ListBullet"/>
        <w:spacing w:after="40"/>
      </w:pPr>
      <w:r>
        <w:t>SUBMITTED → UNDER_REVIEW → APPROVED/REJECTED.</w:t>
      </w:r>
    </w:p>
    <w:p>
      <w:pPr>
        <w:pStyle w:val="ListBullet"/>
        <w:spacing w:after="40"/>
      </w:pPr>
      <w:r>
        <w:t>Permissões por transição.</w:t>
      </w:r>
    </w:p>
    <w:p>
      <w:pPr>
        <w:pStyle w:val="ListBullet"/>
        <w:spacing w:after="40"/>
      </w:pPr>
      <w:r>
        <w:t>Segregação de funções.</w:t>
      </w:r>
    </w:p>
    <w:p>
      <w:pPr>
        <w:pStyle w:val="ListBullet"/>
        <w:spacing w:after="40"/>
      </w:pPr>
      <w:r>
        <w:t>Bloqueio de autoaprovação.</w:t>
      </w:r>
    </w:p>
    <w:p>
      <w:pPr>
        <w:pStyle w:val="ListBullet"/>
        <w:spacing w:after="40"/>
      </w:pPr>
      <w:r>
        <w:t>Motivos de rejeição.</w:t>
      </w:r>
    </w:p>
    <w:p>
      <w:pPr>
        <w:pStyle w:val="ListBullet"/>
        <w:spacing w:after="40"/>
      </w:pPr>
      <w:r>
        <w:t>Referral/manual review.</w:t>
      </w:r>
    </w:p>
    <w:p>
      <w:pPr>
        <w:pStyle w:val="ListBullet"/>
        <w:spacing w:after="40"/>
      </w:pPr>
      <w:r>
        <w:t>Histórico de decisões.</w:t>
      </w:r>
    </w:p>
    <w:p>
      <w:pPr>
        <w:pStyle w:val="ListBullet"/>
        <w:spacing w:after="40"/>
      </w:pPr>
      <w:r>
        <w:t>Controlo de autoridade.</w:t>
      </w:r>
    </w:p>
    <w:p>
      <w:pPr>
        <w:pStyle w:val="ListBullet"/>
        <w:spacing w:after="40"/>
      </w:pPr>
      <w:r>
        <w:t>UI de análise técnica.</w:t>
      </w:r>
    </w:p>
    <w:p>
      <w:pPr>
        <w:pStyle w:val="Heading3"/>
      </w:pPr>
      <w:r>
        <w:t>Critérios de aceitação</w:t>
      </w:r>
    </w:p>
    <w:p>
      <w:pPr>
        <w:pStyle w:val="ListBullet"/>
        <w:spacing w:after="40"/>
      </w:pPr>
      <w:r>
        <w:t>Transição inválida é recusada.</w:t>
      </w:r>
    </w:p>
    <w:p>
      <w:pPr>
        <w:pStyle w:val="ListBullet"/>
        <w:spacing w:after="40"/>
      </w:pPr>
      <w:r>
        <w:t>Actor sem autoridade não vê/executa acção.</w:t>
      </w:r>
    </w:p>
    <w:p>
      <w:pPr>
        <w:pStyle w:val="ListBullet"/>
        <w:spacing w:after="40"/>
      </w:pPr>
      <w:r>
        <w:t>Originador não aprova a própria submissão.</w:t>
      </w:r>
    </w:p>
    <w:p>
      <w:pPr>
        <w:pStyle w:val="ListBullet"/>
        <w:spacing w:after="40"/>
      </w:pPr>
      <w:r>
        <w:t>Rejeição sem motivo quando motivo é obrigatório é recusada.</w:t>
      </w:r>
    </w:p>
    <w:p>
      <w:pPr>
        <w:pStyle w:val="Heading2"/>
      </w:pPr>
      <w:r>
        <w:t>SPRINT 08 — Documentos e Finalização</w:t>
      </w:r>
    </w:p>
    <w:p>
      <w:pPr>
        <w:pStyle w:val="Heading3"/>
      </w:pPr>
      <w:r>
        <w:t>Objectivo</w:t>
      </w:r>
    </w:p>
    <w:p>
      <w:pPr>
        <w:spacing w:after="80"/>
      </w:pPr>
      <w:r>
        <w:t>Completar o fluxo de cotação até à documentação e finalização prevista na V1.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Identificação/numeração da cotação/proposta conforme decisão aprovada.</w:t>
      </w:r>
    </w:p>
    <w:p>
      <w:pPr>
        <w:pStyle w:val="ListBullet"/>
        <w:spacing w:after="40"/>
      </w:pPr>
      <w:r>
        <w:t>Dados da proposta.</w:t>
      </w:r>
    </w:p>
    <w:p>
      <w:pPr>
        <w:pStyle w:val="ListBullet"/>
        <w:spacing w:after="40"/>
      </w:pPr>
      <w:r>
        <w:t>Documento gerado, quando aprovado para V1.</w:t>
      </w:r>
    </w:p>
    <w:p>
      <w:pPr>
        <w:pStyle w:val="ListBullet"/>
        <w:spacing w:after="40"/>
      </w:pPr>
      <w:r>
        <w:t>Controlo de validade e expiração.</w:t>
      </w:r>
    </w:p>
    <w:p>
      <w:pPr>
        <w:pStyle w:val="ListBullet"/>
        <w:spacing w:after="40"/>
      </w:pPr>
      <w:r>
        <w:t>Cancelamento com motivo.</w:t>
      </w:r>
    </w:p>
    <w:p>
      <w:pPr>
        <w:pStyle w:val="ListBullet"/>
        <w:spacing w:after="40"/>
      </w:pPr>
      <w:r>
        <w:t>Finalização para processo posterior de emissão.</w:t>
      </w:r>
    </w:p>
    <w:p>
      <w:pPr>
        <w:pStyle w:val="ListBullet"/>
        <w:spacing w:after="40"/>
      </w:pPr>
      <w:r>
        <w:t>Audit trail de finalização.</w:t>
      </w:r>
    </w:p>
    <w:p>
      <w:pPr>
        <w:pStyle w:val="ListBullet"/>
        <w:spacing w:after="40"/>
      </w:pPr>
      <w:r>
        <w:t>Permissões e estado final.</w:t>
      </w:r>
    </w:p>
    <w:p>
      <w:pPr>
        <w:pStyle w:val="Heading3"/>
      </w:pPr>
      <w:r>
        <w:t>Gate G4</w:t>
      </w:r>
    </w:p>
    <w:p>
      <w:pPr>
        <w:spacing w:after="80"/>
      </w:pPr>
      <w:r>
        <w:t>Existe demonstração end-to-end: configuração → proponente → beneficiários → pricing → cotação → submissão → review → decisão → documentação/finalização, sem bypass manual de estado.</w:t>
      </w:r>
    </w:p>
    <w:p>
      <w:pPr>
        <w:pStyle w:val="Heading2"/>
      </w:pPr>
      <w:r>
        <w:t>SPRINT 09 — APIs, Eventos e Auditoria Completa</w:t>
      </w:r>
    </w:p>
    <w:p>
      <w:pPr>
        <w:pStyle w:val="Heading3"/>
      </w:pPr>
      <w:r>
        <w:t>Objectivo</w:t>
      </w:r>
    </w:p>
    <w:p>
      <w:pPr>
        <w:spacing w:after="80"/>
      </w:pPr>
      <w:r>
        <w:t>Estabilizar os contratos de integração e fechar a rastreabilidade operacional.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OpenAPI integral e consistente com comportamento real.</w:t>
      </w:r>
    </w:p>
    <w:p>
      <w:pPr>
        <w:pStyle w:val="ListBullet"/>
        <w:spacing w:after="40"/>
      </w:pPr>
      <w:r>
        <w:t>DTOs, error model, pagination e filtros.</w:t>
      </w:r>
    </w:p>
    <w:p>
      <w:pPr>
        <w:pStyle w:val="ListBullet"/>
        <w:spacing w:after="40"/>
      </w:pPr>
      <w:r>
        <w:t>RabbitMQ contracts aprovados.</w:t>
      </w:r>
    </w:p>
    <w:p>
      <w:pPr>
        <w:pStyle w:val="ListBullet"/>
        <w:spacing w:after="40"/>
      </w:pPr>
      <w:r>
        <w:t>Event IDs, correlation IDs e idempotency.</w:t>
      </w:r>
    </w:p>
    <w:p>
      <w:pPr>
        <w:pStyle w:val="ListBullet"/>
        <w:spacing w:after="40"/>
      </w:pPr>
      <w:r>
        <w:t>Outbox transaccional.</w:t>
      </w:r>
    </w:p>
    <w:p>
      <w:pPr>
        <w:pStyle w:val="ListBullet"/>
        <w:spacing w:after="40"/>
      </w:pPr>
      <w:r>
        <w:t>Consumers idempotentes e DLQ quando aplicável.</w:t>
      </w:r>
    </w:p>
    <w:p>
      <w:pPr>
        <w:pStyle w:val="ListBullet"/>
        <w:spacing w:after="40"/>
      </w:pPr>
      <w:r>
        <w:t>Auditoria completa das operações críticas.</w:t>
      </w:r>
    </w:p>
    <w:p>
      <w:pPr>
        <w:pStyle w:val="ListBullet"/>
        <w:spacing w:after="40"/>
      </w:pPr>
      <w:r>
        <w:t>Testes de contrato/API.</w:t>
      </w:r>
    </w:p>
    <w:p>
      <w:pPr>
        <w:pStyle w:val="ListBullet"/>
        <w:spacing w:after="40"/>
      </w:pPr>
      <w:r>
        <w:t>Documentação de integração.</w:t>
      </w:r>
    </w:p>
    <w:p>
      <w:pPr>
        <w:pStyle w:val="Heading3"/>
      </w:pPr>
      <w:r>
        <w:t>Regra</w:t>
      </w:r>
    </w:p>
    <w:p>
      <w:pPr>
        <w:spacing w:after="80"/>
      </w:pPr>
      <w:r>
        <w:t>Não publicar eventos sem finalidade e consumidor real. Eventos devem representar factos de negócio, não logs técnicos disfarçados.</w:t>
      </w:r>
    </w:p>
    <w:p>
      <w:pPr>
        <w:pStyle w:val="Heading2"/>
      </w:pPr>
      <w:r>
        <w:t>SPRINT 10 — Hardening</w:t>
      </w:r>
    </w:p>
    <w:p>
      <w:pPr>
        <w:pStyle w:val="Heading3"/>
      </w:pPr>
      <w:r>
        <w:t>Objectivo</w:t>
      </w:r>
    </w:p>
    <w:p>
      <w:pPr>
        <w:spacing w:after="80"/>
      </w:pPr>
      <w:r>
        <w:t>Eliminar riscos técnicos e funcionais antes da validação final.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Security review e testes de autorização.</w:t>
      </w:r>
    </w:p>
    <w:p>
      <w:pPr>
        <w:pStyle w:val="ListBullet"/>
        <w:spacing w:after="40"/>
      </w:pPr>
      <w:r>
        <w:t>Tenant isolation tests.</w:t>
      </w:r>
    </w:p>
    <w:p>
      <w:pPr>
        <w:pStyle w:val="ListBullet"/>
        <w:spacing w:after="40"/>
      </w:pPr>
      <w:r>
        <w:t>Performance baseline e testes de carga direccionados.</w:t>
      </w:r>
    </w:p>
    <w:p>
      <w:pPr>
        <w:pStyle w:val="ListBullet"/>
        <w:spacing w:after="40"/>
      </w:pPr>
      <w:r>
        <w:t>Observabilidade: logs, métricas, tracing e dashboards.</w:t>
      </w:r>
    </w:p>
    <w:p>
      <w:pPr>
        <w:pStyle w:val="ListBullet"/>
        <w:spacing w:after="40"/>
      </w:pPr>
      <w:r>
        <w:t>Resiliência de dependências.</w:t>
      </w:r>
    </w:p>
    <w:p>
      <w:pPr>
        <w:pStyle w:val="ListBullet"/>
        <w:spacing w:after="40"/>
      </w:pPr>
      <w:r>
        <w:t>Tratamento consistente de erros.</w:t>
      </w:r>
    </w:p>
    <w:p>
      <w:pPr>
        <w:pStyle w:val="ListBullet"/>
        <w:spacing w:after="40"/>
      </w:pPr>
      <w:r>
        <w:t>Accessibility/usabilidade.</w:t>
      </w:r>
    </w:p>
    <w:p>
      <w:pPr>
        <w:pStyle w:val="ListBullet"/>
        <w:spacing w:after="40"/>
      </w:pPr>
      <w:r>
        <w:t>Optimização de queries e índices.</w:t>
      </w:r>
    </w:p>
    <w:p>
      <w:pPr>
        <w:pStyle w:val="ListBullet"/>
        <w:spacing w:after="40"/>
      </w:pPr>
      <w:r>
        <w:t>Backups/restore e readiness operacional.</w:t>
      </w:r>
    </w:p>
    <w:p>
      <w:pPr>
        <w:pStyle w:val="ListBullet"/>
        <w:spacing w:after="40"/>
      </w:pPr>
      <w:r>
        <w:t>Dependency/security scanning.</w:t>
      </w:r>
    </w:p>
    <w:p>
      <w:pPr>
        <w:pStyle w:val="ListBullet"/>
        <w:spacing w:after="40"/>
      </w:pPr>
      <w:r>
        <w:t>Pen-test findings, quando disponível.</w:t>
      </w:r>
    </w:p>
    <w:p>
      <w:pPr>
        <w:pStyle w:val="Heading3"/>
      </w:pPr>
      <w:r>
        <w:t>Critério</w:t>
      </w:r>
    </w:p>
    <w:p>
      <w:pPr>
        <w:spacing w:after="80"/>
      </w:pPr>
      <w:r>
        <w:t>Nenhum risco crítico aberto deve avançar para release sem aceitação formal do owner responsável.</w:t>
      </w:r>
    </w:p>
    <w:p>
      <w:pPr>
        <w:pStyle w:val="Heading2"/>
      </w:pPr>
      <w:r>
        <w:t>SPRINT 11 — Golden Tests, UAT e Release</w:t>
      </w:r>
    </w:p>
    <w:p>
      <w:pPr>
        <w:pStyle w:val="Heading3"/>
      </w:pPr>
      <w:r>
        <w:t>Objectivo</w:t>
      </w:r>
    </w:p>
    <w:p>
      <w:pPr>
        <w:spacing w:after="80"/>
      </w:pPr>
      <w:r>
        <w:t>Validar a V1 contra casos de negócio aprovados e produzir release candidate implementável.</w:t>
      </w:r>
    </w:p>
    <w:p>
      <w:pPr>
        <w:pStyle w:val="Heading3"/>
      </w:pPr>
      <w:r>
        <w:t>Escopo</w:t>
      </w:r>
    </w:p>
    <w:p>
      <w:pPr>
        <w:pStyle w:val="ListBullet"/>
        <w:spacing w:after="40"/>
      </w:pPr>
      <w:r>
        <w:t>Golden Tests de pricing, eligibility e workflow.</w:t>
      </w:r>
    </w:p>
    <w:p>
      <w:pPr>
        <w:pStyle w:val="ListBullet"/>
        <w:spacing w:after="40"/>
      </w:pPr>
      <w:r>
        <w:t>Regressão end-to-end.</w:t>
      </w:r>
    </w:p>
    <w:p>
      <w:pPr>
        <w:pStyle w:val="ListBullet"/>
        <w:spacing w:after="40"/>
      </w:pPr>
      <w:r>
        <w:t>UAT com subscritores.</w:t>
      </w:r>
    </w:p>
    <w:p>
      <w:pPr>
        <w:pStyle w:val="ListBullet"/>
        <w:spacing w:after="40"/>
      </w:pPr>
      <w:r>
        <w:t>Validação de migrações do zero e upgrade.</w:t>
      </w:r>
    </w:p>
    <w:p>
      <w:pPr>
        <w:pStyle w:val="ListBullet"/>
        <w:spacing w:after="40"/>
      </w:pPr>
      <w:r>
        <w:t>Verificação de documentação.</w:t>
      </w:r>
    </w:p>
    <w:p>
      <w:pPr>
        <w:pStyle w:val="ListBullet"/>
        <w:spacing w:after="40"/>
      </w:pPr>
      <w:r>
        <w:t>Smoke tests de produção-like.</w:t>
      </w:r>
    </w:p>
    <w:p>
      <w:pPr>
        <w:pStyle w:val="ListBullet"/>
        <w:spacing w:after="40"/>
      </w:pPr>
      <w:r>
        <w:t>Release candidate.</w:t>
      </w:r>
    </w:p>
    <w:p>
      <w:pPr>
        <w:pStyle w:val="ListBullet"/>
        <w:spacing w:after="40"/>
      </w:pPr>
      <w:r>
        <w:t>Runbook operacional.</w:t>
      </w:r>
    </w:p>
    <w:p>
      <w:pPr>
        <w:pStyle w:val="ListBullet"/>
        <w:spacing w:after="40"/>
      </w:pPr>
      <w:r>
        <w:t>Manual funcional e técnico alinhados.</w:t>
      </w:r>
    </w:p>
    <w:p>
      <w:pPr>
        <w:pStyle w:val="ListBullet"/>
        <w:spacing w:after="40"/>
      </w:pPr>
      <w:r>
        <w:t>Lista de known issues e decisões pós-V1.</w:t>
      </w:r>
    </w:p>
    <w:p>
      <w:pPr>
        <w:pStyle w:val="ListBullet"/>
        <w:spacing w:after="40"/>
      </w:pPr>
      <w:r>
        <w:t>Handoff para operação e equipa de desenvolvimento.</w:t>
      </w:r>
    </w:p>
    <w:p>
      <w:pPr>
        <w:pStyle w:val="Heading3"/>
      </w:pPr>
      <w:r>
        <w:t>Gate G5</w:t>
      </w:r>
    </w:p>
    <w:p>
      <w:pPr>
        <w:pStyle w:val="ListBullet"/>
        <w:spacing w:after="40"/>
      </w:pPr>
      <w:r>
        <w:t>UAT assinado.</w:t>
      </w:r>
    </w:p>
    <w:p>
      <w:pPr>
        <w:pStyle w:val="ListBullet"/>
        <w:spacing w:after="40"/>
      </w:pPr>
      <w:r>
        <w:t>Golden tests críticos verdes.</w:t>
      </w:r>
    </w:p>
    <w:p>
      <w:pPr>
        <w:pStyle w:val="ListBullet"/>
        <w:spacing w:after="40"/>
      </w:pPr>
      <w:r>
        <w:t>Migrations validadas.</w:t>
      </w:r>
    </w:p>
    <w:p>
      <w:pPr>
        <w:pStyle w:val="ListBullet"/>
        <w:spacing w:after="40"/>
      </w:pPr>
      <w:r>
        <w:t>Security findings críticos fechados/aceites.</w:t>
      </w:r>
    </w:p>
    <w:p>
      <w:pPr>
        <w:pStyle w:val="ListBullet"/>
        <w:spacing w:after="40"/>
      </w:pPr>
      <w:r>
        <w:t>Release candidate criado.</w:t>
      </w:r>
    </w:p>
    <w:p>
      <w:pPr>
        <w:pStyle w:val="ListBullet"/>
        <w:spacing w:after="40"/>
      </w:pPr>
      <w:r>
        <w:t>Documentação de handoff entregue.</w:t>
      </w:r>
    </w:p>
    <w:p>
      <w:pPr>
        <w:pStyle w:val="Heading1"/>
      </w:pPr>
      <w:r>
        <w:t>8. Dependências entre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Dependência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Razão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S01 → S02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Produto e configuração dependem de tenant, DB, segurança e auditoria.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S02 → S03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Elegibilidade/população dependem de produto/plano/configuração.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S03 → S04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Pricing precisa dos inputs de beneficiários e regras de elegibilidade.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S04 → S05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Rules/cenários complementam o motor base já determinístico.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S05 → S06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Quote precisa de pricing estável e versionado.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S06 → S07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Workflow opera sobre o ciclo de vida da cotação.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S07 → S08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Finalização depende de decisão e estado.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S08 → S09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Contratos externos devem reflectir fluxo estabilizado.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S09 → S10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Hardening deve testar os contratos e fluxos reais.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S10 → S11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Release depende de hardening e regressão.</w:t>
            </w:r>
          </w:p>
        </w:tc>
      </w:tr>
    </w:tbl>
    <w:p/>
    <w:p>
      <w:pPr>
        <w:pStyle w:val="Heading1"/>
      </w:pPr>
      <w:r>
        <w:t>9. Distribuição por Áreas de Engenharia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Área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Sprints de maior carga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Responsabilidade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Product/PO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Todos; especialmente S02–S07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Decisões de negócio, priorização e aceite.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Subscrição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S03–S08, S11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Regras, autoridade, UAT e validação técnica.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Actuariado/Pricing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S04–S05, S11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Tarifas, factores, fórmulas, rounding e Golden Tests.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S01–S10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Domínio, APIs, pricing, workflow, persistência e integrações.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S01–S10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Shell, configuração, cotação, pricing, workflow e UX.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DB/Data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S01–S10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Modelo, migrations, índices, integridade e performance.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QA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S01–S11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Test strategy, automação, regressão, Golden e UAT.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DevOps/SRE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S01, S09–S11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CI/CD, observabilidade, ambientes e release.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S01, S07, S10–S11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IAM, tenant isolation, autorização e hardening.</w:t>
            </w:r>
          </w:p>
        </w:tc>
      </w:tr>
    </w:tbl>
    <w:p/>
    <w:p>
      <w:pPr>
        <w:pStyle w:val="Heading1"/>
      </w:pPr>
      <w:r>
        <w:t>10. Critérios Globais de Definition of Done</w:t>
      </w:r>
    </w:p>
    <w:p>
      <w:pPr>
        <w:pStyle w:val="ListBullet"/>
        <w:spacing w:after="40"/>
      </w:pPr>
      <w:r>
        <w:t>Requisito funcional possui ID e ligação ao backlog.</w:t>
      </w:r>
    </w:p>
    <w:p>
      <w:pPr>
        <w:pStyle w:val="ListBullet"/>
        <w:spacing w:after="40"/>
      </w:pPr>
      <w:r>
        <w:t>Backend implementado com testes.</w:t>
      </w:r>
    </w:p>
    <w:p>
      <w:pPr>
        <w:pStyle w:val="ListBullet"/>
        <w:spacing w:after="40"/>
      </w:pPr>
      <w:r>
        <w:t>Frontend implementado quando houver superfície UI.</w:t>
      </w:r>
    </w:p>
    <w:p>
      <w:pPr>
        <w:pStyle w:val="ListBullet"/>
        <w:spacing w:after="40"/>
      </w:pPr>
      <w:r>
        <w:t>DB/migration implementada e testada.</w:t>
      </w:r>
    </w:p>
    <w:p>
      <w:pPr>
        <w:pStyle w:val="ListBullet"/>
        <w:spacing w:after="40"/>
      </w:pPr>
      <w:r>
        <w:t>Permissões e tenant isolation testados.</w:t>
      </w:r>
    </w:p>
    <w:p>
      <w:pPr>
        <w:pStyle w:val="ListBullet"/>
        <w:spacing w:after="40"/>
      </w:pPr>
      <w:r>
        <w:t>Logs/auditoria implementados quando aplicável.</w:t>
      </w:r>
    </w:p>
    <w:p>
      <w:pPr>
        <w:pStyle w:val="ListBullet"/>
        <w:spacing w:after="40"/>
      </w:pPr>
      <w:r>
        <w:t>API documentada.</w:t>
      </w:r>
    </w:p>
    <w:p>
      <w:pPr>
        <w:pStyle w:val="ListBullet"/>
        <w:spacing w:after="40"/>
      </w:pPr>
      <w:r>
        <w:t>Eventos documentados quando aplicável.</w:t>
      </w:r>
    </w:p>
    <w:p>
      <w:pPr>
        <w:pStyle w:val="ListBullet"/>
        <w:spacing w:after="40"/>
      </w:pPr>
      <w:r>
        <w:t>Erro funcional tratado e com código.</w:t>
      </w:r>
    </w:p>
    <w:p>
      <w:pPr>
        <w:pStyle w:val="ListBullet"/>
        <w:spacing w:after="40"/>
      </w:pPr>
      <w:r>
        <w:t>Code review concluído.</w:t>
      </w:r>
    </w:p>
    <w:p>
      <w:pPr>
        <w:pStyle w:val="ListBullet"/>
        <w:spacing w:after="40"/>
      </w:pPr>
      <w:r>
        <w:t>CI verde.</w:t>
      </w:r>
    </w:p>
    <w:p>
      <w:pPr>
        <w:pStyle w:val="ListBullet"/>
        <w:spacing w:after="40"/>
      </w:pPr>
      <w:r>
        <w:t>Demo aceite pelo Product Owner.</w:t>
      </w:r>
    </w:p>
    <w:p>
      <w:pPr>
        <w:pStyle w:val="ListBullet"/>
        <w:spacing w:after="40"/>
      </w:pPr>
      <w:r>
        <w:t>Documentação actualizada.</w:t>
      </w:r>
    </w:p>
    <w:p>
      <w:pPr>
        <w:pStyle w:val="ListBullet"/>
        <w:spacing w:after="40"/>
      </w:pPr>
      <w:r>
        <w:t>Sem defeitos críticos/altos não aceites.</w:t>
      </w:r>
    </w:p>
    <w:p>
      <w:pPr>
        <w:pStyle w:val="ListBullet"/>
        <w:spacing w:after="40"/>
      </w:pPr>
      <w:r>
        <w:t>Artefacto correspondente marcado com estado e versão.</w:t>
      </w:r>
    </w:p>
    <w:p>
      <w:pPr>
        <w:pStyle w:val="Heading1"/>
      </w:pPr>
      <w:r>
        <w:t>11. Planeamento de Capacidade</w:t>
      </w:r>
    </w:p>
    <w:p>
      <w:pPr>
        <w:spacing w:after="80"/>
      </w:pPr>
      <w:r>
        <w:t>O roadmap é deliberadamente expresso em capacidade relativa e não em horas fechadas, porque o tamanho da equipa e a disponibilidade efectiva ainda não foram formalmente fornecidos. O DOC-003 deverá converter cada Sprint em pontos/tarefas e capacidade real após confirmação da equipa.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Sprint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Carga relativa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Perfil dominante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Backend/DevOps/Security/DB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Média-Alta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Backend/Frontend/DB/Product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Backend/Frontend/QA/Subscrição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Pricing/Backend/Actuariado/QA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Rules/Backend/Pricing/QA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Backend/Frontend/QA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Backend/Security/Frontend/QA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Média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Backend/Frontend/QA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Backend/DevOps/QA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Security/SRE/Backend/QA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Muito Alta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QA/Product/Subscrição/Engineering</w:t>
            </w:r>
          </w:p>
        </w:tc>
      </w:tr>
    </w:tbl>
    <w:p/>
    <w:p>
      <w:pPr>
        <w:pStyle w:val="Heading1"/>
      </w:pPr>
      <w:r>
        <w:t>12.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Milestone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5"/>
              </w:rPr>
              <w:t>Evidência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M1 — Foundation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Sistema inicia, autentica e persiste em DB limpa.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M2 — Configuration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Produto/plano/benefícios versionados e pesquisáveis.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M3 — Population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Proponente e beneficiários validados.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M4 — Pricing Core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Cálculo determinístico com breakdown.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M5 — Pricing Rules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Rules/scenarios e Golden cases iniciais.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M6 — Quote Core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Cotação versionada e snapshot.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M7 — Underwriting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Workflow de decisão com segregação.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M8 — E2E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Ciclo completo demonstrável.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M9 — Integration Ready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OpenAPI/events/audit estabilizados.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M10 — Production Hardening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Security/performance/observability validados.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M11 — Release Candidate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5"/>
              </w:rPr>
              <w:t>UAT + Golden + regressão + handoff.</w:t>
            </w:r>
          </w:p>
        </w:tc>
      </w:tr>
    </w:tbl>
    <w:p/>
    <w:p>
      <w:pPr>
        <w:pStyle w:val="Heading1"/>
      </w:pPr>
      <w:r>
        <w:t>13. Gestão de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5"/>
              </w:rPr>
              <w:t>Risco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5"/>
              </w:rPr>
              <w:t>Probabilidade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5"/>
              </w:rPr>
              <w:t>Impacto</w:t>
            </w:r>
          </w:p>
        </w:tc>
        <w:tc>
          <w:tcPr>
            <w:tcW w:type="dxa" w:w="2550"/>
            <w:vAlign w:val="center"/>
            <w:shd w:fill="D9EAF7"/>
          </w:tcPr>
          <w:p>
            <w:r/>
            <w:r>
              <w:rPr>
                <w:b/>
                <w:sz w:val="15"/>
              </w:rPr>
              <w:t>Mitigação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Decisões comerciais tardias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Muito 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ODs fechadas antes de S04/S05; sem valores inventados.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Scope creep V2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Gate de escopo e classificação V1/V2.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Pricing inconsistente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Média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Muito 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Determinismo, snapshots, Golden Tests.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Bypass de segurança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Média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Muito 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Security desde S01; testes de tenant e RBAC.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DDL prematuro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Média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DOC-004 e modelo funcional antes do baseline final.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Integrações excessivas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Média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Evento/API só com consumidor/necessidade real.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Débito técnico no fim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Hardening reservado no S10.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UAT tardio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Média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Envolver subscritores desde S03 e demos em todos os Sprints.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Dependência de pessoa-chave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Média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Alto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5"/>
              </w:rPr>
              <w:t>Documentação, pairing e decisões registadas.</w:t>
            </w:r>
          </w:p>
        </w:tc>
      </w:tr>
    </w:tbl>
    <w:p/>
    <w:p>
      <w:pPr>
        <w:pStyle w:val="Heading1"/>
      </w:pPr>
      <w:r>
        <w:t>14. Definition of Ready para cada Sprint</w:t>
      </w:r>
    </w:p>
    <w:p>
      <w:pPr>
        <w:pStyle w:val="ListBullet"/>
        <w:spacing w:after="40"/>
      </w:pPr>
      <w:r>
        <w:t>Objectivo da Sprint aprovado.</w:t>
      </w:r>
    </w:p>
    <w:p>
      <w:pPr>
        <w:pStyle w:val="ListBullet"/>
        <w:spacing w:after="40"/>
      </w:pPr>
      <w:r>
        <w:t>Dependências identificadas.</w:t>
      </w:r>
    </w:p>
    <w:p>
      <w:pPr>
        <w:pStyle w:val="ListBullet"/>
        <w:spacing w:after="40"/>
      </w:pPr>
      <w:r>
        <w:t>Requisitos de entrada com IDs.</w:t>
      </w:r>
    </w:p>
    <w:p>
      <w:pPr>
        <w:pStyle w:val="ListBullet"/>
        <w:spacing w:after="40"/>
      </w:pPr>
      <w:r>
        <w:t>Open Decisions críticas resolvidas ou explicitamente aceites.</w:t>
      </w:r>
    </w:p>
    <w:p>
      <w:pPr>
        <w:pStyle w:val="ListBullet"/>
        <w:spacing w:after="40"/>
      </w:pPr>
      <w:r>
        <w:t>Critérios de aceitação escritos.</w:t>
      </w:r>
    </w:p>
    <w:p>
      <w:pPr>
        <w:pStyle w:val="ListBullet"/>
        <w:spacing w:after="40"/>
      </w:pPr>
      <w:r>
        <w:t>Dados de teste conhecidos ou definidos.</w:t>
      </w:r>
    </w:p>
    <w:p>
      <w:pPr>
        <w:pStyle w:val="ListBullet"/>
        <w:spacing w:after="40"/>
      </w:pPr>
      <w:r>
        <w:t>Owner funcional e técnico definidos.</w:t>
      </w:r>
    </w:p>
    <w:p>
      <w:pPr>
        <w:pStyle w:val="ListBullet"/>
        <w:spacing w:after="40"/>
      </w:pPr>
      <w:r>
        <w:t>Riscos principais registados.</w:t>
      </w:r>
    </w:p>
    <w:p>
      <w:pPr>
        <w:pStyle w:val="ListBullet"/>
        <w:spacing w:after="40"/>
      </w:pPr>
      <w:r>
        <w:t>Não existe trabalho V2 disfarçado dentro do Sprint.</w:t>
      </w:r>
    </w:p>
    <w:p>
      <w:pPr>
        <w:pStyle w:val="Heading1"/>
      </w:pPr>
      <w:r>
        <w:t>15. Cerimónias e Controlo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Cerimónia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Periodicidade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Saída obrigatória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Sprint Planning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Início de cada Sprint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Sprint Goal, stories e capacidade.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Daily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Diário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Bloqueios e progresso.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Backlog Refinement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Contínuo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Stories prontas para execução.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Technical Review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Semanal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Decisões e riscos técnicos.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Demo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Fim de Sprint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Evidência funcional.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Sprint Review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Fim de Sprint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Aceite/rejeição do incremento.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Retrospective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Fim de Sprint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Acções de melhoria.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Architecture/Change Review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Quando necessário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Decisão documentada.</w:t>
            </w:r>
          </w:p>
        </w:tc>
      </w:tr>
    </w:tbl>
    <w:p/>
    <w:p>
      <w:pPr>
        <w:pStyle w:val="Heading1"/>
      </w:pPr>
      <w:r>
        <w:t>16. Regras de Change Control</w:t>
      </w:r>
    </w:p>
    <w:p>
      <w:pPr>
        <w:pStyle w:val="ListBullet"/>
        <w:spacing w:after="40"/>
      </w:pPr>
      <w:r>
        <w:t>Alteração que afecte comportamento funcional deve apontar para requisito/CR.</w:t>
      </w:r>
    </w:p>
    <w:p>
      <w:pPr>
        <w:pStyle w:val="ListBullet"/>
        <w:spacing w:after="40"/>
      </w:pPr>
      <w:r>
        <w:t>Alteração de pricing exige impacto em regras, Golden Tests e versionamento.</w:t>
      </w:r>
    </w:p>
    <w:p>
      <w:pPr>
        <w:pStyle w:val="ListBullet"/>
        <w:spacing w:after="40"/>
      </w:pPr>
      <w:r>
        <w:t>Alteração de estado exige revisão da State Machine.</w:t>
      </w:r>
    </w:p>
    <w:p>
      <w:pPr>
        <w:pStyle w:val="ListBullet"/>
        <w:spacing w:after="40"/>
      </w:pPr>
      <w:r>
        <w:t>Alteração de API exige revisão do OpenAPI e consumidores.</w:t>
      </w:r>
    </w:p>
    <w:p>
      <w:pPr>
        <w:pStyle w:val="ListBullet"/>
        <w:spacing w:after="40"/>
      </w:pPr>
      <w:r>
        <w:t>Alteração de evento exige revisão do contrato RabbitMQ e idempotência.</w:t>
      </w:r>
    </w:p>
    <w:p>
      <w:pPr>
        <w:pStyle w:val="ListBullet"/>
        <w:spacing w:after="40"/>
      </w:pPr>
      <w:r>
        <w:t>Alteração de schema exige migration e análise de compatibilidade.</w:t>
      </w:r>
    </w:p>
    <w:p>
      <w:pPr>
        <w:pStyle w:val="ListBullet"/>
        <w:spacing w:after="40"/>
      </w:pPr>
      <w:r>
        <w:t>Alteração de permissão exige revisão de Security Matrix.</w:t>
      </w:r>
    </w:p>
    <w:p>
      <w:pPr>
        <w:pStyle w:val="ListBullet"/>
        <w:spacing w:after="40"/>
      </w:pPr>
      <w:r>
        <w:t>Alteração V2 não pode ser incorporada à V1 apenas para aproveitar capacidade do Sprint.</w:t>
      </w:r>
    </w:p>
    <w:p>
      <w:pPr>
        <w:pStyle w:val="Heading1"/>
      </w:pPr>
      <w:r>
        <w:t>17. Traceability Matrix do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Requisito DOC-001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Sprints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5"/>
              </w:rPr>
              <w:t>Artefactos posteriores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FR-01 Produto/plano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DOC-003, DOC-004, ART-005, ART-006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FR-02 Proponente/membros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DOC-003, DOC-004, ART-005, ART-006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FR-03 Elegibilidade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S03, S05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ART-008, ART-013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FR-04 Pricing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S04, S05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DOC-004, ART-005, ART-008, ART-013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FR-05 Explainability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S04–S06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DOC-004, ART-006, ART-013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FR-06 Quote lifecycle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S06–S08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ART-009, ART-006, ART-013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FR-07 Workflow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ART-009, ART-008, ART-006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FR-08 Auditoria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S01, S06–S10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ART-005, ART-006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FR-09 Segurança/tenant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S01, S07, S10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DOC-004, ART-005, ART-006, ART-010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FR-10 Eventos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ART-007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NFR-01..08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S01, S09, S10, S11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5"/>
              </w:rPr>
              <w:t>DOC-004, ART-010, ART-013</w:t>
            </w:r>
          </w:p>
        </w:tc>
      </w:tr>
    </w:tbl>
    <w:p/>
    <w:p>
      <w:pPr>
        <w:pStyle w:val="Heading1"/>
      </w:pPr>
      <w:r>
        <w:t>18. O que este Roadmap Autoriza</w:t>
      </w:r>
    </w:p>
    <w:p>
      <w:pPr>
        <w:spacing w:after="80"/>
      </w:pPr>
      <w:r>
        <w:t>Depois de aprovado, este documento autoriza a decomposição do programa no Q360-MVP-DOC-003 — Backlog Técnico Integral V1. Não autoriza ainda a codificação de itens que dependam de requisitos ou decisões não aprovadas.</w:t>
      </w:r>
    </w:p>
    <w:p>
      <w:pPr>
        <w:pStyle w:val="ListBullet"/>
        <w:spacing w:after="40"/>
      </w:pPr>
      <w:r>
        <w:t>O DOC-003 pode decompor cada Sprint em Epic → Feature → User Story → Backend/Frontend/DB/QA tasks.</w:t>
      </w:r>
    </w:p>
    <w:p>
      <w:pPr>
        <w:pStyle w:val="ListBullet"/>
        <w:spacing w:after="40"/>
      </w:pPr>
      <w:r>
        <w:t>O DOC-003 deve atribuir IDs de requisitos e critérios de aceitação.</w:t>
      </w:r>
    </w:p>
    <w:p>
      <w:pPr>
        <w:pStyle w:val="ListBullet"/>
        <w:spacing w:after="40"/>
      </w:pPr>
      <w:r>
        <w:t>O DOC-004 deve converter decisões técnicas em especificações implementáveis.</w:t>
      </w:r>
    </w:p>
    <w:p>
      <w:pPr>
        <w:pStyle w:val="ListBullet"/>
        <w:spacing w:after="40"/>
      </w:pPr>
      <w:r>
        <w:t>Os artefactos ART-005 a ART-013 devem ser derivados dos requisitos e decisões aprovados, não de suposições.</w:t>
      </w:r>
    </w:p>
    <w:p>
      <w:pPr>
        <w:pStyle w:val="Heading1"/>
      </w:pPr>
      <w:r>
        <w:t>19. Critérios de Aceitação do DOC-002</w:t>
      </w:r>
    </w:p>
    <w:p>
      <w:pPr>
        <w:pStyle w:val="ListBullet"/>
        <w:spacing w:after="40"/>
      </w:pPr>
      <w:r>
        <w:t>Existem exactamente 11 Sprints da V1.</w:t>
      </w:r>
    </w:p>
    <w:p>
      <w:pPr>
        <w:pStyle w:val="ListBullet"/>
        <w:spacing w:after="40"/>
      </w:pPr>
      <w:r>
        <w:t>Cada Sprint possui objectivo, escopo, saída e critérios de aceitação.</w:t>
      </w:r>
    </w:p>
    <w:p>
      <w:pPr>
        <w:pStyle w:val="ListBullet"/>
        <w:spacing w:after="40"/>
      </w:pPr>
      <w:r>
        <w:t>Dependências entre Sprints estão explícitas.</w:t>
      </w:r>
    </w:p>
    <w:p>
      <w:pPr>
        <w:pStyle w:val="ListBullet"/>
        <w:spacing w:after="40"/>
      </w:pPr>
      <w:r>
        <w:t>Existem gates G0–G5.</w:t>
      </w:r>
    </w:p>
    <w:p>
      <w:pPr>
        <w:pStyle w:val="ListBullet"/>
        <w:spacing w:after="40"/>
      </w:pPr>
      <w:r>
        <w:t>V1 e V2 permanecem separados.</w:t>
      </w:r>
    </w:p>
    <w:p>
      <w:pPr>
        <w:pStyle w:val="ListBullet"/>
        <w:spacing w:after="40"/>
      </w:pPr>
      <w:r>
        <w:t>Existe DoD e DoR globais.</w:t>
      </w:r>
    </w:p>
    <w:p>
      <w:pPr>
        <w:pStyle w:val="ListBullet"/>
        <w:spacing w:after="40"/>
      </w:pPr>
      <w:r>
        <w:t>Existe matriz de rastreabilidade.</w:t>
      </w:r>
    </w:p>
    <w:p>
      <w:pPr>
        <w:pStyle w:val="ListBullet"/>
        <w:spacing w:after="40"/>
      </w:pPr>
      <w:r>
        <w:t>Open Decisions críticas estão identificadas e não são inventadas.</w:t>
      </w:r>
    </w:p>
    <w:p>
      <w:pPr>
        <w:pStyle w:val="ListBullet"/>
        <w:spacing w:after="40"/>
      </w:pPr>
      <w:r>
        <w:t>O roadmap não pressupõe uma capacidade de equipa que ainda não foi confirmada.</w:t>
      </w:r>
    </w:p>
    <w:p>
      <w:pPr>
        <w:pStyle w:val="ListBullet"/>
        <w:spacing w:after="40"/>
      </w:pPr>
      <w:r>
        <w:t>O próximo documento autorizado é o Backlog Técnico Integral V1.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Q360-MVP-DOC-002 | Roadmap 11 Sprints | REVIEW | 04/09/2026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