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Q360</w:t>
        <w:br/>
        <w:t>HEALTH UNDERWRITING &amp; PRICING CORE</w:t>
      </w:r>
    </w:p>
    <w:p>
      <w:pPr>
        <w:jc w:val="center"/>
      </w:pPr>
      <w:r>
        <w:rPr>
          <w:b/>
          <w:sz w:val="34"/>
        </w:rPr>
        <w:t>V1 — SISTEMA BASE / MVP ROBUSTO</w:t>
      </w:r>
    </w:p>
    <w:p/>
    <w:p>
      <w:pPr>
        <w:jc w:val="center"/>
      </w:pPr>
      <w:r>
        <w:rPr>
          <w:b/>
          <w:sz w:val="36"/>
        </w:rPr>
        <w:t>Q360-MVP-DOC-003</w:t>
        <w:br/>
        <w:t>BACKLOG TÉCNICO INTEGRAL — V1</w:t>
      </w:r>
    </w:p>
    <w:p>
      <w:r>
        <w:rPr>
          <w:b w:val="0"/>
        </w:rPr>
        <w:t>Documento operacional que transforma a Visão Funcional (DOC-001) e o Roadmap de 11 Sprints (DOC-002) em trabalho implementável, testável e rastreável.</w:t>
      </w:r>
    </w:p>
    <w:p>
      <w:r>
        <w:rPr>
          <w:b w:val="0"/>
        </w:rPr>
        <w:t>Versão 1.0  |  Estado: REVIEW  |  Âmbito: V1 exclusivamente</w:t>
      </w:r>
    </w:p>
    <w:p>
      <w:r>
        <w:br w:type="page"/>
      </w:r>
    </w:p>
    <w:p>
      <w:pPr>
        <w:pStyle w:val="Heading1"/>
      </w:pPr>
      <w:r>
        <w:t>1. Controlo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5156"/>
          </w:tcPr>
          <w:p>
            <w:r>
              <w:t>ID</w:t>
            </w:r>
          </w:p>
        </w:tc>
        <w:tc>
          <w:tcPr>
            <w:tcW w:type="dxa" w:w="5156"/>
          </w:tcPr>
          <w:p>
            <w:r>
              <w:t>Q360-MVP-DOC-003</w:t>
            </w:r>
          </w:p>
        </w:tc>
      </w:tr>
      <w:tr>
        <w:tc>
          <w:tcPr>
            <w:tcW w:type="dxa" w:w="5156"/>
          </w:tcPr>
          <w:p>
            <w:r>
              <w:t>Versão</w:t>
            </w:r>
          </w:p>
        </w:tc>
        <w:tc>
          <w:tcPr>
            <w:tcW w:type="dxa" w:w="5156"/>
          </w:tcPr>
          <w:p>
            <w:r>
              <w:t>1.0</w:t>
            </w:r>
          </w:p>
        </w:tc>
      </w:tr>
      <w:tr>
        <w:tc>
          <w:tcPr>
            <w:tcW w:type="dxa" w:w="5156"/>
          </w:tcPr>
          <w:p>
            <w:r>
              <w:t>Estado</w:t>
            </w:r>
          </w:p>
        </w:tc>
        <w:tc>
          <w:tcPr>
            <w:tcW w:type="dxa" w:w="5156"/>
          </w:tcPr>
          <w:p>
            <w:r>
              <w:t>REVIEW</w:t>
            </w:r>
          </w:p>
        </w:tc>
      </w:tr>
      <w:tr>
        <w:tc>
          <w:tcPr>
            <w:tcW w:type="dxa" w:w="5156"/>
          </w:tcPr>
          <w:p>
            <w:r>
              <w:t>Produto</w:t>
            </w:r>
          </w:p>
        </w:tc>
        <w:tc>
          <w:tcPr>
            <w:tcW w:type="dxa" w:w="5156"/>
          </w:tcPr>
          <w:p>
            <w:r>
              <w:t>Q360 Health Underwriting &amp; Pricing Core</w:t>
            </w:r>
          </w:p>
        </w:tc>
      </w:tr>
      <w:tr>
        <w:tc>
          <w:tcPr>
            <w:tcW w:type="dxa" w:w="5156"/>
          </w:tcPr>
          <w:p>
            <w:r>
              <w:t>Âmbito</w:t>
            </w:r>
          </w:p>
        </w:tc>
        <w:tc>
          <w:tcPr>
            <w:tcW w:type="dxa" w:w="5156"/>
          </w:tcPr>
          <w:p>
            <w:r>
              <w:t>V1 — Sistema Base / MVP robusto</w:t>
            </w:r>
          </w:p>
        </w:tc>
      </w:tr>
      <w:tr>
        <w:tc>
          <w:tcPr>
            <w:tcW w:type="dxa" w:w="5156"/>
          </w:tcPr>
          <w:p>
            <w:r>
              <w:t>Entradas normativas</w:t>
            </w:r>
          </w:p>
        </w:tc>
        <w:tc>
          <w:tcPr>
            <w:tcW w:type="dxa" w:w="5156"/>
          </w:tcPr>
          <w:p>
            <w:r>
              <w:t>DOC-000, DOC-001, DOC-002</w:t>
            </w:r>
          </w:p>
        </w:tc>
      </w:tr>
      <w:tr>
        <w:tc>
          <w:tcPr>
            <w:tcW w:type="dxa" w:w="5156"/>
          </w:tcPr>
          <w:p>
            <w:r>
              <w:t>Owner</w:t>
            </w:r>
          </w:p>
        </w:tc>
        <w:tc>
          <w:tcPr>
            <w:tcW w:type="dxa" w:w="5156"/>
          </w:tcPr>
          <w:p>
            <w:r>
              <w:t>Product Owner / Lead Engineer Q360</w:t>
            </w:r>
          </w:p>
        </w:tc>
      </w:tr>
      <w:tr>
        <w:tc>
          <w:tcPr>
            <w:tcW w:type="dxa" w:w="5156"/>
          </w:tcPr>
          <w:p>
            <w:r>
              <w:t>Consumidores</w:t>
            </w:r>
          </w:p>
        </w:tc>
        <w:tc>
          <w:tcPr>
            <w:tcW w:type="dxa" w:w="5156"/>
          </w:tcPr>
          <w:p>
            <w:r>
              <w:t>Backend, Frontend, DBA, QA, DevOps, Security</w:t>
            </w:r>
          </w:p>
        </w:tc>
      </w:tr>
      <w:tr>
        <w:tc>
          <w:tcPr>
            <w:tcW w:type="dxa" w:w="5156"/>
          </w:tcPr>
          <w:p>
            <w:r>
              <w:t>Regra de autoridade</w:t>
            </w:r>
          </w:p>
        </w:tc>
        <w:tc>
          <w:tcPr>
            <w:tcW w:type="dxa" w:w="5156"/>
          </w:tcPr>
          <w:p>
            <w:r>
              <w:t>Só itens V1 deste backlog autorizam implementação; contratos finais são consolidados nos artefactos posteriores.</w:t>
            </w:r>
          </w:p>
        </w:tc>
      </w:tr>
    </w:tbl>
    <w:p>
      <w:pPr>
        <w:pStyle w:val="Heading1"/>
      </w:pPr>
      <w:r>
        <w:t>2. Modelo de execução</w:t>
      </w:r>
    </w:p>
    <w:p>
      <w:r>
        <w:rPr>
          <w:b w:val="0"/>
        </w:rPr>
        <w:t>Hierarquia obrigatória: Epic → Feature → User Story → tarefas Backend / Frontend / DB / QA / Security / Observability. Cada tarefa deve referenciar o ID da história.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Significado</w:t>
            </w:r>
          </w:p>
        </w:tc>
      </w:tr>
      <w:tr>
        <w:tc>
          <w:tcPr>
            <w:tcW w:type="dxa" w:w="5156"/>
          </w:tcPr>
          <w:p>
            <w:r>
              <w:t>BACKLOG</w:t>
            </w:r>
          </w:p>
        </w:tc>
        <w:tc>
          <w:tcPr>
            <w:tcW w:type="dxa" w:w="5156"/>
          </w:tcPr>
          <w:p>
            <w:r>
              <w:t>Identificada, mas ainda não pronta</w:t>
            </w:r>
          </w:p>
        </w:tc>
      </w:tr>
      <w:tr>
        <w:tc>
          <w:tcPr>
            <w:tcW w:type="dxa" w:w="5156"/>
          </w:tcPr>
          <w:p>
            <w:r>
              <w:t>READY</w:t>
            </w:r>
          </w:p>
        </w:tc>
        <w:tc>
          <w:tcPr>
            <w:tcW w:type="dxa" w:w="5156"/>
          </w:tcPr>
          <w:p>
            <w:r>
              <w:t>DoR cumprido e dependências verificadas</w:t>
            </w:r>
          </w:p>
        </w:tc>
      </w:tr>
      <w:tr>
        <w:tc>
          <w:tcPr>
            <w:tcW w:type="dxa" w:w="5156"/>
          </w:tcPr>
          <w:p>
            <w:r>
              <w:t>IN PROGRESS</w:t>
            </w:r>
          </w:p>
        </w:tc>
        <w:tc>
          <w:tcPr>
            <w:tcW w:type="dxa" w:w="5156"/>
          </w:tcPr>
          <w:p>
            <w:r>
              <w:t>Desenvolvimento activo</w:t>
            </w:r>
          </w:p>
        </w:tc>
      </w:tr>
      <w:tr>
        <w:tc>
          <w:tcPr>
            <w:tcW w:type="dxa" w:w="5156"/>
          </w:tcPr>
          <w:p>
            <w:r>
              <w:t>BLOCKED</w:t>
            </w:r>
          </w:p>
        </w:tc>
        <w:tc>
          <w:tcPr>
            <w:tcW w:type="dxa" w:w="5156"/>
          </w:tcPr>
          <w:p>
            <w:r>
              <w:t>Existe bloqueador registado</w:t>
            </w:r>
          </w:p>
        </w:tc>
      </w:tr>
      <w:tr>
        <w:tc>
          <w:tcPr>
            <w:tcW w:type="dxa" w:w="5156"/>
          </w:tcPr>
          <w:p>
            <w:r>
              <w:t>CODE REVIEW</w:t>
            </w:r>
          </w:p>
        </w:tc>
        <w:tc>
          <w:tcPr>
            <w:tcW w:type="dxa" w:w="5156"/>
          </w:tcPr>
          <w:p>
            <w:r>
              <w:t>Implementação concluída, aguarda revisão</w:t>
            </w:r>
          </w:p>
        </w:tc>
      </w:tr>
      <w:tr>
        <w:tc>
          <w:tcPr>
            <w:tcW w:type="dxa" w:w="5156"/>
          </w:tcPr>
          <w:p>
            <w:r>
              <w:t>QA</w:t>
            </w:r>
          </w:p>
        </w:tc>
        <w:tc>
          <w:tcPr>
            <w:tcW w:type="dxa" w:w="5156"/>
          </w:tcPr>
          <w:p>
            <w:r>
              <w:t>Em validação</w:t>
            </w:r>
          </w:p>
        </w:tc>
      </w:tr>
      <w:tr>
        <w:tc>
          <w:tcPr>
            <w:tcW w:type="dxa" w:w="5156"/>
          </w:tcPr>
          <w:p>
            <w:r>
              <w:t>UAT</w:t>
            </w:r>
          </w:p>
        </w:tc>
        <w:tc>
          <w:tcPr>
            <w:tcW w:type="dxa" w:w="5156"/>
          </w:tcPr>
          <w:p>
            <w:r>
              <w:t>Em validação funcional</w:t>
            </w:r>
          </w:p>
        </w:tc>
      </w:tr>
      <w:tr>
        <w:tc>
          <w:tcPr>
            <w:tcW w:type="dxa" w:w="5156"/>
          </w:tcPr>
          <w:p>
            <w:r>
              <w:t>DONE</w:t>
            </w:r>
          </w:p>
        </w:tc>
        <w:tc>
          <w:tcPr>
            <w:tcW w:type="dxa" w:w="5156"/>
          </w:tcPr>
          <w:p>
            <w:r>
              <w:t>Todos os critérios e DoD satisfeitos</w:t>
            </w:r>
          </w:p>
        </w:tc>
      </w:tr>
    </w:tbl>
    <w:p>
      <w:r>
        <w:rPr>
          <w:b w:val="0"/>
        </w:rPr>
        <w:t>Tamanho relativo: XS, S, M, L e XL. Qualquer XL deve ser decomposto antes de entrar em desenvolvimento.</w:t>
      </w:r>
    </w:p>
    <w:p>
      <w:pPr>
        <w:pStyle w:val="Heading1"/>
      </w:pPr>
      <w:r>
        <w:t>3. Regras não negociáveis</w:t>
      </w:r>
    </w:p>
    <w:p>
      <w:pPr>
        <w:pStyle w:val="ListBullet"/>
      </w:pPr>
      <w:r>
        <w:t>V1 não inclui claims intelligence, FWA, subscrição médica avançada, FHIR/ICD avançado, TPA operacional avançada, rede de prestadores, resseguro, renewal intelligence ou pricing actuarial avançado.</w:t>
      </w:r>
    </w:p>
    <w:p>
      <w:pPr>
        <w:pStyle w:val="ListBullet"/>
      </w:pPr>
      <w:r>
        <w:t>Não inventar prémios, taxas, limites, franquias, descontos, factores ou parâmetros comerciais. Usar apenas valores oficialmente aprovados e Seed Data autorizado.</w:t>
      </w:r>
    </w:p>
    <w:p>
      <w:pPr>
        <w:pStyle w:val="ListBullet"/>
      </w:pPr>
      <w:r>
        <w:t>Usar BigDecimal/NUMERIC para valores monetários. Nunca double/float em pricing.</w:t>
      </w:r>
    </w:p>
    <w:p>
      <w:pPr>
        <w:pStyle w:val="ListBullet"/>
      </w:pPr>
      <w:r>
        <w:t>Todo pricing deve ser determinístico e reproduzível, guardando as versões de produto, tabela, regra e parâmetros usados.</w:t>
      </w:r>
    </w:p>
    <w:p>
      <w:pPr>
        <w:pStyle w:val="ListBullet"/>
      </w:pPr>
      <w:r>
        <w:t>Tenant isolation é obrigatório desde a primeira tabela de negócio.</w:t>
      </w:r>
    </w:p>
    <w:p>
      <w:pPr>
        <w:pStyle w:val="ListBullet"/>
      </w:pPr>
      <w:r>
        <w:t>Eventos externos devem sair por Transactional Outbox; consumidores devem ser idempotentes.</w:t>
      </w:r>
    </w:p>
    <w:p>
      <w:pPr>
        <w:pStyle w:val="ListBullet"/>
      </w:pPr>
      <w:r>
        <w:t>Dados clínicos/sensíveis não devem ser expostos através de APIs comerciais sem autorização específica.</w:t>
      </w:r>
    </w:p>
    <w:p>
      <w:pPr>
        <w:pStyle w:val="ListBullet"/>
      </w:pPr>
      <w:r>
        <w:t>Four-eyes: quem submete uma cotação não pode aprovar a própria cotação.</w:t>
      </w:r>
    </w:p>
    <w:p>
      <w:pPr>
        <w:pStyle w:val="ListBullet"/>
      </w:pPr>
      <w:r>
        <w:t>Alterações de configuração não podem alterar retroactivamente uma cotação já versionada.</w:t>
      </w:r>
    </w:p>
    <w:p>
      <w:pPr>
        <w:pStyle w:val="ListBullet"/>
      </w:pPr>
      <w:r>
        <w:t>Quando a especificação não definir um comportamento, abrir decisão/ticket; não preencher a lacuna por iniciativa do programador.</w:t>
      </w:r>
    </w:p>
    <w:p>
      <w:pPr>
        <w:pStyle w:val="Heading1"/>
      </w:pPr>
      <w:r>
        <w:t>4. Rastreabilidade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437"/>
          </w:tcPr>
          <w:p>
            <w:r>
              <w:t>FR-*</w:t>
            </w:r>
          </w:p>
        </w:tc>
        <w:tc>
          <w:tcPr>
            <w:tcW w:type="dxa" w:w="3437"/>
          </w:tcPr>
          <w:p>
            <w:r>
              <w:t>Functional Requirement</w:t>
            </w:r>
          </w:p>
        </w:tc>
        <w:tc>
          <w:tcPr>
            <w:tcW w:type="dxa" w:w="3437"/>
          </w:tcPr>
          <w:p>
            <w:r>
              <w:t>User stories e acceptance criteria</w:t>
            </w:r>
          </w:p>
        </w:tc>
      </w:tr>
      <w:tr>
        <w:tc>
          <w:tcPr>
            <w:tcW w:type="dxa" w:w="3437"/>
          </w:tcPr>
          <w:p>
            <w:r>
              <w:t>NFR-*</w:t>
            </w:r>
          </w:p>
        </w:tc>
        <w:tc>
          <w:tcPr>
            <w:tcW w:type="dxa" w:w="3437"/>
          </w:tcPr>
          <w:p>
            <w:r>
              <w:t>Non-Functional Requirement</w:t>
            </w:r>
          </w:p>
        </w:tc>
        <w:tc>
          <w:tcPr>
            <w:tcW w:type="dxa" w:w="3437"/>
          </w:tcPr>
          <w:p>
            <w:r>
              <w:t>Segurança, performance, UX, observabilidade</w:t>
            </w:r>
          </w:p>
        </w:tc>
      </w:tr>
      <w:tr>
        <w:tc>
          <w:tcPr>
            <w:tcW w:type="dxa" w:w="3437"/>
          </w:tcPr>
          <w:p>
            <w:r>
              <w:t>BR-*</w:t>
            </w:r>
          </w:p>
        </w:tc>
        <w:tc>
          <w:tcPr>
            <w:tcW w:type="dxa" w:w="3437"/>
          </w:tcPr>
          <w:p>
            <w:r>
              <w:t>Business Rule</w:t>
            </w:r>
          </w:p>
        </w:tc>
        <w:tc>
          <w:tcPr>
            <w:tcW w:type="dxa" w:w="3437"/>
          </w:tcPr>
          <w:p>
            <w:r>
              <w:t>Validações e decisões</w:t>
            </w:r>
          </w:p>
        </w:tc>
      </w:tr>
      <w:tr>
        <w:tc>
          <w:tcPr>
            <w:tcW w:type="dxa" w:w="3437"/>
          </w:tcPr>
          <w:p>
            <w:r>
              <w:t>PR-*</w:t>
            </w:r>
          </w:p>
        </w:tc>
        <w:tc>
          <w:tcPr>
            <w:tcW w:type="dxa" w:w="3437"/>
          </w:tcPr>
          <w:p>
            <w:r>
              <w:t>Pricing Rule</w:t>
            </w:r>
          </w:p>
        </w:tc>
        <w:tc>
          <w:tcPr>
            <w:tcW w:type="dxa" w:w="3437"/>
          </w:tcPr>
          <w:p>
            <w:r>
              <w:t>Motor de tarifação</w:t>
            </w:r>
          </w:p>
        </w:tc>
      </w:tr>
      <w:tr>
        <w:tc>
          <w:tcPr>
            <w:tcW w:type="dxa" w:w="3437"/>
          </w:tcPr>
          <w:p>
            <w:r>
              <w:t>WF-*</w:t>
            </w:r>
          </w:p>
        </w:tc>
        <w:tc>
          <w:tcPr>
            <w:tcW w:type="dxa" w:w="3437"/>
          </w:tcPr>
          <w:p>
            <w:r>
              <w:t>Workflow</w:t>
            </w:r>
          </w:p>
        </w:tc>
        <w:tc>
          <w:tcPr>
            <w:tcW w:type="dxa" w:w="3437"/>
          </w:tcPr>
          <w:p>
            <w:r>
              <w:t>State machines</w:t>
            </w:r>
          </w:p>
        </w:tc>
      </w:tr>
      <w:tr>
        <w:tc>
          <w:tcPr>
            <w:tcW w:type="dxa" w:w="3437"/>
          </w:tcPr>
          <w:p>
            <w:r>
              <w:t>API-*</w:t>
            </w:r>
          </w:p>
        </w:tc>
        <w:tc>
          <w:tcPr>
            <w:tcW w:type="dxa" w:w="3437"/>
          </w:tcPr>
          <w:p>
            <w:r>
              <w:t>API Contract</w:t>
            </w:r>
          </w:p>
        </w:tc>
        <w:tc>
          <w:tcPr>
            <w:tcW w:type="dxa" w:w="3437"/>
          </w:tcPr>
          <w:p>
            <w:r>
              <w:t>Endpoints e schemas</w:t>
            </w:r>
          </w:p>
        </w:tc>
      </w:tr>
      <w:tr>
        <w:tc>
          <w:tcPr>
            <w:tcW w:type="dxa" w:w="3437"/>
          </w:tcPr>
          <w:p>
            <w:r>
              <w:t>EVT-*</w:t>
            </w:r>
          </w:p>
        </w:tc>
        <w:tc>
          <w:tcPr>
            <w:tcW w:type="dxa" w:w="3437"/>
          </w:tcPr>
          <w:p>
            <w:r>
              <w:t>Event Contract</w:t>
            </w:r>
          </w:p>
        </w:tc>
        <w:tc>
          <w:tcPr>
            <w:tcW w:type="dxa" w:w="3437"/>
          </w:tcPr>
          <w:p>
            <w:r>
              <w:t>RabbitMQ/Outbox</w:t>
            </w:r>
          </w:p>
        </w:tc>
      </w:tr>
      <w:tr>
        <w:tc>
          <w:tcPr>
            <w:tcW w:type="dxa" w:w="3437"/>
          </w:tcPr>
          <w:p>
            <w:r>
              <w:t>DATA-*</w:t>
            </w:r>
          </w:p>
        </w:tc>
        <w:tc>
          <w:tcPr>
            <w:tcW w:type="dxa" w:w="3437"/>
          </w:tcPr>
          <w:p>
            <w:r>
              <w:t>Data Model</w:t>
            </w:r>
          </w:p>
        </w:tc>
        <w:tc>
          <w:tcPr>
            <w:tcW w:type="dxa" w:w="3437"/>
          </w:tcPr>
          <w:p>
            <w:r>
              <w:t>Entidades e relações</w:t>
            </w:r>
          </w:p>
        </w:tc>
      </w:tr>
      <w:tr>
        <w:tc>
          <w:tcPr>
            <w:tcW w:type="dxa" w:w="3437"/>
          </w:tcPr>
          <w:p>
            <w:r>
              <w:t>MIG-*</w:t>
            </w:r>
          </w:p>
        </w:tc>
        <w:tc>
          <w:tcPr>
            <w:tcW w:type="dxa" w:w="3437"/>
          </w:tcPr>
          <w:p>
            <w:r>
              <w:t>Migration</w:t>
            </w:r>
          </w:p>
        </w:tc>
        <w:tc>
          <w:tcPr>
            <w:tcW w:type="dxa" w:w="3437"/>
          </w:tcPr>
          <w:p>
            <w:r>
              <w:t>Flyway</w:t>
            </w:r>
          </w:p>
        </w:tc>
      </w:tr>
      <w:tr>
        <w:tc>
          <w:tcPr>
            <w:tcW w:type="dxa" w:w="3437"/>
          </w:tcPr>
          <w:p>
            <w:r>
              <w:t>GT-*</w:t>
            </w:r>
          </w:p>
        </w:tc>
        <w:tc>
          <w:tcPr>
            <w:tcW w:type="dxa" w:w="3437"/>
          </w:tcPr>
          <w:p>
            <w:r>
              <w:t>Golden Test</w:t>
            </w:r>
          </w:p>
        </w:tc>
        <w:tc>
          <w:tcPr>
            <w:tcW w:type="dxa" w:w="3437"/>
          </w:tcPr>
          <w:p>
            <w:r>
              <w:t>Resultados determinísticos</w:t>
            </w:r>
          </w:p>
        </w:tc>
      </w:tr>
      <w:tr>
        <w:tc>
          <w:tcPr>
            <w:tcW w:type="dxa" w:w="3437"/>
          </w:tcPr>
          <w:p>
            <w:r>
              <w:t>Q360-*</w:t>
            </w:r>
          </w:p>
        </w:tc>
        <w:tc>
          <w:tcPr>
            <w:tcW w:type="dxa" w:w="3437"/>
          </w:tcPr>
          <w:p>
            <w:r>
              <w:t>Implementation Ticket</w:t>
            </w:r>
          </w:p>
        </w:tc>
        <w:tc>
          <w:tcPr>
            <w:tcW w:type="dxa" w:w="3437"/>
          </w:tcPr>
          <w:p>
            <w:r>
              <w:t>Unidade de execução</w:t>
            </w:r>
          </w:p>
        </w:tc>
      </w:tr>
    </w:tbl>
    <w:p>
      <w:pPr>
        <w:pStyle w:val="Heading1"/>
      </w:pPr>
      <w:r>
        <w:t>5. Epics e distribuição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7365D"/>
          </w:tcPr>
          <w:p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2578"/>
            <w:shd w:fill="17365D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578"/>
            <w:shd w:fill="17365D"/>
          </w:tcPr>
          <w:p>
            <w:r>
              <w:rPr>
                <w:b/>
                <w:color w:val="FFFFFF"/>
              </w:rPr>
              <w:t>Sprints</w:t>
            </w:r>
          </w:p>
        </w:tc>
        <w:tc>
          <w:tcPr>
            <w:tcW w:type="dxa" w:w="2578"/>
            <w:shd w:fill="17365D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2578"/>
          </w:tcPr>
          <w:p>
            <w:r>
              <w:t>EP-01</w:t>
            </w:r>
          </w:p>
        </w:tc>
        <w:tc>
          <w:tcPr>
            <w:tcW w:type="dxa" w:w="2578"/>
          </w:tcPr>
          <w:p>
            <w:r>
              <w:t>Foundation &amp; Segurança</w:t>
            </w:r>
          </w:p>
        </w:tc>
        <w:tc>
          <w:tcPr>
            <w:tcW w:type="dxa" w:w="2578"/>
          </w:tcPr>
          <w:p>
            <w:r>
              <w:t>1</w:t>
            </w:r>
          </w:p>
        </w:tc>
        <w:tc>
          <w:tcPr>
            <w:tcW w:type="dxa" w:w="2578"/>
          </w:tcPr>
          <w:p>
            <w:r>
              <w:t>Base executável, autenticação, tenant, audit</w:t>
            </w:r>
          </w:p>
        </w:tc>
      </w:tr>
      <w:tr>
        <w:tc>
          <w:tcPr>
            <w:tcW w:type="dxa" w:w="2578"/>
          </w:tcPr>
          <w:p>
            <w:r>
              <w:t>EP-02</w:t>
            </w:r>
          </w:p>
        </w:tc>
        <w:tc>
          <w:tcPr>
            <w:tcW w:type="dxa" w:w="2578"/>
          </w:tcPr>
          <w:p>
            <w:r>
              <w:t>Produto &amp; Configuração</w:t>
            </w:r>
          </w:p>
        </w:tc>
        <w:tc>
          <w:tcPr>
            <w:tcW w:type="dxa" w:w="2578"/>
          </w:tcPr>
          <w:p>
            <w:r>
              <w:t>2</w:t>
            </w:r>
          </w:p>
        </w:tc>
        <w:tc>
          <w:tcPr>
            <w:tcW w:type="dxa" w:w="2578"/>
          </w:tcPr>
          <w:p>
            <w:r>
              <w:t>Produto, plano, benefício e versões</w:t>
            </w:r>
          </w:p>
        </w:tc>
      </w:tr>
      <w:tr>
        <w:tc>
          <w:tcPr>
            <w:tcW w:type="dxa" w:w="2578"/>
          </w:tcPr>
          <w:p>
            <w:r>
              <w:t>EP-03</w:t>
            </w:r>
          </w:p>
        </w:tc>
        <w:tc>
          <w:tcPr>
            <w:tcW w:type="dxa" w:w="2578"/>
          </w:tcPr>
          <w:p>
            <w:r>
              <w:t>Cliente &amp; População</w:t>
            </w:r>
          </w:p>
        </w:tc>
        <w:tc>
          <w:tcPr>
            <w:tcW w:type="dxa" w:w="2578"/>
          </w:tcPr>
          <w:p>
            <w:r>
              <w:t>3</w:t>
            </w:r>
          </w:p>
        </w:tc>
        <w:tc>
          <w:tcPr>
            <w:tcW w:type="dxa" w:w="2578"/>
          </w:tcPr>
          <w:p>
            <w:r>
              <w:t>Proponente, membros e elegibilidade</w:t>
            </w:r>
          </w:p>
        </w:tc>
      </w:tr>
      <w:tr>
        <w:tc>
          <w:tcPr>
            <w:tcW w:type="dxa" w:w="2578"/>
          </w:tcPr>
          <w:p>
            <w:r>
              <w:t>EP-04</w:t>
            </w:r>
          </w:p>
        </w:tc>
        <w:tc>
          <w:tcPr>
            <w:tcW w:type="dxa" w:w="2578"/>
          </w:tcPr>
          <w:p>
            <w:r>
              <w:t>Pricing Engine I</w:t>
            </w:r>
          </w:p>
        </w:tc>
        <w:tc>
          <w:tcPr>
            <w:tcW w:type="dxa" w:w="2578"/>
          </w:tcPr>
          <w:p>
            <w:r>
              <w:t>4</w:t>
            </w:r>
          </w:p>
        </w:tc>
        <w:tc>
          <w:tcPr>
            <w:tcW w:type="dxa" w:w="2578"/>
          </w:tcPr>
          <w:p>
            <w:r>
              <w:t>Rating, cálculo e explainability</w:t>
            </w:r>
          </w:p>
        </w:tc>
      </w:tr>
      <w:tr>
        <w:tc>
          <w:tcPr>
            <w:tcW w:type="dxa" w:w="2578"/>
          </w:tcPr>
          <w:p>
            <w:r>
              <w:t>EP-05</w:t>
            </w:r>
          </w:p>
        </w:tc>
        <w:tc>
          <w:tcPr>
            <w:tcW w:type="dxa" w:w="2578"/>
          </w:tcPr>
          <w:p>
            <w:r>
              <w:t>Pricing Engine II</w:t>
            </w:r>
          </w:p>
        </w:tc>
        <w:tc>
          <w:tcPr>
            <w:tcW w:type="dxa" w:w="2578"/>
          </w:tcPr>
          <w:p>
            <w:r>
              <w:t>5</w:t>
            </w:r>
          </w:p>
        </w:tc>
        <w:tc>
          <w:tcPr>
            <w:tcW w:type="dxa" w:w="2578"/>
          </w:tcPr>
          <w:p>
            <w:r>
              <w:t>Regras, cenários e validação</w:t>
            </w:r>
          </w:p>
        </w:tc>
      </w:tr>
      <w:tr>
        <w:tc>
          <w:tcPr>
            <w:tcW w:type="dxa" w:w="2578"/>
          </w:tcPr>
          <w:p>
            <w:r>
              <w:t>EP-06</w:t>
            </w:r>
          </w:p>
        </w:tc>
        <w:tc>
          <w:tcPr>
            <w:tcW w:type="dxa" w:w="2578"/>
          </w:tcPr>
          <w:p>
            <w:r>
              <w:t>Quotation</w:t>
            </w:r>
          </w:p>
        </w:tc>
        <w:tc>
          <w:tcPr>
            <w:tcW w:type="dxa" w:w="2578"/>
          </w:tcPr>
          <w:p>
            <w:r>
              <w:t>6</w:t>
            </w:r>
          </w:p>
        </w:tc>
        <w:tc>
          <w:tcPr>
            <w:tcW w:type="dxa" w:w="2578"/>
          </w:tcPr>
          <w:p>
            <w:r>
              <w:t>Cotação, população, preço e snapshots</w:t>
            </w:r>
          </w:p>
        </w:tc>
      </w:tr>
      <w:tr>
        <w:tc>
          <w:tcPr>
            <w:tcW w:type="dxa" w:w="2578"/>
          </w:tcPr>
          <w:p>
            <w:r>
              <w:t>EP-07</w:t>
            </w:r>
          </w:p>
        </w:tc>
        <w:tc>
          <w:tcPr>
            <w:tcW w:type="dxa" w:w="2578"/>
          </w:tcPr>
          <w:p>
            <w:r>
              <w:t>Underwriting Workflow</w:t>
            </w:r>
          </w:p>
        </w:tc>
        <w:tc>
          <w:tcPr>
            <w:tcW w:type="dxa" w:w="2578"/>
          </w:tcPr>
          <w:p>
            <w:r>
              <w:t>7</w:t>
            </w:r>
          </w:p>
        </w:tc>
        <w:tc>
          <w:tcPr>
            <w:tcW w:type="dxa" w:w="2578"/>
          </w:tcPr>
          <w:p>
            <w:r>
              <w:t>Review, decisão e estados</w:t>
            </w:r>
          </w:p>
        </w:tc>
      </w:tr>
      <w:tr>
        <w:tc>
          <w:tcPr>
            <w:tcW w:type="dxa" w:w="2578"/>
          </w:tcPr>
          <w:p>
            <w:r>
              <w:t>EP-08</w:t>
            </w:r>
          </w:p>
        </w:tc>
        <w:tc>
          <w:tcPr>
            <w:tcW w:type="dxa" w:w="2578"/>
          </w:tcPr>
          <w:p>
            <w:r>
              <w:t>Documentos &amp; Emissão</w:t>
            </w:r>
          </w:p>
        </w:tc>
        <w:tc>
          <w:tcPr>
            <w:tcW w:type="dxa" w:w="2578"/>
          </w:tcPr>
          <w:p>
            <w:r>
              <w:t>8</w:t>
            </w:r>
          </w:p>
        </w:tc>
        <w:tc>
          <w:tcPr>
            <w:tcW w:type="dxa" w:w="2578"/>
          </w:tcPr>
          <w:p>
            <w:r>
              <w:t>Proposta, numeração e expiração</w:t>
            </w:r>
          </w:p>
        </w:tc>
      </w:tr>
      <w:tr>
        <w:tc>
          <w:tcPr>
            <w:tcW w:type="dxa" w:w="2578"/>
          </w:tcPr>
          <w:p>
            <w:r>
              <w:t>EP-09</w:t>
            </w:r>
          </w:p>
        </w:tc>
        <w:tc>
          <w:tcPr>
            <w:tcW w:type="dxa" w:w="2578"/>
          </w:tcPr>
          <w:p>
            <w:r>
              <w:t>API/Eventos/Auditoria</w:t>
            </w:r>
          </w:p>
        </w:tc>
        <w:tc>
          <w:tcPr>
            <w:tcW w:type="dxa" w:w="2578"/>
          </w:tcPr>
          <w:p>
            <w:r>
              <w:t>9</w:t>
            </w:r>
          </w:p>
        </w:tc>
        <w:tc>
          <w:tcPr>
            <w:tcW w:type="dxa" w:w="2578"/>
          </w:tcPr>
          <w:p>
            <w:r>
              <w:t>Contratos, outbox e audit consultável</w:t>
            </w:r>
          </w:p>
        </w:tc>
      </w:tr>
      <w:tr>
        <w:tc>
          <w:tcPr>
            <w:tcW w:type="dxa" w:w="2578"/>
          </w:tcPr>
          <w:p>
            <w:r>
              <w:t>EP-10</w:t>
            </w:r>
          </w:p>
        </w:tc>
        <w:tc>
          <w:tcPr>
            <w:tcW w:type="dxa" w:w="2578"/>
          </w:tcPr>
          <w:p>
            <w:r>
              <w:t>Hardening</w:t>
            </w:r>
          </w:p>
        </w:tc>
        <w:tc>
          <w:tcPr>
            <w:tcW w:type="dxa" w:w="2578"/>
          </w:tcPr>
          <w:p>
            <w:r>
              <w:t>10</w:t>
            </w:r>
          </w:p>
        </w:tc>
        <w:tc>
          <w:tcPr>
            <w:tcW w:type="dxa" w:w="2578"/>
          </w:tcPr>
          <w:p>
            <w:r>
              <w:t>Security, observabilidade, performance e UX</w:t>
            </w:r>
          </w:p>
        </w:tc>
      </w:tr>
      <w:tr>
        <w:tc>
          <w:tcPr>
            <w:tcW w:type="dxa" w:w="2578"/>
          </w:tcPr>
          <w:p>
            <w:r>
              <w:t>EP-11</w:t>
            </w:r>
          </w:p>
        </w:tc>
        <w:tc>
          <w:tcPr>
            <w:tcW w:type="dxa" w:w="2578"/>
          </w:tcPr>
          <w:p>
            <w:r>
              <w:t>Release &amp; UAT</w:t>
            </w:r>
          </w:p>
        </w:tc>
        <w:tc>
          <w:tcPr>
            <w:tcW w:type="dxa" w:w="2578"/>
          </w:tcPr>
          <w:p>
            <w:r>
              <w:t>11</w:t>
            </w:r>
          </w:p>
        </w:tc>
        <w:tc>
          <w:tcPr>
            <w:tcW w:type="dxa" w:w="2578"/>
          </w:tcPr>
          <w:p>
            <w:r>
              <w:t>Golden tests, UAT, RC e handoff</w:t>
            </w:r>
          </w:p>
        </w:tc>
      </w:tr>
    </w:tbl>
    <w:p>
      <w:pPr>
        <w:pStyle w:val="Heading1"/>
      </w:pPr>
      <w:r>
        <w:t>6. Sprint 1 — Foundation segura</w:t>
      </w:r>
    </w:p>
    <w:p>
      <w:pPr>
        <w:pStyle w:val="Heading3"/>
      </w:pPr>
      <w:r>
        <w:t>Q360-S1-01 — Repository e módulos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NFR-ARCH-001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Equipa técnica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Criar uma base modular compilável.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Build limpo • Módulos com dependências direccionadas • README de execução local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Criar Maven modules, packages e regras de dependência.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Criar shell inicial sem lógica de negócio.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Preparar Flyway e configuração por ambiente.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Build, architecture e smoke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Secrets fora do código; correlation-id e logs estruturados.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Nenhuma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Q360-S1-02 — PostgreSQL + Flyway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DATA-001; MIG-001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Backend/DBA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Garantir persistência versionada.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Aplicação conecta • Flyway sem drift • Falha de migration impede arranque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Datasource, transaction management e repositories base.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Criar baseline V001 e foundation tables.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Testcontainers PostgreSQL.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Credenciais por secret; healthcheck e métricas.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S1-01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Q360-S1-03 — OAuth2/OIDC + JWT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NFR-SEC-001; API-AUTH-001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Utilizador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Autenticar e autorizar acesso.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JWT inválido recusado • Claims validadas • Endpoints protegidos por default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Resource Server JWT, authorities e security config.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Login/session shell e estados 401/403.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User/role/permission/tenant reference model.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Testes 401/403, claims e expiração.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Nunca registar tokens; auditar acessos.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S1-02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GET /api/v1/me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Sessão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user,role,permission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AUTH.*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AUTH-401/403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Q360-S1-04 — Tenant isolation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NFR-SEC-002; BR-TENANT-001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Administrador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Impedir acesso entre tenants.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Dados de outro tenant nunca retornados • Ownership validado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TenantContext, repository filters e ownership validation.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Contexto global sem selector indevido.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Tenant-aware keys/indexes.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Cross-tenant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Audit denied access; correlation-id.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S1-03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Q360-S1-05 — Audit trail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NFR-AUD-001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Auditor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Registar operações críticas.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Create/update/decision auditados • Segredos excluídos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Audit service/interceptor.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audit_event e índices.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Immutability e creation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Actor, tenant, timestamp, correlation-id; masking.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S1-02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1"/>
      </w:pPr>
      <w:r>
        <w:t>7. Sprint 2 — Produto e configuração</w:t>
      </w:r>
    </w:p>
    <w:p>
      <w:pPr>
        <w:pStyle w:val="Heading3"/>
      </w:pPr>
      <w:r>
        <w:t>Q360-S2-01 — Produto 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S2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FR-PROD-001; DATA-PROD-001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Product Admin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Configurar produtos versionados.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Versões identificáveis • Vigências não se sobrepõem • Publicado fica imutável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Product/version service e effective-date resolver.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Lista, detalhe e formulário.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product, product_version.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CRUD + overlap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RBAC +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S1-04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/api/v1/products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Produtos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product,product_version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PRODUCT.VERSION.PUBLISHED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PROD-*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Q360-S2-02 — Planos e benefícios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S2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FR-PROD-002; BR-PLAN-001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Product Admin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Definir composição do plano.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Plano pertence a uma versão • Benefício duplicado incompatível bloqueado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Plan/benefit services.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Plan builder e detalhe.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plan, benefit, plan_benefit.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CRUD + relationship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Audit + permissions.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S2-01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/api/v1/plans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Planos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plan,benefit,plan_benefit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PLAN.*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PLAN-*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Q360-S2-03 — Parâmetros configuráveis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S2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PR-CONFIG-001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Pricing Admin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Evitar hardcode comercial.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Código/tipo/vigência/versão obrigatórios • Valor inválido recusado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Typed parameter service.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Ecrã de parâmetros.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pricing_parameter.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Type/effective-date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RBAC e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S2-01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/api/v1/pricing-parameters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Parâmetros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pricing_parameter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PRICING.PARAMETER.PUBLISHED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PR-*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Q360-S2-04 — Frontend shell seguro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S2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NFR-UX-001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Navegar apenas pelo que pode executar.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Rotas protegidas • Menus por permission • Erro não expõe stack trace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API client base e error mapping.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React router, guards, layout, error boundary.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Component/route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Session handling e telemetry.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S1-03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1"/>
      </w:pPr>
      <w:r>
        <w:t>8. Sprint 3 — Cliente e população</w:t>
      </w:r>
    </w:p>
    <w:p>
      <w:pPr>
        <w:pStyle w:val="Heading3"/>
      </w:pPr>
      <w:r>
        <w:t>Q360-S3-01 — Ficha do proponente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S3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FR-CLIENT-001; DATA-CLIENT-001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Registar proponente.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Campos obrigatórios validados • Duplicados detectados • Tenant ownership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Client service e duplicate checks.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Form/list/detail.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proposer/client.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Validation + duplicate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KYC mínimo aprovado;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S1-04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/api/v1/proposers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Proponente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proposer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PROPOSER.CREATED/UPDATED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CLIENT-*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Q360-S3-02 — Titulares e dependentes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S3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FR-MEMBER-001; BR-MEMBER-001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Gerir população segurada.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Relação válida • Dependente requer titular • Datas coerentes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Member service e relationship validation.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Population grid/form.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insured_member, member_relationship.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Relationship/date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Segregação de dados sensíveis;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S3-01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/api/v1/members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População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insured_member,relationship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MEMBER.*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MEMBER-*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Q360-S3-03 — Elegibilidade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S3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FR-ELIG-001; BR-ELIG-001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Classificar elegibilidade.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Hard stop bloqueia • Warning permite continuar • Referral encaminha • Config error impede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Eligibility service e decision model.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Mensagens e indicadores accionáveis.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eligibility_rule/result/config.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Golden eligibility matrix.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Audit da decisão e versão da regra.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S2-03; S3-02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POST /api/v1/eligibility/evaluate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Elegibilidade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eligibility_result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ELIGIBILITY.EVALUATED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ELIG-*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Q360-S3-04 — Importação controlada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S3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FR-MEMBER-002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Importar população com validação.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Template validado • Linhas inválidas reportadas • Rollback possível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Parser, batch e validation service.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Upload, preview e error report.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import_job, import_row_error.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CSV/XLSX fixtures e rollback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File size/type control +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S3-02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POST /api/v1/member-imports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Importação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import_job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MEMBER.IMPORT.COMPLETED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IMPORT-*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1"/>
      </w:pPr>
      <w:r>
        <w:t>9. Sprint 4 — Pricing Engine I</w:t>
      </w:r>
    </w:p>
    <w:p>
      <w:pPr>
        <w:pStyle w:val="Heading3"/>
      </w:pPr>
      <w:r>
        <w:t>Q360-S4-01 — Rating tables versionadas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S4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PR-RATE-001; DATA-RATE-001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Pricing Admin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Configurar tabelas reproduzíveis.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Versão e vigência obrigatórias • Publicada é imutável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RateTable service + resolver.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Gestão de rating tables.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rating_table, rating_factor.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Effective-date/version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RBAC +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S2-03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/api/v1/rating-tables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Rating Tables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rating_table,rating_factor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RATING_TABLE.PUBLISHED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RATE-*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Q360-S4-02 — Motor base de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S4 / XL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PR-RATE-002; BR-PRICE-001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Calcular prémio determinístico.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Mesma entrada produz mesmo resultado • Sem floating point • Breakdown disponível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Pricing engine, context, factor resolver.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Simulação e breakdown.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pricing_run, pricing_component.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Unit/property/golden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Correlation-id, timing metrics, no sensitive logs.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S3-03; S4-01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POST /api/v1/pricing/calculate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Pricing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pricing_run,pricing_component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PRICING.CALCULATED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PRICE-*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Q360-S4-03 — Moeda e arredondamento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S4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PR-ROUND-001; NFR-FIN-001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Aplicar política explícita.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ISO 4217 válido • Rounding mode explícito • Total reconcilia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Money/Currency value objects.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Formatação monetária.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Currency/rounding config.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Boundary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Audit da policy version.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S4-02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Q360-S4-04 — Explainability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S4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FR-PRICE-003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Subscritor/Auditor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Explicar origem do preço.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Cada componente tem origem/versão • Transformações são rastreáveis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Calculation trace DTO/service.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Breakdown visual.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pricing_trace.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Golden breakdown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Mascaramento de dados sensíveis.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S4-02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GET /api/v1/pricing/{id}/explanation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Pricing Explanation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pricing_trace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1"/>
      </w:pPr>
      <w:r>
        <w:t>10. Sprint 5 — Pricing Engine II</w:t>
      </w:r>
    </w:p>
    <w:p>
      <w:pPr>
        <w:pStyle w:val="Heading3"/>
      </w:pPr>
      <w:r>
        <w:t>Q360-S5-01 — Regras configuráveis / Drools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S5 / XL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BR-RULE-001; PR-RULE-001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Pricing Admin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Executar regras aprovadas.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Regra tem ID/versão/vigência • Decisão e evidência retornadas • Inactiva não executa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Drools integration + rule resolver.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Admin de regras quando autorizado.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rule_set, rule_version.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Rule matrix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Four-eyes para publicação.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S4-01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POST /api/v1/rules/evaluate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Rules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rule_set,rule_version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RULE.EVALUATED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RULE-*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Q360-S5-02 — Cenários de simulação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S5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FR-PRICE-004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Comparar cenários isolados.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Não altera quote oficial • Diferenças comparáveis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Scenario service.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Scenario compare view.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pricing_scenario.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Golden scenario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Audit simulation.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S4-02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POST /api/v1/pricing/scenarios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Cenários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pricing_scenario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PRICING.SCENARIO.CREATED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SCENARIO-*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Q360-S5-03 — Validação final de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S5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BR-PRICE-002; NFR-DATA-002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Bloquear resultados inconsistentes.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Negative/overflow/config inválida tratados • Config inválida nunca produz preço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Validation pipeline.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Mensagens accionáveis.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Precision/check constraints.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Negative suite.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Structured errors + metrics.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S4-02; S5-01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PRICING.REJECTED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PRICE-VAL-*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1"/>
      </w:pPr>
      <w:r>
        <w:t>11. Sprint 6 — Cotação</w:t>
      </w:r>
    </w:p>
    <w:p>
      <w:pPr>
        <w:pStyle w:val="Heading3"/>
      </w:pPr>
      <w:r>
        <w:t>Q360-S6-01 — Criar cotação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S6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FR-QUOTE-001; WF-QUOTE-001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Iniciar cotação versionada.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Estado inicial válido • Proponente e plano obrigatórios • ID único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Quote service.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Quote wizard.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quote, quote_member.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API/UI integration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Authorization +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S2-02; S3-01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POST /api/v1/quotes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Nova Cotação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quote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QUOTE.CREATED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QUOTE-*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Q360-S6-02 — Adicionar população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S6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FR-QUOTE-002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Associar membros à cotação.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Membros elegíveis associados • Alteração força repricing controlado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Quote member service.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Population selection.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quote_member snapshot.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Association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S6-01; S3-03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POST /api/v1/quotes/{id}/members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População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quote_member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QUOTE.POPULATION.UPDATED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QUOTE-MEMBER-*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Q360-S6-03 — Preço 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S6 / XL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FR-QUOTE-003; BR-SNAPSHOT-001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Fixar inputs e versões do cálculo.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Snapshot completo • Versões guardadas • Recalculation cria novo run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Quote pricing orchestration.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Calcular/recalcular + breakdown.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quote_snapshot, pricing_run.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Golden quote pricing.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Snapshot imutável +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S4-02; S5-03; S6-02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POST /api/v1/quotes/{id}/price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Cotação / Pricing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quote_snapshot,pricing_run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QUOTE.PRICE.CALCULATED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QUOTE-PRICE-*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Q360-S6-04 — Validade e totais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S6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FR-QUOTE-004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Controlar validade e reconciliação.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Validade segundo parâmetro • Totais reconciliam • Expirada não avança sem regra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Quote validity/total service.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Summary card.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quote validity fields.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Date/boundary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Audit state changes.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S6-03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GET /api/v1/quotes/{id}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Resumo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quote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QUOTE.*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QUOTE-STATE-*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1"/>
      </w:pPr>
      <w:r>
        <w:t>12. Sprint 7 — Workflow de subscrição</w:t>
      </w:r>
    </w:p>
    <w:p>
      <w:pPr>
        <w:pStyle w:val="Heading3"/>
      </w:pPr>
      <w:r>
        <w:t>Q360-S7-01 — Enviar para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S7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WF-QUOTE-001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Submeter cotação válida.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Só válida submete • Transição determinística • Submitter não aprova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State machine transition.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Action/confirmation.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quote_state_history.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Transition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Actor/reason/timestamp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S6-04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POST /api/v1/quotes/{id}/submit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Cotação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quote_state_history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QUOTE.SUBMITTED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WF-*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Q360-S7-02 — Workspace de revisão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S7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WF-REVIEW-001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Underwriter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Analisar cotação autorizada.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Dados visíveis conforme permission • Pode devolver para correcção • Não altera snapshot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Review service.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Review workspace.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review_task, review_note.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Workflow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ABAC para dados sensíveis.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S7-01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GET /api/v1/quotes/{id}/review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Review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review_task,review_note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QUOTE.REVIEWED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REVIEW-*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Q360-S7-03 — Aprovar ou rejeitar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S7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WF-DECISION-001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Approver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Tomar decisão sob autoridade.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Authority validada • Auto-approval bloqueado • Rejeição exige motivo • Audit obrigatório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Decision service + authority resolver.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Decision modal.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quote_decision, reason, history.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Self-approval and authority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Four-eyes +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S7-02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POST /api/v1/quotes/{id}/decision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Decisão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quote_decision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QUOTE.APPROVED/REJECTED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DECISION-*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Q360-S7-04 — Histórico de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S7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WF-AUDIT-001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Auditor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Consultar cadeia de transições.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Ordenado • Imutável • Actor/reason presentes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History query.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Timeline.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quote_state_history.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Integrity/pagination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Permission check.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S7-01; S7-03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GET /api/v1/quotes/{id}/history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Timeline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quote_state_history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1"/>
      </w:pPr>
      <w:r>
        <w:t>13. Sprint 8 — Documentos e emissão</w:t>
      </w:r>
    </w:p>
    <w:p>
      <w:pPr>
        <w:pStyle w:val="Heading3"/>
      </w:pPr>
      <w:r>
        <w:t>Q360-S8-01 — Gerar proposta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S8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FR-DOC-001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Gerar proposta a partir do snapshot.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Documento reflecte snapshot • Template version identificado • Reprodução possível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Document generation service.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Preview e acção de geração.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document, document_template_version.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PDF/content smoke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Access control +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S7-03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POST /api/v1/quotes/{id}/proposal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Documentos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document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DOCUMENT.GENERATED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DOC-*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Q360-S8-02 — Numeração controlada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S8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FR-ISSUE-001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Operações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Atribuir número único.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Sem duplicação em concorrência • Política identificável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Numbering service + locking.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Mostrar número.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numbering_sequence.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Concurrency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S8-01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Q360-S8-03 — Expiração e cancelamento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S8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WF-QUOTE-002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Fechar cotação de forma controlada.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Só transições autorizadas • Motivo registado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State transition command.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Cancel action.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quote/state history.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State machine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S7-03; S6-04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POST /api/v1/quotes/{id}/cancel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Cotação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quote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QUOTE.EXPIRED/CANCELLED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STATE-*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1"/>
      </w:pPr>
      <w:r>
        <w:t>14. Sprint 9 — API, eventos e auditoria</w:t>
      </w:r>
    </w:p>
    <w:p>
      <w:pPr>
        <w:pStyle w:val="Heading3"/>
      </w:pPr>
      <w:r>
        <w:t>Q360-S9-01 — OpenAPI integral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S9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API-*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Todos os consumidores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Ter um contrato HTTP único.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Todos endpoints V1 documentados • Schemas e errors definidos • CI valida contrato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Completar spec/annotations e validation.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Regenerar API client React.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Contract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Security schemes documentados.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S1-S8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/api/v1/*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Q360-S9-02 — Transactional Outbox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S9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EVT-OUTBOX-001; NFR-INT-001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Sistema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Publicar eventos sem perda.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Commit e outbox atómicos • Retry • Idempotency key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Outbox repository/dispatcher.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outbox_event + indexes.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Failure/retry integration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PII minimization.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S1-02; S6-S8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outbox_event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OUTBOX.DISPATCHED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OUTBOX-*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Q360-S9-03 — Idempotência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S9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NFR-INT-002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Sistema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Evitar duplicação em retries.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Mesma key não duplica operação • Evento duplicado é harmless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Idempotency store/interceptor + consumer guard.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Retry UX.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idempotency_record.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Duplicate request/event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Correlation +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S9-02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Idempotency-Key header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idempotency_record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IDEMP-*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Q360-S9-04 — Auditoria consultável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S9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FR-AUD-001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Auditor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Pesquisar actividade relevante.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Filtros por entidade/actor/data • Dados sensíveis mascarados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Audit query service.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Audit viewer.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audit indexes.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Filter/pagination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ABAC.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S1-05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GET /api/v1/audit-events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Auditoria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audit_event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AUD-*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1"/>
      </w:pPr>
      <w:r>
        <w:t>15. Sprint 10 — Hardening</w:t>
      </w:r>
    </w:p>
    <w:p>
      <w:pPr>
        <w:pStyle w:val="Heading3"/>
      </w:pPr>
      <w:r>
        <w:t>Q360-S10-01 — Security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S10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NFR-SEC-*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Security/Tech Lead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Reduzir superfície de ataque.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Sem findings críticos • Validation/rate controls conforme baseline • Secrets scan limpo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Security filters, validation, dependency upgrades.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XSS/error state tests.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Security config.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SAST/DAST/dependency scan.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No secrets/PII in logs.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S1-S9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Q360-S10-02 — OpenTelemetry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S10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NFR-OBS-001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Operações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Observar requests e pricing.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Trace API→service→DB/event • Métricas de erro/latência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OTel instrumentation.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Propagação de trace quando aprovada.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Telemetry smoke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PII filtering.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S9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Q360-S10-03 — Performance e concorrência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S10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NFR-PERF-001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Operações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Cumprir thresholds acordados.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Thresholds aprovados passam • Sem race conditions críticas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Query optimisation e caching apenas seguro.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Loading/pagination.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Indexes/EXPLAIN.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Load/concurrency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Monitorização de saturação.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S4; S6; S8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Q360-S10-04 — UX e acessibilidade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S10 / M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NFR-UX-001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Subscritor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Eliminar erros silenciosos.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Loading/empty/error definidos • Mensagens de campo • Teclado nos fluxos críticos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Consistent error contract.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A11y, error boundary, form validation.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Playwright critical paths.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Não revelar detalhes internos.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S2; S6; S7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1"/>
      </w:pPr>
      <w:r>
        <w:t>16. Sprint 11 — Golden, UAT e Release</w:t>
      </w:r>
    </w:p>
    <w:p>
      <w:pPr>
        <w:pStyle w:val="Heading3"/>
      </w:pPr>
      <w:r>
        <w:t>Q360-S11-01 — Golden tests de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S11 / XL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GT-PRICE-*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QA/Product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Fixar comportamento determinístico aprovado.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Resultados exactos reproduzidos • Alteração não intencional falha CI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Test harness + fixtures.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Visualização expected/actual.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golden_case, golden_result.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Golden suite + boundary tests.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Dados sintéticos; evidência versionada.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S4-S6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Q360-S11-02 — E2E regressão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S11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GT-E2E-*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QA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Validar ciclo completo.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Criar→calcular→submeter→aprovar→documentar • Rollback/errors cobertos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E2E orchestration.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Playwright journeys.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Ephemeral test DB.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Testcontainers + Playwright.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Test environment isolation.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S1-S10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Q360-S11-03 — UAT e defeitos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S11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NFR-REL-001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Product Owner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Obter aceite operacional.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UAT executado • Críticos fechados • Known issues documentados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Defect fixes.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UAT support.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Reset de dados de teste.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UAT evidence.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Access controlled.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S11-01; S11-02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3"/>
      </w:pPr>
      <w:r>
        <w:t>Q360-S11-04 — Release Candidate e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Especificação</w:t>
            </w:r>
          </w:p>
        </w:tc>
      </w:tr>
      <w:tr>
        <w:tc>
          <w:tcPr>
            <w:tcW w:type="dxa" w:w="5156"/>
          </w:tcPr>
          <w:p>
            <w:r>
              <w:t>Sprint / tamanho</w:t>
            </w:r>
          </w:p>
        </w:tc>
        <w:tc>
          <w:tcPr>
            <w:tcW w:type="dxa" w:w="5156"/>
          </w:tcPr>
          <w:p>
            <w:r>
              <w:t>S11 / L</w:t>
            </w:r>
          </w:p>
        </w:tc>
      </w:tr>
      <w:tr>
        <w:tc>
          <w:tcPr>
            <w:tcW w:type="dxa" w:w="5156"/>
          </w:tcPr>
          <w:p>
            <w:r>
              <w:t>Rastreabilidade</w:t>
            </w:r>
          </w:p>
        </w:tc>
        <w:tc>
          <w:tcPr>
            <w:tcW w:type="dxa" w:w="5156"/>
          </w:tcPr>
          <w:p>
            <w:r>
              <w:t>NFR-REL-002</w:t>
            </w:r>
          </w:p>
        </w:tc>
      </w:tr>
      <w:tr>
        <w:tc>
          <w:tcPr>
            <w:tcW w:type="dxa" w:w="5156"/>
          </w:tcPr>
          <w:p>
            <w:r>
              <w:t>Actor</w:t>
            </w:r>
          </w:p>
        </w:tc>
        <w:tc>
          <w:tcPr>
            <w:tcW w:type="dxa" w:w="5156"/>
          </w:tcPr>
          <w:p>
            <w:r>
              <w:t>Tech Lead</w:t>
            </w:r>
          </w:p>
        </w:tc>
      </w:tr>
      <w:tr>
        <w:tc>
          <w:tcPr>
            <w:tcW w:type="dxa" w:w="5156"/>
          </w:tcPr>
          <w:p>
            <w:r>
              <w:t>Objectivo</w:t>
            </w:r>
          </w:p>
        </w:tc>
        <w:tc>
          <w:tcPr>
            <w:tcW w:type="dxa" w:w="5156"/>
          </w:tcPr>
          <w:p>
            <w:r>
              <w:t>Entregar V1 reproduzível.</w:t>
            </w:r>
          </w:p>
        </w:tc>
      </w:tr>
      <w:tr>
        <w:tc>
          <w:tcPr>
            <w:tcW w:type="dxa" w:w="5156"/>
          </w:tcPr>
          <w:p>
            <w:r>
              <w:t>Pré-condições</w:t>
            </w:r>
          </w:p>
        </w:tc>
        <w:tc>
          <w:tcPr>
            <w:tcW w:type="dxa" w:w="5156"/>
          </w:tcPr>
          <w:p>
            <w:r>
              <w:t>Dependências concluídas; actor autenticado quando aplicável; configuração necessária disponível.</w:t>
            </w:r>
          </w:p>
        </w:tc>
      </w:tr>
      <w:tr>
        <w:tc>
          <w:tcPr>
            <w:tcW w:type="dxa" w:w="5156"/>
          </w:tcPr>
          <w:p>
            <w:r>
              <w:t>Acceptance criteria</w:t>
            </w:r>
          </w:p>
        </w:tc>
        <w:tc>
          <w:tcPr>
            <w:tcW w:type="dxa" w:w="5156"/>
          </w:tcPr>
          <w:p>
            <w:r>
              <w:t>Artefacto identificado • Migrations/config documentadas • Rollback definido • Runbook disponível</w:t>
            </w:r>
          </w:p>
        </w:tc>
      </w:tr>
      <w:tr>
        <w:tc>
          <w:tcPr>
            <w:tcW w:type="dxa" w:w="5156"/>
          </w:tcPr>
          <w:p>
            <w:r>
              <w:t>Backend</w:t>
            </w:r>
          </w:p>
        </w:tc>
        <w:tc>
          <w:tcPr>
            <w:tcW w:type="dxa" w:w="5156"/>
          </w:tcPr>
          <w:p>
            <w:r>
              <w:t>CI/CD, release tag, deployment package.</w:t>
            </w:r>
          </w:p>
        </w:tc>
      </w:tr>
      <w:tr>
        <w:tc>
          <w:tcPr>
            <w:tcW w:type="dxa" w:w="5156"/>
          </w:tcPr>
          <w:p>
            <w:r>
              <w:t>Frontend</w:t>
            </w:r>
          </w:p>
        </w:tc>
        <w:tc>
          <w:tcPr>
            <w:tcW w:type="dxa" w:w="5156"/>
          </w:tcPr>
          <w:p>
            <w:r>
              <w:t>Version/help banner.</w:t>
            </w:r>
          </w:p>
        </w:tc>
      </w:tr>
      <w:tr>
        <w:tc>
          <w:tcPr>
            <w:tcW w:type="dxa" w:w="5156"/>
          </w:tcPr>
          <w:p>
            <w:r>
              <w:t>DB / Migration</w:t>
            </w:r>
          </w:p>
        </w:tc>
        <w:tc>
          <w:tcPr>
            <w:tcW w:type="dxa" w:w="5156"/>
          </w:tcPr>
          <w:p>
            <w:r>
              <w:t>Migration/rollback validation.</w:t>
            </w:r>
          </w:p>
        </w:tc>
      </w:tr>
      <w:tr>
        <w:tc>
          <w:tcPr>
            <w:tcW w:type="dxa" w:w="5156"/>
          </w:tcPr>
          <w:p>
            <w:r>
              <w:t>QA / Testes</w:t>
            </w:r>
          </w:p>
        </w:tc>
        <w:tc>
          <w:tcPr>
            <w:tcW w:type="dxa" w:w="5156"/>
          </w:tcPr>
          <w:p>
            <w:r>
              <w:t>Release smoke/regression.</w:t>
            </w:r>
          </w:p>
        </w:tc>
      </w:tr>
      <w:tr>
        <w:tc>
          <w:tcPr>
            <w:tcW w:type="dxa" w:w="5156"/>
          </w:tcPr>
          <w:p>
            <w:r>
              <w:t>Security / Observability</w:t>
            </w:r>
          </w:p>
        </w:tc>
        <w:tc>
          <w:tcPr>
            <w:tcW w:type="dxa" w:w="5156"/>
          </w:tcPr>
          <w:p>
            <w:r>
              <w:t>SBOM/dependency report + audit.</w:t>
            </w:r>
          </w:p>
        </w:tc>
      </w:tr>
      <w:tr>
        <w:tc>
          <w:tcPr>
            <w:tcW w:type="dxa" w:w="5156"/>
          </w:tcPr>
          <w:p>
            <w:r>
              <w:t>Dependências</w:t>
            </w:r>
          </w:p>
        </w:tc>
        <w:tc>
          <w:tcPr>
            <w:tcW w:type="dxa" w:w="5156"/>
          </w:tcPr>
          <w:p>
            <w:r>
              <w:t>S10; S11-03</w:t>
            </w:r>
          </w:p>
        </w:tc>
      </w:tr>
      <w:tr>
        <w:tc>
          <w:tcPr>
            <w:tcW w:type="dxa" w:w="5156"/>
          </w:tcPr>
          <w:p>
            <w:r>
              <w:t>Endpoint(s)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UI / Página(s)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Dados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Eventos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Erros</w:t>
            </w:r>
          </w:p>
        </w:tc>
        <w:tc>
          <w:tcPr>
            <w:tcW w:type="dxa" w:w="5156"/>
          </w:tcPr>
          <w:p>
            <w:r>
              <w:t>—</w:t>
            </w:r>
          </w:p>
        </w:tc>
      </w:tr>
      <w:tr>
        <w:tc>
          <w:tcPr>
            <w:tcW w:type="dxa" w:w="5156"/>
          </w:tcPr>
          <w:p>
            <w:r>
              <w:t>DoD</w:t>
            </w:r>
          </w:p>
        </w:tc>
        <w:tc>
          <w:tcPr>
            <w:tcW w:type="dxa" w:w="5156"/>
          </w:tcPr>
          <w:p>
            <w:r>
              <w:t>Código revisto; testes relevantes verdes; contrato/documentação actualizado; observabilidade e auditoria implementadas quando aplicáveis; evidência QA anexada.</w:t>
            </w:r>
          </w:p>
        </w:tc>
      </w:tr>
    </w:tbl>
    <w:p>
      <w:pPr>
        <w:pStyle w:val="Heading1"/>
      </w:pPr>
      <w:r>
        <w:t>17. Inventário mínimo de entidades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Domínio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Entidades</w:t>
            </w:r>
          </w:p>
        </w:tc>
      </w:tr>
      <w:tr>
        <w:tc>
          <w:tcPr>
            <w:tcW w:type="dxa" w:w="5156"/>
          </w:tcPr>
          <w:p>
            <w:r>
              <w:t>Foundation</w:t>
            </w:r>
          </w:p>
        </w:tc>
        <w:tc>
          <w:tcPr>
            <w:tcW w:type="dxa" w:w="5156"/>
          </w:tcPr>
          <w:p>
            <w:r>
              <w:t>tenant; user; role; permission; audit_event</w:t>
            </w:r>
          </w:p>
        </w:tc>
      </w:tr>
      <w:tr>
        <w:tc>
          <w:tcPr>
            <w:tcW w:type="dxa" w:w="5156"/>
          </w:tcPr>
          <w:p>
            <w:r>
              <w:t>Product</w:t>
            </w:r>
          </w:p>
        </w:tc>
        <w:tc>
          <w:tcPr>
            <w:tcW w:type="dxa" w:w="5156"/>
          </w:tcPr>
          <w:p>
            <w:r>
              <w:t>product; product_version; plan; benefit; plan_benefit</w:t>
            </w:r>
          </w:p>
        </w:tc>
      </w:tr>
      <w:tr>
        <w:tc>
          <w:tcPr>
            <w:tcW w:type="dxa" w:w="5156"/>
          </w:tcPr>
          <w:p>
            <w:r>
              <w:t>Configuration</w:t>
            </w:r>
          </w:p>
        </w:tc>
        <w:tc>
          <w:tcPr>
            <w:tcW w:type="dxa" w:w="5156"/>
          </w:tcPr>
          <w:p>
            <w:r>
              <w:t>pricing_parameter; rating_table; rating_factor; rule_set; rule_version</w:t>
            </w:r>
          </w:p>
        </w:tc>
      </w:tr>
      <w:tr>
        <w:tc>
          <w:tcPr>
            <w:tcW w:type="dxa" w:w="5156"/>
          </w:tcPr>
          <w:p>
            <w:r>
              <w:t>Client</w:t>
            </w:r>
          </w:p>
        </w:tc>
        <w:tc>
          <w:tcPr>
            <w:tcW w:type="dxa" w:w="5156"/>
          </w:tcPr>
          <w:p>
            <w:r>
              <w:t>proposer; insured_member; member_relationship; import_job; import_row_error</w:t>
            </w:r>
          </w:p>
        </w:tc>
      </w:tr>
      <w:tr>
        <w:tc>
          <w:tcPr>
            <w:tcW w:type="dxa" w:w="5156"/>
          </w:tcPr>
          <w:p>
            <w:r>
              <w:t>Pricing</w:t>
            </w:r>
          </w:p>
        </w:tc>
        <w:tc>
          <w:tcPr>
            <w:tcW w:type="dxa" w:w="5156"/>
          </w:tcPr>
          <w:p>
            <w:r>
              <w:t>pricing_run; pricing_component; pricing_trace; pricing_scenario</w:t>
            </w:r>
          </w:p>
        </w:tc>
      </w:tr>
      <w:tr>
        <w:tc>
          <w:tcPr>
            <w:tcW w:type="dxa" w:w="5156"/>
          </w:tcPr>
          <w:p>
            <w:r>
              <w:t>Quotation</w:t>
            </w:r>
          </w:p>
        </w:tc>
        <w:tc>
          <w:tcPr>
            <w:tcW w:type="dxa" w:w="5156"/>
          </w:tcPr>
          <w:p>
            <w:r>
              <w:t>quote; quote_member; quote_snapshot; quote_state_history; quote_decision</w:t>
            </w:r>
          </w:p>
        </w:tc>
      </w:tr>
      <w:tr>
        <w:tc>
          <w:tcPr>
            <w:tcW w:type="dxa" w:w="5156"/>
          </w:tcPr>
          <w:p>
            <w:r>
              <w:t>Workflow</w:t>
            </w:r>
          </w:p>
        </w:tc>
        <w:tc>
          <w:tcPr>
            <w:tcW w:type="dxa" w:w="5156"/>
          </w:tcPr>
          <w:p>
            <w:r>
              <w:t>review_task; review_note; authority_policy</w:t>
            </w:r>
          </w:p>
        </w:tc>
      </w:tr>
      <w:tr>
        <w:tc>
          <w:tcPr>
            <w:tcW w:type="dxa" w:w="5156"/>
          </w:tcPr>
          <w:p>
            <w:r>
              <w:t>Documents</w:t>
            </w:r>
          </w:p>
        </w:tc>
        <w:tc>
          <w:tcPr>
            <w:tcW w:type="dxa" w:w="5156"/>
          </w:tcPr>
          <w:p>
            <w:r>
              <w:t>document_template_version; document; numbering_sequence</w:t>
            </w:r>
          </w:p>
        </w:tc>
      </w:tr>
      <w:tr>
        <w:tc>
          <w:tcPr>
            <w:tcW w:type="dxa" w:w="5156"/>
          </w:tcPr>
          <w:p>
            <w:r>
              <w:t>Integration</w:t>
            </w:r>
          </w:p>
        </w:tc>
        <w:tc>
          <w:tcPr>
            <w:tcW w:type="dxa" w:w="5156"/>
          </w:tcPr>
          <w:p>
            <w:r>
              <w:t>outbox_event; idempotency_record</w:t>
            </w:r>
          </w:p>
        </w:tc>
      </w:tr>
    </w:tbl>
    <w:p>
      <w:r>
        <w:rPr>
          <w:b w:val="0"/>
        </w:rPr>
        <w:t>A estrutura definitiva, tipos, constraints, índices, FKs, RLS/tenant strategy e particionamento, quando aplicável, serão autoridade do ART-005.</w:t>
      </w:r>
    </w:p>
    <w:p>
      <w:pPr>
        <w:pStyle w:val="Heading1"/>
      </w:pPr>
      <w:r>
        <w:t>18. Catálogo inicial de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Endpoints de backlog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Fonte</w:t>
            </w:r>
          </w:p>
        </w:tc>
      </w:tr>
      <w:tr>
        <w:tc>
          <w:tcPr>
            <w:tcW w:type="dxa" w:w="3437"/>
          </w:tcPr>
          <w:p>
            <w:r>
              <w:t>Identity</w:t>
            </w:r>
          </w:p>
        </w:tc>
        <w:tc>
          <w:tcPr>
            <w:tcW w:type="dxa" w:w="3437"/>
          </w:tcPr>
          <w:p>
            <w:r>
              <w:t>GET /api/v1/me</w:t>
            </w:r>
          </w:p>
        </w:tc>
        <w:tc>
          <w:tcPr>
            <w:tcW w:type="dxa" w:w="3437"/>
          </w:tcPr>
          <w:p>
            <w:r>
              <w:t>S1-03</w:t>
            </w:r>
          </w:p>
        </w:tc>
      </w:tr>
      <w:tr>
        <w:tc>
          <w:tcPr>
            <w:tcW w:type="dxa" w:w="3437"/>
          </w:tcPr>
          <w:p>
            <w:r>
              <w:t>Products</w:t>
            </w:r>
          </w:p>
        </w:tc>
        <w:tc>
          <w:tcPr>
            <w:tcW w:type="dxa" w:w="3437"/>
          </w:tcPr>
          <w:p>
            <w:r>
              <w:t>/products e /products/{id}</w:t>
            </w:r>
          </w:p>
        </w:tc>
        <w:tc>
          <w:tcPr>
            <w:tcW w:type="dxa" w:w="3437"/>
          </w:tcPr>
          <w:p>
            <w:r>
              <w:t>S2-01</w:t>
            </w:r>
          </w:p>
        </w:tc>
      </w:tr>
      <w:tr>
        <w:tc>
          <w:tcPr>
            <w:tcW w:type="dxa" w:w="3437"/>
          </w:tcPr>
          <w:p>
            <w:r>
              <w:t>Plans</w:t>
            </w:r>
          </w:p>
        </w:tc>
        <w:tc>
          <w:tcPr>
            <w:tcW w:type="dxa" w:w="3437"/>
          </w:tcPr>
          <w:p>
            <w:r>
              <w:t>/plans e /plans/{id}</w:t>
            </w:r>
          </w:p>
        </w:tc>
        <w:tc>
          <w:tcPr>
            <w:tcW w:type="dxa" w:w="3437"/>
          </w:tcPr>
          <w:p>
            <w:r>
              <w:t>S2-02</w:t>
            </w:r>
          </w:p>
        </w:tc>
      </w:tr>
      <w:tr>
        <w:tc>
          <w:tcPr>
            <w:tcW w:type="dxa" w:w="3437"/>
          </w:tcPr>
          <w:p>
            <w:r>
              <w:t>Config</w:t>
            </w:r>
          </w:p>
        </w:tc>
        <w:tc>
          <w:tcPr>
            <w:tcW w:type="dxa" w:w="3437"/>
          </w:tcPr>
          <w:p>
            <w:r>
              <w:t>/pricing-parameters; /rating-tables; /rules</w:t>
            </w:r>
          </w:p>
        </w:tc>
        <w:tc>
          <w:tcPr>
            <w:tcW w:type="dxa" w:w="3437"/>
          </w:tcPr>
          <w:p>
            <w:r>
              <w:t>S2-03; S4-01; S5-01</w:t>
            </w:r>
          </w:p>
        </w:tc>
      </w:tr>
      <w:tr>
        <w:tc>
          <w:tcPr>
            <w:tcW w:type="dxa" w:w="3437"/>
          </w:tcPr>
          <w:p>
            <w:r>
              <w:t>Eligibility</w:t>
            </w:r>
          </w:p>
        </w:tc>
        <w:tc>
          <w:tcPr>
            <w:tcW w:type="dxa" w:w="3437"/>
          </w:tcPr>
          <w:p>
            <w:r>
              <w:t>POST /eligibility/evaluate</w:t>
            </w:r>
          </w:p>
        </w:tc>
        <w:tc>
          <w:tcPr>
            <w:tcW w:type="dxa" w:w="3437"/>
          </w:tcPr>
          <w:p>
            <w:r>
              <w:t>S3-03</w:t>
            </w:r>
          </w:p>
        </w:tc>
      </w:tr>
      <w:tr>
        <w:tc>
          <w:tcPr>
            <w:tcW w:type="dxa" w:w="3437"/>
          </w:tcPr>
          <w:p>
            <w:r>
              <w:t>Population</w:t>
            </w:r>
          </w:p>
        </w:tc>
        <w:tc>
          <w:tcPr>
            <w:tcW w:type="dxa" w:w="3437"/>
          </w:tcPr>
          <w:p>
            <w:r>
              <w:t>/proposers; /members; /member-imports</w:t>
            </w:r>
          </w:p>
        </w:tc>
        <w:tc>
          <w:tcPr>
            <w:tcW w:type="dxa" w:w="3437"/>
          </w:tcPr>
          <w:p>
            <w:r>
              <w:t>S3</w:t>
            </w:r>
          </w:p>
        </w:tc>
      </w:tr>
      <w:tr>
        <w:tc>
          <w:tcPr>
            <w:tcW w:type="dxa" w:w="3437"/>
          </w:tcPr>
          <w:p>
            <w:r>
              <w:t>Pricing</w:t>
            </w:r>
          </w:p>
        </w:tc>
        <w:tc>
          <w:tcPr>
            <w:tcW w:type="dxa" w:w="3437"/>
          </w:tcPr>
          <w:p>
            <w:r>
              <w:t>POST /pricing/calculate; GET /pricing/{id}/explanation; /pricing/scenarios</w:t>
            </w:r>
          </w:p>
        </w:tc>
        <w:tc>
          <w:tcPr>
            <w:tcW w:type="dxa" w:w="3437"/>
          </w:tcPr>
          <w:p>
            <w:r>
              <w:t>S4-S5</w:t>
            </w:r>
          </w:p>
        </w:tc>
      </w:tr>
      <w:tr>
        <w:tc>
          <w:tcPr>
            <w:tcW w:type="dxa" w:w="3437"/>
          </w:tcPr>
          <w:p>
            <w:r>
              <w:t>Quotes</w:t>
            </w:r>
          </w:p>
        </w:tc>
        <w:tc>
          <w:tcPr>
            <w:tcW w:type="dxa" w:w="3437"/>
          </w:tcPr>
          <w:p>
            <w:r>
              <w:t>/quotes; /quotes/{id}; /quotes/{id}/members; /quotes/{id}/price</w:t>
            </w:r>
          </w:p>
        </w:tc>
        <w:tc>
          <w:tcPr>
            <w:tcW w:type="dxa" w:w="3437"/>
          </w:tcPr>
          <w:p>
            <w:r>
              <w:t>S6</w:t>
            </w:r>
          </w:p>
        </w:tc>
      </w:tr>
      <w:tr>
        <w:tc>
          <w:tcPr>
            <w:tcW w:type="dxa" w:w="3437"/>
          </w:tcPr>
          <w:p>
            <w:r>
              <w:t>Workflow</w:t>
            </w:r>
          </w:p>
        </w:tc>
        <w:tc>
          <w:tcPr>
            <w:tcW w:type="dxa" w:w="3437"/>
          </w:tcPr>
          <w:p>
            <w:r>
              <w:t>/quotes/{id}/submit; /review; /decision; /history</w:t>
            </w:r>
          </w:p>
        </w:tc>
        <w:tc>
          <w:tcPr>
            <w:tcW w:type="dxa" w:w="3437"/>
          </w:tcPr>
          <w:p>
            <w:r>
              <w:t>S7</w:t>
            </w:r>
          </w:p>
        </w:tc>
      </w:tr>
      <w:tr>
        <w:tc>
          <w:tcPr>
            <w:tcW w:type="dxa" w:w="3437"/>
          </w:tcPr>
          <w:p>
            <w:r>
              <w:t>Documents</w:t>
            </w:r>
          </w:p>
        </w:tc>
        <w:tc>
          <w:tcPr>
            <w:tcW w:type="dxa" w:w="3437"/>
          </w:tcPr>
          <w:p>
            <w:r>
              <w:t>/quotes/{id}/proposal; /quotes/{id}/cancel</w:t>
            </w:r>
          </w:p>
        </w:tc>
        <w:tc>
          <w:tcPr>
            <w:tcW w:type="dxa" w:w="3437"/>
          </w:tcPr>
          <w:p>
            <w:r>
              <w:t>S8</w:t>
            </w:r>
          </w:p>
        </w:tc>
      </w:tr>
      <w:tr>
        <w:tc>
          <w:tcPr>
            <w:tcW w:type="dxa" w:w="3437"/>
          </w:tcPr>
          <w:p>
            <w:r>
              <w:t>Audit</w:t>
            </w:r>
          </w:p>
        </w:tc>
        <w:tc>
          <w:tcPr>
            <w:tcW w:type="dxa" w:w="3437"/>
          </w:tcPr>
          <w:p>
            <w:r>
              <w:t>GET /audit-events</w:t>
            </w:r>
          </w:p>
        </w:tc>
        <w:tc>
          <w:tcPr>
            <w:tcW w:type="dxa" w:w="3437"/>
          </w:tcPr>
          <w:p>
            <w:r>
              <w:t>S9</w:t>
            </w:r>
          </w:p>
        </w:tc>
      </w:tr>
    </w:tbl>
    <w:p>
      <w:r>
        <w:rPr>
          <w:b w:val="0"/>
        </w:rPr>
        <w:t>Este catálogo orienta o backlog. O ART-006 será a autoridade final de path, verb, request, response, status, problem-details e security scheme.</w:t>
      </w:r>
    </w:p>
    <w:p>
      <w:pPr>
        <w:pStyle w:val="Heading1"/>
      </w:pPr>
      <w:r>
        <w:t>19. Eventos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Origem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437"/>
          </w:tcPr>
          <w:p>
            <w:r>
              <w:t>PRODUCT.VERSION.PUBLISHED</w:t>
            </w:r>
          </w:p>
        </w:tc>
        <w:tc>
          <w:tcPr>
            <w:tcW w:type="dxa" w:w="3437"/>
          </w:tcPr>
          <w:p>
            <w:r>
              <w:t>Product</w:t>
            </w:r>
          </w:p>
        </w:tc>
        <w:tc>
          <w:tcPr>
            <w:tcW w:type="dxa" w:w="3437"/>
          </w:tcPr>
          <w:p>
            <w:r>
              <w:t>Audit/cache/index quando aplicável</w:t>
            </w:r>
          </w:p>
        </w:tc>
      </w:tr>
      <w:tr>
        <w:tc>
          <w:tcPr>
            <w:tcW w:type="dxa" w:w="3437"/>
          </w:tcPr>
          <w:p>
            <w:r>
              <w:t>PLAN.*</w:t>
            </w:r>
          </w:p>
        </w:tc>
        <w:tc>
          <w:tcPr>
            <w:tcW w:type="dxa" w:w="3437"/>
          </w:tcPr>
          <w:p>
            <w:r>
              <w:t>Product</w:t>
            </w:r>
          </w:p>
        </w:tc>
        <w:tc>
          <w:tcPr>
            <w:tcW w:type="dxa" w:w="3437"/>
          </w:tcPr>
          <w:p>
            <w:r>
              <w:t>Configuração</w:t>
            </w:r>
          </w:p>
        </w:tc>
      </w:tr>
      <w:tr>
        <w:tc>
          <w:tcPr>
            <w:tcW w:type="dxa" w:w="3437"/>
          </w:tcPr>
          <w:p>
            <w:r>
              <w:t>PROPOSER.CREATED/UPDATED</w:t>
            </w:r>
          </w:p>
        </w:tc>
        <w:tc>
          <w:tcPr>
            <w:tcW w:type="dxa" w:w="3437"/>
          </w:tcPr>
          <w:p>
            <w:r>
              <w:t>Client</w:t>
            </w:r>
          </w:p>
        </w:tc>
        <w:tc>
          <w:tcPr>
            <w:tcW w:type="dxa" w:w="3437"/>
          </w:tcPr>
          <w:p>
            <w:r>
              <w:t>Audit</w:t>
            </w:r>
          </w:p>
        </w:tc>
      </w:tr>
      <w:tr>
        <w:tc>
          <w:tcPr>
            <w:tcW w:type="dxa" w:w="3437"/>
          </w:tcPr>
          <w:p>
            <w:r>
              <w:t>MEMBER.*</w:t>
            </w:r>
          </w:p>
        </w:tc>
        <w:tc>
          <w:tcPr>
            <w:tcW w:type="dxa" w:w="3437"/>
          </w:tcPr>
          <w:p>
            <w:r>
              <w:t>Client</w:t>
            </w:r>
          </w:p>
        </w:tc>
        <w:tc>
          <w:tcPr>
            <w:tcW w:type="dxa" w:w="3437"/>
          </w:tcPr>
          <w:p>
            <w:r>
              <w:t>Quote/audit</w:t>
            </w:r>
          </w:p>
        </w:tc>
      </w:tr>
      <w:tr>
        <w:tc>
          <w:tcPr>
            <w:tcW w:type="dxa" w:w="3437"/>
          </w:tcPr>
          <w:p>
            <w:r>
              <w:t>ELIGIBILITY.EVALUATED</w:t>
            </w:r>
          </w:p>
        </w:tc>
        <w:tc>
          <w:tcPr>
            <w:tcW w:type="dxa" w:w="3437"/>
          </w:tcPr>
          <w:p>
            <w:r>
              <w:t>Eligibility</w:t>
            </w:r>
          </w:p>
        </w:tc>
        <w:tc>
          <w:tcPr>
            <w:tcW w:type="dxa" w:w="3437"/>
          </w:tcPr>
          <w:p>
            <w:r>
              <w:t>Quote/audit</w:t>
            </w:r>
          </w:p>
        </w:tc>
      </w:tr>
      <w:tr>
        <w:tc>
          <w:tcPr>
            <w:tcW w:type="dxa" w:w="3437"/>
          </w:tcPr>
          <w:p>
            <w:r>
              <w:t>PRICING.CALCULATED</w:t>
            </w:r>
          </w:p>
        </w:tc>
        <w:tc>
          <w:tcPr>
            <w:tcW w:type="dxa" w:w="3437"/>
          </w:tcPr>
          <w:p>
            <w:r>
              <w:t>Pricing</w:t>
            </w:r>
          </w:p>
        </w:tc>
        <w:tc>
          <w:tcPr>
            <w:tcW w:type="dxa" w:w="3437"/>
          </w:tcPr>
          <w:p>
            <w:r>
              <w:t>Quote/audit</w:t>
            </w:r>
          </w:p>
        </w:tc>
      </w:tr>
      <w:tr>
        <w:tc>
          <w:tcPr>
            <w:tcW w:type="dxa" w:w="3437"/>
          </w:tcPr>
          <w:p>
            <w:r>
              <w:t>PRICING.SCENARIO.CREATED</w:t>
            </w:r>
          </w:p>
        </w:tc>
        <w:tc>
          <w:tcPr>
            <w:tcW w:type="dxa" w:w="3437"/>
          </w:tcPr>
          <w:p>
            <w:r>
              <w:t>Pricing</w:t>
            </w:r>
          </w:p>
        </w:tc>
        <w:tc>
          <w:tcPr>
            <w:tcW w:type="dxa" w:w="3437"/>
          </w:tcPr>
          <w:p>
            <w:r>
              <w:t>Audit</w:t>
            </w:r>
          </w:p>
        </w:tc>
      </w:tr>
      <w:tr>
        <w:tc>
          <w:tcPr>
            <w:tcW w:type="dxa" w:w="3437"/>
          </w:tcPr>
          <w:p>
            <w:r>
              <w:t>QUOTE.CREATED</w:t>
            </w:r>
          </w:p>
        </w:tc>
        <w:tc>
          <w:tcPr>
            <w:tcW w:type="dxa" w:w="3437"/>
          </w:tcPr>
          <w:p>
            <w:r>
              <w:t>Quote</w:t>
            </w:r>
          </w:p>
        </w:tc>
        <w:tc>
          <w:tcPr>
            <w:tcW w:type="dxa" w:w="3437"/>
          </w:tcPr>
          <w:p>
            <w:r>
              <w:t>Audit</w:t>
            </w:r>
          </w:p>
        </w:tc>
      </w:tr>
      <w:tr>
        <w:tc>
          <w:tcPr>
            <w:tcW w:type="dxa" w:w="3437"/>
          </w:tcPr>
          <w:p>
            <w:r>
              <w:t>QUOTE.POPULATION.UPDATED</w:t>
            </w:r>
          </w:p>
        </w:tc>
        <w:tc>
          <w:tcPr>
            <w:tcW w:type="dxa" w:w="3437"/>
          </w:tcPr>
          <w:p>
            <w:r>
              <w:t>Quote</w:t>
            </w:r>
          </w:p>
        </w:tc>
        <w:tc>
          <w:tcPr>
            <w:tcW w:type="dxa" w:w="3437"/>
          </w:tcPr>
          <w:p>
            <w:r>
              <w:t>Pricing/audit</w:t>
            </w:r>
          </w:p>
        </w:tc>
      </w:tr>
      <w:tr>
        <w:tc>
          <w:tcPr>
            <w:tcW w:type="dxa" w:w="3437"/>
          </w:tcPr>
          <w:p>
            <w:r>
              <w:t>QUOTE.PRICE.CALCULATED</w:t>
            </w:r>
          </w:p>
        </w:tc>
        <w:tc>
          <w:tcPr>
            <w:tcW w:type="dxa" w:w="3437"/>
          </w:tcPr>
          <w:p>
            <w:r>
              <w:t>Quote/Pricing</w:t>
            </w:r>
          </w:p>
        </w:tc>
        <w:tc>
          <w:tcPr>
            <w:tcW w:type="dxa" w:w="3437"/>
          </w:tcPr>
          <w:p>
            <w:r>
              <w:t>Audit</w:t>
            </w:r>
          </w:p>
        </w:tc>
      </w:tr>
      <w:tr>
        <w:tc>
          <w:tcPr>
            <w:tcW w:type="dxa" w:w="3437"/>
          </w:tcPr>
          <w:p>
            <w:r>
              <w:t>QUOTE.SUBMITTED</w:t>
            </w:r>
          </w:p>
        </w:tc>
        <w:tc>
          <w:tcPr>
            <w:tcW w:type="dxa" w:w="3437"/>
          </w:tcPr>
          <w:p>
            <w:r>
              <w:t>Workflow</w:t>
            </w:r>
          </w:p>
        </w:tc>
        <w:tc>
          <w:tcPr>
            <w:tcW w:type="dxa" w:w="3437"/>
          </w:tcPr>
          <w:p>
            <w:r>
              <w:t>Review/audit</w:t>
            </w:r>
          </w:p>
        </w:tc>
      </w:tr>
      <w:tr>
        <w:tc>
          <w:tcPr>
            <w:tcW w:type="dxa" w:w="3437"/>
          </w:tcPr>
          <w:p>
            <w:r>
              <w:t>QUOTE.APPROVED / REJECTED</w:t>
            </w:r>
          </w:p>
        </w:tc>
        <w:tc>
          <w:tcPr>
            <w:tcW w:type="dxa" w:w="3437"/>
          </w:tcPr>
          <w:p>
            <w:r>
              <w:t>Workflow</w:t>
            </w:r>
          </w:p>
        </w:tc>
        <w:tc>
          <w:tcPr>
            <w:tcW w:type="dxa" w:w="3437"/>
          </w:tcPr>
          <w:p>
            <w:r>
              <w:t>Documents/audit</w:t>
            </w:r>
          </w:p>
        </w:tc>
      </w:tr>
      <w:tr>
        <w:tc>
          <w:tcPr>
            <w:tcW w:type="dxa" w:w="3437"/>
          </w:tcPr>
          <w:p>
            <w:r>
              <w:t>DOCUMENT.GENERATED</w:t>
            </w:r>
          </w:p>
        </w:tc>
        <w:tc>
          <w:tcPr>
            <w:tcW w:type="dxa" w:w="3437"/>
          </w:tcPr>
          <w:p>
            <w:r>
              <w:t>Documents</w:t>
            </w:r>
          </w:p>
        </w:tc>
        <w:tc>
          <w:tcPr>
            <w:tcW w:type="dxa" w:w="3437"/>
          </w:tcPr>
          <w:p>
            <w:r>
              <w:t>Audit</w:t>
            </w:r>
          </w:p>
        </w:tc>
      </w:tr>
      <w:tr>
        <w:tc>
          <w:tcPr>
            <w:tcW w:type="dxa" w:w="3437"/>
          </w:tcPr>
          <w:p>
            <w:r>
              <w:t>OUTBOX.DISPATCHED</w:t>
            </w:r>
          </w:p>
        </w:tc>
        <w:tc>
          <w:tcPr>
            <w:tcW w:type="dxa" w:w="3437"/>
          </w:tcPr>
          <w:p>
            <w:r>
              <w:t>Outbox</w:t>
            </w:r>
          </w:p>
        </w:tc>
        <w:tc>
          <w:tcPr>
            <w:tcW w:type="dxa" w:w="3437"/>
          </w:tcPr>
          <w:p>
            <w:r>
              <w:t>Observability</w:t>
            </w:r>
          </w:p>
        </w:tc>
      </w:tr>
    </w:tbl>
    <w:p>
      <w:r>
        <w:rPr>
          <w:b w:val="0"/>
        </w:rPr>
        <w:t>Routing keys, exchange, queues, DLQ, retry policy, schema version e payload serão fechados no ART-007.</w:t>
      </w:r>
    </w:p>
    <w:p>
      <w:pPr>
        <w:pStyle w:val="Heading1"/>
      </w:pPr>
      <w:r>
        <w:t>20. 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Máquina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Estados V1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Transições</w:t>
            </w:r>
          </w:p>
        </w:tc>
      </w:tr>
      <w:tr>
        <w:tc>
          <w:tcPr>
            <w:tcW w:type="dxa" w:w="3437"/>
          </w:tcPr>
          <w:p>
            <w:r>
              <w:t>Quote</w:t>
            </w:r>
          </w:p>
        </w:tc>
        <w:tc>
          <w:tcPr>
            <w:tcW w:type="dxa" w:w="3437"/>
          </w:tcPr>
          <w:p>
            <w:r>
              <w:t>DRAFT → READY → IN_REVIEW → APPROVED/REJECTED; EXPIRED/CANCELLED quando permitido</w:t>
            </w:r>
          </w:p>
        </w:tc>
        <w:tc>
          <w:tcPr>
            <w:tcW w:type="dxa" w:w="3437"/>
          </w:tcPr>
          <w:p>
            <w:r>
              <w:t>submit; review; approve; reject; expire; cancel</w:t>
            </w:r>
          </w:p>
        </w:tc>
      </w:tr>
      <w:tr>
        <w:tc>
          <w:tcPr>
            <w:tcW w:type="dxa" w:w="3437"/>
          </w:tcPr>
          <w:p>
            <w:r>
              <w:t>Review</w:t>
            </w:r>
          </w:p>
        </w:tc>
        <w:tc>
          <w:tcPr>
            <w:tcW w:type="dxa" w:w="3437"/>
          </w:tcPr>
          <w:p>
            <w:r>
              <w:t>OPEN → IN_PROGRESS → DECIDED/RETURNED</w:t>
            </w:r>
          </w:p>
        </w:tc>
        <w:tc>
          <w:tcPr>
            <w:tcW w:type="dxa" w:w="3437"/>
          </w:tcPr>
          <w:p>
            <w:r>
              <w:t>claim; return; decide</w:t>
            </w:r>
          </w:p>
        </w:tc>
      </w:tr>
      <w:tr>
        <w:tc>
          <w:tcPr>
            <w:tcW w:type="dxa" w:w="3437"/>
          </w:tcPr>
          <w:p>
            <w:r>
              <w:t>Pricing Run</w:t>
            </w:r>
          </w:p>
        </w:tc>
        <w:tc>
          <w:tcPr>
            <w:tcW w:type="dxa" w:w="3437"/>
          </w:tcPr>
          <w:p>
            <w:r>
              <w:t>REQUESTED → CALCULATING → CALCULATED/FAILED</w:t>
            </w:r>
          </w:p>
        </w:tc>
        <w:tc>
          <w:tcPr>
            <w:tcW w:type="dxa" w:w="3437"/>
          </w:tcPr>
          <w:p>
            <w:r>
              <w:t>calculate; fail</w:t>
            </w:r>
          </w:p>
        </w:tc>
      </w:tr>
      <w:tr>
        <w:tc>
          <w:tcPr>
            <w:tcW w:type="dxa" w:w="3437"/>
          </w:tcPr>
          <w:p>
            <w:r>
              <w:t>Document</w:t>
            </w:r>
          </w:p>
        </w:tc>
        <w:tc>
          <w:tcPr>
            <w:tcW w:type="dxa" w:w="3437"/>
          </w:tcPr>
          <w:p>
            <w:r>
              <w:t>REQUESTED → GENERATED/FAILED</w:t>
            </w:r>
          </w:p>
        </w:tc>
        <w:tc>
          <w:tcPr>
            <w:tcW w:type="dxa" w:w="3437"/>
          </w:tcPr>
          <w:p>
            <w:r>
              <w:t>generate</w:t>
            </w:r>
          </w:p>
        </w:tc>
      </w:tr>
    </w:tbl>
    <w:p>
      <w:r>
        <w:rPr>
          <w:b w:val="0"/>
        </w:rPr>
        <w:t>Não criar estados adicionais por conveniência. Qualquer alteração deve actualizar o ART-009 e este backlog por change control.</w:t>
      </w:r>
    </w:p>
    <w:p>
      <w:pPr>
        <w:pStyle w:val="Heading1"/>
      </w:pPr>
      <w:r>
        <w:t>21. Catálogo de erros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HTTP preliminar*</w:t>
            </w:r>
          </w:p>
        </w:tc>
      </w:tr>
      <w:tr>
        <w:tc>
          <w:tcPr>
            <w:tcW w:type="dxa" w:w="3437"/>
          </w:tcPr>
          <w:p>
            <w:r>
              <w:t>AUTH-401</w:t>
            </w:r>
          </w:p>
        </w:tc>
        <w:tc>
          <w:tcPr>
            <w:tcW w:type="dxa" w:w="3437"/>
          </w:tcPr>
          <w:p>
            <w:r>
              <w:t>Não autenticado</w:t>
            </w:r>
          </w:p>
        </w:tc>
        <w:tc>
          <w:tcPr>
            <w:tcW w:type="dxa" w:w="3437"/>
          </w:tcPr>
          <w:p>
            <w:r>
              <w:t>401</w:t>
            </w:r>
          </w:p>
        </w:tc>
      </w:tr>
      <w:tr>
        <w:tc>
          <w:tcPr>
            <w:tcW w:type="dxa" w:w="3437"/>
          </w:tcPr>
          <w:p>
            <w:r>
              <w:t>AUTH-403</w:t>
            </w:r>
          </w:p>
        </w:tc>
        <w:tc>
          <w:tcPr>
            <w:tcW w:type="dxa" w:w="3437"/>
          </w:tcPr>
          <w:p>
            <w:r>
              <w:t>Sem permissão</w:t>
            </w:r>
          </w:p>
        </w:tc>
        <w:tc>
          <w:tcPr>
            <w:tcW w:type="dxa" w:w="3437"/>
          </w:tcPr>
          <w:p>
            <w:r>
              <w:t>403</w:t>
            </w:r>
          </w:p>
        </w:tc>
      </w:tr>
      <w:tr>
        <w:tc>
          <w:tcPr>
            <w:tcW w:type="dxa" w:w="3437"/>
          </w:tcPr>
          <w:p>
            <w:r>
              <w:t>SEC-403</w:t>
            </w:r>
          </w:p>
        </w:tc>
        <w:tc>
          <w:tcPr>
            <w:tcW w:type="dxa" w:w="3437"/>
          </w:tcPr>
          <w:p>
            <w:r>
              <w:t>Cross-tenant/denied</w:t>
            </w:r>
          </w:p>
        </w:tc>
        <w:tc>
          <w:tcPr>
            <w:tcW w:type="dxa" w:w="3437"/>
          </w:tcPr>
          <w:p>
            <w:r>
              <w:t>403/404*</w:t>
            </w:r>
          </w:p>
        </w:tc>
      </w:tr>
      <w:tr>
        <w:tc>
          <w:tcPr>
            <w:tcW w:type="dxa" w:w="3437"/>
          </w:tcPr>
          <w:p>
            <w:r>
              <w:t>VALIDATION-400</w:t>
            </w:r>
          </w:p>
        </w:tc>
        <w:tc>
          <w:tcPr>
            <w:tcW w:type="dxa" w:w="3437"/>
          </w:tcPr>
          <w:p>
            <w:r>
              <w:t>Input inválido</w:t>
            </w:r>
          </w:p>
        </w:tc>
        <w:tc>
          <w:tcPr>
            <w:tcW w:type="dxa" w:w="3437"/>
          </w:tcPr>
          <w:p>
            <w:r>
              <w:t>400</w:t>
            </w:r>
          </w:p>
        </w:tc>
      </w:tr>
      <w:tr>
        <w:tc>
          <w:tcPr>
            <w:tcW w:type="dxa" w:w="3437"/>
          </w:tcPr>
          <w:p>
            <w:r>
              <w:t>VERSION-CONFLICT</w:t>
            </w:r>
          </w:p>
        </w:tc>
        <w:tc>
          <w:tcPr>
            <w:tcW w:type="dxa" w:w="3437"/>
          </w:tcPr>
          <w:p>
            <w:r>
              <w:t>Versão incompatível</w:t>
            </w:r>
          </w:p>
        </w:tc>
        <w:tc>
          <w:tcPr>
            <w:tcW w:type="dxa" w:w="3437"/>
          </w:tcPr>
          <w:p>
            <w:r>
              <w:t>409</w:t>
            </w:r>
          </w:p>
        </w:tc>
      </w:tr>
      <w:tr>
        <w:tc>
          <w:tcPr>
            <w:tcW w:type="dxa" w:w="3437"/>
          </w:tcPr>
          <w:p>
            <w:r>
              <w:t>QUOTE-STATE</w:t>
            </w:r>
          </w:p>
        </w:tc>
        <w:tc>
          <w:tcPr>
            <w:tcW w:type="dxa" w:w="3437"/>
          </w:tcPr>
          <w:p>
            <w:r>
              <w:t>Transição não permitida</w:t>
            </w:r>
          </w:p>
        </w:tc>
        <w:tc>
          <w:tcPr>
            <w:tcW w:type="dxa" w:w="3437"/>
          </w:tcPr>
          <w:p>
            <w:r>
              <w:t>409</w:t>
            </w:r>
          </w:p>
        </w:tc>
      </w:tr>
      <w:tr>
        <w:tc>
          <w:tcPr>
            <w:tcW w:type="dxa" w:w="3437"/>
          </w:tcPr>
          <w:p>
            <w:r>
              <w:t>PRICING-CONFIG</w:t>
            </w:r>
          </w:p>
        </w:tc>
        <w:tc>
          <w:tcPr>
            <w:tcW w:type="dxa" w:w="3437"/>
          </w:tcPr>
          <w:p>
            <w:r>
              <w:t>Configuração inválida/ausente</w:t>
            </w:r>
          </w:p>
        </w:tc>
        <w:tc>
          <w:tcPr>
            <w:tcW w:type="dxa" w:w="3437"/>
          </w:tcPr>
          <w:p>
            <w:r>
              <w:t>422</w:t>
            </w:r>
          </w:p>
        </w:tc>
      </w:tr>
      <w:tr>
        <w:tc>
          <w:tcPr>
            <w:tcW w:type="dxa" w:w="3437"/>
          </w:tcPr>
          <w:p>
            <w:r>
              <w:t>PRICING-FAILED</w:t>
            </w:r>
          </w:p>
        </w:tc>
        <w:tc>
          <w:tcPr>
            <w:tcW w:type="dxa" w:w="3437"/>
          </w:tcPr>
          <w:p>
            <w:r>
              <w:t>Cálculo falhou</w:t>
            </w:r>
          </w:p>
        </w:tc>
        <w:tc>
          <w:tcPr>
            <w:tcW w:type="dxa" w:w="3437"/>
          </w:tcPr>
          <w:p>
            <w:r>
              <w:t>422/500*</w:t>
            </w:r>
          </w:p>
        </w:tc>
      </w:tr>
      <w:tr>
        <w:tc>
          <w:tcPr>
            <w:tcW w:type="dxa" w:w="3437"/>
          </w:tcPr>
          <w:p>
            <w:r>
              <w:t>IDEMP-REPLAY</w:t>
            </w:r>
          </w:p>
        </w:tc>
        <w:tc>
          <w:tcPr>
            <w:tcW w:type="dxa" w:w="3437"/>
          </w:tcPr>
          <w:p>
            <w:r>
              <w:t>Request já processado</w:t>
            </w:r>
          </w:p>
        </w:tc>
        <w:tc>
          <w:tcPr>
            <w:tcW w:type="dxa" w:w="3437"/>
          </w:tcPr>
          <w:p>
            <w:r>
              <w:t>200/409*</w:t>
            </w:r>
          </w:p>
        </w:tc>
      </w:tr>
      <w:tr>
        <w:tc>
          <w:tcPr>
            <w:tcW w:type="dxa" w:w="3437"/>
          </w:tcPr>
          <w:p>
            <w:r>
              <w:t>NOT-FOUND</w:t>
            </w:r>
          </w:p>
        </w:tc>
        <w:tc>
          <w:tcPr>
            <w:tcW w:type="dxa" w:w="3437"/>
          </w:tcPr>
          <w:p>
            <w:r>
              <w:t>Recurso inexistente</w:t>
            </w:r>
          </w:p>
        </w:tc>
        <w:tc>
          <w:tcPr>
            <w:tcW w:type="dxa" w:w="3437"/>
          </w:tcPr>
          <w:p>
            <w:r>
              <w:t>404</w:t>
            </w:r>
          </w:p>
        </w:tc>
      </w:tr>
      <w:tr>
        <w:tc>
          <w:tcPr>
            <w:tcW w:type="dxa" w:w="3437"/>
          </w:tcPr>
          <w:p>
            <w:r>
              <w:t>CONFLICT</w:t>
            </w:r>
          </w:p>
        </w:tc>
        <w:tc>
          <w:tcPr>
            <w:tcW w:type="dxa" w:w="3437"/>
          </w:tcPr>
          <w:p>
            <w:r>
              <w:t>Concorrência/conflito</w:t>
            </w:r>
          </w:p>
        </w:tc>
        <w:tc>
          <w:tcPr>
            <w:tcW w:type="dxa" w:w="3437"/>
          </w:tcPr>
          <w:p>
            <w:r>
              <w:t>409</w:t>
            </w:r>
          </w:p>
        </w:tc>
      </w:tr>
      <w:tr>
        <w:tc>
          <w:tcPr>
            <w:tcW w:type="dxa" w:w="3437"/>
          </w:tcPr>
          <w:p>
            <w:r>
              <w:t>RATE-LIMIT</w:t>
            </w:r>
          </w:p>
        </w:tc>
        <w:tc>
          <w:tcPr>
            <w:tcW w:type="dxa" w:w="3437"/>
          </w:tcPr>
          <w:p>
            <w:r>
              <w:t>Limite excedido</w:t>
            </w:r>
          </w:p>
        </w:tc>
        <w:tc>
          <w:tcPr>
            <w:tcW w:type="dxa" w:w="3437"/>
          </w:tcPr>
          <w:p>
            <w:r>
              <w:t>429</w:t>
            </w:r>
          </w:p>
        </w:tc>
      </w:tr>
    </w:tbl>
    <w:p>
      <w:r>
        <w:rPr>
          <w:b w:val="0"/>
        </w:rPr>
        <w:t>*O ART-006 prevalece sobre estes valores preliminares quando fechar o contrato HTTP.</w:t>
      </w:r>
    </w:p>
    <w:p>
      <w:pPr>
        <w:pStyle w:val="Heading1"/>
      </w:pPr>
      <w:r>
        <w:t>22. Definition of Ready / Definition of Done</w:t>
      </w:r>
    </w:p>
    <w:p>
      <w:pPr>
        <w:pStyle w:val="Heading2"/>
      </w:pPr>
      <w:r>
        <w:t>22.1 DoR</w:t>
      </w:r>
    </w:p>
    <w:p>
      <w:pPr>
        <w:pStyle w:val="ListBullet"/>
      </w:pPr>
      <w:r>
        <w:t>ID, actor, objectivo e acceptance criteria definidos.</w:t>
      </w:r>
    </w:p>
    <w:p>
      <w:pPr>
        <w:pStyle w:val="ListBullet"/>
      </w:pPr>
      <w:r>
        <w:t>Dependências e bloqueadores identificados.</w:t>
      </w:r>
    </w:p>
    <w:p>
      <w:pPr>
        <w:pStyle w:val="ListBullet"/>
      </w:pPr>
      <w:r>
        <w:t>Campos, estados e decisões necessários têm fonte de autoridade.</w:t>
      </w:r>
    </w:p>
    <w:p>
      <w:pPr>
        <w:pStyle w:val="ListBullet"/>
      </w:pPr>
      <w:r>
        <w:t>Não há valores comerciais inventados.</w:t>
      </w:r>
    </w:p>
    <w:p>
      <w:pPr>
        <w:pStyle w:val="ListBullet"/>
      </w:pPr>
      <w:r>
        <w:t>Dados sintéticos de teste disponíveis.</w:t>
      </w:r>
    </w:p>
    <w:p>
      <w:pPr>
        <w:pStyle w:val="ListBullet"/>
      </w:pPr>
      <w:r>
        <w:t>Security/audit definidos quando aplicáveis.</w:t>
      </w:r>
    </w:p>
    <w:p>
      <w:pPr>
        <w:pStyle w:val="Heading2"/>
      </w:pPr>
      <w:r>
        <w:t>22.2 DoD</w:t>
      </w:r>
    </w:p>
    <w:p>
      <w:pPr>
        <w:pStyle w:val="ListBullet"/>
      </w:pPr>
      <w:r>
        <w:t>Todos os acceptance criteria satisfeitos.</w:t>
      </w:r>
    </w:p>
    <w:p>
      <w:pPr>
        <w:pStyle w:val="ListBullet"/>
      </w:pPr>
      <w:r>
        <w:t>Testes relevantes automatizados e verdes.</w:t>
      </w:r>
    </w:p>
    <w:p>
      <w:pPr>
        <w:pStyle w:val="ListBullet"/>
      </w:pPr>
      <w:r>
        <w:t>Sem findings críticos de segurança.</w:t>
      </w:r>
    </w:p>
    <w:p>
      <w:pPr>
        <w:pStyle w:val="ListBullet"/>
      </w:pPr>
      <w:r>
        <w:t>Migration repetível e validada.</w:t>
      </w:r>
    </w:p>
    <w:p>
      <w:pPr>
        <w:pStyle w:val="ListBullet"/>
      </w:pPr>
      <w:r>
        <w:t>OpenAPI/event contract actualizado quando aplicável.</w:t>
      </w:r>
    </w:p>
    <w:p>
      <w:pPr>
        <w:pStyle w:val="ListBullet"/>
      </w:pPr>
      <w:r>
        <w:t>Audit/observability implementados quando exigidos.</w:t>
      </w:r>
    </w:p>
    <w:p>
      <w:pPr>
        <w:pStyle w:val="ListBullet"/>
      </w:pPr>
      <w:r>
        <w:t>Code review concluído.</w:t>
      </w:r>
    </w:p>
    <w:p>
      <w:pPr>
        <w:pStyle w:val="ListBullet"/>
      </w:pPr>
      <w:r>
        <w:t>QA com evidência.</w:t>
      </w:r>
    </w:p>
    <w:p>
      <w:pPr>
        <w:pStyle w:val="ListBullet"/>
      </w:pPr>
      <w:r>
        <w:t>Traceability actualizada.</w:t>
      </w:r>
    </w:p>
    <w:p>
      <w:pPr>
        <w:pStyle w:val="Heading1"/>
      </w:pPr>
      <w:r>
        <w:t>23. Dependências e sequência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Bloqueadores principais</w:t>
            </w:r>
          </w:p>
        </w:tc>
      </w:tr>
      <w:tr>
        <w:tc>
          <w:tcPr>
            <w:tcW w:type="dxa" w:w="5156"/>
          </w:tcPr>
          <w:p>
            <w:r>
              <w:t>S1</w:t>
            </w:r>
          </w:p>
        </w:tc>
        <w:tc>
          <w:tcPr>
            <w:tcW w:type="dxa" w:w="5156"/>
          </w:tcPr>
          <w:p>
            <w:r>
              <w:t>Nenhum</w:t>
            </w:r>
          </w:p>
        </w:tc>
      </w:tr>
      <w:tr>
        <w:tc>
          <w:tcPr>
            <w:tcW w:type="dxa" w:w="5156"/>
          </w:tcPr>
          <w:p>
            <w:r>
              <w:t>S2</w:t>
            </w:r>
          </w:p>
        </w:tc>
        <w:tc>
          <w:tcPr>
            <w:tcW w:type="dxa" w:w="5156"/>
          </w:tcPr>
          <w:p>
            <w:r>
              <w:t>S1</w:t>
            </w:r>
          </w:p>
        </w:tc>
      </w:tr>
      <w:tr>
        <w:tc>
          <w:tcPr>
            <w:tcW w:type="dxa" w:w="5156"/>
          </w:tcPr>
          <w:p>
            <w:r>
              <w:t>S3</w:t>
            </w:r>
          </w:p>
        </w:tc>
        <w:tc>
          <w:tcPr>
            <w:tcW w:type="dxa" w:w="5156"/>
          </w:tcPr>
          <w:p>
            <w:r>
              <w:t>S1 + S2</w:t>
            </w:r>
          </w:p>
        </w:tc>
      </w:tr>
      <w:tr>
        <w:tc>
          <w:tcPr>
            <w:tcW w:type="dxa" w:w="5156"/>
          </w:tcPr>
          <w:p>
            <w:r>
              <w:t>S4</w:t>
            </w:r>
          </w:p>
        </w:tc>
        <w:tc>
          <w:tcPr>
            <w:tcW w:type="dxa" w:w="5156"/>
          </w:tcPr>
          <w:p>
            <w:r>
              <w:t>S2 + S3</w:t>
            </w:r>
          </w:p>
        </w:tc>
      </w:tr>
      <w:tr>
        <w:tc>
          <w:tcPr>
            <w:tcW w:type="dxa" w:w="5156"/>
          </w:tcPr>
          <w:p>
            <w:r>
              <w:t>S5</w:t>
            </w:r>
          </w:p>
        </w:tc>
        <w:tc>
          <w:tcPr>
            <w:tcW w:type="dxa" w:w="5156"/>
          </w:tcPr>
          <w:p>
            <w:r>
              <w:t>S4</w:t>
            </w:r>
          </w:p>
        </w:tc>
      </w:tr>
      <w:tr>
        <w:tc>
          <w:tcPr>
            <w:tcW w:type="dxa" w:w="5156"/>
          </w:tcPr>
          <w:p>
            <w:r>
              <w:t>S6</w:t>
            </w:r>
          </w:p>
        </w:tc>
        <w:tc>
          <w:tcPr>
            <w:tcW w:type="dxa" w:w="5156"/>
          </w:tcPr>
          <w:p>
            <w:r>
              <w:t>S2 + S3 + S4 + S5</w:t>
            </w:r>
          </w:p>
        </w:tc>
      </w:tr>
      <w:tr>
        <w:tc>
          <w:tcPr>
            <w:tcW w:type="dxa" w:w="5156"/>
          </w:tcPr>
          <w:p>
            <w:r>
              <w:t>S7</w:t>
            </w:r>
          </w:p>
        </w:tc>
        <w:tc>
          <w:tcPr>
            <w:tcW w:type="dxa" w:w="5156"/>
          </w:tcPr>
          <w:p>
            <w:r>
              <w:t>S6</w:t>
            </w:r>
          </w:p>
        </w:tc>
      </w:tr>
      <w:tr>
        <w:tc>
          <w:tcPr>
            <w:tcW w:type="dxa" w:w="5156"/>
          </w:tcPr>
          <w:p>
            <w:r>
              <w:t>S8</w:t>
            </w:r>
          </w:p>
        </w:tc>
        <w:tc>
          <w:tcPr>
            <w:tcW w:type="dxa" w:w="5156"/>
          </w:tcPr>
          <w:p>
            <w:r>
              <w:t>S7</w:t>
            </w:r>
          </w:p>
        </w:tc>
      </w:tr>
      <w:tr>
        <w:tc>
          <w:tcPr>
            <w:tcW w:type="dxa" w:w="5156"/>
          </w:tcPr>
          <w:p>
            <w:r>
              <w:t>S9</w:t>
            </w:r>
          </w:p>
        </w:tc>
        <w:tc>
          <w:tcPr>
            <w:tcW w:type="dxa" w:w="5156"/>
          </w:tcPr>
          <w:p>
            <w:r>
              <w:t>S1–S8</w:t>
            </w:r>
          </w:p>
        </w:tc>
      </w:tr>
      <w:tr>
        <w:tc>
          <w:tcPr>
            <w:tcW w:type="dxa" w:w="5156"/>
          </w:tcPr>
          <w:p>
            <w:r>
              <w:t>S10</w:t>
            </w:r>
          </w:p>
        </w:tc>
        <w:tc>
          <w:tcPr>
            <w:tcW w:type="dxa" w:w="5156"/>
          </w:tcPr>
          <w:p>
            <w:r>
              <w:t>S1–S9</w:t>
            </w:r>
          </w:p>
        </w:tc>
      </w:tr>
      <w:tr>
        <w:tc>
          <w:tcPr>
            <w:tcW w:type="dxa" w:w="5156"/>
          </w:tcPr>
          <w:p>
            <w:r>
              <w:t>S11</w:t>
            </w:r>
          </w:p>
        </w:tc>
        <w:tc>
          <w:tcPr>
            <w:tcW w:type="dxa" w:w="5156"/>
          </w:tcPr>
          <w:p>
            <w:r>
              <w:t>S1–S10</w:t>
            </w:r>
          </w:p>
        </w:tc>
      </w:tr>
    </w:tbl>
    <w:p>
      <w:pPr>
        <w:pStyle w:val="Heading1"/>
      </w:pPr>
      <w:r>
        <w:t>24. Open Decisions — não inventar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3437"/>
            <w:shd w:fill="17365D"/>
          </w:tcPr>
          <w:p>
            <w:r>
              <w:rPr>
                <w:b/>
                <w:color w:val="FFFFFF"/>
              </w:rPr>
              <w:t>Impacto</w:t>
            </w:r>
          </w:p>
        </w:tc>
      </w:tr>
      <w:tr>
        <w:tc>
          <w:tcPr>
            <w:tcW w:type="dxa" w:w="3437"/>
          </w:tcPr>
          <w:p>
            <w:r>
              <w:t>OD-001</w:t>
            </w:r>
          </w:p>
        </w:tc>
        <w:tc>
          <w:tcPr>
            <w:tcW w:type="dxa" w:w="3437"/>
          </w:tcPr>
          <w:p>
            <w:r>
              <w:t>Tarifário oficial inicial V1</w:t>
            </w:r>
          </w:p>
        </w:tc>
        <w:tc>
          <w:tcPr>
            <w:tcW w:type="dxa" w:w="3437"/>
          </w:tcPr>
          <w:p>
            <w:r>
              <w:t>Seed + Golden</w:t>
            </w:r>
          </w:p>
        </w:tc>
      </w:tr>
      <w:tr>
        <w:tc>
          <w:tcPr>
            <w:tcW w:type="dxa" w:w="3437"/>
          </w:tcPr>
          <w:p>
            <w:r>
              <w:t>OD-002</w:t>
            </w:r>
          </w:p>
        </w:tc>
        <w:tc>
          <w:tcPr>
            <w:tcW w:type="dxa" w:w="3437"/>
          </w:tcPr>
          <w:p>
            <w:r>
              <w:t>Moeda e arredondamento</w:t>
            </w:r>
          </w:p>
        </w:tc>
        <w:tc>
          <w:tcPr>
            <w:tcW w:type="dxa" w:w="3437"/>
          </w:tcPr>
          <w:p>
            <w:r>
              <w:t>Pricing</w:t>
            </w:r>
          </w:p>
        </w:tc>
      </w:tr>
      <w:tr>
        <w:tc>
          <w:tcPr>
            <w:tcW w:type="dxa" w:w="3437"/>
          </w:tcPr>
          <w:p>
            <w:r>
              <w:t>OD-003</w:t>
            </w:r>
          </w:p>
        </w:tc>
        <w:tc>
          <w:tcPr>
            <w:tcW w:type="dxa" w:w="3437"/>
          </w:tcPr>
          <w:p>
            <w:r>
              <w:t>Campos exactos proponente/membro</w:t>
            </w:r>
          </w:p>
        </w:tc>
        <w:tc>
          <w:tcPr>
            <w:tcW w:type="dxa" w:w="3437"/>
          </w:tcPr>
          <w:p>
            <w:r>
              <w:t>DB/API/UI</w:t>
            </w:r>
          </w:p>
        </w:tc>
      </w:tr>
      <w:tr>
        <w:tc>
          <w:tcPr>
            <w:tcW w:type="dxa" w:w="3437"/>
          </w:tcPr>
          <w:p>
            <w:r>
              <w:t>OD-004</w:t>
            </w:r>
          </w:p>
        </w:tc>
        <w:tc>
          <w:tcPr>
            <w:tcW w:type="dxa" w:w="3437"/>
          </w:tcPr>
          <w:p>
            <w:r>
              <w:t>Critérios de elegibilidade V1</w:t>
            </w:r>
          </w:p>
        </w:tc>
        <w:tc>
          <w:tcPr>
            <w:tcW w:type="dxa" w:w="3437"/>
          </w:tcPr>
          <w:p>
            <w:r>
              <w:t>Eligibility/Drools</w:t>
            </w:r>
          </w:p>
        </w:tc>
      </w:tr>
      <w:tr>
        <w:tc>
          <w:tcPr>
            <w:tcW w:type="dxa" w:w="3437"/>
          </w:tcPr>
          <w:p>
            <w:r>
              <w:t>OD-005</w:t>
            </w:r>
          </w:p>
        </w:tc>
        <w:tc>
          <w:tcPr>
            <w:tcW w:type="dxa" w:w="3437"/>
          </w:tcPr>
          <w:p>
            <w:r>
              <w:t>Authorities e limites de aprovação</w:t>
            </w:r>
          </w:p>
        </w:tc>
        <w:tc>
          <w:tcPr>
            <w:tcW w:type="dxa" w:w="3437"/>
          </w:tcPr>
          <w:p>
            <w:r>
              <w:t>Workflow</w:t>
            </w:r>
          </w:p>
        </w:tc>
      </w:tr>
      <w:tr>
        <w:tc>
          <w:tcPr>
            <w:tcW w:type="dxa" w:w="3437"/>
          </w:tcPr>
          <w:p>
            <w:r>
              <w:t>OD-006</w:t>
            </w:r>
          </w:p>
        </w:tc>
        <w:tc>
          <w:tcPr>
            <w:tcW w:type="dxa" w:w="3437"/>
          </w:tcPr>
          <w:p>
            <w:r>
              <w:t>Template oficial da proposta</w:t>
            </w:r>
          </w:p>
        </w:tc>
        <w:tc>
          <w:tcPr>
            <w:tcW w:type="dxa" w:w="3437"/>
          </w:tcPr>
          <w:p>
            <w:r>
              <w:t>Documents</w:t>
            </w:r>
          </w:p>
        </w:tc>
      </w:tr>
      <w:tr>
        <w:tc>
          <w:tcPr>
            <w:tcW w:type="dxa" w:w="3437"/>
          </w:tcPr>
          <w:p>
            <w:r>
              <w:t>OD-007</w:t>
            </w:r>
          </w:p>
        </w:tc>
        <w:tc>
          <w:tcPr>
            <w:tcW w:type="dxa" w:w="3437"/>
          </w:tcPr>
          <w:p>
            <w:r>
              <w:t>Política de numbering</w:t>
            </w:r>
          </w:p>
        </w:tc>
        <w:tc>
          <w:tcPr>
            <w:tcW w:type="dxa" w:w="3437"/>
          </w:tcPr>
          <w:p>
            <w:r>
              <w:t>Emission</w:t>
            </w:r>
          </w:p>
        </w:tc>
      </w:tr>
      <w:tr>
        <w:tc>
          <w:tcPr>
            <w:tcW w:type="dxa" w:w="3437"/>
          </w:tcPr>
          <w:p>
            <w:r>
              <w:t>OD-008</w:t>
            </w:r>
          </w:p>
        </w:tc>
        <w:tc>
          <w:tcPr>
            <w:tcW w:type="dxa" w:w="3437"/>
          </w:tcPr>
          <w:p>
            <w:r>
              <w:t>Thresholds de performance</w:t>
            </w:r>
          </w:p>
        </w:tc>
        <w:tc>
          <w:tcPr>
            <w:tcW w:type="dxa" w:w="3437"/>
          </w:tcPr>
          <w:p>
            <w:r>
              <w:t>Hardening</w:t>
            </w:r>
          </w:p>
        </w:tc>
      </w:tr>
      <w:tr>
        <w:tc>
          <w:tcPr>
            <w:tcW w:type="dxa" w:w="3437"/>
          </w:tcPr>
          <w:p>
            <w:r>
              <w:t>OD-009</w:t>
            </w:r>
          </w:p>
        </w:tc>
        <w:tc>
          <w:tcPr>
            <w:tcW w:type="dxa" w:w="3437"/>
          </w:tcPr>
          <w:p>
            <w:r>
              <w:t>Provider OIDC e claims</w:t>
            </w:r>
          </w:p>
        </w:tc>
        <w:tc>
          <w:tcPr>
            <w:tcW w:type="dxa" w:w="3437"/>
          </w:tcPr>
          <w:p>
            <w:r>
              <w:t>Security</w:t>
            </w:r>
          </w:p>
        </w:tc>
      </w:tr>
      <w:tr>
        <w:tc>
          <w:tcPr>
            <w:tcW w:type="dxa" w:w="3437"/>
          </w:tcPr>
          <w:p>
            <w:r>
              <w:t>OD-010</w:t>
            </w:r>
          </w:p>
        </w:tc>
        <w:tc>
          <w:tcPr>
            <w:tcW w:type="dxa" w:w="3437"/>
          </w:tcPr>
          <w:p>
            <w:r>
              <w:t>Topologia RabbitMQ</w:t>
            </w:r>
          </w:p>
        </w:tc>
        <w:tc>
          <w:tcPr>
            <w:tcW w:type="dxa" w:w="3437"/>
          </w:tcPr>
          <w:p>
            <w:r>
              <w:t>Integration</w:t>
            </w:r>
          </w:p>
        </w:tc>
      </w:tr>
    </w:tbl>
    <w:p>
      <w:r>
        <w:rPr>
          <w:b w:val="0"/>
        </w:rPr>
        <w:t>Enquanto uma OD estiver OPEN, implementar apenas estruturas parametrizáveis e fixtures temporárias explicitamente identificadas.</w:t>
      </w:r>
    </w:p>
    <w:p>
      <w:pPr>
        <w:pStyle w:val="Heading1"/>
      </w:pPr>
      <w:r>
        <w:t>25. V2 — backlog explicitamente excluído</w:t>
      </w:r>
    </w:p>
    <w:p>
      <w:pPr>
        <w:pStyle w:val="ListBullet"/>
      </w:pPr>
      <w:r>
        <w:t>Subscrição médica avançada e scoring clínico complexo.</w:t>
      </w:r>
    </w:p>
    <w:p>
      <w:pPr>
        <w:pStyle w:val="ListBullet"/>
      </w:pPr>
      <w:r>
        <w:t>Claims intelligence, fraude/FWA e predictive analytics.</w:t>
      </w:r>
    </w:p>
    <w:p>
      <w:pPr>
        <w:pStyle w:val="ListBullet"/>
      </w:pPr>
      <w:r>
        <w:t>FHIR/ICD avançado e interoperabilidade clínica profunda.</w:t>
      </w:r>
    </w:p>
    <w:p>
      <w:pPr>
        <w:pStyle w:val="ListBullet"/>
      </w:pPr>
      <w:r>
        <w:t>TPA operacional avançada e adjudicação.</w:t>
      </w:r>
    </w:p>
    <w:p>
      <w:pPr>
        <w:pStyle w:val="ListBullet"/>
      </w:pPr>
      <w:r>
        <w:t>Rede de prestadores e optimização geográfica.</w:t>
      </w:r>
    </w:p>
    <w:p>
      <w:pPr>
        <w:pStyle w:val="ListBullet"/>
      </w:pPr>
      <w:r>
        <w:t>Resseguro técnico, treaty e facultative workflows.</w:t>
      </w:r>
    </w:p>
    <w:p>
      <w:pPr>
        <w:pStyle w:val="ListBullet"/>
      </w:pPr>
      <w:r>
        <w:t>Renewal intelligence e repricing actuarial avançado.</w:t>
      </w:r>
    </w:p>
    <w:p>
      <w:pPr>
        <w:pStyle w:val="ListBullet"/>
      </w:pPr>
      <w:r>
        <w:t>Machine learning e pricing adaptativo.</w:t>
      </w:r>
    </w:p>
    <w:p>
      <w:pPr>
        <w:pStyle w:val="Heading1"/>
      </w:pPr>
      <w:r>
        <w:t>26. Release cut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Condição</w:t>
            </w:r>
          </w:p>
        </w:tc>
      </w:tr>
      <w:tr>
        <w:tc>
          <w:tcPr>
            <w:tcW w:type="dxa" w:w="5156"/>
          </w:tcPr>
          <w:p>
            <w:r>
              <w:t>G0</w:t>
            </w:r>
          </w:p>
        </w:tc>
        <w:tc>
          <w:tcPr>
            <w:tcW w:type="dxa" w:w="5156"/>
          </w:tcPr>
          <w:p>
            <w:r>
              <w:t>DOC-000/001/002/003 baseline formalmente aceite</w:t>
            </w:r>
          </w:p>
        </w:tc>
      </w:tr>
      <w:tr>
        <w:tc>
          <w:tcPr>
            <w:tcW w:type="dxa" w:w="5156"/>
          </w:tcPr>
          <w:p>
            <w:r>
              <w:t>G1</w:t>
            </w:r>
          </w:p>
        </w:tc>
        <w:tc>
          <w:tcPr>
            <w:tcW w:type="dxa" w:w="5156"/>
          </w:tcPr>
          <w:p>
            <w:r>
              <w:t>S1–S3 concluídos; foundation, security e dados base</w:t>
            </w:r>
          </w:p>
        </w:tc>
      </w:tr>
      <w:tr>
        <w:tc>
          <w:tcPr>
            <w:tcW w:type="dxa" w:w="5156"/>
          </w:tcPr>
          <w:p>
            <w:r>
              <w:t>G2</w:t>
            </w:r>
          </w:p>
        </w:tc>
        <w:tc>
          <w:tcPr>
            <w:tcW w:type="dxa" w:w="5156"/>
          </w:tcPr>
          <w:p>
            <w:r>
              <w:t>S4–S6; pricing determinístico + quote end-to-end</w:t>
            </w:r>
          </w:p>
        </w:tc>
      </w:tr>
      <w:tr>
        <w:tc>
          <w:tcPr>
            <w:tcW w:type="dxa" w:w="5156"/>
          </w:tcPr>
          <w:p>
            <w:r>
              <w:t>G3</w:t>
            </w:r>
          </w:p>
        </w:tc>
        <w:tc>
          <w:tcPr>
            <w:tcW w:type="dxa" w:w="5156"/>
          </w:tcPr>
          <w:p>
            <w:r>
              <w:t>S7–S8; decisão + proposta</w:t>
            </w:r>
          </w:p>
        </w:tc>
      </w:tr>
      <w:tr>
        <w:tc>
          <w:tcPr>
            <w:tcW w:type="dxa" w:w="5156"/>
          </w:tcPr>
          <w:p>
            <w:r>
              <w:t>G4</w:t>
            </w:r>
          </w:p>
        </w:tc>
        <w:tc>
          <w:tcPr>
            <w:tcW w:type="dxa" w:w="5156"/>
          </w:tcPr>
          <w:p>
            <w:r>
              <w:t>S9–S10; contratos + integração + hardening</w:t>
            </w:r>
          </w:p>
        </w:tc>
      </w:tr>
      <w:tr>
        <w:tc>
          <w:tcPr>
            <w:tcW w:type="dxa" w:w="5156"/>
          </w:tcPr>
          <w:p>
            <w:r>
              <w:t>G5</w:t>
            </w:r>
          </w:p>
        </w:tc>
        <w:tc>
          <w:tcPr>
            <w:tcW w:type="dxa" w:w="5156"/>
          </w:tcPr>
          <w:p>
            <w:r>
              <w:t>S11; Golden, UAT, RC e handoff</w:t>
            </w:r>
          </w:p>
        </w:tc>
      </w:tr>
    </w:tbl>
    <w:p>
      <w:pPr>
        <w:pStyle w:val="Heading1"/>
      </w:pPr>
      <w:r>
        <w:t>27. O que este backlog autoriza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Artefacto seguinte</w:t>
            </w:r>
          </w:p>
        </w:tc>
        <w:tc>
          <w:tcPr>
            <w:tcW w:type="dxa" w:w="5156"/>
            <w:shd w:fill="17365D"/>
          </w:tcPr>
          <w:p>
            <w:r>
              <w:rPr>
                <w:b/>
                <w:color w:val="FFFFFF"/>
              </w:rPr>
              <w:t>Regra</w:t>
            </w:r>
          </w:p>
        </w:tc>
      </w:tr>
      <w:tr>
        <w:tc>
          <w:tcPr>
            <w:tcW w:type="dxa" w:w="5156"/>
          </w:tcPr>
          <w:p>
            <w:r>
              <w:t>DOC-004 Engineering Specification Pack</w:t>
            </w:r>
          </w:p>
        </w:tc>
        <w:tc>
          <w:tcPr>
            <w:tcW w:type="dxa" w:w="5156"/>
          </w:tcPr>
          <w:p>
            <w:r>
              <w:t>Derivar arquitectura e implementação das histórias V1</w:t>
            </w:r>
          </w:p>
        </w:tc>
      </w:tr>
      <w:tr>
        <w:tc>
          <w:tcPr>
            <w:tcW w:type="dxa" w:w="5156"/>
          </w:tcPr>
          <w:p>
            <w:r>
              <w:t>ART-005 DDL PostgreSQL</w:t>
            </w:r>
          </w:p>
        </w:tc>
        <w:tc>
          <w:tcPr>
            <w:tcW w:type="dxa" w:w="5156"/>
          </w:tcPr>
          <w:p>
            <w:r>
              <w:t>Só depois de consolidar entidades, campos e constraints</w:t>
            </w:r>
          </w:p>
        </w:tc>
      </w:tr>
      <w:tr>
        <w:tc>
          <w:tcPr>
            <w:tcW w:type="dxa" w:w="5156"/>
          </w:tcPr>
          <w:p>
            <w:r>
              <w:t>ART-006 OpenAPI</w:t>
            </w:r>
          </w:p>
        </w:tc>
        <w:tc>
          <w:tcPr>
            <w:tcW w:type="dxa" w:w="5156"/>
          </w:tcPr>
          <w:p>
            <w:r>
              <w:t>Consolidar endpoints, schemas, errors e security</w:t>
            </w:r>
          </w:p>
        </w:tc>
      </w:tr>
      <w:tr>
        <w:tc>
          <w:tcPr>
            <w:tcW w:type="dxa" w:w="5156"/>
          </w:tcPr>
          <w:p>
            <w:r>
              <w:t>ART-007 RabbitMQ</w:t>
            </w:r>
          </w:p>
        </w:tc>
        <w:tc>
          <w:tcPr>
            <w:tcW w:type="dxa" w:w="5156"/>
          </w:tcPr>
          <w:p>
            <w:r>
              <w:t>Consolidar eventos, routing, retry e DLQ</w:t>
            </w:r>
          </w:p>
        </w:tc>
      </w:tr>
      <w:tr>
        <w:tc>
          <w:tcPr>
            <w:tcW w:type="dxa" w:w="5156"/>
          </w:tcPr>
          <w:p>
            <w:r>
              <w:t>ART-008 Drools</w:t>
            </w:r>
          </w:p>
        </w:tc>
        <w:tc>
          <w:tcPr>
            <w:tcW w:type="dxa" w:w="5156"/>
          </w:tcPr>
          <w:p>
            <w:r>
              <w:t>Consolidar decision tables/regras aprovadas</w:t>
            </w:r>
          </w:p>
        </w:tc>
      </w:tr>
      <w:tr>
        <w:tc>
          <w:tcPr>
            <w:tcW w:type="dxa" w:w="5156"/>
          </w:tcPr>
          <w:p>
            <w:r>
              <w:t>ART-009 State Machines</w:t>
            </w:r>
          </w:p>
        </w:tc>
        <w:tc>
          <w:tcPr>
            <w:tcW w:type="dxa" w:w="5156"/>
          </w:tcPr>
          <w:p>
            <w:r>
              <w:t>Formalizar estados e transições</w:t>
            </w:r>
          </w:p>
        </w:tc>
      </w:tr>
      <w:tr>
        <w:tc>
          <w:tcPr>
            <w:tcW w:type="dxa" w:w="5156"/>
          </w:tcPr>
          <w:p>
            <w:r>
              <w:t>ART-010 React Structure</w:t>
            </w:r>
          </w:p>
        </w:tc>
        <w:tc>
          <w:tcPr>
            <w:tcW w:type="dxa" w:w="5156"/>
          </w:tcPr>
          <w:p>
            <w:r>
              <w:t>Derivar páginas, componentes, guards e fluxos</w:t>
            </w:r>
          </w:p>
        </w:tc>
      </w:tr>
      <w:tr>
        <w:tc>
          <w:tcPr>
            <w:tcW w:type="dxa" w:w="5156"/>
          </w:tcPr>
          <w:p>
            <w:r>
              <w:t>ART-011 Seed Data</w:t>
            </w:r>
          </w:p>
        </w:tc>
        <w:tc>
          <w:tcPr>
            <w:tcW w:type="dxa" w:w="5156"/>
          </w:tcPr>
          <w:p>
            <w:r>
              <w:t>Somente valores oficialmente aprovados</w:t>
            </w:r>
          </w:p>
        </w:tc>
      </w:tr>
      <w:tr>
        <w:tc>
          <w:tcPr>
            <w:tcW w:type="dxa" w:w="5156"/>
          </w:tcPr>
          <w:p>
            <w:r>
              <w:t>ART-012 Migrations V001–V026</w:t>
            </w:r>
          </w:p>
        </w:tc>
        <w:tc>
          <w:tcPr>
            <w:tcW w:type="dxa" w:w="5156"/>
          </w:tcPr>
          <w:p>
            <w:r>
              <w:t>Derivar do DDL aprovado</w:t>
            </w:r>
          </w:p>
        </w:tc>
      </w:tr>
      <w:tr>
        <w:tc>
          <w:tcPr>
            <w:tcW w:type="dxa" w:w="5156"/>
          </w:tcPr>
          <w:p>
            <w:r>
              <w:t>ART-013 Golden Tests</w:t>
            </w:r>
          </w:p>
        </w:tc>
        <w:tc>
          <w:tcPr>
            <w:tcW w:type="dxa" w:w="5156"/>
          </w:tcPr>
          <w:p>
            <w:r>
              <w:t>Derivar das regras, pricing e acceptance criteria</w:t>
            </w:r>
          </w:p>
        </w:tc>
      </w:tr>
    </w:tbl>
    <w:p>
      <w:pPr>
        <w:pStyle w:val="Heading1"/>
      </w:pPr>
      <w:r>
        <w:t>28. Checklist do programador júnior</w:t>
      </w:r>
    </w:p>
    <w:p>
      <w:pPr>
        <w:pStyle w:val="ListBullet"/>
      </w:pPr>
      <w:r>
        <w:t>1. Abrir o ID da história antes de codificar.</w:t>
      </w:r>
    </w:p>
    <w:p>
      <w:pPr>
        <w:pStyle w:val="ListBullet"/>
      </w:pPr>
      <w:r>
        <w:t>2. Ler DOC-001, DOC-002 e a fonte de autoridade indicada.</w:t>
      </w:r>
    </w:p>
    <w:p>
      <w:pPr>
        <w:pStyle w:val="ListBullet"/>
      </w:pPr>
      <w:r>
        <w:t>3. Confirmar DoR e dependências.</w:t>
      </w:r>
    </w:p>
    <w:p>
      <w:pPr>
        <w:pStyle w:val="ListBullet"/>
      </w:pPr>
      <w:r>
        <w:t>4. Não criar campos, endpoints, estados, eventos ou regras não autorizados.</w:t>
      </w:r>
    </w:p>
    <w:p>
      <w:pPr>
        <w:pStyle w:val="ListBullet"/>
      </w:pPr>
      <w:r>
        <w:t>5. Usar BigDecimal/NUMERIC para dinheiro.</w:t>
      </w:r>
    </w:p>
    <w:p>
      <w:pPr>
        <w:pStyle w:val="ListBullet"/>
      </w:pPr>
      <w:r>
        <w:t>6. Respeitar tenant context.</w:t>
      </w:r>
    </w:p>
    <w:p>
      <w:pPr>
        <w:pStyle w:val="ListBullet"/>
      </w:pPr>
      <w:r>
        <w:t>7. Criar migration Flyway para alterações persistentes.</w:t>
      </w:r>
    </w:p>
    <w:p>
      <w:pPr>
        <w:pStyle w:val="ListBullet"/>
      </w:pPr>
      <w:r>
        <w:t>8. Implementar audit em operações críticas.</w:t>
      </w:r>
    </w:p>
    <w:p>
      <w:pPr>
        <w:pStyle w:val="ListBullet"/>
      </w:pPr>
      <w:r>
        <w:t>9. Usar Outbox/idempotency nas integrações.</w:t>
      </w:r>
    </w:p>
    <w:p>
      <w:pPr>
        <w:pStyle w:val="ListBullet"/>
      </w:pPr>
      <w:r>
        <w:t>10. Criar testes e anexar evidência.</w:t>
      </w:r>
    </w:p>
    <w:p>
      <w:pPr>
        <w:pStyle w:val="ListBullet"/>
      </w:pPr>
      <w:r>
        <w:t>11. Actualizar contratos/documentação quando o comportamento autorizado mudar.</w:t>
      </w:r>
    </w:p>
    <w:p>
      <w:pPr>
        <w:pStyle w:val="ListBullet"/>
      </w:pPr>
      <w:r>
        <w:t>12. Se faltar informação, abrir OD/ticket; nunca decidir silenciosamente.</w:t>
      </w:r>
    </w:p>
    <w:p>
      <w:pPr>
        <w:pStyle w:val="Heading1"/>
      </w:pPr>
      <w:r>
        <w:t>29. Critérios de aceitação do DOC-003</w:t>
      </w:r>
    </w:p>
    <w:p>
      <w:pPr>
        <w:pStyle w:val="ListBullet"/>
      </w:pPr>
      <w:r>
        <w:t>Cobre os 11 Sprints do DOC-002.</w:t>
      </w:r>
    </w:p>
    <w:p>
      <w:pPr>
        <w:pStyle w:val="ListBullet"/>
      </w:pPr>
      <w:r>
        <w:t>Cada história possui objectivo, actor, critérios, tarefas por camada e dependências.</w:t>
      </w:r>
    </w:p>
    <w:p>
      <w:pPr>
        <w:pStyle w:val="ListBullet"/>
      </w:pPr>
      <w:r>
        <w:t>Existe rastreabilidade para os artefactos técnicos subsequentes.</w:t>
      </w:r>
    </w:p>
    <w:p>
      <w:pPr>
        <w:pStyle w:val="ListBullet"/>
      </w:pPr>
      <w:r>
        <w:t>V1 e V2 estão explicitamente separados.</w:t>
      </w:r>
    </w:p>
    <w:p>
      <w:pPr>
        <w:pStyle w:val="ListBullet"/>
      </w:pPr>
      <w:r>
        <w:t>Não existem tarifários comerciais inventados.</w:t>
      </w:r>
    </w:p>
    <w:p>
      <w:pPr>
        <w:pStyle w:val="ListBullet"/>
      </w:pPr>
      <w:r>
        <w:t>Estão definidos DoR/DoD, gates, entidades, eventos, erros e state machines.</w:t>
      </w:r>
    </w:p>
    <w:p>
      <w:pPr>
        <w:pStyle w:val="ListBullet"/>
      </w:pPr>
      <w:r>
        <w:t>Pode ser transposto para Jira/Azure DevOps/GitHub Projects sem reconstrução conceptual.</w:t>
      </w:r>
    </w:p>
    <w:p>
      <w:pPr>
        <w:pStyle w:val="ListBullet"/>
      </w:pPr>
      <w:r>
        <w:t>Permite produzir DOC-004 e os artefactos técnicos seguintes sem contradizer DOC-001.</w:t>
      </w:r>
    </w:p>
    <w:p>
      <w:pPr>
        <w:pStyle w:val="Heading1"/>
      </w:pPr>
      <w:r>
        <w:t>30. Próximo documento oficial</w:t>
      </w:r>
    </w:p>
    <w:p>
      <w:r>
        <w:rPr>
          <w:b w:val="0"/>
        </w:rPr>
        <w:t>Q360-MVP-DOC-004 — Engineering Specification Pack V1. O próximo documento deverá transformar o backlog em especificação de implementação: arquitectura, módulos, classes/interfaces, DTOs, repositories, services, validation, security, observability, database mapping, endpoints, events, rule assets, state machines e estratégia de testes.</w:t>
      </w:r>
    </w:p>
    <w:p>
      <w:r>
        <w:rPr>
          <w:b w:val="0"/>
        </w:rPr>
        <w:t>Estado do DOC-003: REVIEW. Conflitos posteriores devem ser tratados por change control; não devem ser resolvidos informalmente no código.</w:t>
      </w:r>
    </w:p>
    <w:sectPr w:rsidR="00FC693F" w:rsidRPr="0006063C" w:rsidSect="00034616">
      <w:footerReference w:type="default" r:id="rId9"/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Q360-MVP-DOC-003  |  Backlog Técnico Integral V1  |  REVIEW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