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Q360</w:t>
        <w:br/>
        <w:t>HEALTH UNDERWRITING &amp; PRICING CORE</w:t>
      </w:r>
    </w:p>
    <w:p>
      <w:pPr>
        <w:jc w:val="center"/>
      </w:pPr>
      <w:r>
        <w:rPr>
          <w:b/>
          <w:sz w:val="34"/>
        </w:rPr>
        <w:t>V1 — SISTEMA BASE / MVP ROBUSTO</w:t>
      </w:r>
    </w:p>
    <w:p/>
    <w:p>
      <w:pPr>
        <w:jc w:val="center"/>
      </w:pPr>
      <w:r>
        <w:rPr>
          <w:b/>
          <w:sz w:val="36"/>
        </w:rPr>
        <w:t>Q360-MVP-DOC-004</w:t>
        <w:br/>
        <w:t>ENGINEERING SPECIFICATION PACK — V1</w:t>
      </w:r>
    </w:p>
    <w:p>
      <w:r>
        <w:rPr>
          <w:b w:val="0"/>
        </w:rPr>
        <w:t>Especificação técnica normativa para implementação do Q360 V1. Traduz DOC-001, DOC-002 e DOC-003 em arquitectura, módulos, contratos internos, persistência, segurança, eventos, workflows e estratégia de testes.</w:t>
      </w:r>
    </w:p>
    <w:p>
      <w:r>
        <w:rPr>
          <w:b w:val="0"/>
        </w:rPr>
        <w:t>Versão 1.0 | Estado: REVIEW | Âmbito: V1 exclusivamente</w:t>
      </w:r>
    </w:p>
    <w:p>
      <w:r>
        <w:br w:type="page"/>
      </w:r>
    </w:p>
    <w:p>
      <w:pPr>
        <w:pStyle w:val="Heading1"/>
      </w:pPr>
      <w:r>
        <w:t>1. Controlo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5156"/>
          </w:tcPr>
          <w:p>
            <w:r>
              <w:t>ID</w:t>
            </w:r>
          </w:p>
        </w:tc>
        <w:tc>
          <w:tcPr>
            <w:tcW w:type="dxa" w:w="5156"/>
          </w:tcPr>
          <w:p>
            <w:r>
              <w:t>Q360-MVP-DOC-004</w:t>
            </w:r>
          </w:p>
        </w:tc>
      </w:tr>
      <w:tr>
        <w:tc>
          <w:tcPr>
            <w:tcW w:type="dxa" w:w="5156"/>
          </w:tcPr>
          <w:p>
            <w:r>
              <w:t>Versão</w:t>
            </w:r>
          </w:p>
        </w:tc>
        <w:tc>
          <w:tcPr>
            <w:tcW w:type="dxa" w:w="5156"/>
          </w:tcPr>
          <w:p>
            <w:r>
              <w:t>1.0</w:t>
            </w:r>
          </w:p>
        </w:tc>
      </w:tr>
      <w:tr>
        <w:tc>
          <w:tcPr>
            <w:tcW w:type="dxa" w:w="5156"/>
          </w:tcPr>
          <w:p>
            <w:r>
              <w:t>Estado</w:t>
            </w:r>
          </w:p>
        </w:tc>
        <w:tc>
          <w:tcPr>
            <w:tcW w:type="dxa" w:w="5156"/>
          </w:tcPr>
          <w:p>
            <w:r>
              <w:t>REVIEW</w:t>
            </w:r>
          </w:p>
        </w:tc>
      </w:tr>
      <w:tr>
        <w:tc>
          <w:tcPr>
            <w:tcW w:type="dxa" w:w="5156"/>
          </w:tcPr>
          <w:p>
            <w:r>
              <w:t>Entradas normativas</w:t>
            </w:r>
          </w:p>
        </w:tc>
        <w:tc>
          <w:tcPr>
            <w:tcW w:type="dxa" w:w="5156"/>
          </w:tcPr>
          <w:p>
            <w:r>
              <w:t>DOC-000, DOC-001, DOC-002, DOC-003</w:t>
            </w:r>
          </w:p>
        </w:tc>
      </w:tr>
      <w:tr>
        <w:tc>
          <w:tcPr>
            <w:tcW w:type="dxa" w:w="5156"/>
          </w:tcPr>
          <w:p>
            <w:r>
              <w:t>Owner</w:t>
            </w:r>
          </w:p>
        </w:tc>
        <w:tc>
          <w:tcPr>
            <w:tcW w:type="dxa" w:w="5156"/>
          </w:tcPr>
          <w:p>
            <w:r>
              <w:t>Lead Engineer / Product Owner Q360</w:t>
            </w:r>
          </w:p>
        </w:tc>
      </w:tr>
      <w:tr>
        <w:tc>
          <w:tcPr>
            <w:tcW w:type="dxa" w:w="5156"/>
          </w:tcPr>
          <w:p>
            <w:r>
              <w:t>Autoriza</w:t>
            </w:r>
          </w:p>
        </w:tc>
        <w:tc>
          <w:tcPr>
            <w:tcW w:type="dxa" w:w="5156"/>
          </w:tcPr>
          <w:p>
            <w:r>
              <w:t>Implementação técnica V1 e produção dos ART-005 a ART-013</w:t>
            </w:r>
          </w:p>
        </w:tc>
      </w:tr>
      <w:tr>
        <w:tc>
          <w:tcPr>
            <w:tcW w:type="dxa" w:w="5156"/>
          </w:tcPr>
          <w:p>
            <w:r>
              <w:t>Não autoriza</w:t>
            </w:r>
          </w:p>
        </w:tc>
        <w:tc>
          <w:tcPr>
            <w:tcW w:type="dxa" w:w="5156"/>
          </w:tcPr>
          <w:p>
            <w:r>
              <w:t>V2; valores comerciais não aprovados; alterações silenciosas de arquitectura/regras</w:t>
            </w:r>
          </w:p>
        </w:tc>
      </w:tr>
    </w:tbl>
    <w:p>
      <w:pPr>
        <w:pStyle w:val="Heading1"/>
      </w:pPr>
      <w:r>
        <w:t>2. Objectivo e regras de autoridade</w:t>
      </w:r>
    </w:p>
    <w:p>
      <w:pPr>
        <w:pStyle w:val="ListBullet"/>
      </w:pPr>
      <w:r>
        <w:t>Este documento define COMO implementar o comportamento autorizado pelo DOC-001 e decomposto no DOC-003.</w:t>
      </w:r>
    </w:p>
    <w:p>
      <w:pPr>
        <w:pStyle w:val="ListBullet"/>
      </w:pPr>
      <w:r>
        <w:t>ART-005 será autoridade final do schema físico; ART-006 do HTTP; ART-007 dos eventos; ART-008 das regras; ART-009 das state machines; ART-010 da estrutura React; ART-012 das migrations; ART-013 dos Golden Tests.</w:t>
      </w:r>
    </w:p>
    <w:p>
      <w:pPr>
        <w:pStyle w:val="ListBullet"/>
      </w:pPr>
      <w:r>
        <w:t>Quando um artefacto posterior aprovado divergir deste pack por maior detalhe, prevalece o artefacto especializado, desde que exista change control.</w:t>
      </w:r>
    </w:p>
    <w:p>
      <w:pPr>
        <w:pStyle w:val="ListBullet"/>
      </w:pPr>
      <w:r>
        <w:t>Não criar microserviços no V1 sem ADR aprovado. A baseline é Modular Monolith.</w:t>
      </w:r>
    </w:p>
    <w:p>
      <w:pPr>
        <w:pStyle w:val="ListBullet"/>
      </w:pPr>
      <w:r>
        <w:t>Não introduzir dependência entre módulos através de tabelas/repositorios internos de outro módulo; usar application ports/contracts.</w:t>
      </w:r>
    </w:p>
    <w:p>
      <w:pPr>
        <w:pStyle w:val="ListBullet"/>
      </w:pPr>
      <w:r>
        <w:t>Não hardcode de parâmetros comerciais.</w:t>
      </w:r>
    </w:p>
    <w:p>
      <w:pPr>
        <w:pStyle w:val="Heading1"/>
      </w:pPr>
      <w:r>
        <w:t>3. Arquitectura de referência</w:t>
      </w:r>
    </w:p>
    <w:p>
      <w:r>
        <w:rPr>
          <w:b w:val="0"/>
        </w:rPr>
        <w:t>Estilo: Modular Monolith + Clean Architecture/Hexagonal boundaries. O objectivo é obter isolamento lógico, testabilidade e possibilidade de extracção futura sem o custo operacional prematuro de microserviços.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Responsabilidade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Pode depender de</w:t>
            </w:r>
          </w:p>
        </w:tc>
      </w:tr>
      <w:tr>
        <w:tc>
          <w:tcPr>
            <w:tcW w:type="dxa" w:w="3437"/>
          </w:tcPr>
          <w:p>
            <w:r>
              <w:t>domain</w:t>
            </w:r>
          </w:p>
        </w:tc>
        <w:tc>
          <w:tcPr>
            <w:tcW w:type="dxa" w:w="3437"/>
          </w:tcPr>
          <w:p>
            <w:r>
              <w:t>Entidades, value objects, domain rules, domain events</w:t>
            </w:r>
          </w:p>
        </w:tc>
        <w:tc>
          <w:tcPr>
            <w:tcW w:type="dxa" w:w="3437"/>
          </w:tcPr>
          <w:p>
            <w:r>
              <w:t>Nada de Spring/DB/UI</w:t>
            </w:r>
          </w:p>
        </w:tc>
      </w:tr>
      <w:tr>
        <w:tc>
          <w:tcPr>
            <w:tcW w:type="dxa" w:w="3437"/>
          </w:tcPr>
          <w:p>
            <w:r>
              <w:t>application</w:t>
            </w:r>
          </w:p>
        </w:tc>
        <w:tc>
          <w:tcPr>
            <w:tcW w:type="dxa" w:w="3437"/>
          </w:tcPr>
          <w:p>
            <w:r>
              <w:t>Use cases, ports, orchestration, transaction intent</w:t>
            </w:r>
          </w:p>
        </w:tc>
        <w:tc>
          <w:tcPr>
            <w:tcW w:type="dxa" w:w="3437"/>
          </w:tcPr>
          <w:p>
            <w:r>
              <w:t>domain</w:t>
            </w:r>
          </w:p>
        </w:tc>
      </w:tr>
      <w:tr>
        <w:tc>
          <w:tcPr>
            <w:tcW w:type="dxa" w:w="3437"/>
          </w:tcPr>
          <w:p>
            <w:r>
              <w:t>infrastructure</w:t>
            </w:r>
          </w:p>
        </w:tc>
        <w:tc>
          <w:tcPr>
            <w:tcW w:type="dxa" w:w="3437"/>
          </w:tcPr>
          <w:p>
            <w:r>
              <w:t>JPA/PostgreSQL, RabbitMQ, OIDC adapters, document adapters</w:t>
            </w:r>
          </w:p>
        </w:tc>
        <w:tc>
          <w:tcPr>
            <w:tcW w:type="dxa" w:w="3437"/>
          </w:tcPr>
          <w:p>
            <w:r>
              <w:t>application + domain</w:t>
            </w:r>
          </w:p>
        </w:tc>
      </w:tr>
      <w:tr>
        <w:tc>
          <w:tcPr>
            <w:tcW w:type="dxa" w:w="3437"/>
          </w:tcPr>
          <w:p>
            <w:r>
              <w:t>interfaces</w:t>
            </w:r>
          </w:p>
        </w:tc>
        <w:tc>
          <w:tcPr>
            <w:tcW w:type="dxa" w:w="3437"/>
          </w:tcPr>
          <w:p>
            <w:r>
              <w:t>REST controllers, API DTO mapping, web entrypoints</w:t>
            </w:r>
          </w:p>
        </w:tc>
        <w:tc>
          <w:tcPr>
            <w:tcW w:type="dxa" w:w="3437"/>
          </w:tcPr>
          <w:p>
            <w:r>
              <w:t>application</w:t>
            </w:r>
          </w:p>
        </w:tc>
      </w:tr>
      <w:tr>
        <w:tc>
          <w:tcPr>
            <w:tcW w:type="dxa" w:w="3437"/>
          </w:tcPr>
          <w:p>
            <w:r>
              <w:t>frontend</w:t>
            </w:r>
          </w:p>
        </w:tc>
        <w:tc>
          <w:tcPr>
            <w:tcW w:type="dxa" w:w="3437"/>
          </w:tcPr>
          <w:p>
            <w:r>
              <w:t>React/TypeScript UI e generated API client</w:t>
            </w:r>
          </w:p>
        </w:tc>
        <w:tc>
          <w:tcPr>
            <w:tcW w:type="dxa" w:w="3437"/>
          </w:tcPr>
          <w:p>
            <w:r>
              <w:t>OpenAPI</w:t>
            </w:r>
          </w:p>
        </w:tc>
      </w:tr>
    </w:tbl>
    <w:p>
      <w:pPr>
        <w:pStyle w:val="Heading1"/>
      </w:pPr>
      <w:r>
        <w:t>3.1 Topologia 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Responsabilidade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Dependências permitidas</w:t>
            </w:r>
          </w:p>
        </w:tc>
      </w:tr>
      <w:tr>
        <w:tc>
          <w:tcPr>
            <w:tcW w:type="dxa" w:w="3437"/>
          </w:tcPr>
          <w:p>
            <w:r>
              <w:t>foundation</w:t>
            </w:r>
          </w:p>
        </w:tc>
        <w:tc>
          <w:tcPr>
            <w:tcW w:type="dxa" w:w="3437"/>
          </w:tcPr>
          <w:p>
            <w:r>
              <w:t>tenant, identity context, audit, common technical primitives</w:t>
            </w:r>
          </w:p>
        </w:tc>
        <w:tc>
          <w:tcPr>
            <w:tcW w:type="dxa" w:w="3437"/>
          </w:tcPr>
          <w:p>
            <w:r>
              <w:t>nenhuma de negócio</w:t>
            </w:r>
          </w:p>
        </w:tc>
      </w:tr>
      <w:tr>
        <w:tc>
          <w:tcPr>
            <w:tcW w:type="dxa" w:w="3437"/>
          </w:tcPr>
          <w:p>
            <w:r>
              <w:t>product</w:t>
            </w:r>
          </w:p>
        </w:tc>
        <w:tc>
          <w:tcPr>
            <w:tcW w:type="dxa" w:w="3437"/>
          </w:tcPr>
          <w:p>
            <w:r>
              <w:t>produto, versão, plano, benefício</w:t>
            </w:r>
          </w:p>
        </w:tc>
        <w:tc>
          <w:tcPr>
            <w:tcW w:type="dxa" w:w="3437"/>
          </w:tcPr>
          <w:p>
            <w:r>
              <w:t>foundation</w:t>
            </w:r>
          </w:p>
        </w:tc>
      </w:tr>
      <w:tr>
        <w:tc>
          <w:tcPr>
            <w:tcW w:type="dxa" w:w="3437"/>
          </w:tcPr>
          <w:p>
            <w:r>
              <w:t>client</w:t>
            </w:r>
          </w:p>
        </w:tc>
        <w:tc>
          <w:tcPr>
            <w:tcW w:type="dxa" w:w="3437"/>
          </w:tcPr>
          <w:p>
            <w:r>
              <w:t>proponente, membro, importação</w:t>
            </w:r>
          </w:p>
        </w:tc>
        <w:tc>
          <w:tcPr>
            <w:tcW w:type="dxa" w:w="3437"/>
          </w:tcPr>
          <w:p>
            <w:r>
              <w:t>foundation</w:t>
            </w:r>
          </w:p>
        </w:tc>
      </w:tr>
      <w:tr>
        <w:tc>
          <w:tcPr>
            <w:tcW w:type="dxa" w:w="3437"/>
          </w:tcPr>
          <w:p>
            <w:r>
              <w:t>eligibility</w:t>
            </w:r>
          </w:p>
        </w:tc>
        <w:tc>
          <w:tcPr>
            <w:tcW w:type="dxa" w:w="3437"/>
          </w:tcPr>
          <w:p>
            <w:r>
              <w:t>elegibilidade V1</w:t>
            </w:r>
          </w:p>
        </w:tc>
        <w:tc>
          <w:tcPr>
            <w:tcW w:type="dxa" w:w="3437"/>
          </w:tcPr>
          <w:p>
            <w:r>
              <w:t>foundation, product, client via ports</w:t>
            </w:r>
          </w:p>
        </w:tc>
      </w:tr>
      <w:tr>
        <w:tc>
          <w:tcPr>
            <w:tcW w:type="dxa" w:w="3437"/>
          </w:tcPr>
          <w:p>
            <w:r>
              <w:t>pricing</w:t>
            </w:r>
          </w:p>
        </w:tc>
        <w:tc>
          <w:tcPr>
            <w:tcW w:type="dxa" w:w="3437"/>
          </w:tcPr>
          <w:p>
            <w:r>
              <w:t>rating, parameters, rules, scenarios, calculation</w:t>
            </w:r>
          </w:p>
        </w:tc>
        <w:tc>
          <w:tcPr>
            <w:tcW w:type="dxa" w:w="3437"/>
          </w:tcPr>
          <w:p>
            <w:r>
              <w:t>foundation, product/eligibility via ports</w:t>
            </w:r>
          </w:p>
        </w:tc>
      </w:tr>
      <w:tr>
        <w:tc>
          <w:tcPr>
            <w:tcW w:type="dxa" w:w="3437"/>
          </w:tcPr>
          <w:p>
            <w:r>
              <w:t>quotation</w:t>
            </w:r>
          </w:p>
        </w:tc>
        <w:tc>
          <w:tcPr>
            <w:tcW w:type="dxa" w:w="3437"/>
          </w:tcPr>
          <w:p>
            <w:r>
              <w:t>quote, population snapshot, pricing orchestration</w:t>
            </w:r>
          </w:p>
        </w:tc>
        <w:tc>
          <w:tcPr>
            <w:tcW w:type="dxa" w:w="3437"/>
          </w:tcPr>
          <w:p>
            <w:r>
              <w:t>foundation + ports dos módulos anteriores</w:t>
            </w:r>
          </w:p>
        </w:tc>
      </w:tr>
      <w:tr>
        <w:tc>
          <w:tcPr>
            <w:tcW w:type="dxa" w:w="3437"/>
          </w:tcPr>
          <w:p>
            <w:r>
              <w:t>underwriting</w:t>
            </w:r>
          </w:p>
        </w:tc>
        <w:tc>
          <w:tcPr>
            <w:tcW w:type="dxa" w:w="3437"/>
          </w:tcPr>
          <w:p>
            <w:r>
              <w:t>review, authority, decision</w:t>
            </w:r>
          </w:p>
        </w:tc>
        <w:tc>
          <w:tcPr>
            <w:tcW w:type="dxa" w:w="3437"/>
          </w:tcPr>
          <w:p>
            <w:r>
              <w:t>foundation, quotation via port</w:t>
            </w:r>
          </w:p>
        </w:tc>
      </w:tr>
      <w:tr>
        <w:tc>
          <w:tcPr>
            <w:tcW w:type="dxa" w:w="3437"/>
          </w:tcPr>
          <w:p>
            <w:r>
              <w:t>documents</w:t>
            </w:r>
          </w:p>
        </w:tc>
        <w:tc>
          <w:tcPr>
            <w:tcW w:type="dxa" w:w="3437"/>
          </w:tcPr>
          <w:p>
            <w:r>
              <w:t>proposta e numbering</w:t>
            </w:r>
          </w:p>
        </w:tc>
        <w:tc>
          <w:tcPr>
            <w:tcW w:type="dxa" w:w="3437"/>
          </w:tcPr>
          <w:p>
            <w:r>
              <w:t>foundation, quotation/underwriting via ports</w:t>
            </w:r>
          </w:p>
        </w:tc>
      </w:tr>
      <w:tr>
        <w:tc>
          <w:tcPr>
            <w:tcW w:type="dxa" w:w="3437"/>
          </w:tcPr>
          <w:p>
            <w:r>
              <w:t>integration</w:t>
            </w:r>
          </w:p>
        </w:tc>
        <w:tc>
          <w:tcPr>
            <w:tcW w:type="dxa" w:w="3437"/>
          </w:tcPr>
          <w:p>
            <w:r>
              <w:t>outbox, RabbitMQ, idempotency</w:t>
            </w:r>
          </w:p>
        </w:tc>
        <w:tc>
          <w:tcPr>
            <w:tcW w:type="dxa" w:w="3437"/>
          </w:tcPr>
          <w:p>
            <w:r>
              <w:t>foundation + event contracts</w:t>
            </w:r>
          </w:p>
        </w:tc>
      </w:tr>
    </w:tbl>
    <w:p>
      <w:r>
        <w:rPr>
          <w:b w:val="0"/>
        </w:rPr>
        <w:t>Regra: dependências devem apontar para dentro. Infrastructure implementa ports; controllers nunca contêm regra de negócio.</w:t>
      </w:r>
    </w:p>
    <w:p>
      <w:pPr>
        <w:pStyle w:val="Heading1"/>
      </w:pPr>
      <w:r>
        <w:t>4. Stack baseline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Baseline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Java 21 LTS; Spring Boot 3.x; Maven</w:t>
            </w:r>
          </w:p>
        </w:tc>
      </w:tr>
      <w:tr>
        <w:tc>
          <w:tcPr>
            <w:tcW w:type="dxa" w:w="5156"/>
          </w:tcPr>
          <w:p>
            <w:r>
              <w:t>Persistence</w:t>
            </w:r>
          </w:p>
        </w:tc>
        <w:tc>
          <w:tcPr>
            <w:tcW w:type="dxa" w:w="5156"/>
          </w:tcPr>
          <w:p>
            <w:r>
              <w:t>PostgreSQL; Spring Data JPA quando apropriado; SQL explícito para queries críticas</w:t>
            </w:r>
          </w:p>
        </w:tc>
      </w:tr>
      <w:tr>
        <w:tc>
          <w:tcPr>
            <w:tcW w:type="dxa" w:w="5156"/>
          </w:tcPr>
          <w:p>
            <w:r>
              <w:t>Migrations</w:t>
            </w:r>
          </w:p>
        </w:tc>
        <w:tc>
          <w:tcPr>
            <w:tcW w:type="dxa" w:w="5156"/>
          </w:tcPr>
          <w:p>
            <w:r>
              <w:t>Flyway exclusivamente</w:t>
            </w:r>
          </w:p>
        </w:tc>
      </w:tr>
      <w:tr>
        <w:tc>
          <w:tcPr>
            <w:tcW w:type="dxa" w:w="5156"/>
          </w:tcPr>
          <w:p>
            <w:r>
              <w:t>Rules</w:t>
            </w:r>
          </w:p>
        </w:tc>
        <w:tc>
          <w:tcPr>
            <w:tcW w:type="dxa" w:w="5156"/>
          </w:tcPr>
          <w:p>
            <w:r>
              <w:t>Drools para decision tables/regras configuráveis aprovadas</w:t>
            </w:r>
          </w:p>
        </w:tc>
      </w:tr>
      <w:tr>
        <w:tc>
          <w:tcPr>
            <w:tcW w:type="dxa" w:w="5156"/>
          </w:tcPr>
          <w:p>
            <w:r>
              <w:t>Messaging</w:t>
            </w:r>
          </w:p>
        </w:tc>
        <w:tc>
          <w:tcPr>
            <w:tcW w:type="dxa" w:w="5156"/>
          </w:tcPr>
          <w:p>
            <w:r>
              <w:t>RabbitMQ + Transactional Outbox</w:t>
            </w:r>
          </w:p>
        </w:tc>
      </w:tr>
      <w:tr>
        <w:tc>
          <w:tcPr>
            <w:tcW w:type="dxa" w:w="5156"/>
          </w:tcPr>
          <w:p>
            <w:r>
              <w:t>Cache</w:t>
            </w:r>
          </w:p>
        </w:tc>
        <w:tc>
          <w:tcPr>
            <w:tcW w:type="dxa" w:w="5156"/>
          </w:tcPr>
          <w:p>
            <w:r>
              <w:t>Redis apenas onde existir caso aprovado; não é fonte de verdade</w:t>
            </w:r>
          </w:p>
        </w:tc>
      </w:tr>
      <w:tr>
        <w:tc>
          <w:tcPr>
            <w:tcW w:type="dxa" w:w="5156"/>
          </w:tcPr>
          <w:p>
            <w:r>
              <w:t>Security</w:t>
            </w:r>
          </w:p>
        </w:tc>
        <w:tc>
          <w:tcPr>
            <w:tcW w:type="dxa" w:w="5156"/>
          </w:tcPr>
          <w:p>
            <w:r>
              <w:t>OAuth2/OIDC Resource Server + JWT; RBAC/ABAC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React + TypeScript; router; generated OpenAPI client</w:t>
            </w:r>
          </w:p>
        </w:tc>
      </w:tr>
      <w:tr>
        <w:tc>
          <w:tcPr>
            <w:tcW w:type="dxa" w:w="5156"/>
          </w:tcPr>
          <w:p>
            <w:r>
              <w:t>API</w:t>
            </w:r>
          </w:p>
        </w:tc>
        <w:tc>
          <w:tcPr>
            <w:tcW w:type="dxa" w:w="5156"/>
          </w:tcPr>
          <w:p>
            <w:r>
              <w:t>REST JSON; OpenAPI 3.x; problem-details/error contract</w:t>
            </w:r>
          </w:p>
        </w:tc>
      </w:tr>
      <w:tr>
        <w:tc>
          <w:tcPr>
            <w:tcW w:type="dxa" w:w="5156"/>
          </w:tcPr>
          <w:p>
            <w:r>
              <w:t>Observability</w:t>
            </w:r>
          </w:p>
        </w:tc>
        <w:tc>
          <w:tcPr>
            <w:tcW w:type="dxa" w:w="5156"/>
          </w:tcPr>
          <w:p>
            <w:r>
              <w:t>OpenTelemetry; métricas; structured logs; correlation/trace IDs</w:t>
            </w:r>
          </w:p>
        </w:tc>
      </w:tr>
      <w:tr>
        <w:tc>
          <w:tcPr>
            <w:tcW w:type="dxa" w:w="5156"/>
          </w:tcPr>
          <w:p>
            <w:r>
              <w:t>Tests</w:t>
            </w:r>
          </w:p>
        </w:tc>
        <w:tc>
          <w:tcPr>
            <w:tcW w:type="dxa" w:w="5156"/>
          </w:tcPr>
          <w:p>
            <w:r>
              <w:t>JUnit 5; Testcontainers; contract tests; Playwright; Golden Tests</w:t>
            </w:r>
          </w:p>
        </w:tc>
      </w:tr>
      <w:tr>
        <w:tc>
          <w:tcPr>
            <w:tcW w:type="dxa" w:w="5156"/>
          </w:tcPr>
          <w:p>
            <w:r>
              <w:t>CI/CD</w:t>
            </w:r>
          </w:p>
        </w:tc>
        <w:tc>
          <w:tcPr>
            <w:tcW w:type="dxa" w:w="5156"/>
          </w:tcPr>
          <w:p>
            <w:r>
              <w:t>Build, lint, tests, migration check, contract check, security scan, artefact versioning</w:t>
            </w:r>
          </w:p>
        </w:tc>
      </w:tr>
    </w:tbl>
    <w:p>
      <w:pPr>
        <w:pStyle w:val="Heading1"/>
      </w:pPr>
      <w:r>
        <w:t>5. Convenções de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Convenção</w:t>
            </w:r>
          </w:p>
        </w:tc>
      </w:tr>
      <w:tr>
        <w:tc>
          <w:tcPr>
            <w:tcW w:type="dxa" w:w="5156"/>
          </w:tcPr>
          <w:p>
            <w:r>
              <w:t>Java package</w:t>
            </w:r>
          </w:p>
        </w:tc>
        <w:tc>
          <w:tcPr>
            <w:tcW w:type="dxa" w:w="5156"/>
          </w:tcPr>
          <w:p>
            <w:r>
              <w:t>com.q360.&lt;module&gt;.&lt;layer&gt;</w:t>
            </w:r>
          </w:p>
        </w:tc>
      </w:tr>
      <w:tr>
        <w:tc>
          <w:tcPr>
            <w:tcW w:type="dxa" w:w="5156"/>
          </w:tcPr>
          <w:p>
            <w:r>
              <w:t>Use case</w:t>
            </w:r>
          </w:p>
        </w:tc>
        <w:tc>
          <w:tcPr>
            <w:tcW w:type="dxa" w:w="5156"/>
          </w:tcPr>
          <w:p>
            <w:r>
              <w:t>Verbo + objecto: CreateQuoteUseCase</w:t>
            </w:r>
          </w:p>
        </w:tc>
      </w:tr>
      <w:tr>
        <w:tc>
          <w:tcPr>
            <w:tcW w:type="dxa" w:w="5156"/>
          </w:tcPr>
          <w:p>
            <w:r>
              <w:t>Command/Query</w:t>
            </w:r>
          </w:p>
        </w:tc>
        <w:tc>
          <w:tcPr>
            <w:tcW w:type="dxa" w:w="5156"/>
          </w:tcPr>
          <w:p>
            <w:r>
              <w:t>CreateQuoteCommand / GetQuoteQuery</w:t>
            </w:r>
          </w:p>
        </w:tc>
      </w:tr>
      <w:tr>
        <w:tc>
          <w:tcPr>
            <w:tcW w:type="dxa" w:w="5156"/>
          </w:tcPr>
          <w:p>
            <w:r>
              <w:t>Port</w:t>
            </w:r>
          </w:p>
        </w:tc>
        <w:tc>
          <w:tcPr>
            <w:tcW w:type="dxa" w:w="5156"/>
          </w:tcPr>
          <w:p>
            <w:r>
              <w:t>QuoteRepositoryPort, PricingEnginePort</w:t>
            </w:r>
          </w:p>
        </w:tc>
      </w:tr>
      <w:tr>
        <w:tc>
          <w:tcPr>
            <w:tcW w:type="dxa" w:w="5156"/>
          </w:tcPr>
          <w:p>
            <w:r>
              <w:t>Adapter</w:t>
            </w:r>
          </w:p>
        </w:tc>
        <w:tc>
          <w:tcPr>
            <w:tcW w:type="dxa" w:w="5156"/>
          </w:tcPr>
          <w:p>
            <w:r>
              <w:t>JpaQuoteRepositoryAdapter, RabbitEventPublisherAdapter</w:t>
            </w:r>
          </w:p>
        </w:tc>
      </w:tr>
      <w:tr>
        <w:tc>
          <w:tcPr>
            <w:tcW w:type="dxa" w:w="5156"/>
          </w:tcPr>
          <w:p>
            <w:r>
              <w:t>REST DTO</w:t>
            </w:r>
          </w:p>
        </w:tc>
        <w:tc>
          <w:tcPr>
            <w:tcW w:type="dxa" w:w="5156"/>
          </w:tcPr>
          <w:p>
            <w:r>
              <w:t>CreateQuoteRequest, QuoteResponse</w:t>
            </w:r>
          </w:p>
        </w:tc>
      </w:tr>
      <w:tr>
        <w:tc>
          <w:tcPr>
            <w:tcW w:type="dxa" w:w="5156"/>
          </w:tcPr>
          <w:p>
            <w:r>
              <w:t>Domain event</w:t>
            </w:r>
          </w:p>
        </w:tc>
        <w:tc>
          <w:tcPr>
            <w:tcW w:type="dxa" w:w="5156"/>
          </w:tcPr>
          <w:p>
            <w:r>
              <w:t>QuoteSubmittedDomainEvent</w:t>
            </w:r>
          </w:p>
        </w:tc>
      </w:tr>
      <w:tr>
        <w:tc>
          <w:tcPr>
            <w:tcW w:type="dxa" w:w="5156"/>
          </w:tcPr>
          <w:p>
            <w:r>
              <w:t>Integration event</w:t>
            </w:r>
          </w:p>
        </w:tc>
        <w:tc>
          <w:tcPr>
            <w:tcW w:type="dxa" w:w="5156"/>
          </w:tcPr>
          <w:p>
            <w:r>
              <w:t>QuoteSubmittedV1</w:t>
            </w:r>
          </w:p>
        </w:tc>
      </w:tr>
      <w:tr>
        <w:tc>
          <w:tcPr>
            <w:tcW w:type="dxa" w:w="5156"/>
          </w:tcPr>
          <w:p>
            <w:r>
              <w:t>DB table</w:t>
            </w:r>
          </w:p>
        </w:tc>
        <w:tc>
          <w:tcPr>
            <w:tcW w:type="dxa" w:w="5156"/>
          </w:tcPr>
          <w:p>
            <w:r>
              <w:t>snake_case singular/plural consistente a fechar no ART-005</w:t>
            </w:r>
          </w:p>
        </w:tc>
      </w:tr>
      <w:tr>
        <w:tc>
          <w:tcPr>
            <w:tcW w:type="dxa" w:w="5156"/>
          </w:tcPr>
          <w:p>
            <w:r>
              <w:t>Migration</w:t>
            </w:r>
          </w:p>
        </w:tc>
        <w:tc>
          <w:tcPr>
            <w:tcW w:type="dxa" w:w="5156"/>
          </w:tcPr>
          <w:p>
            <w:r>
              <w:t>V001__description.sql ... V026__description.sql</w:t>
            </w:r>
          </w:p>
        </w:tc>
      </w:tr>
      <w:tr>
        <w:tc>
          <w:tcPr>
            <w:tcW w:type="dxa" w:w="5156"/>
          </w:tcPr>
          <w:p>
            <w:r>
              <w:t>Error</w:t>
            </w:r>
          </w:p>
        </w:tc>
        <w:tc>
          <w:tcPr>
            <w:tcW w:type="dxa" w:w="5156"/>
          </w:tcPr>
          <w:p>
            <w:r>
              <w:t>Q360-&lt;DOMAIN&gt;-&lt;NNN&gt; + machine-readable code</w:t>
            </w:r>
          </w:p>
        </w:tc>
      </w:tr>
      <w:tr>
        <w:tc>
          <w:tcPr>
            <w:tcW w:type="dxa" w:w="5156"/>
          </w:tcPr>
          <w:p>
            <w:r>
              <w:t>Time</w:t>
            </w:r>
          </w:p>
        </w:tc>
        <w:tc>
          <w:tcPr>
            <w:tcW w:type="dxa" w:w="5156"/>
          </w:tcPr>
          <w:p>
            <w:r>
              <w:t>Instant para timestamps técnicos; LocalDate para datas sem timezone</w:t>
            </w:r>
          </w:p>
        </w:tc>
      </w:tr>
      <w:tr>
        <w:tc>
          <w:tcPr>
            <w:tcW w:type="dxa" w:w="5156"/>
          </w:tcPr>
          <w:p>
            <w:r>
              <w:t>Money</w:t>
            </w:r>
          </w:p>
        </w:tc>
        <w:tc>
          <w:tcPr>
            <w:tcW w:type="dxa" w:w="5156"/>
          </w:tcPr>
          <w:p>
            <w:r>
              <w:t>Money{BigDecimal amount, Currency currency}</w:t>
            </w:r>
          </w:p>
        </w:tc>
      </w:tr>
      <w:tr>
        <w:tc>
          <w:tcPr>
            <w:tcW w:type="dxa" w:w="5156"/>
          </w:tcPr>
          <w:p>
            <w:r>
              <w:t>IDs</w:t>
            </w:r>
          </w:p>
        </w:tc>
        <w:tc>
          <w:tcPr>
            <w:tcW w:type="dxa" w:w="5156"/>
          </w:tcPr>
          <w:p>
            <w:r>
              <w:t>UUID/UUIDv7 ou política final ART-005; nunca significado comercial embutido</w:t>
            </w:r>
          </w:p>
        </w:tc>
      </w:tr>
    </w:tbl>
    <w:p>
      <w:pPr>
        <w:pStyle w:val="Heading1"/>
      </w:pPr>
      <w:r>
        <w:t>6. Foundation module</w:t>
      </w:r>
    </w:p>
    <w:p>
      <w:pPr>
        <w:pStyle w:val="Heading1"/>
      </w:pPr>
      <w:r>
        <w:t>6.1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Nome sugerido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3437"/>
          </w:tcPr>
          <w:p>
            <w:r>
              <w:t>Domain VO</w:t>
            </w:r>
          </w:p>
        </w:tc>
        <w:tc>
          <w:tcPr>
            <w:tcW w:type="dxa" w:w="3437"/>
          </w:tcPr>
          <w:p>
            <w:r>
              <w:t>TenantId</w:t>
            </w:r>
          </w:p>
        </w:tc>
        <w:tc>
          <w:tcPr>
            <w:tcW w:type="dxa" w:w="3437"/>
          </w:tcPr>
          <w:p>
            <w:r>
              <w:t>Identidade do tenant</w:t>
            </w:r>
          </w:p>
        </w:tc>
      </w:tr>
      <w:tr>
        <w:tc>
          <w:tcPr>
            <w:tcW w:type="dxa" w:w="3437"/>
          </w:tcPr>
          <w:p>
            <w:r>
              <w:t>Application</w:t>
            </w:r>
          </w:p>
        </w:tc>
        <w:tc>
          <w:tcPr>
            <w:tcW w:type="dxa" w:w="3437"/>
          </w:tcPr>
          <w:p>
            <w:r>
              <w:t>CurrentTenantProvider</w:t>
            </w:r>
          </w:p>
        </w:tc>
        <w:tc>
          <w:tcPr>
            <w:tcW w:type="dxa" w:w="3437"/>
          </w:tcPr>
          <w:p>
            <w:r>
              <w:t>Resolver tenant autenticado</w:t>
            </w:r>
          </w:p>
        </w:tc>
      </w:tr>
      <w:tr>
        <w:tc>
          <w:tcPr>
            <w:tcW w:type="dxa" w:w="3437"/>
          </w:tcPr>
          <w:p>
            <w:r>
              <w:t>Application</w:t>
            </w:r>
          </w:p>
        </w:tc>
        <w:tc>
          <w:tcPr>
            <w:tcW w:type="dxa" w:w="3437"/>
          </w:tcPr>
          <w:p>
            <w:r>
              <w:t>CurrentActorProvider</w:t>
            </w:r>
          </w:p>
        </w:tc>
        <w:tc>
          <w:tcPr>
            <w:tcW w:type="dxa" w:w="3437"/>
          </w:tcPr>
          <w:p>
            <w:r>
              <w:t>Actor/roles/permissions</w:t>
            </w:r>
          </w:p>
        </w:tc>
      </w:tr>
      <w:tr>
        <w:tc>
          <w:tcPr>
            <w:tcW w:type="dxa" w:w="3437"/>
          </w:tcPr>
          <w:p>
            <w:r>
              <w:t>Service</w:t>
            </w:r>
          </w:p>
        </w:tc>
        <w:tc>
          <w:tcPr>
            <w:tcW w:type="dxa" w:w="3437"/>
          </w:tcPr>
          <w:p>
            <w:r>
              <w:t>AuditService</w:t>
            </w:r>
          </w:p>
        </w:tc>
        <w:tc>
          <w:tcPr>
            <w:tcW w:type="dxa" w:w="3437"/>
          </w:tcPr>
          <w:p>
            <w:r>
              <w:t>Registar audit records</w:t>
            </w:r>
          </w:p>
        </w:tc>
      </w:tr>
      <w:tr>
        <w:tc>
          <w:tcPr>
            <w:tcW w:type="dxa" w:w="3437"/>
          </w:tcPr>
          <w:p>
            <w:r>
              <w:t>Port</w:t>
            </w:r>
          </w:p>
        </w:tc>
        <w:tc>
          <w:tcPr>
            <w:tcW w:type="dxa" w:w="3437"/>
          </w:tcPr>
          <w:p>
            <w:r>
              <w:t>AuditRepositoryPort</w:t>
            </w:r>
          </w:p>
        </w:tc>
        <w:tc>
          <w:tcPr>
            <w:tcW w:type="dxa" w:w="3437"/>
          </w:tcPr>
          <w:p>
            <w:r>
              <w:t>Persistência audit</w:t>
            </w:r>
          </w:p>
        </w:tc>
      </w:tr>
      <w:tr>
        <w:tc>
          <w:tcPr>
            <w:tcW w:type="dxa" w:w="3437"/>
          </w:tcPr>
          <w:p>
            <w:r>
              <w:t>Adapter</w:t>
            </w:r>
          </w:p>
        </w:tc>
        <w:tc>
          <w:tcPr>
            <w:tcW w:type="dxa" w:w="3437"/>
          </w:tcPr>
          <w:p>
            <w:r>
              <w:t>JwtActorAdapter</w:t>
            </w:r>
          </w:p>
        </w:tc>
        <w:tc>
          <w:tcPr>
            <w:tcW w:type="dxa" w:w="3437"/>
          </w:tcPr>
          <w:p>
            <w:r>
              <w:t>Mapear claims JWT para actor</w:t>
            </w:r>
          </w:p>
        </w:tc>
      </w:tr>
      <w:tr>
        <w:tc>
          <w:tcPr>
            <w:tcW w:type="dxa" w:w="3437"/>
          </w:tcPr>
          <w:p>
            <w:r>
              <w:t>Adapter</w:t>
            </w:r>
          </w:p>
        </w:tc>
        <w:tc>
          <w:tcPr>
            <w:tcW w:type="dxa" w:w="3437"/>
          </w:tcPr>
          <w:p>
            <w:r>
              <w:t>JpaAuditRepositoryAdapter</w:t>
            </w:r>
          </w:p>
        </w:tc>
        <w:tc>
          <w:tcPr>
            <w:tcW w:type="dxa" w:w="3437"/>
          </w:tcPr>
          <w:p>
            <w:r>
              <w:t>Persistir audit</w:t>
            </w:r>
          </w:p>
        </w:tc>
      </w:tr>
      <w:tr>
        <w:tc>
          <w:tcPr>
            <w:tcW w:type="dxa" w:w="3437"/>
          </w:tcPr>
          <w:p>
            <w:r>
              <w:t>Filter</w:t>
            </w:r>
          </w:p>
        </w:tc>
        <w:tc>
          <w:tcPr>
            <w:tcW w:type="dxa" w:w="3437"/>
          </w:tcPr>
          <w:p>
            <w:r>
              <w:t>CorrelationIdFilter</w:t>
            </w:r>
          </w:p>
        </w:tc>
        <w:tc>
          <w:tcPr>
            <w:tcW w:type="dxa" w:w="3437"/>
          </w:tcPr>
          <w:p>
            <w:r>
              <w:t>Propagar/gerar correlation ID</w:t>
            </w:r>
          </w:p>
        </w:tc>
      </w:tr>
      <w:tr>
        <w:tc>
          <w:tcPr>
            <w:tcW w:type="dxa" w:w="3437"/>
          </w:tcPr>
          <w:p>
            <w:r>
              <w:t>Security</w:t>
            </w:r>
          </w:p>
        </w:tc>
        <w:tc>
          <w:tcPr>
            <w:tcW w:type="dxa" w:w="3437"/>
          </w:tcPr>
          <w:p>
            <w:r>
              <w:t>PermissionEvaluator</w:t>
            </w:r>
          </w:p>
        </w:tc>
        <w:tc>
          <w:tcPr>
            <w:tcW w:type="dxa" w:w="3437"/>
          </w:tcPr>
          <w:p>
            <w:r>
              <w:t>RBAC/ABAC contextual</w:t>
            </w:r>
          </w:p>
        </w:tc>
      </w:tr>
    </w:tbl>
    <w:p>
      <w:pPr>
        <w:pStyle w:val="Heading1"/>
      </w:pPr>
      <w:r>
        <w:t>6.2 Regras</w:t>
      </w:r>
    </w:p>
    <w:p>
      <w:pPr>
        <w:pStyle w:val="ListBullet"/>
      </w:pPr>
      <w:r>
        <w:t>TenantId obrigatório em todos os aggregates de negócio.</w:t>
      </w:r>
    </w:p>
    <w:p>
      <w:pPr>
        <w:pStyle w:val="ListBullet"/>
      </w:pPr>
      <w:r>
        <w:t>Repository methods de negócio recebem tenant explícito ou contexto não falsificável.</w:t>
      </w:r>
    </w:p>
    <w:p>
      <w:pPr>
        <w:pStyle w:val="ListBullet"/>
      </w:pPr>
      <w:r>
        <w:t>Audit record deve conter tenant, actor, action, entity type/id, timestamp, correlation-id e metadata sanitizada.</w:t>
      </w:r>
    </w:p>
    <w:p>
      <w:pPr>
        <w:pStyle w:val="ListBullet"/>
      </w:pPr>
      <w:r>
        <w:t>Audit não deve guardar token, password, secret, questionário clínico integral ou payload bruto desnecessário.</w:t>
      </w:r>
    </w:p>
    <w:p>
      <w:pPr>
        <w:pStyle w:val="Heading1"/>
      </w:pPr>
      <w:r>
        <w:t>7. Product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Aggregate/Componente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Campos/Responsabilidade mínima</w:t>
            </w:r>
          </w:p>
        </w:tc>
      </w:tr>
      <w:tr>
        <w:tc>
          <w:tcPr>
            <w:tcW w:type="dxa" w:w="5156"/>
          </w:tcPr>
          <w:p>
            <w:r>
              <w:t>Product</w:t>
            </w:r>
          </w:p>
        </w:tc>
        <w:tc>
          <w:tcPr>
            <w:tcW w:type="dxa" w:w="5156"/>
          </w:tcPr>
          <w:p>
            <w:r>
              <w:t>id, tenantId, code, name, status</w:t>
            </w:r>
          </w:p>
        </w:tc>
      </w:tr>
      <w:tr>
        <w:tc>
          <w:tcPr>
            <w:tcW w:type="dxa" w:w="5156"/>
          </w:tcPr>
          <w:p>
            <w:r>
              <w:t>ProductVersion</w:t>
            </w:r>
          </w:p>
        </w:tc>
        <w:tc>
          <w:tcPr>
            <w:tcW w:type="dxa" w:w="5156"/>
          </w:tcPr>
          <w:p>
            <w:r>
              <w:t>id, productId, version, effectiveFrom, effectiveTo, status</w:t>
            </w:r>
          </w:p>
        </w:tc>
      </w:tr>
      <w:tr>
        <w:tc>
          <w:tcPr>
            <w:tcW w:type="dxa" w:w="5156"/>
          </w:tcPr>
          <w:p>
            <w:r>
              <w:t>Plan</w:t>
            </w:r>
          </w:p>
        </w:tc>
        <w:tc>
          <w:tcPr>
            <w:tcW w:type="dxa" w:w="5156"/>
          </w:tcPr>
          <w:p>
            <w:r>
              <w:t>id, productVersionId, code, name, status</w:t>
            </w:r>
          </w:p>
        </w:tc>
      </w:tr>
      <w:tr>
        <w:tc>
          <w:tcPr>
            <w:tcW w:type="dxa" w:w="5156"/>
          </w:tcPr>
          <w:p>
            <w:r>
              <w:t>Benefit</w:t>
            </w:r>
          </w:p>
        </w:tc>
        <w:tc>
          <w:tcPr>
            <w:tcW w:type="dxa" w:w="5156"/>
          </w:tcPr>
          <w:p>
            <w:r>
              <w:t>id, code, name, type/status conforme decisão funcional</w:t>
            </w:r>
          </w:p>
        </w:tc>
      </w:tr>
      <w:tr>
        <w:tc>
          <w:tcPr>
            <w:tcW w:type="dxa" w:w="5156"/>
          </w:tcPr>
          <w:p>
            <w:r>
              <w:t>PlanBenefit</w:t>
            </w:r>
          </w:p>
        </w:tc>
        <w:tc>
          <w:tcPr>
            <w:tcW w:type="dxa" w:w="5156"/>
          </w:tcPr>
          <w:p>
            <w:r>
              <w:t>planId, benefitId, configuração versionada</w:t>
            </w:r>
          </w:p>
        </w:tc>
      </w:tr>
      <w:tr>
        <w:tc>
          <w:tcPr>
            <w:tcW w:type="dxa" w:w="5156"/>
          </w:tcPr>
          <w:p>
            <w:r>
              <w:t>ProductVersionResolver</w:t>
            </w:r>
          </w:p>
        </w:tc>
        <w:tc>
          <w:tcPr>
            <w:tcW w:type="dxa" w:w="5156"/>
          </w:tcPr>
          <w:p>
            <w:r>
              <w:t>Resolve versão efectiva para data/contexto</w:t>
            </w:r>
          </w:p>
        </w:tc>
      </w:tr>
      <w:tr>
        <w:tc>
          <w:tcPr>
            <w:tcW w:type="dxa" w:w="5156"/>
          </w:tcPr>
          <w:p>
            <w:r>
              <w:t>PublishProductVersionUseCase</w:t>
            </w:r>
          </w:p>
        </w:tc>
        <w:tc>
          <w:tcPr>
            <w:tcW w:type="dxa" w:w="5156"/>
          </w:tcPr>
          <w:p>
            <w:r>
              <w:t>Valida e publica versão imutável</w:t>
            </w:r>
          </w:p>
        </w:tc>
      </w:tr>
    </w:tbl>
    <w:p>
      <w:r>
        <w:rPr>
          <w:b w:val="0"/>
        </w:rPr>
        <w:t>Invariantes: códigos únicos no contexto aprovado; vigências incompatíveis não se sobrepõem; publicação é operação explícita; cotação guarda referência da versão utilizada.</w:t>
      </w:r>
    </w:p>
    <w:p>
      <w:pPr>
        <w:pStyle w:val="Heading1"/>
      </w:pPr>
      <w:r>
        <w:t>8. Client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5156"/>
          </w:tcPr>
          <w:p>
            <w:r>
              <w:t>Proposer</w:t>
            </w:r>
          </w:p>
        </w:tc>
        <w:tc>
          <w:tcPr>
            <w:tcW w:type="dxa" w:w="5156"/>
          </w:tcPr>
          <w:p>
            <w:r>
              <w:t>Identidade mínima do proponente; tenant ownership</w:t>
            </w:r>
          </w:p>
        </w:tc>
      </w:tr>
      <w:tr>
        <w:tc>
          <w:tcPr>
            <w:tcW w:type="dxa" w:w="5156"/>
          </w:tcPr>
          <w:p>
            <w:r>
              <w:t>InsuredMember</w:t>
            </w:r>
          </w:p>
        </w:tc>
        <w:tc>
          <w:tcPr>
            <w:tcW w:type="dxa" w:w="5156"/>
          </w:tcPr>
          <w:p>
            <w:r>
              <w:t>Titular/dependente e atributos aprovados</w:t>
            </w:r>
          </w:p>
        </w:tc>
      </w:tr>
      <w:tr>
        <w:tc>
          <w:tcPr>
            <w:tcW w:type="dxa" w:w="5156"/>
          </w:tcPr>
          <w:p>
            <w:r>
              <w:t>MemberRelationship</w:t>
            </w:r>
          </w:p>
        </w:tc>
        <w:tc>
          <w:tcPr>
            <w:tcW w:type="dxa" w:w="5156"/>
          </w:tcPr>
          <w:p>
            <w:r>
              <w:t>Relação normalizada</w:t>
            </w:r>
          </w:p>
        </w:tc>
      </w:tr>
      <w:tr>
        <w:tc>
          <w:tcPr>
            <w:tcW w:type="dxa" w:w="5156"/>
          </w:tcPr>
          <w:p>
            <w:r>
              <w:t>CreateProposerUseCase</w:t>
            </w:r>
          </w:p>
        </w:tc>
        <w:tc>
          <w:tcPr>
            <w:tcW w:type="dxa" w:w="5156"/>
          </w:tcPr>
          <w:p>
            <w:r>
              <w:t>Criar e validar proponente</w:t>
            </w:r>
          </w:p>
        </w:tc>
      </w:tr>
      <w:tr>
        <w:tc>
          <w:tcPr>
            <w:tcW w:type="dxa" w:w="5156"/>
          </w:tcPr>
          <w:p>
            <w:r>
              <w:t>AddMemberUseCase</w:t>
            </w:r>
          </w:p>
        </w:tc>
        <w:tc>
          <w:tcPr>
            <w:tcW w:type="dxa" w:w="5156"/>
          </w:tcPr>
          <w:p>
            <w:r>
              <w:t>Adicionar membro e validar relação</w:t>
            </w:r>
          </w:p>
        </w:tc>
      </w:tr>
      <w:tr>
        <w:tc>
          <w:tcPr>
            <w:tcW w:type="dxa" w:w="5156"/>
          </w:tcPr>
          <w:p>
            <w:r>
              <w:t>MemberImportService</w:t>
            </w:r>
          </w:p>
        </w:tc>
        <w:tc>
          <w:tcPr>
            <w:tcW w:type="dxa" w:w="5156"/>
          </w:tcPr>
          <w:p>
            <w:r>
              <w:t>Parse → validate → preview → commit</w:t>
            </w:r>
          </w:p>
        </w:tc>
      </w:tr>
      <w:tr>
        <w:tc>
          <w:tcPr>
            <w:tcW w:type="dxa" w:w="5156"/>
          </w:tcPr>
          <w:p>
            <w:r>
              <w:t>DuplicateDetectionPort</w:t>
            </w:r>
          </w:p>
        </w:tc>
        <w:tc>
          <w:tcPr>
            <w:tcW w:type="dxa" w:w="5156"/>
          </w:tcPr>
          <w:p>
            <w:r>
              <w:t>Detectar duplicados segundo política aprovada</w:t>
            </w:r>
          </w:p>
        </w:tc>
      </w:tr>
    </w:tbl>
    <w:p>
      <w:r>
        <w:rPr>
          <w:b w:val="0"/>
        </w:rPr>
        <w:t>Campos exactos de identificação permanecem sujeitos à OD-003 e serão fechados no ART-005/006. Programador não deve acrescentar campos regulatórios por suposição.</w:t>
      </w:r>
    </w:p>
    <w:p>
      <w:pPr>
        <w:pStyle w:val="Heading1"/>
      </w:pPr>
      <w:r>
        <w:t>9. Eligibility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5156"/>
          </w:tcPr>
          <w:p>
            <w:r>
              <w:t>EligibilityContext</w:t>
            </w:r>
          </w:p>
        </w:tc>
        <w:tc>
          <w:tcPr>
            <w:tcW w:type="dxa" w:w="5156"/>
          </w:tcPr>
          <w:p>
            <w:r>
              <w:t>Inputs normalizados para decisão</w:t>
            </w:r>
          </w:p>
        </w:tc>
      </w:tr>
      <w:tr>
        <w:tc>
          <w:tcPr>
            <w:tcW w:type="dxa" w:w="5156"/>
          </w:tcPr>
          <w:p>
            <w:r>
              <w:t>EligibilityDecision</w:t>
            </w:r>
          </w:p>
        </w:tc>
        <w:tc>
          <w:tcPr>
            <w:tcW w:type="dxa" w:w="5156"/>
          </w:tcPr>
          <w:p>
            <w:r>
              <w:t>ELIGIBLE / WARNING / REFERRAL / HARD_STOP / CONFIG_ERROR</w:t>
            </w:r>
          </w:p>
        </w:tc>
      </w:tr>
      <w:tr>
        <w:tc>
          <w:tcPr>
            <w:tcW w:type="dxa" w:w="5156"/>
          </w:tcPr>
          <w:p>
            <w:r>
              <w:t>EligibilityRulePort</w:t>
            </w:r>
          </w:p>
        </w:tc>
        <w:tc>
          <w:tcPr>
            <w:tcW w:type="dxa" w:w="5156"/>
          </w:tcPr>
          <w:p>
            <w:r>
              <w:t>Contrato para execução de regras</w:t>
            </w:r>
          </w:p>
        </w:tc>
      </w:tr>
      <w:tr>
        <w:tc>
          <w:tcPr>
            <w:tcW w:type="dxa" w:w="5156"/>
          </w:tcPr>
          <w:p>
            <w:r>
              <w:t>EvaluateEligibilityUseCase</w:t>
            </w:r>
          </w:p>
        </w:tc>
        <w:tc>
          <w:tcPr>
            <w:tcW w:type="dxa" w:w="5156"/>
          </w:tcPr>
          <w:p>
            <w:r>
              <w:t>Orquestrar regra, versão e evidência</w:t>
            </w:r>
          </w:p>
        </w:tc>
      </w:tr>
      <w:tr>
        <w:tc>
          <w:tcPr>
            <w:tcW w:type="dxa" w:w="5156"/>
          </w:tcPr>
          <w:p>
            <w:r>
              <w:t>EligibilityResult</w:t>
            </w:r>
          </w:p>
        </w:tc>
        <w:tc>
          <w:tcPr>
            <w:tcW w:type="dxa" w:w="5156"/>
          </w:tcPr>
          <w:p>
            <w:r>
              <w:t>Decision, messages, ruleSetVersion, evaluatedAt</w:t>
            </w:r>
          </w:p>
        </w:tc>
      </w:tr>
    </w:tbl>
    <w:p>
      <w:pPr>
        <w:pStyle w:val="ListBullet"/>
      </w:pPr>
      <w:r>
        <w:t>HARD_STOP impede avanço quando regra aprovada assim determinar.</w:t>
      </w:r>
    </w:p>
    <w:p>
      <w:pPr>
        <w:pStyle w:val="ListBullet"/>
      </w:pPr>
      <w:r>
        <w:t>WARNING permite continuidade com evidência.</w:t>
      </w:r>
    </w:p>
    <w:p>
      <w:pPr>
        <w:pStyle w:val="ListBullet"/>
      </w:pPr>
      <w:r>
        <w:t>REFERRAL cria condição para revisão humana.</w:t>
      </w:r>
    </w:p>
    <w:p>
      <w:pPr>
        <w:pStyle w:val="ListBullet"/>
      </w:pPr>
      <w:r>
        <w:t>CONFIG_ERROR nunca pode ser convertido silenciosamente em ELIGIBLE.</w:t>
      </w:r>
    </w:p>
    <w:p>
      <w:pPr>
        <w:pStyle w:val="ListBullet"/>
      </w:pPr>
      <w:r>
        <w:t>Resultado deve guardar versão do rule set.</w:t>
      </w:r>
    </w:p>
    <w:p>
      <w:pPr>
        <w:pStyle w:val="Heading1"/>
      </w:pPr>
      <w:r>
        <w:t>10. Pricing module — núcleo</w:t>
      </w:r>
    </w:p>
    <w:p>
      <w:pPr>
        <w:pStyle w:val="Heading1"/>
      </w:pPr>
      <w:r>
        <w:t>10.1 Modelo de cálculo</w:t>
      </w:r>
    </w:p>
    <w:p>
      <w:r>
        <w:rPr>
          <w:b w:val="0"/>
        </w:rPr>
        <w:t>O pricing V1 deve operar sobre um PricingContext imutável e produzir PricingResult imutável. Não existe cálculo monetário em controller, UI ou entity callback.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3437"/>
          </w:tcPr>
          <w:p>
            <w:r>
              <w:t>VO</w:t>
            </w:r>
          </w:p>
        </w:tc>
        <w:tc>
          <w:tcPr>
            <w:tcW w:type="dxa" w:w="3437"/>
          </w:tcPr>
          <w:p>
            <w:r>
              <w:t>Money</w:t>
            </w:r>
          </w:p>
        </w:tc>
        <w:tc>
          <w:tcPr>
            <w:tcW w:type="dxa" w:w="3437"/>
          </w:tcPr>
          <w:p>
            <w:r>
              <w:t>Amount + ISO currency; operações exactas</w:t>
            </w:r>
          </w:p>
        </w:tc>
      </w:tr>
      <w:tr>
        <w:tc>
          <w:tcPr>
            <w:tcW w:type="dxa" w:w="3437"/>
          </w:tcPr>
          <w:p>
            <w:r>
              <w:t>VO</w:t>
            </w:r>
          </w:p>
        </w:tc>
        <w:tc>
          <w:tcPr>
            <w:tcW w:type="dxa" w:w="3437"/>
          </w:tcPr>
          <w:p>
            <w:r>
              <w:t>PricingContext</w:t>
            </w:r>
          </w:p>
        </w:tc>
        <w:tc>
          <w:tcPr>
            <w:tcW w:type="dxa" w:w="3437"/>
          </w:tcPr>
          <w:p>
            <w:r>
              <w:t>Tenant, product/plan version, population snapshot, effective date, parameters</w:t>
            </w:r>
          </w:p>
        </w:tc>
      </w:tr>
      <w:tr>
        <w:tc>
          <w:tcPr>
            <w:tcW w:type="dxa" w:w="3437"/>
          </w:tcPr>
          <w:p>
            <w:r>
              <w:t>VO</w:t>
            </w:r>
          </w:p>
        </w:tc>
        <w:tc>
          <w:tcPr>
            <w:tcW w:type="dxa" w:w="3437"/>
          </w:tcPr>
          <w:p>
            <w:r>
              <w:t>PricingComponent</w:t>
            </w:r>
          </w:p>
        </w:tc>
        <w:tc>
          <w:tcPr>
            <w:tcW w:type="dxa" w:w="3437"/>
          </w:tcPr>
          <w:p>
            <w:r>
              <w:t>Code, base, factor/adjustment, amount, source/version</w:t>
            </w:r>
          </w:p>
        </w:tc>
      </w:tr>
      <w:tr>
        <w:tc>
          <w:tcPr>
            <w:tcW w:type="dxa" w:w="3437"/>
          </w:tcPr>
          <w:p>
            <w:r>
              <w:t>Result</w:t>
            </w:r>
          </w:p>
        </w:tc>
        <w:tc>
          <w:tcPr>
            <w:tcW w:type="dxa" w:w="3437"/>
          </w:tcPr>
          <w:p>
            <w:r>
              <w:t>PricingResult</w:t>
            </w:r>
          </w:p>
        </w:tc>
        <w:tc>
          <w:tcPr>
            <w:tcW w:type="dxa" w:w="3437"/>
          </w:tcPr>
          <w:p>
            <w:r>
              <w:t>Total, currency, components, versions, trace</w:t>
            </w:r>
          </w:p>
        </w:tc>
      </w:tr>
      <w:tr>
        <w:tc>
          <w:tcPr>
            <w:tcW w:type="dxa" w:w="3437"/>
          </w:tcPr>
          <w:p>
            <w:r>
              <w:t>Service</w:t>
            </w:r>
          </w:p>
        </w:tc>
        <w:tc>
          <w:tcPr>
            <w:tcW w:type="dxa" w:w="3437"/>
          </w:tcPr>
          <w:p>
            <w:r>
              <w:t>PricingEngine</w:t>
            </w:r>
          </w:p>
        </w:tc>
        <w:tc>
          <w:tcPr>
            <w:tcW w:type="dxa" w:w="3437"/>
          </w:tcPr>
          <w:p>
            <w:r>
              <w:t>Pipeline determinístico</w:t>
            </w:r>
          </w:p>
        </w:tc>
      </w:tr>
      <w:tr>
        <w:tc>
          <w:tcPr>
            <w:tcW w:type="dxa" w:w="3437"/>
          </w:tcPr>
          <w:p>
            <w:r>
              <w:t>Port</w:t>
            </w:r>
          </w:p>
        </w:tc>
        <w:tc>
          <w:tcPr>
            <w:tcW w:type="dxa" w:w="3437"/>
          </w:tcPr>
          <w:p>
            <w:r>
              <w:t>RatingTablePort</w:t>
            </w:r>
          </w:p>
        </w:tc>
        <w:tc>
          <w:tcPr>
            <w:tcW w:type="dxa" w:w="3437"/>
          </w:tcPr>
          <w:p>
            <w:r>
              <w:t>Resolver factores versionados</w:t>
            </w:r>
          </w:p>
        </w:tc>
      </w:tr>
      <w:tr>
        <w:tc>
          <w:tcPr>
            <w:tcW w:type="dxa" w:w="3437"/>
          </w:tcPr>
          <w:p>
            <w:r>
              <w:t>Port</w:t>
            </w:r>
          </w:p>
        </w:tc>
        <w:tc>
          <w:tcPr>
            <w:tcW w:type="dxa" w:w="3437"/>
          </w:tcPr>
          <w:p>
            <w:r>
              <w:t>RuleEnginePort</w:t>
            </w:r>
          </w:p>
        </w:tc>
        <w:tc>
          <w:tcPr>
            <w:tcW w:type="dxa" w:w="3437"/>
          </w:tcPr>
          <w:p>
            <w:r>
              <w:t>Aplicar regras aprovadas</w:t>
            </w:r>
          </w:p>
        </w:tc>
      </w:tr>
      <w:tr>
        <w:tc>
          <w:tcPr>
            <w:tcW w:type="dxa" w:w="3437"/>
          </w:tcPr>
          <w:p>
            <w:r>
              <w:t>Service</w:t>
            </w:r>
          </w:p>
        </w:tc>
        <w:tc>
          <w:tcPr>
            <w:tcW w:type="dxa" w:w="3437"/>
          </w:tcPr>
          <w:p>
            <w:r>
              <w:t>RoundingPolicy</w:t>
            </w:r>
          </w:p>
        </w:tc>
        <w:tc>
          <w:tcPr>
            <w:tcW w:type="dxa" w:w="3437"/>
          </w:tcPr>
          <w:p>
            <w:r>
              <w:t>Arredondamento explícito/versionado</w:t>
            </w:r>
          </w:p>
        </w:tc>
      </w:tr>
      <w:tr>
        <w:tc>
          <w:tcPr>
            <w:tcW w:type="dxa" w:w="3437"/>
          </w:tcPr>
          <w:p>
            <w:r>
              <w:t>Service</w:t>
            </w:r>
          </w:p>
        </w:tc>
        <w:tc>
          <w:tcPr>
            <w:tcW w:type="dxa" w:w="3437"/>
          </w:tcPr>
          <w:p>
            <w:r>
              <w:t>PricingValidator</w:t>
            </w:r>
          </w:p>
        </w:tc>
        <w:tc>
          <w:tcPr>
            <w:tcW w:type="dxa" w:w="3437"/>
          </w:tcPr>
          <w:p>
            <w:r>
              <w:t>Pre/post conditions</w:t>
            </w:r>
          </w:p>
        </w:tc>
      </w:tr>
      <w:tr>
        <w:tc>
          <w:tcPr>
            <w:tcW w:type="dxa" w:w="3437"/>
          </w:tcPr>
          <w:p>
            <w:r>
              <w:t>Service</w:t>
            </w:r>
          </w:p>
        </w:tc>
        <w:tc>
          <w:tcPr>
            <w:tcW w:type="dxa" w:w="3437"/>
          </w:tcPr>
          <w:p>
            <w:r>
              <w:t>PricingExplainabilityService</w:t>
            </w:r>
          </w:p>
        </w:tc>
        <w:tc>
          <w:tcPr>
            <w:tcW w:type="dxa" w:w="3437"/>
          </w:tcPr>
          <w:p>
            <w:r>
              <w:t>Produzir trace legível</w:t>
            </w:r>
          </w:p>
        </w:tc>
      </w:tr>
    </w:tbl>
    <w:p>
      <w:pPr>
        <w:pStyle w:val="Heading1"/>
      </w:pPr>
      <w:r>
        <w:t>10.2 Pipeline obrigatório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Ordem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Falha</w:t>
            </w:r>
          </w:p>
        </w:tc>
      </w:tr>
      <w:tr>
        <w:tc>
          <w:tcPr>
            <w:tcW w:type="dxa" w:w="3437"/>
          </w:tcPr>
          <w:p>
            <w:r>
              <w:t>1</w:t>
            </w:r>
          </w:p>
        </w:tc>
        <w:tc>
          <w:tcPr>
            <w:tcW w:type="dxa" w:w="3437"/>
          </w:tcPr>
          <w:p>
            <w:r>
              <w:t>Validate context e configuration</w:t>
            </w:r>
          </w:p>
        </w:tc>
        <w:tc>
          <w:tcPr>
            <w:tcW w:type="dxa" w:w="3437"/>
          </w:tcPr>
          <w:p>
            <w:r>
              <w:t>CONFIG_ERROR / VALIDATION</w:t>
            </w:r>
          </w:p>
        </w:tc>
      </w:tr>
      <w:tr>
        <w:tc>
          <w:tcPr>
            <w:tcW w:type="dxa" w:w="3437"/>
          </w:tcPr>
          <w:p>
            <w:r>
              <w:t>2</w:t>
            </w:r>
          </w:p>
        </w:tc>
        <w:tc>
          <w:tcPr>
            <w:tcW w:type="dxa" w:w="3437"/>
          </w:tcPr>
          <w:p>
            <w:r>
              <w:t>Resolve product/plan/rating/rule versions</w:t>
            </w:r>
          </w:p>
        </w:tc>
        <w:tc>
          <w:tcPr>
            <w:tcW w:type="dxa" w:w="3437"/>
          </w:tcPr>
          <w:p>
            <w:r>
              <w:t>VERSION/CONFIG error</w:t>
            </w:r>
          </w:p>
        </w:tc>
      </w:tr>
      <w:tr>
        <w:tc>
          <w:tcPr>
            <w:tcW w:type="dxa" w:w="3437"/>
          </w:tcPr>
          <w:p>
            <w:r>
              <w:t>3</w:t>
            </w:r>
          </w:p>
        </w:tc>
        <w:tc>
          <w:tcPr>
            <w:tcW w:type="dxa" w:w="3437"/>
          </w:tcPr>
          <w:p>
            <w:r>
              <w:t>Resolve base rates/factors</w:t>
            </w:r>
          </w:p>
        </w:tc>
        <w:tc>
          <w:tcPr>
            <w:tcW w:type="dxa" w:w="3437"/>
          </w:tcPr>
          <w:p>
            <w:r>
              <w:t>PRICING-CONFIG</w:t>
            </w:r>
          </w:p>
        </w:tc>
      </w:tr>
      <w:tr>
        <w:tc>
          <w:tcPr>
            <w:tcW w:type="dxa" w:w="3437"/>
          </w:tcPr>
          <w:p>
            <w:r>
              <w:t>4</w:t>
            </w:r>
          </w:p>
        </w:tc>
        <w:tc>
          <w:tcPr>
            <w:tcW w:type="dxa" w:w="3437"/>
          </w:tcPr>
          <w:p>
            <w:r>
              <w:t>Apply approved rules/adjustments</w:t>
            </w:r>
          </w:p>
        </w:tc>
        <w:tc>
          <w:tcPr>
            <w:tcW w:type="dxa" w:w="3437"/>
          </w:tcPr>
          <w:p>
            <w:r>
              <w:t>RULE error</w:t>
            </w:r>
          </w:p>
        </w:tc>
      </w:tr>
      <w:tr>
        <w:tc>
          <w:tcPr>
            <w:tcW w:type="dxa" w:w="3437"/>
          </w:tcPr>
          <w:p>
            <w:r>
              <w:t>5</w:t>
            </w:r>
          </w:p>
        </w:tc>
        <w:tc>
          <w:tcPr>
            <w:tcW w:type="dxa" w:w="3437"/>
          </w:tcPr>
          <w:p>
            <w:r>
              <w:t>Apply rounding policy nos pontos definidos</w:t>
            </w:r>
          </w:p>
        </w:tc>
        <w:tc>
          <w:tcPr>
            <w:tcW w:type="dxa" w:w="3437"/>
          </w:tcPr>
          <w:p>
            <w:r>
              <w:t>ROUNDING error</w:t>
            </w:r>
          </w:p>
        </w:tc>
      </w:tr>
      <w:tr>
        <w:tc>
          <w:tcPr>
            <w:tcW w:type="dxa" w:w="3437"/>
          </w:tcPr>
          <w:p>
            <w:r>
              <w:t>6</w:t>
            </w:r>
          </w:p>
        </w:tc>
        <w:tc>
          <w:tcPr>
            <w:tcW w:type="dxa" w:w="3437"/>
          </w:tcPr>
          <w:p>
            <w:r>
              <w:t>Reconcile components and total</w:t>
            </w:r>
          </w:p>
        </w:tc>
        <w:tc>
          <w:tcPr>
            <w:tcW w:type="dxa" w:w="3437"/>
          </w:tcPr>
          <w:p>
            <w:r>
              <w:t>PRICING-VALIDATION</w:t>
            </w:r>
          </w:p>
        </w:tc>
      </w:tr>
      <w:tr>
        <w:tc>
          <w:tcPr>
            <w:tcW w:type="dxa" w:w="3437"/>
          </w:tcPr>
          <w:p>
            <w:r>
              <w:t>7</w:t>
            </w:r>
          </w:p>
        </w:tc>
        <w:tc>
          <w:tcPr>
            <w:tcW w:type="dxa" w:w="3437"/>
          </w:tcPr>
          <w:p>
            <w:r>
              <w:t>Persist pricing run + trace</w:t>
            </w:r>
          </w:p>
        </w:tc>
        <w:tc>
          <w:tcPr>
            <w:tcW w:type="dxa" w:w="3437"/>
          </w:tcPr>
          <w:p>
            <w:r>
              <w:t>Persistence error</w:t>
            </w:r>
          </w:p>
        </w:tc>
      </w:tr>
      <w:tr>
        <w:tc>
          <w:tcPr>
            <w:tcW w:type="dxa" w:w="3437"/>
          </w:tcPr>
          <w:p>
            <w:r>
              <w:t>8</w:t>
            </w:r>
          </w:p>
        </w:tc>
        <w:tc>
          <w:tcPr>
            <w:tcW w:type="dxa" w:w="3437"/>
          </w:tcPr>
          <w:p>
            <w:r>
              <w:t>Return immutable result</w:t>
            </w:r>
          </w:p>
        </w:tc>
        <w:tc>
          <w:tcPr>
            <w:tcW w:type="dxa" w:w="3437"/>
          </w:tcPr>
          <w:p>
            <w:r>
              <w:t>—</w:t>
            </w:r>
          </w:p>
        </w:tc>
      </w:tr>
    </w:tbl>
    <w:p>
      <w:pPr>
        <w:pStyle w:val="Heading1"/>
      </w:pPr>
      <w:r>
        <w:t>10.3 Determinismo</w:t>
      </w:r>
    </w:p>
    <w:p>
      <w:pPr>
        <w:pStyle w:val="ListBullet"/>
      </w:pPr>
      <w:r>
        <w:t>Mesmo snapshot + mesmas versões + mesma policy deve produzir exactamente o mesmo resultado.</w:t>
      </w:r>
    </w:p>
    <w:p>
      <w:pPr>
        <w:pStyle w:val="ListBullet"/>
      </w:pPr>
      <w:r>
        <w:t>Clock, random, current configuration e mutable cache não podem afectar replay de uma execução histórica.</w:t>
      </w:r>
    </w:p>
    <w:p>
      <w:pPr>
        <w:pStyle w:val="ListBullet"/>
      </w:pPr>
      <w:r>
        <w:t>PricingRun deve referenciar productVersion, ratingVersion, ruleSetVersion, parameterVersion e roundingPolicyVersion.</w:t>
      </w:r>
    </w:p>
    <w:p>
      <w:pPr>
        <w:pStyle w:val="ListBullet"/>
      </w:pPr>
      <w:r>
        <w:t>Golden Test deve comparar componentes e total, não apenas o total final.</w:t>
      </w:r>
    </w:p>
    <w:p>
      <w:pPr>
        <w:pStyle w:val="Heading1"/>
      </w:pPr>
      <w:r>
        <w:t>11. Drools / Rules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5156"/>
          </w:tcPr>
          <w:p>
            <w:r>
              <w:t>RuleSetDescriptor</w:t>
            </w:r>
          </w:p>
        </w:tc>
        <w:tc>
          <w:tcPr>
            <w:tcW w:type="dxa" w:w="5156"/>
          </w:tcPr>
          <w:p>
            <w:r>
              <w:t>id, code, version, effective dates, checksum/status</w:t>
            </w:r>
          </w:p>
        </w:tc>
      </w:tr>
      <w:tr>
        <w:tc>
          <w:tcPr>
            <w:tcW w:type="dxa" w:w="5156"/>
          </w:tcPr>
          <w:p>
            <w:r>
              <w:t>DroolsRuleEngineAdapter</w:t>
            </w:r>
          </w:p>
        </w:tc>
        <w:tc>
          <w:tcPr>
            <w:tcW w:type="dxa" w:w="5156"/>
          </w:tcPr>
          <w:p>
            <w:r>
              <w:t>Carrega artefacto aprovado e executa contra facts definidos</w:t>
            </w:r>
          </w:p>
        </w:tc>
      </w:tr>
      <w:tr>
        <w:tc>
          <w:tcPr>
            <w:tcW w:type="dxa" w:w="5156"/>
          </w:tcPr>
          <w:p>
            <w:r>
              <w:t>RuleExecutionEvidence</w:t>
            </w:r>
          </w:p>
        </w:tc>
        <w:tc>
          <w:tcPr>
            <w:tcW w:type="dxa" w:w="5156"/>
          </w:tcPr>
          <w:p>
            <w:r>
              <w:t>ruleId, fired/not fired quando relevante, output, version</w:t>
            </w:r>
          </w:p>
        </w:tc>
      </w:tr>
      <w:tr>
        <w:tc>
          <w:tcPr>
            <w:tcW w:type="dxa" w:w="5156"/>
          </w:tcPr>
          <w:p>
            <w:r>
              <w:t>RulePublicationService</w:t>
            </w:r>
          </w:p>
        </w:tc>
        <w:tc>
          <w:tcPr>
            <w:tcW w:type="dxa" w:w="5156"/>
          </w:tcPr>
          <w:p>
            <w:r>
              <w:t>Publicação controlada; four-eyes quando aplicável</w:t>
            </w:r>
          </w:p>
        </w:tc>
      </w:tr>
      <w:tr>
        <w:tc>
          <w:tcPr>
            <w:tcW w:type="dxa" w:w="5156"/>
          </w:tcPr>
          <w:p>
            <w:r>
              <w:t>RuleCache</w:t>
            </w:r>
          </w:p>
        </w:tc>
        <w:tc>
          <w:tcPr>
            <w:tcW w:type="dxa" w:w="5156"/>
          </w:tcPr>
          <w:p>
            <w:r>
              <w:t>Pode optimizar carregamento, nunca substituir versão persistida</w:t>
            </w:r>
          </w:p>
        </w:tc>
      </w:tr>
    </w:tbl>
    <w:p>
      <w:r>
        <w:rPr>
          <w:b w:val="0"/>
        </w:rPr>
        <w:t>DRL/decision tables não devem conter tarifários que deveriam ser parâmetros versionados. A matriz normativa será o ART-008.</w:t>
      </w:r>
    </w:p>
    <w:p>
      <w:pPr>
        <w:pStyle w:val="Heading1"/>
      </w:pPr>
      <w:r>
        <w:t>12. Quotation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Aggregate/Componente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5156"/>
          </w:tcPr>
          <w:p>
            <w:r>
              <w:t>Quote</w:t>
            </w:r>
          </w:p>
        </w:tc>
        <w:tc>
          <w:tcPr>
            <w:tcW w:type="dxa" w:w="5156"/>
          </w:tcPr>
          <w:p>
            <w:r>
              <w:t>Aggregate root; identity, proposer, plan, state, validity</w:t>
            </w:r>
          </w:p>
        </w:tc>
      </w:tr>
      <w:tr>
        <w:tc>
          <w:tcPr>
            <w:tcW w:type="dxa" w:w="5156"/>
          </w:tcPr>
          <w:p>
            <w:r>
              <w:t>QuoteMemberSnapshot</w:t>
            </w:r>
          </w:p>
        </w:tc>
        <w:tc>
          <w:tcPr>
            <w:tcW w:type="dxa" w:w="5156"/>
          </w:tcPr>
          <w:p>
            <w:r>
              <w:t>Dados de população relevantes congelados</w:t>
            </w:r>
          </w:p>
        </w:tc>
      </w:tr>
      <w:tr>
        <w:tc>
          <w:tcPr>
            <w:tcW w:type="dxa" w:w="5156"/>
          </w:tcPr>
          <w:p>
            <w:r>
              <w:t>QuoteSnapshot</w:t>
            </w:r>
          </w:p>
        </w:tc>
        <w:tc>
          <w:tcPr>
            <w:tcW w:type="dxa" w:w="5156"/>
          </w:tcPr>
          <w:p>
            <w:r>
              <w:t>Inputs + versões + pricing run reference</w:t>
            </w:r>
          </w:p>
        </w:tc>
      </w:tr>
      <w:tr>
        <w:tc>
          <w:tcPr>
            <w:tcW w:type="dxa" w:w="5156"/>
          </w:tcPr>
          <w:p>
            <w:r>
              <w:t>CreateQuoteUseCase</w:t>
            </w:r>
          </w:p>
        </w:tc>
        <w:tc>
          <w:tcPr>
            <w:tcW w:type="dxa" w:w="5156"/>
          </w:tcPr>
          <w:p>
            <w:r>
              <w:t>Criar DRAFT</w:t>
            </w:r>
          </w:p>
        </w:tc>
      </w:tr>
      <w:tr>
        <w:tc>
          <w:tcPr>
            <w:tcW w:type="dxa" w:w="5156"/>
          </w:tcPr>
          <w:p>
            <w:r>
              <w:t>UpdateQuotePopulationUseCase</w:t>
            </w:r>
          </w:p>
        </w:tc>
        <w:tc>
          <w:tcPr>
            <w:tcW w:type="dxa" w:w="5156"/>
          </w:tcPr>
          <w:p>
            <w:r>
              <w:t>Alterar população e invalidar preço anterior conforme regra</w:t>
            </w:r>
          </w:p>
        </w:tc>
      </w:tr>
      <w:tr>
        <w:tc>
          <w:tcPr>
            <w:tcW w:type="dxa" w:w="5156"/>
          </w:tcPr>
          <w:p>
            <w:r>
              <w:t>PriceQuoteUseCase</w:t>
            </w:r>
          </w:p>
        </w:tc>
        <w:tc>
          <w:tcPr>
            <w:tcW w:type="dxa" w:w="5156"/>
          </w:tcPr>
          <w:p>
            <w:r>
              <w:t>Orquestrar eligibility + pricing + snapshot</w:t>
            </w:r>
          </w:p>
        </w:tc>
      </w:tr>
      <w:tr>
        <w:tc>
          <w:tcPr>
            <w:tcW w:type="dxa" w:w="5156"/>
          </w:tcPr>
          <w:p>
            <w:r>
              <w:t>SubmitQuoteUseCase</w:t>
            </w:r>
          </w:p>
        </w:tc>
        <w:tc>
          <w:tcPr>
            <w:tcW w:type="dxa" w:w="5156"/>
          </w:tcPr>
          <w:p>
            <w:r>
              <w:t>Transição para review</w:t>
            </w:r>
          </w:p>
        </w:tc>
      </w:tr>
      <w:tr>
        <w:tc>
          <w:tcPr>
            <w:tcW w:type="dxa" w:w="5156"/>
          </w:tcPr>
          <w:p>
            <w:r>
              <w:t>QuoteQueryService</w:t>
            </w:r>
          </w:p>
        </w:tc>
        <w:tc>
          <w:tcPr>
            <w:tcW w:type="dxa" w:w="5156"/>
          </w:tcPr>
          <w:p>
            <w:r>
              <w:t>Read models/list/detail</w:t>
            </w:r>
          </w:p>
        </w:tc>
      </w:tr>
    </w:tbl>
    <w:p>
      <w:pPr>
        <w:pStyle w:val="Heading1"/>
      </w:pPr>
      <w:r>
        <w:t>12.1 Invariantes</w:t>
      </w:r>
    </w:p>
    <w:p>
      <w:pPr>
        <w:pStyle w:val="ListBullet"/>
      </w:pPr>
      <w:r>
        <w:t>Quote APPROVED não pode ser alterada como DRAFT.</w:t>
      </w:r>
    </w:p>
    <w:p>
      <w:pPr>
        <w:pStyle w:val="ListBullet"/>
      </w:pPr>
      <w:r>
        <w:t>Alteração material depois de pricing deve criar nova versão/run, nunca editar resultado histórico.</w:t>
      </w:r>
    </w:p>
    <w:p>
      <w:pPr>
        <w:pStyle w:val="ListBullet"/>
      </w:pPr>
      <w:r>
        <w:t>Submit requer critérios de completude e preço válido.</w:t>
      </w:r>
    </w:p>
    <w:p>
      <w:pPr>
        <w:pStyle w:val="ListBullet"/>
      </w:pPr>
      <w:r>
        <w:t>Expiração usa data/policy versionada; não depende apenas de job sem verificação transaccional.</w:t>
      </w:r>
    </w:p>
    <w:p>
      <w:pPr>
        <w:pStyle w:val="Heading1"/>
      </w:pPr>
      <w:r>
        <w:t>13. Underwriting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5156"/>
          </w:tcPr>
          <w:p>
            <w:r>
              <w:t>ReviewTask</w:t>
            </w:r>
          </w:p>
        </w:tc>
        <w:tc>
          <w:tcPr>
            <w:tcW w:type="dxa" w:w="5156"/>
          </w:tcPr>
          <w:p>
            <w:r>
              <w:t>Work item de revisão</w:t>
            </w:r>
          </w:p>
        </w:tc>
      </w:tr>
      <w:tr>
        <w:tc>
          <w:tcPr>
            <w:tcW w:type="dxa" w:w="5156"/>
          </w:tcPr>
          <w:p>
            <w:r>
              <w:t>AuthorityPolicy</w:t>
            </w:r>
          </w:p>
        </w:tc>
        <w:tc>
          <w:tcPr>
            <w:tcW w:type="dxa" w:w="5156"/>
          </w:tcPr>
          <w:p>
            <w:r>
              <w:t>Política configurável de autoridade</w:t>
            </w:r>
          </w:p>
        </w:tc>
      </w:tr>
      <w:tr>
        <w:tc>
          <w:tcPr>
            <w:tcW w:type="dxa" w:w="5156"/>
          </w:tcPr>
          <w:p>
            <w:r>
              <w:t>UnderwritingDecision</w:t>
            </w:r>
          </w:p>
        </w:tc>
        <w:tc>
          <w:tcPr>
            <w:tcW w:type="dxa" w:w="5156"/>
          </w:tcPr>
          <w:p>
            <w:r>
              <w:t>APPROVE / REJECT / RETURN conforme state machine</w:t>
            </w:r>
          </w:p>
        </w:tc>
      </w:tr>
      <w:tr>
        <w:tc>
          <w:tcPr>
            <w:tcW w:type="dxa" w:w="5156"/>
          </w:tcPr>
          <w:p>
            <w:r>
              <w:t>SubmitForReviewUseCase</w:t>
            </w:r>
          </w:p>
        </w:tc>
        <w:tc>
          <w:tcPr>
            <w:tcW w:type="dxa" w:w="5156"/>
          </w:tcPr>
          <w:p>
            <w:r>
              <w:t>Criar/activar review</w:t>
            </w:r>
          </w:p>
        </w:tc>
      </w:tr>
      <w:tr>
        <w:tc>
          <w:tcPr>
            <w:tcW w:type="dxa" w:w="5156"/>
          </w:tcPr>
          <w:p>
            <w:r>
              <w:t>DecideQuoteUseCase</w:t>
            </w:r>
          </w:p>
        </w:tc>
        <w:tc>
          <w:tcPr>
            <w:tcW w:type="dxa" w:w="5156"/>
          </w:tcPr>
          <w:p>
            <w:r>
              <w:t>Verificar authority + four-eyes + reason</w:t>
            </w:r>
          </w:p>
        </w:tc>
      </w:tr>
      <w:tr>
        <w:tc>
          <w:tcPr>
            <w:tcW w:type="dxa" w:w="5156"/>
          </w:tcPr>
          <w:p>
            <w:r>
              <w:t>QuoteStateMachine</w:t>
            </w:r>
          </w:p>
        </w:tc>
        <w:tc>
          <w:tcPr>
            <w:tcW w:type="dxa" w:w="5156"/>
          </w:tcPr>
          <w:p>
            <w:r>
              <w:t>Aplicar transições autorizadas</w:t>
            </w:r>
          </w:p>
        </w:tc>
      </w:tr>
      <w:tr>
        <w:tc>
          <w:tcPr>
            <w:tcW w:type="dxa" w:w="5156"/>
          </w:tcPr>
          <w:p>
            <w:r>
              <w:t>ReviewNote</w:t>
            </w:r>
          </w:p>
        </w:tc>
        <w:tc>
          <w:tcPr>
            <w:tcW w:type="dxa" w:w="5156"/>
          </w:tcPr>
          <w:p>
            <w:r>
              <w:t>Nota auditável; não substitui decisão</w:t>
            </w:r>
          </w:p>
        </w:tc>
      </w:tr>
    </w:tbl>
    <w:p>
      <w:r>
        <w:rPr>
          <w:b w:val="0"/>
        </w:rPr>
        <w:t>A regra de four-eyes é obrigatória: submittedBy != decidedBy. Qualquer excepção futura exige requisito e regra explícitos.</w:t>
      </w:r>
    </w:p>
    <w:p>
      <w:pPr>
        <w:pStyle w:val="Heading1"/>
      </w:pPr>
      <w:r>
        <w:t>14. Documents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5156"/>
          </w:tcPr>
          <w:p>
            <w:r>
              <w:t>DocumentTemplateVersion</w:t>
            </w:r>
          </w:p>
        </w:tc>
        <w:tc>
          <w:tcPr>
            <w:tcW w:type="dxa" w:w="5156"/>
          </w:tcPr>
          <w:p>
            <w:r>
              <w:t>Template identificado e versionado</w:t>
            </w:r>
          </w:p>
        </w:tc>
      </w:tr>
      <w:tr>
        <w:tc>
          <w:tcPr>
            <w:tcW w:type="dxa" w:w="5156"/>
          </w:tcPr>
          <w:p>
            <w:r>
              <w:t>GenerateProposalUseCase</w:t>
            </w:r>
          </w:p>
        </w:tc>
        <w:tc>
          <w:tcPr>
            <w:tcW w:type="dxa" w:w="5156"/>
          </w:tcPr>
          <w:p>
            <w:r>
              <w:t>Gerar proposta exclusivamente do snapshot autorizado</w:t>
            </w:r>
          </w:p>
        </w:tc>
      </w:tr>
      <w:tr>
        <w:tc>
          <w:tcPr>
            <w:tcW w:type="dxa" w:w="5156"/>
          </w:tcPr>
          <w:p>
            <w:r>
              <w:t>DocumentRecord</w:t>
            </w:r>
          </w:p>
        </w:tc>
        <w:tc>
          <w:tcPr>
            <w:tcW w:type="dxa" w:w="5156"/>
          </w:tcPr>
          <w:p>
            <w:r>
              <w:t>Metadata, checksum/path/reference, template version</w:t>
            </w:r>
          </w:p>
        </w:tc>
      </w:tr>
      <w:tr>
        <w:tc>
          <w:tcPr>
            <w:tcW w:type="dxa" w:w="5156"/>
          </w:tcPr>
          <w:p>
            <w:r>
              <w:t>NumberingService</w:t>
            </w:r>
          </w:p>
        </w:tc>
        <w:tc>
          <w:tcPr>
            <w:tcW w:type="dxa" w:w="5156"/>
          </w:tcPr>
          <w:p>
            <w:r>
              <w:t>Gerar número único segundo OD-007</w:t>
            </w:r>
          </w:p>
        </w:tc>
      </w:tr>
      <w:tr>
        <w:tc>
          <w:tcPr>
            <w:tcW w:type="dxa" w:w="5156"/>
          </w:tcPr>
          <w:p>
            <w:r>
              <w:t>DocumentStoragePort</w:t>
            </w:r>
          </w:p>
        </w:tc>
        <w:tc>
          <w:tcPr>
            <w:tcW w:type="dxa" w:w="5156"/>
          </w:tcPr>
          <w:p>
            <w:r>
              <w:t>Persistir/recuperar documento</w:t>
            </w:r>
          </w:p>
        </w:tc>
      </w:tr>
      <w:tr>
        <w:tc>
          <w:tcPr>
            <w:tcW w:type="dxa" w:w="5156"/>
          </w:tcPr>
          <w:p>
            <w:r>
              <w:t>PdfRendererPort</w:t>
            </w:r>
          </w:p>
        </w:tc>
        <w:tc>
          <w:tcPr>
            <w:tcW w:type="dxa" w:w="5156"/>
          </w:tcPr>
          <w:p>
            <w:r>
              <w:t>Renderizar documento através de adapter substituível</w:t>
            </w:r>
          </w:p>
        </w:tc>
      </w:tr>
    </w:tbl>
    <w:p>
      <w:r>
        <w:rPr>
          <w:b w:val="0"/>
        </w:rPr>
        <w:t>Não gerar documento consultando configuração corrente que possa divergir do snapshot. Conteúdo deve ser reconstruível a partir do snapshot + template version.</w:t>
      </w:r>
    </w:p>
    <w:p>
      <w:pPr>
        <w:pStyle w:val="Heading1"/>
      </w:pPr>
      <w:r>
        <w:t>15. Persistence engineering</w:t>
      </w:r>
    </w:p>
    <w:p>
      <w:pPr>
        <w:pStyle w:val="ListBullet"/>
      </w:pPr>
      <w:r>
        <w:t>PostgreSQL é fonte de verdade.</w:t>
      </w:r>
    </w:p>
    <w:p>
      <w:pPr>
        <w:pStyle w:val="ListBullet"/>
      </w:pPr>
      <w:r>
        <w:t>Todas as tabelas de negócio têm tenant_id quando a estratégia final exigir isolamento por linha.</w:t>
      </w:r>
    </w:p>
    <w:p>
      <w:pPr>
        <w:pStyle w:val="ListBullet"/>
      </w:pPr>
      <w:r>
        <w:t>Optimistic locking/version column deve ser considerado em aggregates sujeitos a concorrência.</w:t>
      </w:r>
    </w:p>
    <w:p>
      <w:pPr>
        <w:pStyle w:val="ListBullet"/>
      </w:pPr>
      <w:r>
        <w:t>Unique constraints devem existir na DB, não apenas no service.</w:t>
      </w:r>
    </w:p>
    <w:p>
      <w:pPr>
        <w:pStyle w:val="ListBullet"/>
      </w:pPr>
      <w:r>
        <w:t>Foreign keys e check constraints devem proteger invariantes que a DB consegue expressar.</w:t>
      </w:r>
    </w:p>
    <w:p>
      <w:pPr>
        <w:pStyle w:val="ListBullet"/>
      </w:pPr>
      <w:r>
        <w:t>NUMERIC precision/scale será definida explicitamente no ART-005; nunca usar MONEY do PostgreSQL como substituto do domínio Money.</w:t>
      </w:r>
    </w:p>
    <w:p>
      <w:pPr>
        <w:pStyle w:val="ListBullet"/>
      </w:pPr>
      <w:r>
        <w:t>Created_at/updated_at são timestamps técnicos; effective_from/effective_to representam vigência de negócio.</w:t>
      </w:r>
    </w:p>
    <w:p>
      <w:pPr>
        <w:pStyle w:val="ListBullet"/>
      </w:pPr>
      <w:r>
        <w:t>Soft delete só quando requisito o justificar; não adoptar como default.</w:t>
      </w:r>
    </w:p>
    <w:p>
      <w:pPr>
        <w:pStyle w:val="Heading1"/>
      </w:pPr>
      <w:r>
        <w:t>16. Transaction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Boundary</w:t>
            </w:r>
          </w:p>
        </w:tc>
      </w:tr>
      <w:tr>
        <w:tc>
          <w:tcPr>
            <w:tcW w:type="dxa" w:w="5156"/>
          </w:tcPr>
          <w:p>
            <w:r>
              <w:t>Publish product/rule/rating</w:t>
            </w:r>
          </w:p>
        </w:tc>
        <w:tc>
          <w:tcPr>
            <w:tcW w:type="dxa" w:w="5156"/>
          </w:tcPr>
          <w:p>
            <w:r>
              <w:t>Uma transacção para mudança de estado + audit/outbox</w:t>
            </w:r>
          </w:p>
        </w:tc>
      </w:tr>
      <w:tr>
        <w:tc>
          <w:tcPr>
            <w:tcW w:type="dxa" w:w="5156"/>
          </w:tcPr>
          <w:p>
            <w:r>
              <w:t>Create/update quote</w:t>
            </w:r>
          </w:p>
        </w:tc>
        <w:tc>
          <w:tcPr>
            <w:tcW w:type="dxa" w:w="5156"/>
          </w:tcPr>
          <w:p>
            <w:r>
              <w:t>Uma transacção por command</w:t>
            </w:r>
          </w:p>
        </w:tc>
      </w:tr>
      <w:tr>
        <w:tc>
          <w:tcPr>
            <w:tcW w:type="dxa" w:w="5156"/>
          </w:tcPr>
          <w:p>
            <w:r>
              <w:t>Price quote</w:t>
            </w:r>
          </w:p>
        </w:tc>
        <w:tc>
          <w:tcPr>
            <w:tcW w:type="dxa" w:w="5156"/>
          </w:tcPr>
          <w:p>
            <w:r>
              <w:t>Persistir pricing run/snapshot de forma atomicamente consistente</w:t>
            </w:r>
          </w:p>
        </w:tc>
      </w:tr>
      <w:tr>
        <w:tc>
          <w:tcPr>
            <w:tcW w:type="dxa" w:w="5156"/>
          </w:tcPr>
          <w:p>
            <w:r>
              <w:t>Decision</w:t>
            </w:r>
          </w:p>
        </w:tc>
        <w:tc>
          <w:tcPr>
            <w:tcW w:type="dxa" w:w="5156"/>
          </w:tcPr>
          <w:p>
            <w:r>
              <w:t>Authority check + state transition + decision + audit + outbox</w:t>
            </w:r>
          </w:p>
        </w:tc>
      </w:tr>
      <w:tr>
        <w:tc>
          <w:tcPr>
            <w:tcW w:type="dxa" w:w="5156"/>
          </w:tcPr>
          <w:p>
            <w:r>
              <w:t>Generate document</w:t>
            </w:r>
          </w:p>
        </w:tc>
        <w:tc>
          <w:tcPr>
            <w:tcW w:type="dxa" w:w="5156"/>
          </w:tcPr>
          <w:p>
            <w:r>
              <w:t>Metadata e estado transaccional; render/storage com estratégia de retry idempotente</w:t>
            </w:r>
          </w:p>
        </w:tc>
      </w:tr>
      <w:tr>
        <w:tc>
          <w:tcPr>
            <w:tcW w:type="dxa" w:w="5156"/>
          </w:tcPr>
          <w:p>
            <w:r>
              <w:t>Outbox dispatch</w:t>
            </w:r>
          </w:p>
        </w:tc>
        <w:tc>
          <w:tcPr>
            <w:tcW w:type="dxa" w:w="5156"/>
          </w:tcPr>
          <w:p>
            <w:r>
              <w:t>Transacção curta separada; locking seguro entre workers</w:t>
            </w:r>
          </w:p>
        </w:tc>
      </w:tr>
    </w:tbl>
    <w:p>
      <w:pPr>
        <w:pStyle w:val="Heading1"/>
      </w:pPr>
      <w:r>
        <w:t>17. API engineering</w:t>
      </w:r>
    </w:p>
    <w:p>
      <w:pPr>
        <w:pStyle w:val="Heading1"/>
      </w:pPr>
      <w:r>
        <w:t>17.1 Controller rules</w:t>
      </w:r>
    </w:p>
    <w:p>
      <w:pPr>
        <w:pStyle w:val="ListBullet"/>
      </w:pPr>
      <w:r>
        <w:t>Controller valida estrutura do request, converte DTO→command e delega ao application layer.</w:t>
      </w:r>
    </w:p>
    <w:p>
      <w:pPr>
        <w:pStyle w:val="ListBullet"/>
      </w:pPr>
      <w:r>
        <w:t>Não chamar repository directamente.</w:t>
      </w:r>
    </w:p>
    <w:p>
      <w:pPr>
        <w:pStyle w:val="ListBullet"/>
      </w:pPr>
      <w:r>
        <w:t>Não expor JPA entity.</w:t>
      </w:r>
    </w:p>
    <w:p>
      <w:pPr>
        <w:pStyle w:val="ListBullet"/>
      </w:pPr>
      <w:r>
        <w:t>Responses usam DTOs estáveis e IDs externos aprovados.</w:t>
      </w:r>
    </w:p>
    <w:p>
      <w:pPr>
        <w:pStyle w:val="ListBullet"/>
      </w:pPr>
      <w:r>
        <w:t>Paginação obrigatória em listagens potencialmente grandes.</w:t>
      </w:r>
    </w:p>
    <w:p>
      <w:pPr>
        <w:pStyle w:val="ListBullet"/>
      </w:pPr>
      <w:r>
        <w:t>Idempotency-Key obrigatório nos commands definidos no ART-006.</w:t>
      </w:r>
    </w:p>
    <w:p>
      <w:pPr>
        <w:pStyle w:val="ListBullet"/>
      </w:pPr>
      <w:r>
        <w:t>Problem-details/error body deve ter code, message segura, correlationId e field errors quando aplicável.</w:t>
      </w:r>
    </w:p>
    <w:p>
      <w:pPr>
        <w:pStyle w:val="Heading1"/>
      </w:pPr>
      <w:r>
        <w:t>17.2 Contract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Commands/Queries V1</w:t>
            </w:r>
          </w:p>
        </w:tc>
      </w:tr>
      <w:tr>
        <w:tc>
          <w:tcPr>
            <w:tcW w:type="dxa" w:w="5156"/>
          </w:tcPr>
          <w:p>
            <w:r>
              <w:t>/me</w:t>
            </w:r>
          </w:p>
        </w:tc>
        <w:tc>
          <w:tcPr>
            <w:tcW w:type="dxa" w:w="5156"/>
          </w:tcPr>
          <w:p>
            <w:r>
              <w:t>Current actor/context</w:t>
            </w:r>
          </w:p>
        </w:tc>
      </w:tr>
      <w:tr>
        <w:tc>
          <w:tcPr>
            <w:tcW w:type="dxa" w:w="5156"/>
          </w:tcPr>
          <w:p>
            <w:r>
              <w:t>/products</w:t>
            </w:r>
          </w:p>
        </w:tc>
        <w:tc>
          <w:tcPr>
            <w:tcW w:type="dxa" w:w="5156"/>
          </w:tcPr>
          <w:p>
            <w:r>
              <w:t>create/update/version/publish/list/get</w:t>
            </w:r>
          </w:p>
        </w:tc>
      </w:tr>
      <w:tr>
        <w:tc>
          <w:tcPr>
            <w:tcW w:type="dxa" w:w="5156"/>
          </w:tcPr>
          <w:p>
            <w:r>
              <w:t>/plans</w:t>
            </w:r>
          </w:p>
        </w:tc>
        <w:tc>
          <w:tcPr>
            <w:tcW w:type="dxa" w:w="5156"/>
          </w:tcPr>
          <w:p>
            <w:r>
              <w:t>create/update/list/get</w:t>
            </w:r>
          </w:p>
        </w:tc>
      </w:tr>
      <w:tr>
        <w:tc>
          <w:tcPr>
            <w:tcW w:type="dxa" w:w="5156"/>
          </w:tcPr>
          <w:p>
            <w:r>
              <w:t>/pricing-parameters</w:t>
            </w:r>
          </w:p>
        </w:tc>
        <w:tc>
          <w:tcPr>
            <w:tcW w:type="dxa" w:w="5156"/>
          </w:tcPr>
          <w:p>
            <w:r>
              <w:t>manage/version/publish</w:t>
            </w:r>
          </w:p>
        </w:tc>
      </w:tr>
      <w:tr>
        <w:tc>
          <w:tcPr>
            <w:tcW w:type="dxa" w:w="5156"/>
          </w:tcPr>
          <w:p>
            <w:r>
              <w:t>/rating-tables</w:t>
            </w:r>
          </w:p>
        </w:tc>
        <w:tc>
          <w:tcPr>
            <w:tcW w:type="dxa" w:w="5156"/>
          </w:tcPr>
          <w:p>
            <w:r>
              <w:t>manage/version/publish</w:t>
            </w:r>
          </w:p>
        </w:tc>
      </w:tr>
      <w:tr>
        <w:tc>
          <w:tcPr>
            <w:tcW w:type="dxa" w:w="5156"/>
          </w:tcPr>
          <w:p>
            <w:r>
              <w:t>/proposers</w:t>
            </w:r>
          </w:p>
        </w:tc>
        <w:tc>
          <w:tcPr>
            <w:tcW w:type="dxa" w:w="5156"/>
          </w:tcPr>
          <w:p>
            <w:r>
              <w:t>create/update/list/get</w:t>
            </w:r>
          </w:p>
        </w:tc>
      </w:tr>
      <w:tr>
        <w:tc>
          <w:tcPr>
            <w:tcW w:type="dxa" w:w="5156"/>
          </w:tcPr>
          <w:p>
            <w:r>
              <w:t>/members</w:t>
            </w:r>
          </w:p>
        </w:tc>
        <w:tc>
          <w:tcPr>
            <w:tcW w:type="dxa" w:w="5156"/>
          </w:tcPr>
          <w:p>
            <w:r>
              <w:t>create/update/list/get</w:t>
            </w:r>
          </w:p>
        </w:tc>
      </w:tr>
      <w:tr>
        <w:tc>
          <w:tcPr>
            <w:tcW w:type="dxa" w:w="5156"/>
          </w:tcPr>
          <w:p>
            <w:r>
              <w:t>/member-imports</w:t>
            </w:r>
          </w:p>
        </w:tc>
        <w:tc>
          <w:tcPr>
            <w:tcW w:type="dxa" w:w="5156"/>
          </w:tcPr>
          <w:p>
            <w:r>
              <w:t>upload/preview/commit/status</w:t>
            </w:r>
          </w:p>
        </w:tc>
      </w:tr>
      <w:tr>
        <w:tc>
          <w:tcPr>
            <w:tcW w:type="dxa" w:w="5156"/>
          </w:tcPr>
          <w:p>
            <w:r>
              <w:t>/eligibility/evaluate</w:t>
            </w:r>
          </w:p>
        </w:tc>
        <w:tc>
          <w:tcPr>
            <w:tcW w:type="dxa" w:w="5156"/>
          </w:tcPr>
          <w:p>
            <w:r>
              <w:t>evaluate</w:t>
            </w:r>
          </w:p>
        </w:tc>
      </w:tr>
      <w:tr>
        <w:tc>
          <w:tcPr>
            <w:tcW w:type="dxa" w:w="5156"/>
          </w:tcPr>
          <w:p>
            <w:r>
              <w:t>/pricing/calculate</w:t>
            </w:r>
          </w:p>
        </w:tc>
        <w:tc>
          <w:tcPr>
            <w:tcW w:type="dxa" w:w="5156"/>
          </w:tcPr>
          <w:p>
            <w:r>
              <w:t>calculate</w:t>
            </w:r>
          </w:p>
        </w:tc>
      </w:tr>
      <w:tr>
        <w:tc>
          <w:tcPr>
            <w:tcW w:type="dxa" w:w="5156"/>
          </w:tcPr>
          <w:p>
            <w:r>
              <w:t>/pricing/{id}/explanation</w:t>
            </w:r>
          </w:p>
        </w:tc>
        <w:tc>
          <w:tcPr>
            <w:tcW w:type="dxa" w:w="5156"/>
          </w:tcPr>
          <w:p>
            <w:r>
              <w:t>get explanation</w:t>
            </w:r>
          </w:p>
        </w:tc>
      </w:tr>
      <w:tr>
        <w:tc>
          <w:tcPr>
            <w:tcW w:type="dxa" w:w="5156"/>
          </w:tcPr>
          <w:p>
            <w:r>
              <w:t>/pricing/scenarios</w:t>
            </w:r>
          </w:p>
        </w:tc>
        <w:tc>
          <w:tcPr>
            <w:tcW w:type="dxa" w:w="5156"/>
          </w:tcPr>
          <w:p>
            <w:r>
              <w:t>create/compare</w:t>
            </w:r>
          </w:p>
        </w:tc>
      </w:tr>
      <w:tr>
        <w:tc>
          <w:tcPr>
            <w:tcW w:type="dxa" w:w="5156"/>
          </w:tcPr>
          <w:p>
            <w:r>
              <w:t>/quotes</w:t>
            </w:r>
          </w:p>
        </w:tc>
        <w:tc>
          <w:tcPr>
            <w:tcW w:type="dxa" w:w="5156"/>
          </w:tcPr>
          <w:p>
            <w:r>
              <w:t>create/list/get/update permitted fields</w:t>
            </w:r>
          </w:p>
        </w:tc>
      </w:tr>
      <w:tr>
        <w:tc>
          <w:tcPr>
            <w:tcW w:type="dxa" w:w="5156"/>
          </w:tcPr>
          <w:p>
            <w:r>
              <w:t>/quotes/{id}/members</w:t>
            </w:r>
          </w:p>
        </w:tc>
        <w:tc>
          <w:tcPr>
            <w:tcW w:type="dxa" w:w="5156"/>
          </w:tcPr>
          <w:p>
            <w:r>
              <w:t>manage quote population</w:t>
            </w:r>
          </w:p>
        </w:tc>
      </w:tr>
      <w:tr>
        <w:tc>
          <w:tcPr>
            <w:tcW w:type="dxa" w:w="5156"/>
          </w:tcPr>
          <w:p>
            <w:r>
              <w:t>/quotes/{id}/price</w:t>
            </w:r>
          </w:p>
        </w:tc>
        <w:tc>
          <w:tcPr>
            <w:tcW w:type="dxa" w:w="5156"/>
          </w:tcPr>
          <w:p>
            <w:r>
              <w:t>calculate/recalculate</w:t>
            </w:r>
          </w:p>
        </w:tc>
      </w:tr>
      <w:tr>
        <w:tc>
          <w:tcPr>
            <w:tcW w:type="dxa" w:w="5156"/>
          </w:tcPr>
          <w:p>
            <w:r>
              <w:t>/quotes/{id}/submit</w:t>
            </w:r>
          </w:p>
        </w:tc>
        <w:tc>
          <w:tcPr>
            <w:tcW w:type="dxa" w:w="5156"/>
          </w:tcPr>
          <w:p>
            <w:r>
              <w:t>submit</w:t>
            </w:r>
          </w:p>
        </w:tc>
      </w:tr>
      <w:tr>
        <w:tc>
          <w:tcPr>
            <w:tcW w:type="dxa" w:w="5156"/>
          </w:tcPr>
          <w:p>
            <w:r>
              <w:t>/quotes/{id}/review</w:t>
            </w:r>
          </w:p>
        </w:tc>
        <w:tc>
          <w:tcPr>
            <w:tcW w:type="dxa" w:w="5156"/>
          </w:tcPr>
          <w:p>
            <w:r>
              <w:t>review query/actions</w:t>
            </w:r>
          </w:p>
        </w:tc>
      </w:tr>
      <w:tr>
        <w:tc>
          <w:tcPr>
            <w:tcW w:type="dxa" w:w="5156"/>
          </w:tcPr>
          <w:p>
            <w:r>
              <w:t>/quotes/{id}/decision</w:t>
            </w:r>
          </w:p>
        </w:tc>
        <w:tc>
          <w:tcPr>
            <w:tcW w:type="dxa" w:w="5156"/>
          </w:tcPr>
          <w:p>
            <w:r>
              <w:t>approve/reject/return as permitted</w:t>
            </w:r>
          </w:p>
        </w:tc>
      </w:tr>
      <w:tr>
        <w:tc>
          <w:tcPr>
            <w:tcW w:type="dxa" w:w="5156"/>
          </w:tcPr>
          <w:p>
            <w:r>
              <w:t>/quotes/{id}/history</w:t>
            </w:r>
          </w:p>
        </w:tc>
        <w:tc>
          <w:tcPr>
            <w:tcW w:type="dxa" w:w="5156"/>
          </w:tcPr>
          <w:p>
            <w:r>
              <w:t>state history</w:t>
            </w:r>
          </w:p>
        </w:tc>
      </w:tr>
      <w:tr>
        <w:tc>
          <w:tcPr>
            <w:tcW w:type="dxa" w:w="5156"/>
          </w:tcPr>
          <w:p>
            <w:r>
              <w:t>/quotes/{id}/proposal</w:t>
            </w:r>
          </w:p>
        </w:tc>
        <w:tc>
          <w:tcPr>
            <w:tcW w:type="dxa" w:w="5156"/>
          </w:tcPr>
          <w:p>
            <w:r>
              <w:t>generate/get</w:t>
            </w:r>
          </w:p>
        </w:tc>
      </w:tr>
      <w:tr>
        <w:tc>
          <w:tcPr>
            <w:tcW w:type="dxa" w:w="5156"/>
          </w:tcPr>
          <w:p>
            <w:r>
              <w:t>/quotes/{id}/cancel</w:t>
            </w:r>
          </w:p>
        </w:tc>
        <w:tc>
          <w:tcPr>
            <w:tcW w:type="dxa" w:w="5156"/>
          </w:tcPr>
          <w:p>
            <w:r>
              <w:t>cancel</w:t>
            </w:r>
          </w:p>
        </w:tc>
      </w:tr>
      <w:tr>
        <w:tc>
          <w:tcPr>
            <w:tcW w:type="dxa" w:w="5156"/>
          </w:tcPr>
          <w:p>
            <w:r>
              <w:t>/audit-events</w:t>
            </w:r>
          </w:p>
        </w:tc>
        <w:tc>
          <w:tcPr>
            <w:tcW w:type="dxa" w:w="5156"/>
          </w:tcPr>
          <w:p>
            <w:r>
              <w:t>query</w:t>
            </w:r>
          </w:p>
        </w:tc>
      </w:tr>
    </w:tbl>
    <w:p>
      <w:pPr>
        <w:pStyle w:val="Heading1"/>
      </w:pPr>
      <w:r>
        <w:t>18. Messaging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OutboxEvent</w:t>
            </w:r>
          </w:p>
        </w:tc>
        <w:tc>
          <w:tcPr>
            <w:tcW w:type="dxa" w:w="5156"/>
          </w:tcPr>
          <w:p>
            <w:r>
              <w:t>id, aggregateType/id, eventType, schemaVersion, payload, occurredAt, status, attempts</w:t>
            </w:r>
          </w:p>
        </w:tc>
      </w:tr>
      <w:tr>
        <w:tc>
          <w:tcPr>
            <w:tcW w:type="dxa" w:w="5156"/>
          </w:tcPr>
          <w:p>
            <w:r>
              <w:t>OutboxWriter</w:t>
            </w:r>
          </w:p>
        </w:tc>
        <w:tc>
          <w:tcPr>
            <w:tcW w:type="dxa" w:w="5156"/>
          </w:tcPr>
          <w:p>
            <w:r>
              <w:t>Escreve no mesmo commit do aggregate</w:t>
            </w:r>
          </w:p>
        </w:tc>
      </w:tr>
      <w:tr>
        <w:tc>
          <w:tcPr>
            <w:tcW w:type="dxa" w:w="5156"/>
          </w:tcPr>
          <w:p>
            <w:r>
              <w:t>OutboxDispatcher</w:t>
            </w:r>
          </w:p>
        </w:tc>
        <w:tc>
          <w:tcPr>
            <w:tcW w:type="dxa" w:w="5156"/>
          </w:tcPr>
          <w:p>
            <w:r>
              <w:t>Claim batch → publish → mark; retry seguro</w:t>
            </w:r>
          </w:p>
        </w:tc>
      </w:tr>
      <w:tr>
        <w:tc>
          <w:tcPr>
            <w:tcW w:type="dxa" w:w="5156"/>
          </w:tcPr>
          <w:p>
            <w:r>
              <w:t>EventEnvelope</w:t>
            </w:r>
          </w:p>
        </w:tc>
        <w:tc>
          <w:tcPr>
            <w:tcW w:type="dxa" w:w="5156"/>
          </w:tcPr>
          <w:p>
            <w:r>
              <w:t>eventId, type, version, occurredAt, tenantId, correlationId, causationId, payload</w:t>
            </w:r>
          </w:p>
        </w:tc>
      </w:tr>
      <w:tr>
        <w:tc>
          <w:tcPr>
            <w:tcW w:type="dxa" w:w="5156"/>
          </w:tcPr>
          <w:p>
            <w:r>
              <w:t>ConsumerInbox/Idempotency</w:t>
            </w:r>
          </w:p>
        </w:tc>
        <w:tc>
          <w:tcPr>
            <w:tcW w:type="dxa" w:w="5156"/>
          </w:tcPr>
          <w:p>
            <w:r>
              <w:t>Regista eventId processado quando necessário</w:t>
            </w:r>
          </w:p>
        </w:tc>
      </w:tr>
      <w:tr>
        <w:tc>
          <w:tcPr>
            <w:tcW w:type="dxa" w:w="5156"/>
          </w:tcPr>
          <w:p>
            <w:r>
              <w:t>DLQ</w:t>
            </w:r>
          </w:p>
        </w:tc>
        <w:tc>
          <w:tcPr>
            <w:tcW w:type="dxa" w:w="5156"/>
          </w:tcPr>
          <w:p>
            <w:r>
              <w:t>Obrigatória para falhas não recuperáveis conforme ART-007</w:t>
            </w:r>
          </w:p>
        </w:tc>
      </w:tr>
    </w:tbl>
    <w:p>
      <w:pPr>
        <w:pStyle w:val="ListBullet"/>
      </w:pPr>
      <w:r>
        <w:t>Não publicar RabbitMQ dentro da transacção como garantia de atomicidade.</w:t>
      </w:r>
    </w:p>
    <w:p>
      <w:pPr>
        <w:pStyle w:val="ListBullet"/>
      </w:pPr>
      <w:r>
        <w:t>Payload deve conter apenas dados necessários ao consumidor.</w:t>
      </w:r>
    </w:p>
    <w:p>
      <w:pPr>
        <w:pStyle w:val="ListBullet"/>
      </w:pPr>
      <w:r>
        <w:t>Schema version explícita; breaking change exige nova versão.</w:t>
      </w:r>
    </w:p>
    <w:p>
      <w:pPr>
        <w:pStyle w:val="Heading1"/>
      </w:pPr>
      <w:r>
        <w:t>19. Security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Controlo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Implementação</w:t>
            </w:r>
          </w:p>
        </w:tc>
      </w:tr>
      <w:tr>
        <w:tc>
          <w:tcPr>
            <w:tcW w:type="dxa" w:w="5156"/>
          </w:tcPr>
          <w:p>
            <w:r>
              <w:t>Authentication</w:t>
            </w:r>
          </w:p>
        </w:tc>
        <w:tc>
          <w:tcPr>
            <w:tcW w:type="dxa" w:w="5156"/>
          </w:tcPr>
          <w:p>
            <w:r>
              <w:t>OIDC/JWT validation: issuer, audience, expiry, signature</w:t>
            </w:r>
          </w:p>
        </w:tc>
      </w:tr>
      <w:tr>
        <w:tc>
          <w:tcPr>
            <w:tcW w:type="dxa" w:w="5156"/>
          </w:tcPr>
          <w:p>
            <w:r>
              <w:t>Authorization</w:t>
            </w:r>
          </w:p>
        </w:tc>
        <w:tc>
          <w:tcPr>
            <w:tcW w:type="dxa" w:w="5156"/>
          </w:tcPr>
          <w:p>
            <w:r>
              <w:t>Method/use-case level; RBAC + ABAC contextual</w:t>
            </w:r>
          </w:p>
        </w:tc>
      </w:tr>
      <w:tr>
        <w:tc>
          <w:tcPr>
            <w:tcW w:type="dxa" w:w="5156"/>
          </w:tcPr>
          <w:p>
            <w:r>
              <w:t>Tenant</w:t>
            </w:r>
          </w:p>
        </w:tc>
        <w:tc>
          <w:tcPr>
            <w:tcW w:type="dxa" w:w="5156"/>
          </w:tcPr>
          <w:p>
            <w:r>
              <w:t>Derivado de identidade/autorização, nunca confiado cegamente do request body</w:t>
            </w:r>
          </w:p>
        </w:tc>
      </w:tr>
      <w:tr>
        <w:tc>
          <w:tcPr>
            <w:tcW w:type="dxa" w:w="5156"/>
          </w:tcPr>
          <w:p>
            <w:r>
              <w:t>Four-eyes</w:t>
            </w:r>
          </w:p>
        </w:tc>
        <w:tc>
          <w:tcPr>
            <w:tcW w:type="dxa" w:w="5156"/>
          </w:tcPr>
          <w:p>
            <w:r>
              <w:t>Validação application/domain no decision use case</w:t>
            </w:r>
          </w:p>
        </w:tc>
      </w:tr>
      <w:tr>
        <w:tc>
          <w:tcPr>
            <w:tcW w:type="dxa" w:w="5156"/>
          </w:tcPr>
          <w:p>
            <w:r>
              <w:t>Input</w:t>
            </w:r>
          </w:p>
        </w:tc>
        <w:tc>
          <w:tcPr>
            <w:tcW w:type="dxa" w:w="5156"/>
          </w:tcPr>
          <w:p>
            <w:r>
              <w:t>Bean validation + domain validation + allowlists onde aplicável</w:t>
            </w:r>
          </w:p>
        </w:tc>
      </w:tr>
      <w:tr>
        <w:tc>
          <w:tcPr>
            <w:tcW w:type="dxa" w:w="5156"/>
          </w:tcPr>
          <w:p>
            <w:r>
              <w:t>Secrets</w:t>
            </w:r>
          </w:p>
        </w:tc>
        <w:tc>
          <w:tcPr>
            <w:tcW w:type="dxa" w:w="5156"/>
          </w:tcPr>
          <w:p>
            <w:r>
              <w:t>Secret store/env injection; nunca source control</w:t>
            </w:r>
          </w:p>
        </w:tc>
      </w:tr>
      <w:tr>
        <w:tc>
          <w:tcPr>
            <w:tcW w:type="dxa" w:w="5156"/>
          </w:tcPr>
          <w:p>
            <w:r>
              <w:t>Logs</w:t>
            </w:r>
          </w:p>
        </w:tc>
        <w:tc>
          <w:tcPr>
            <w:tcW w:type="dxa" w:w="5156"/>
          </w:tcPr>
          <w:p>
            <w:r>
              <w:t>Sem token/secret; PII minimizada/masked</w:t>
            </w:r>
          </w:p>
        </w:tc>
      </w:tr>
      <w:tr>
        <w:tc>
          <w:tcPr>
            <w:tcW w:type="dxa" w:w="5156"/>
          </w:tcPr>
          <w:p>
            <w:r>
              <w:t>Files</w:t>
            </w:r>
          </w:p>
        </w:tc>
        <w:tc>
          <w:tcPr>
            <w:tcW w:type="dxa" w:w="5156"/>
          </w:tcPr>
          <w:p>
            <w:r>
              <w:t>Content type/size/extension/signature controls para imports</w:t>
            </w:r>
          </w:p>
        </w:tc>
      </w:tr>
      <w:tr>
        <w:tc>
          <w:tcPr>
            <w:tcW w:type="dxa" w:w="5156"/>
          </w:tcPr>
          <w:p>
            <w:r>
              <w:t>Dependencies</w:t>
            </w:r>
          </w:p>
        </w:tc>
        <w:tc>
          <w:tcPr>
            <w:tcW w:type="dxa" w:w="5156"/>
          </w:tcPr>
          <w:p>
            <w:r>
              <w:t>SCA/dependency scan no CI</w:t>
            </w:r>
          </w:p>
        </w:tc>
      </w:tr>
      <w:tr>
        <w:tc>
          <w:tcPr>
            <w:tcW w:type="dxa" w:w="5156"/>
          </w:tcPr>
          <w:p>
            <w:r>
              <w:t>Transport</w:t>
            </w:r>
          </w:p>
        </w:tc>
        <w:tc>
          <w:tcPr>
            <w:tcW w:type="dxa" w:w="5156"/>
          </w:tcPr>
          <w:p>
            <w:r>
              <w:t>TLS no ambiente não-local; security headers</w:t>
            </w:r>
          </w:p>
        </w:tc>
      </w:tr>
      <w:tr>
        <w:tc>
          <w:tcPr>
            <w:tcW w:type="dxa" w:w="5156"/>
          </w:tcPr>
          <w:p>
            <w:r>
              <w:t>Audit</w:t>
            </w:r>
          </w:p>
        </w:tc>
        <w:tc>
          <w:tcPr>
            <w:tcW w:type="dxa" w:w="5156"/>
          </w:tcPr>
          <w:p>
            <w:r>
              <w:t>Operações críticas e denied decisions</w:t>
            </w:r>
          </w:p>
        </w:tc>
      </w:tr>
    </w:tbl>
    <w:p>
      <w:pPr>
        <w:pStyle w:val="Heading1"/>
      </w:pPr>
      <w:r>
        <w:t>20.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Sinal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Obrigatório</w:t>
            </w:r>
          </w:p>
        </w:tc>
      </w:tr>
      <w:tr>
        <w:tc>
          <w:tcPr>
            <w:tcW w:type="dxa" w:w="5156"/>
          </w:tcPr>
          <w:p>
            <w:r>
              <w:t>Trace</w:t>
            </w:r>
          </w:p>
        </w:tc>
        <w:tc>
          <w:tcPr>
            <w:tcW w:type="dxa" w:w="5156"/>
          </w:tcPr>
          <w:p>
            <w:r>
              <w:t>HTTP request → use case → DB → outbox publish</w:t>
            </w:r>
          </w:p>
        </w:tc>
      </w:tr>
      <w:tr>
        <w:tc>
          <w:tcPr>
            <w:tcW w:type="dxa" w:w="5156"/>
          </w:tcPr>
          <w:p>
            <w:r>
              <w:t>Metric</w:t>
            </w:r>
          </w:p>
        </w:tc>
        <w:tc>
          <w:tcPr>
            <w:tcW w:type="dxa" w:w="5156"/>
          </w:tcPr>
          <w:p>
            <w:r>
              <w:t>request latency/error; pricing duration/error; DB pool; outbox lag/retry; JVM</w:t>
            </w:r>
          </w:p>
        </w:tc>
      </w:tr>
      <w:tr>
        <w:tc>
          <w:tcPr>
            <w:tcW w:type="dxa" w:w="5156"/>
          </w:tcPr>
          <w:p>
            <w:r>
              <w:t>Log</w:t>
            </w:r>
          </w:p>
        </w:tc>
        <w:tc>
          <w:tcPr>
            <w:tcW w:type="dxa" w:w="5156"/>
          </w:tcPr>
          <w:p>
            <w:r>
              <w:t>JSON/structured; timestamp, level, service/module, traceId, correlationId, tenant surrogate, event</w:t>
            </w:r>
          </w:p>
        </w:tc>
      </w:tr>
      <w:tr>
        <w:tc>
          <w:tcPr>
            <w:tcW w:type="dxa" w:w="5156"/>
          </w:tcPr>
          <w:p>
            <w:r>
              <w:t>Business metric</w:t>
            </w:r>
          </w:p>
        </w:tc>
        <w:tc>
          <w:tcPr>
            <w:tcW w:type="dxa" w:w="5156"/>
          </w:tcPr>
          <w:p>
            <w:r>
              <w:t>quotes created/submitted/approved/rejected; pricing success/failure sem PII</w:t>
            </w:r>
          </w:p>
        </w:tc>
      </w:tr>
      <w:tr>
        <w:tc>
          <w:tcPr>
            <w:tcW w:type="dxa" w:w="5156"/>
          </w:tcPr>
          <w:p>
            <w:r>
              <w:t>Alert</w:t>
            </w:r>
          </w:p>
        </w:tc>
        <w:tc>
          <w:tcPr>
            <w:tcW w:type="dxa" w:w="5156"/>
          </w:tcPr>
          <w:p>
            <w:r>
              <w:t>Thresholds a fechar na OD-008/ops baseline</w:t>
            </w:r>
          </w:p>
        </w:tc>
      </w:tr>
    </w:tbl>
    <w:p>
      <w:pPr>
        <w:pStyle w:val="Heading1"/>
      </w:pPr>
      <w:r>
        <w:t>21. React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Baseline</w:t>
            </w:r>
          </w:p>
        </w:tc>
      </w:tr>
      <w:tr>
        <w:tc>
          <w:tcPr>
            <w:tcW w:type="dxa" w:w="5156"/>
          </w:tcPr>
          <w:p>
            <w:r>
              <w:t>src/app</w:t>
            </w:r>
          </w:p>
        </w:tc>
        <w:tc>
          <w:tcPr>
            <w:tcW w:type="dxa" w:w="5156"/>
          </w:tcPr>
          <w:p>
            <w:r>
              <w:t>bootstrap, router, providers, global error boundary</w:t>
            </w:r>
          </w:p>
        </w:tc>
      </w:tr>
      <w:tr>
        <w:tc>
          <w:tcPr>
            <w:tcW w:type="dxa" w:w="5156"/>
          </w:tcPr>
          <w:p>
            <w:r>
              <w:t>src/features/products</w:t>
            </w:r>
          </w:p>
        </w:tc>
        <w:tc>
          <w:tcPr>
            <w:tcW w:type="dxa" w:w="5156"/>
          </w:tcPr>
          <w:p>
            <w:r>
              <w:t>product/plan/config screens</w:t>
            </w:r>
          </w:p>
        </w:tc>
      </w:tr>
      <w:tr>
        <w:tc>
          <w:tcPr>
            <w:tcW w:type="dxa" w:w="5156"/>
          </w:tcPr>
          <w:p>
            <w:r>
              <w:t>src/features/clients</w:t>
            </w:r>
          </w:p>
        </w:tc>
        <w:tc>
          <w:tcPr>
            <w:tcW w:type="dxa" w:w="5156"/>
          </w:tcPr>
          <w:p>
            <w:r>
              <w:t>proposer/member/import</w:t>
            </w:r>
          </w:p>
        </w:tc>
      </w:tr>
      <w:tr>
        <w:tc>
          <w:tcPr>
            <w:tcW w:type="dxa" w:w="5156"/>
          </w:tcPr>
          <w:p>
            <w:r>
              <w:t>src/features/pricing</w:t>
            </w:r>
          </w:p>
        </w:tc>
        <w:tc>
          <w:tcPr>
            <w:tcW w:type="dxa" w:w="5156"/>
          </w:tcPr>
          <w:p>
            <w:r>
              <w:t>calculation/explanation/scenarios</w:t>
            </w:r>
          </w:p>
        </w:tc>
      </w:tr>
      <w:tr>
        <w:tc>
          <w:tcPr>
            <w:tcW w:type="dxa" w:w="5156"/>
          </w:tcPr>
          <w:p>
            <w:r>
              <w:t>src/features/quotes</w:t>
            </w:r>
          </w:p>
        </w:tc>
        <w:tc>
          <w:tcPr>
            <w:tcW w:type="dxa" w:w="5156"/>
          </w:tcPr>
          <w:p>
            <w:r>
              <w:t>wizard, list, detail, pricing</w:t>
            </w:r>
          </w:p>
        </w:tc>
      </w:tr>
      <w:tr>
        <w:tc>
          <w:tcPr>
            <w:tcW w:type="dxa" w:w="5156"/>
          </w:tcPr>
          <w:p>
            <w:r>
              <w:t>src/features/underwriting</w:t>
            </w:r>
          </w:p>
        </w:tc>
        <w:tc>
          <w:tcPr>
            <w:tcW w:type="dxa" w:w="5156"/>
          </w:tcPr>
          <w:p>
            <w:r>
              <w:t>review/decision/timeline</w:t>
            </w:r>
          </w:p>
        </w:tc>
      </w:tr>
      <w:tr>
        <w:tc>
          <w:tcPr>
            <w:tcW w:type="dxa" w:w="5156"/>
          </w:tcPr>
          <w:p>
            <w:r>
              <w:t>src/features/documents</w:t>
            </w:r>
          </w:p>
        </w:tc>
        <w:tc>
          <w:tcPr>
            <w:tcW w:type="dxa" w:w="5156"/>
          </w:tcPr>
          <w:p>
            <w:r>
              <w:t>proposal actions</w:t>
            </w:r>
          </w:p>
        </w:tc>
      </w:tr>
      <w:tr>
        <w:tc>
          <w:tcPr>
            <w:tcW w:type="dxa" w:w="5156"/>
          </w:tcPr>
          <w:p>
            <w:r>
              <w:t>src/features/audit</w:t>
            </w:r>
          </w:p>
        </w:tc>
        <w:tc>
          <w:tcPr>
            <w:tcW w:type="dxa" w:w="5156"/>
          </w:tcPr>
          <w:p>
            <w:r>
              <w:t>audit viewer</w:t>
            </w:r>
          </w:p>
        </w:tc>
      </w:tr>
      <w:tr>
        <w:tc>
          <w:tcPr>
            <w:tcW w:type="dxa" w:w="5156"/>
          </w:tcPr>
          <w:p>
            <w:r>
              <w:t>src/shared</w:t>
            </w:r>
          </w:p>
        </w:tc>
        <w:tc>
          <w:tcPr>
            <w:tcW w:type="dxa" w:w="5156"/>
          </w:tcPr>
          <w:p>
            <w:r>
              <w:t>design primitives, formatters, permission guards</w:t>
            </w:r>
          </w:p>
        </w:tc>
      </w:tr>
      <w:tr>
        <w:tc>
          <w:tcPr>
            <w:tcW w:type="dxa" w:w="5156"/>
          </w:tcPr>
          <w:p>
            <w:r>
              <w:t>src/api</w:t>
            </w:r>
          </w:p>
        </w:tc>
        <w:tc>
          <w:tcPr>
            <w:tcW w:type="dxa" w:w="5156"/>
          </w:tcPr>
          <w:p>
            <w:r>
              <w:t>generated OpenAPI client; thin adapters only</w:t>
            </w:r>
          </w:p>
        </w:tc>
      </w:tr>
    </w:tbl>
    <w:p>
      <w:pPr>
        <w:pStyle w:val="ListBullet"/>
      </w:pPr>
      <w:r>
        <w:t>Frontend não reimplementa regras de pricing/eligibility.</w:t>
      </w:r>
    </w:p>
    <w:p>
      <w:pPr>
        <w:pStyle w:val="ListBullet"/>
      </w:pPr>
      <w:r>
        <w:t>Permission guard melhora UX, mas backend continua autoridade.</w:t>
      </w:r>
    </w:p>
    <w:p>
      <w:pPr>
        <w:pStyle w:val="ListBullet"/>
      </w:pPr>
      <w:r>
        <w:t>Forms devem mapear field errors do contrato API.</w:t>
      </w:r>
    </w:p>
    <w:p>
      <w:pPr>
        <w:pStyle w:val="ListBullet"/>
      </w:pPr>
      <w:r>
        <w:t>Estado server-side deve ser revalidado após mutations; não presumir sucesso.</w:t>
      </w:r>
    </w:p>
    <w:p>
      <w:pPr>
        <w:pStyle w:val="Heading1"/>
      </w:pPr>
      <w:r>
        <w:t>22. State machines —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Machine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Persistência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Guard examples</w:t>
            </w:r>
          </w:p>
        </w:tc>
      </w:tr>
      <w:tr>
        <w:tc>
          <w:tcPr>
            <w:tcW w:type="dxa" w:w="3437"/>
          </w:tcPr>
          <w:p>
            <w:r>
              <w:t>Quote</w:t>
            </w:r>
          </w:p>
        </w:tc>
        <w:tc>
          <w:tcPr>
            <w:tcW w:type="dxa" w:w="3437"/>
          </w:tcPr>
          <w:p>
            <w:r>
              <w:t>quote.status + quote_state_history</w:t>
            </w:r>
          </w:p>
        </w:tc>
        <w:tc>
          <w:tcPr>
            <w:tcW w:type="dxa" w:w="3437"/>
          </w:tcPr>
          <w:p>
            <w:r>
              <w:t>completeness; valid pricing; authority; expiry</w:t>
            </w:r>
          </w:p>
        </w:tc>
      </w:tr>
      <w:tr>
        <w:tc>
          <w:tcPr>
            <w:tcW w:type="dxa" w:w="3437"/>
          </w:tcPr>
          <w:p>
            <w:r>
              <w:t>Review</w:t>
            </w:r>
          </w:p>
        </w:tc>
        <w:tc>
          <w:tcPr>
            <w:tcW w:type="dxa" w:w="3437"/>
          </w:tcPr>
          <w:p>
            <w:r>
              <w:t>review_task.status</w:t>
            </w:r>
          </w:p>
        </w:tc>
        <w:tc>
          <w:tcPr>
            <w:tcW w:type="dxa" w:w="3437"/>
          </w:tcPr>
          <w:p>
            <w:r>
              <w:t>assignee/permission</w:t>
            </w:r>
          </w:p>
        </w:tc>
      </w:tr>
      <w:tr>
        <w:tc>
          <w:tcPr>
            <w:tcW w:type="dxa" w:w="3437"/>
          </w:tcPr>
          <w:p>
            <w:r>
              <w:t>PricingRun</w:t>
            </w:r>
          </w:p>
        </w:tc>
        <w:tc>
          <w:tcPr>
            <w:tcW w:type="dxa" w:w="3437"/>
          </w:tcPr>
          <w:p>
            <w:r>
              <w:t>pricing_run.status</w:t>
            </w:r>
          </w:p>
        </w:tc>
        <w:tc>
          <w:tcPr>
            <w:tcW w:type="dxa" w:w="3437"/>
          </w:tcPr>
          <w:p>
            <w:r>
              <w:t>valid configuration</w:t>
            </w:r>
          </w:p>
        </w:tc>
      </w:tr>
      <w:tr>
        <w:tc>
          <w:tcPr>
            <w:tcW w:type="dxa" w:w="3437"/>
          </w:tcPr>
          <w:p>
            <w:r>
              <w:t>Document</w:t>
            </w:r>
          </w:p>
        </w:tc>
        <w:tc>
          <w:tcPr>
            <w:tcW w:type="dxa" w:w="3437"/>
          </w:tcPr>
          <w:p>
            <w:r>
              <w:t>document.status</w:t>
            </w:r>
          </w:p>
        </w:tc>
        <w:tc>
          <w:tcPr>
            <w:tcW w:type="dxa" w:w="3437"/>
          </w:tcPr>
          <w:p>
            <w:r>
              <w:t>approved snapshot/template available</w:t>
            </w:r>
          </w:p>
        </w:tc>
      </w:tr>
    </w:tbl>
    <w:p>
      <w:r>
        <w:rPr>
          <w:b w:val="0"/>
        </w:rPr>
        <w:t>Implementação pode usar Spring StateMachine ou state transition service explícito. A escolha final deve privilegiar clareza/testabilidade. O ART-009 define a matriz exacta; nenhuma transição pode existir apenas no controller.</w:t>
      </w:r>
    </w:p>
    <w:p>
      <w:pPr>
        <w:pStyle w:val="Heading1"/>
      </w:pPr>
      <w:r>
        <w:t>23.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Exemplo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Tratamento</w:t>
            </w:r>
          </w:p>
        </w:tc>
      </w:tr>
      <w:tr>
        <w:tc>
          <w:tcPr>
            <w:tcW w:type="dxa" w:w="3437"/>
          </w:tcPr>
          <w:p>
            <w:r>
              <w:t>Validation</w:t>
            </w:r>
          </w:p>
        </w:tc>
        <w:tc>
          <w:tcPr>
            <w:tcW w:type="dxa" w:w="3437"/>
          </w:tcPr>
          <w:p>
            <w:r>
              <w:t>missing/invalid field</w:t>
            </w:r>
          </w:p>
        </w:tc>
        <w:tc>
          <w:tcPr>
            <w:tcW w:type="dxa" w:w="3437"/>
          </w:tcPr>
          <w:p>
            <w:r>
              <w:t>400 + field errors</w:t>
            </w:r>
          </w:p>
        </w:tc>
      </w:tr>
      <w:tr>
        <w:tc>
          <w:tcPr>
            <w:tcW w:type="dxa" w:w="3437"/>
          </w:tcPr>
          <w:p>
            <w:r>
              <w:t>Authentication</w:t>
            </w:r>
          </w:p>
        </w:tc>
        <w:tc>
          <w:tcPr>
            <w:tcW w:type="dxa" w:w="3437"/>
          </w:tcPr>
          <w:p>
            <w:r>
              <w:t>invalid/expired token</w:t>
            </w:r>
          </w:p>
        </w:tc>
        <w:tc>
          <w:tcPr>
            <w:tcW w:type="dxa" w:w="3437"/>
          </w:tcPr>
          <w:p>
            <w:r>
              <w:t>401</w:t>
            </w:r>
          </w:p>
        </w:tc>
      </w:tr>
      <w:tr>
        <w:tc>
          <w:tcPr>
            <w:tcW w:type="dxa" w:w="3437"/>
          </w:tcPr>
          <w:p>
            <w:r>
              <w:t>Authorization</w:t>
            </w:r>
          </w:p>
        </w:tc>
        <w:tc>
          <w:tcPr>
            <w:tcW w:type="dxa" w:w="3437"/>
          </w:tcPr>
          <w:p>
            <w:r>
              <w:t>permission denied</w:t>
            </w:r>
          </w:p>
        </w:tc>
        <w:tc>
          <w:tcPr>
            <w:tcW w:type="dxa" w:w="3437"/>
          </w:tcPr>
          <w:p>
            <w:r>
              <w:t>403</w:t>
            </w:r>
          </w:p>
        </w:tc>
      </w:tr>
      <w:tr>
        <w:tc>
          <w:tcPr>
            <w:tcW w:type="dxa" w:w="3437"/>
          </w:tcPr>
          <w:p>
            <w:r>
              <w:t>Not Found</w:t>
            </w:r>
          </w:p>
        </w:tc>
        <w:tc>
          <w:tcPr>
            <w:tcW w:type="dxa" w:w="3437"/>
          </w:tcPr>
          <w:p>
            <w:r>
              <w:t>resource absent in tenant scope</w:t>
            </w:r>
          </w:p>
        </w:tc>
        <w:tc>
          <w:tcPr>
            <w:tcW w:type="dxa" w:w="3437"/>
          </w:tcPr>
          <w:p>
            <w:r>
              <w:t>404</w:t>
            </w:r>
          </w:p>
        </w:tc>
      </w:tr>
      <w:tr>
        <w:tc>
          <w:tcPr>
            <w:tcW w:type="dxa" w:w="3437"/>
          </w:tcPr>
          <w:p>
            <w:r>
              <w:t>Conflict</w:t>
            </w:r>
          </w:p>
        </w:tc>
        <w:tc>
          <w:tcPr>
            <w:tcW w:type="dxa" w:w="3437"/>
          </w:tcPr>
          <w:p>
            <w:r>
              <w:t>version/state/concurrency</w:t>
            </w:r>
          </w:p>
        </w:tc>
        <w:tc>
          <w:tcPr>
            <w:tcW w:type="dxa" w:w="3437"/>
          </w:tcPr>
          <w:p>
            <w:r>
              <w:t>409</w:t>
            </w:r>
          </w:p>
        </w:tc>
      </w:tr>
      <w:tr>
        <w:tc>
          <w:tcPr>
            <w:tcW w:type="dxa" w:w="3437"/>
          </w:tcPr>
          <w:p>
            <w:r>
              <w:t>Business/Config</w:t>
            </w:r>
          </w:p>
        </w:tc>
        <w:tc>
          <w:tcPr>
            <w:tcW w:type="dxa" w:w="3437"/>
          </w:tcPr>
          <w:p>
            <w:r>
              <w:t>pricing configuration invalid</w:t>
            </w:r>
          </w:p>
        </w:tc>
        <w:tc>
          <w:tcPr>
            <w:tcW w:type="dxa" w:w="3437"/>
          </w:tcPr>
          <w:p>
            <w:r>
              <w:t>422 quando definido no ART-006</w:t>
            </w:r>
          </w:p>
        </w:tc>
      </w:tr>
      <w:tr>
        <w:tc>
          <w:tcPr>
            <w:tcW w:type="dxa" w:w="3437"/>
          </w:tcPr>
          <w:p>
            <w:r>
              <w:t>Technical</w:t>
            </w:r>
          </w:p>
        </w:tc>
        <w:tc>
          <w:tcPr>
            <w:tcW w:type="dxa" w:w="3437"/>
          </w:tcPr>
          <w:p>
            <w:r>
              <w:t>unexpected DB/broker failure</w:t>
            </w:r>
          </w:p>
        </w:tc>
        <w:tc>
          <w:tcPr>
            <w:tcW w:type="dxa" w:w="3437"/>
          </w:tcPr>
          <w:p>
            <w:r>
              <w:t>5xx seguro; correlationId; sem stack trace no response</w:t>
            </w:r>
          </w:p>
        </w:tc>
      </w:tr>
    </w:tbl>
    <w:p>
      <w:r>
        <w:rPr>
          <w:b w:val="0"/>
        </w:rPr>
        <w:t>Exceptions técnicas devem ser mapeadas por global exception handler. Domain exceptions devem carregar code estável, não texto para lógica do frontend.</w:t>
      </w:r>
    </w:p>
    <w:p>
      <w:pPr>
        <w:pStyle w:val="Heading1"/>
      </w:pPr>
      <w:r>
        <w:t>24.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Nível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Objectivo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Ferramenta/Regra</w:t>
            </w:r>
          </w:p>
        </w:tc>
      </w:tr>
      <w:tr>
        <w:tc>
          <w:tcPr>
            <w:tcW w:type="dxa" w:w="3437"/>
          </w:tcPr>
          <w:p>
            <w:r>
              <w:t>Unit</w:t>
            </w:r>
          </w:p>
        </w:tc>
        <w:tc>
          <w:tcPr>
            <w:tcW w:type="dxa" w:w="3437"/>
          </w:tcPr>
          <w:p>
            <w:r>
              <w:t>Domain/value objects/services puros</w:t>
            </w:r>
          </w:p>
        </w:tc>
        <w:tc>
          <w:tcPr>
            <w:tcW w:type="dxa" w:w="3437"/>
          </w:tcPr>
          <w:p>
            <w:r>
              <w:t>JUnit; sem Spring quando desnecessário</w:t>
            </w:r>
          </w:p>
        </w:tc>
      </w:tr>
      <w:tr>
        <w:tc>
          <w:tcPr>
            <w:tcW w:type="dxa" w:w="3437"/>
          </w:tcPr>
          <w:p>
            <w:r>
              <w:t>Application</w:t>
            </w:r>
          </w:p>
        </w:tc>
        <w:tc>
          <w:tcPr>
            <w:tcW w:type="dxa" w:w="3437"/>
          </w:tcPr>
          <w:p>
            <w:r>
              <w:t>Use cases com ports fake/mock</w:t>
            </w:r>
          </w:p>
        </w:tc>
        <w:tc>
          <w:tcPr>
            <w:tcW w:type="dxa" w:w="3437"/>
          </w:tcPr>
          <w:p>
            <w:r>
              <w:t>JUnit</w:t>
            </w:r>
          </w:p>
        </w:tc>
      </w:tr>
      <w:tr>
        <w:tc>
          <w:tcPr>
            <w:tcW w:type="dxa" w:w="3437"/>
          </w:tcPr>
          <w:p>
            <w:r>
              <w:t>Repository integration</w:t>
            </w:r>
          </w:p>
        </w:tc>
        <w:tc>
          <w:tcPr>
            <w:tcW w:type="dxa" w:w="3437"/>
          </w:tcPr>
          <w:p>
            <w:r>
              <w:t>Mapping, constraints, queries</w:t>
            </w:r>
          </w:p>
        </w:tc>
        <w:tc>
          <w:tcPr>
            <w:tcW w:type="dxa" w:w="3437"/>
          </w:tcPr>
          <w:p>
            <w:r>
              <w:t>Testcontainers PostgreSQL</w:t>
            </w:r>
          </w:p>
        </w:tc>
      </w:tr>
      <w:tr>
        <w:tc>
          <w:tcPr>
            <w:tcW w:type="dxa" w:w="3437"/>
          </w:tcPr>
          <w:p>
            <w:r>
              <w:t>Rule</w:t>
            </w:r>
          </w:p>
        </w:tc>
        <w:tc>
          <w:tcPr>
            <w:tcW w:type="dxa" w:w="3437"/>
          </w:tcPr>
          <w:p>
            <w:r>
              <w:t>Decision matrix e versões</w:t>
            </w:r>
          </w:p>
        </w:tc>
        <w:tc>
          <w:tcPr>
            <w:tcW w:type="dxa" w:w="3437"/>
          </w:tcPr>
          <w:p>
            <w:r>
              <w:t>Drools tests + fixtures</w:t>
            </w:r>
          </w:p>
        </w:tc>
      </w:tr>
      <w:tr>
        <w:tc>
          <w:tcPr>
            <w:tcW w:type="dxa" w:w="3437"/>
          </w:tcPr>
          <w:p>
            <w:r>
              <w:t>API contract</w:t>
            </w:r>
          </w:p>
        </w:tc>
        <w:tc>
          <w:tcPr>
            <w:tcW w:type="dxa" w:w="3437"/>
          </w:tcPr>
          <w:p>
            <w:r>
              <w:t>OpenAPI request/response/error</w:t>
            </w:r>
          </w:p>
        </w:tc>
        <w:tc>
          <w:tcPr>
            <w:tcW w:type="dxa" w:w="3437"/>
          </w:tcPr>
          <w:p>
            <w:r>
              <w:t>Contract tests</w:t>
            </w:r>
          </w:p>
        </w:tc>
      </w:tr>
      <w:tr>
        <w:tc>
          <w:tcPr>
            <w:tcW w:type="dxa" w:w="3437"/>
          </w:tcPr>
          <w:p>
            <w:r>
              <w:t>Messaging</w:t>
            </w:r>
          </w:p>
        </w:tc>
        <w:tc>
          <w:tcPr>
            <w:tcW w:type="dxa" w:w="3437"/>
          </w:tcPr>
          <w:p>
            <w:r>
              <w:t>Outbox, publish, retry, idempotency</w:t>
            </w:r>
          </w:p>
        </w:tc>
        <w:tc>
          <w:tcPr>
            <w:tcW w:type="dxa" w:w="3437"/>
          </w:tcPr>
          <w:p>
            <w:r>
              <w:t>Testcontainers RabbitMQ/PostgreSQL</w:t>
            </w:r>
          </w:p>
        </w:tc>
      </w:tr>
      <w:tr>
        <w:tc>
          <w:tcPr>
            <w:tcW w:type="dxa" w:w="3437"/>
          </w:tcPr>
          <w:p>
            <w:r>
              <w:t>Security</w:t>
            </w:r>
          </w:p>
        </w:tc>
        <w:tc>
          <w:tcPr>
            <w:tcW w:type="dxa" w:w="3437"/>
          </w:tcPr>
          <w:p>
            <w:r>
              <w:t>401/403/tenant/four-eyes</w:t>
            </w:r>
          </w:p>
        </w:tc>
        <w:tc>
          <w:tcPr>
            <w:tcW w:type="dxa" w:w="3437"/>
          </w:tcPr>
          <w:p>
            <w:r>
              <w:t>Integration tests</w:t>
            </w:r>
          </w:p>
        </w:tc>
      </w:tr>
      <w:tr>
        <w:tc>
          <w:tcPr>
            <w:tcW w:type="dxa" w:w="3437"/>
          </w:tcPr>
          <w:p>
            <w:r>
              <w:t>E2E</w:t>
            </w:r>
          </w:p>
        </w:tc>
        <w:tc>
          <w:tcPr>
            <w:tcW w:type="dxa" w:w="3437"/>
          </w:tcPr>
          <w:p>
            <w:r>
              <w:t>Fluxos críticos</w:t>
            </w:r>
          </w:p>
        </w:tc>
        <w:tc>
          <w:tcPr>
            <w:tcW w:type="dxa" w:w="3437"/>
          </w:tcPr>
          <w:p>
            <w:r>
              <w:t>Playwright</w:t>
            </w:r>
          </w:p>
        </w:tc>
      </w:tr>
      <w:tr>
        <w:tc>
          <w:tcPr>
            <w:tcW w:type="dxa" w:w="3437"/>
          </w:tcPr>
          <w:p>
            <w:r>
              <w:t>Golden</w:t>
            </w:r>
          </w:p>
        </w:tc>
        <w:tc>
          <w:tcPr>
            <w:tcW w:type="dxa" w:w="3437"/>
          </w:tcPr>
          <w:p>
            <w:r>
              <w:t>Pricing exacto/replay</w:t>
            </w:r>
          </w:p>
        </w:tc>
        <w:tc>
          <w:tcPr>
            <w:tcW w:type="dxa" w:w="3437"/>
          </w:tcPr>
          <w:p>
            <w:r>
              <w:t>Versioned fixtures</w:t>
            </w:r>
          </w:p>
        </w:tc>
      </w:tr>
    </w:tbl>
    <w:p>
      <w:pPr>
        <w:pStyle w:val="Heading1"/>
      </w:pPr>
      <w:r>
        <w:t>24.1 Golden fixture mínimo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Obrigatório</w:t>
            </w:r>
          </w:p>
        </w:tc>
      </w:tr>
      <w:tr>
        <w:tc>
          <w:tcPr>
            <w:tcW w:type="dxa" w:w="5156"/>
          </w:tcPr>
          <w:p>
            <w:r>
              <w:t>caseId</w:t>
            </w:r>
          </w:p>
        </w:tc>
        <w:tc>
          <w:tcPr>
            <w:tcW w:type="dxa" w:w="5156"/>
          </w:tcPr>
          <w:p>
            <w:r>
              <w:t>GT-PRICE-xxx</w:t>
            </w:r>
          </w:p>
        </w:tc>
      </w:tr>
      <w:tr>
        <w:tc>
          <w:tcPr>
            <w:tcW w:type="dxa" w:w="5156"/>
          </w:tcPr>
          <w:p>
            <w:r>
              <w:t>inputSnapshot</w:t>
            </w:r>
          </w:p>
        </w:tc>
        <w:tc>
          <w:tcPr>
            <w:tcW w:type="dxa" w:w="5156"/>
          </w:tcPr>
          <w:p>
            <w:r>
              <w:t>Inputs normalizados</w:t>
            </w:r>
          </w:p>
        </w:tc>
      </w:tr>
      <w:tr>
        <w:tc>
          <w:tcPr>
            <w:tcW w:type="dxa" w:w="5156"/>
          </w:tcPr>
          <w:p>
            <w:r>
              <w:t>productVersion</w:t>
            </w:r>
          </w:p>
        </w:tc>
        <w:tc>
          <w:tcPr>
            <w:tcW w:type="dxa" w:w="5156"/>
          </w:tcPr>
          <w:p>
            <w:r>
              <w:t>Exacta</w:t>
            </w:r>
          </w:p>
        </w:tc>
      </w:tr>
      <w:tr>
        <w:tc>
          <w:tcPr>
            <w:tcW w:type="dxa" w:w="5156"/>
          </w:tcPr>
          <w:p>
            <w:r>
              <w:t>ratingVersion</w:t>
            </w:r>
          </w:p>
        </w:tc>
        <w:tc>
          <w:tcPr>
            <w:tcW w:type="dxa" w:w="5156"/>
          </w:tcPr>
          <w:p>
            <w:r>
              <w:t>Exacta</w:t>
            </w:r>
          </w:p>
        </w:tc>
      </w:tr>
      <w:tr>
        <w:tc>
          <w:tcPr>
            <w:tcW w:type="dxa" w:w="5156"/>
          </w:tcPr>
          <w:p>
            <w:r>
              <w:t>ruleSetVersion</w:t>
            </w:r>
          </w:p>
        </w:tc>
        <w:tc>
          <w:tcPr>
            <w:tcW w:type="dxa" w:w="5156"/>
          </w:tcPr>
          <w:p>
            <w:r>
              <w:t>Exacta</w:t>
            </w:r>
          </w:p>
        </w:tc>
      </w:tr>
      <w:tr>
        <w:tc>
          <w:tcPr>
            <w:tcW w:type="dxa" w:w="5156"/>
          </w:tcPr>
          <w:p>
            <w:r>
              <w:t>parameterVersion</w:t>
            </w:r>
          </w:p>
        </w:tc>
        <w:tc>
          <w:tcPr>
            <w:tcW w:type="dxa" w:w="5156"/>
          </w:tcPr>
          <w:p>
            <w:r>
              <w:t>Exacta</w:t>
            </w:r>
          </w:p>
        </w:tc>
      </w:tr>
      <w:tr>
        <w:tc>
          <w:tcPr>
            <w:tcW w:type="dxa" w:w="5156"/>
          </w:tcPr>
          <w:p>
            <w:r>
              <w:t>expectedComponents</w:t>
            </w:r>
          </w:p>
        </w:tc>
        <w:tc>
          <w:tcPr>
            <w:tcW w:type="dxa" w:w="5156"/>
          </w:tcPr>
          <w:p>
            <w:r>
              <w:t>Lista ordenada/canonicalizada</w:t>
            </w:r>
          </w:p>
        </w:tc>
      </w:tr>
      <w:tr>
        <w:tc>
          <w:tcPr>
            <w:tcW w:type="dxa" w:w="5156"/>
          </w:tcPr>
          <w:p>
            <w:r>
              <w:t>expectedTotal</w:t>
            </w:r>
          </w:p>
        </w:tc>
        <w:tc>
          <w:tcPr>
            <w:tcW w:type="dxa" w:w="5156"/>
          </w:tcPr>
          <w:p>
            <w:r>
              <w:t>BigDecimal textual exacto</w:t>
            </w:r>
          </w:p>
        </w:tc>
      </w:tr>
      <w:tr>
        <w:tc>
          <w:tcPr>
            <w:tcW w:type="dxa" w:w="5156"/>
          </w:tcPr>
          <w:p>
            <w:r>
              <w:t>currency</w:t>
            </w:r>
          </w:p>
        </w:tc>
        <w:tc>
          <w:tcPr>
            <w:tcW w:type="dxa" w:w="5156"/>
          </w:tcPr>
          <w:p>
            <w:r>
              <w:t>ISO 4217</w:t>
            </w:r>
          </w:p>
        </w:tc>
      </w:tr>
      <w:tr>
        <w:tc>
          <w:tcPr>
            <w:tcW w:type="dxa" w:w="5156"/>
          </w:tcPr>
          <w:p>
            <w:r>
              <w:t>expectedDecision</w:t>
            </w:r>
          </w:p>
        </w:tc>
        <w:tc>
          <w:tcPr>
            <w:tcW w:type="dxa" w:w="5156"/>
          </w:tcPr>
          <w:p>
            <w:r>
              <w:t>Quando aplicável</w:t>
            </w:r>
          </w:p>
        </w:tc>
      </w:tr>
    </w:tbl>
    <w:p>
      <w:pPr>
        <w:pStyle w:val="Heading1"/>
      </w:pPr>
      <w:r>
        <w:t>25. CI/CD quality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Falha bloqueia merge/release?</w:t>
            </w:r>
          </w:p>
        </w:tc>
      </w:tr>
      <w:tr>
        <w:tc>
          <w:tcPr>
            <w:tcW w:type="dxa" w:w="5156"/>
          </w:tcPr>
          <w:p>
            <w:r>
              <w:t>Compile + unit tests</w:t>
            </w:r>
          </w:p>
        </w:tc>
        <w:tc>
          <w:tcPr>
            <w:tcW w:type="dxa" w:w="5156"/>
          </w:tcPr>
          <w:p>
            <w:r>
              <w:t>Sim</w:t>
            </w:r>
          </w:p>
        </w:tc>
      </w:tr>
      <w:tr>
        <w:tc>
          <w:tcPr>
            <w:tcW w:type="dxa" w:w="5156"/>
          </w:tcPr>
          <w:p>
            <w:r>
              <w:t>Architecture/dependency tests</w:t>
            </w:r>
          </w:p>
        </w:tc>
        <w:tc>
          <w:tcPr>
            <w:tcW w:type="dxa" w:w="5156"/>
          </w:tcPr>
          <w:p>
            <w:r>
              <w:t>Sim</w:t>
            </w:r>
          </w:p>
        </w:tc>
      </w:tr>
      <w:tr>
        <w:tc>
          <w:tcPr>
            <w:tcW w:type="dxa" w:w="5156"/>
          </w:tcPr>
          <w:p>
            <w:r>
              <w:t>Static analysis/lint</w:t>
            </w:r>
          </w:p>
        </w:tc>
        <w:tc>
          <w:tcPr>
            <w:tcW w:type="dxa" w:w="5156"/>
          </w:tcPr>
          <w:p>
            <w:r>
              <w:t>Sim conforme baseline</w:t>
            </w:r>
          </w:p>
        </w:tc>
      </w:tr>
      <w:tr>
        <w:tc>
          <w:tcPr>
            <w:tcW w:type="dxa" w:w="5156"/>
          </w:tcPr>
          <w:p>
            <w:r>
              <w:t>Flyway migration validation</w:t>
            </w:r>
          </w:p>
        </w:tc>
        <w:tc>
          <w:tcPr>
            <w:tcW w:type="dxa" w:w="5156"/>
          </w:tcPr>
          <w:p>
            <w:r>
              <w:t>Sim</w:t>
            </w:r>
          </w:p>
        </w:tc>
      </w:tr>
      <w:tr>
        <w:tc>
          <w:tcPr>
            <w:tcW w:type="dxa" w:w="5156"/>
          </w:tcPr>
          <w:p>
            <w:r>
              <w:t>Repository integration tests</w:t>
            </w:r>
          </w:p>
        </w:tc>
        <w:tc>
          <w:tcPr>
            <w:tcW w:type="dxa" w:w="5156"/>
          </w:tcPr>
          <w:p>
            <w:r>
              <w:t>Sim</w:t>
            </w:r>
          </w:p>
        </w:tc>
      </w:tr>
      <w:tr>
        <w:tc>
          <w:tcPr>
            <w:tcW w:type="dxa" w:w="5156"/>
          </w:tcPr>
          <w:p>
            <w:r>
              <w:t>OpenAPI validation/breaking-change check</w:t>
            </w:r>
          </w:p>
        </w:tc>
        <w:tc>
          <w:tcPr>
            <w:tcW w:type="dxa" w:w="5156"/>
          </w:tcPr>
          <w:p>
            <w:r>
              <w:t>Sim</w:t>
            </w:r>
          </w:p>
        </w:tc>
      </w:tr>
      <w:tr>
        <w:tc>
          <w:tcPr>
            <w:tcW w:type="dxa" w:w="5156"/>
          </w:tcPr>
          <w:p>
            <w:r>
              <w:t>Security/dependency scan crítico</w:t>
            </w:r>
          </w:p>
        </w:tc>
        <w:tc>
          <w:tcPr>
            <w:tcW w:type="dxa" w:w="5156"/>
          </w:tcPr>
          <w:p>
            <w:r>
              <w:t>Sim</w:t>
            </w:r>
          </w:p>
        </w:tc>
      </w:tr>
      <w:tr>
        <w:tc>
          <w:tcPr>
            <w:tcW w:type="dxa" w:w="5156"/>
          </w:tcPr>
          <w:p>
            <w:r>
              <w:t>Golden pricing tests</w:t>
            </w:r>
          </w:p>
        </w:tc>
        <w:tc>
          <w:tcPr>
            <w:tcW w:type="dxa" w:w="5156"/>
          </w:tcPr>
          <w:p>
            <w:r>
              <w:t>Sim a partir da baseline aprovada</w:t>
            </w:r>
          </w:p>
        </w:tc>
      </w:tr>
      <w:tr>
        <w:tc>
          <w:tcPr>
            <w:tcW w:type="dxa" w:w="5156"/>
          </w:tcPr>
          <w:p>
            <w:r>
              <w:t>E2E critical path</w:t>
            </w:r>
          </w:p>
        </w:tc>
        <w:tc>
          <w:tcPr>
            <w:tcW w:type="dxa" w:w="5156"/>
          </w:tcPr>
          <w:p>
            <w:r>
              <w:t>Sim para RC</w:t>
            </w:r>
          </w:p>
        </w:tc>
      </w:tr>
      <w:tr>
        <w:tc>
          <w:tcPr>
            <w:tcW w:type="dxa" w:w="5156"/>
          </w:tcPr>
          <w:p>
            <w:r>
              <w:t>SBOM + artefact checksum</w:t>
            </w:r>
          </w:p>
        </w:tc>
        <w:tc>
          <w:tcPr>
            <w:tcW w:type="dxa" w:w="5156"/>
          </w:tcPr>
          <w:p>
            <w:r>
              <w:t>Obrigatório para RC</w:t>
            </w:r>
          </w:p>
        </w:tc>
      </w:tr>
    </w:tbl>
    <w:p>
      <w:pPr>
        <w:pStyle w:val="Heading1"/>
      </w:pPr>
      <w:r>
        <w:t>26. Migrations V001–V026 — allocation preliminar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Range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Conteúdo planeado</w:t>
            </w:r>
          </w:p>
        </w:tc>
      </w:tr>
      <w:tr>
        <w:tc>
          <w:tcPr>
            <w:tcW w:type="dxa" w:w="5156"/>
          </w:tcPr>
          <w:p>
            <w:r>
              <w:t>V001–V003</w:t>
            </w:r>
          </w:p>
        </w:tc>
        <w:tc>
          <w:tcPr>
            <w:tcW w:type="dxa" w:w="5156"/>
          </w:tcPr>
          <w:p>
            <w:r>
              <w:t>foundation, tenant, identity refs, audit</w:t>
            </w:r>
          </w:p>
        </w:tc>
      </w:tr>
      <w:tr>
        <w:tc>
          <w:tcPr>
            <w:tcW w:type="dxa" w:w="5156"/>
          </w:tcPr>
          <w:p>
            <w:r>
              <w:t>V004–V007</w:t>
            </w:r>
          </w:p>
        </w:tc>
        <w:tc>
          <w:tcPr>
            <w:tcW w:type="dxa" w:w="5156"/>
          </w:tcPr>
          <w:p>
            <w:r>
              <w:t>product/version/plan/benefit/config</w:t>
            </w:r>
          </w:p>
        </w:tc>
      </w:tr>
      <w:tr>
        <w:tc>
          <w:tcPr>
            <w:tcW w:type="dxa" w:w="5156"/>
          </w:tcPr>
          <w:p>
            <w:r>
              <w:t>V008–V010</w:t>
            </w:r>
          </w:p>
        </w:tc>
        <w:tc>
          <w:tcPr>
            <w:tcW w:type="dxa" w:w="5156"/>
          </w:tcPr>
          <w:p>
            <w:r>
              <w:t>proposer/member/import</w:t>
            </w:r>
          </w:p>
        </w:tc>
      </w:tr>
      <w:tr>
        <w:tc>
          <w:tcPr>
            <w:tcW w:type="dxa" w:w="5156"/>
          </w:tcPr>
          <w:p>
            <w:r>
              <w:t>V011–V014</w:t>
            </w:r>
          </w:p>
        </w:tc>
        <w:tc>
          <w:tcPr>
            <w:tcW w:type="dxa" w:w="5156"/>
          </w:tcPr>
          <w:p>
            <w:r>
              <w:t>eligibility/rating/rules</w:t>
            </w:r>
          </w:p>
        </w:tc>
      </w:tr>
      <w:tr>
        <w:tc>
          <w:tcPr>
            <w:tcW w:type="dxa" w:w="5156"/>
          </w:tcPr>
          <w:p>
            <w:r>
              <w:t>V015–V018</w:t>
            </w:r>
          </w:p>
        </w:tc>
        <w:tc>
          <w:tcPr>
            <w:tcW w:type="dxa" w:w="5156"/>
          </w:tcPr>
          <w:p>
            <w:r>
              <w:t>pricing run/components/scenarios/trace</w:t>
            </w:r>
          </w:p>
        </w:tc>
      </w:tr>
      <w:tr>
        <w:tc>
          <w:tcPr>
            <w:tcW w:type="dxa" w:w="5156"/>
          </w:tcPr>
          <w:p>
            <w:r>
              <w:t>V019–V021</w:t>
            </w:r>
          </w:p>
        </w:tc>
        <w:tc>
          <w:tcPr>
            <w:tcW w:type="dxa" w:w="5156"/>
          </w:tcPr>
          <w:p>
            <w:r>
              <w:t>quote/snapshot/state history</w:t>
            </w:r>
          </w:p>
        </w:tc>
      </w:tr>
      <w:tr>
        <w:tc>
          <w:tcPr>
            <w:tcW w:type="dxa" w:w="5156"/>
          </w:tcPr>
          <w:p>
            <w:r>
              <w:t>V022–V023</w:t>
            </w:r>
          </w:p>
        </w:tc>
        <w:tc>
          <w:tcPr>
            <w:tcW w:type="dxa" w:w="5156"/>
          </w:tcPr>
          <w:p>
            <w:r>
              <w:t>review/decision/authority</w:t>
            </w:r>
          </w:p>
        </w:tc>
      </w:tr>
      <w:tr>
        <w:tc>
          <w:tcPr>
            <w:tcW w:type="dxa" w:w="5156"/>
          </w:tcPr>
          <w:p>
            <w:r>
              <w:t>V024</w:t>
            </w:r>
          </w:p>
        </w:tc>
        <w:tc>
          <w:tcPr>
            <w:tcW w:type="dxa" w:w="5156"/>
          </w:tcPr>
          <w:p>
            <w:r>
              <w:t>documents/numbering</w:t>
            </w:r>
          </w:p>
        </w:tc>
      </w:tr>
      <w:tr>
        <w:tc>
          <w:tcPr>
            <w:tcW w:type="dxa" w:w="5156"/>
          </w:tcPr>
          <w:p>
            <w:r>
              <w:t>V025</w:t>
            </w:r>
          </w:p>
        </w:tc>
        <w:tc>
          <w:tcPr>
            <w:tcW w:type="dxa" w:w="5156"/>
          </w:tcPr>
          <w:p>
            <w:r>
              <w:t>outbox/idempotency</w:t>
            </w:r>
          </w:p>
        </w:tc>
      </w:tr>
      <w:tr>
        <w:tc>
          <w:tcPr>
            <w:tcW w:type="dxa" w:w="5156"/>
          </w:tcPr>
          <w:p>
            <w:r>
              <w:t>V026</w:t>
            </w:r>
          </w:p>
        </w:tc>
        <w:tc>
          <w:tcPr>
            <w:tcW w:type="dxa" w:w="5156"/>
          </w:tcPr>
          <w:p>
            <w:r>
              <w:t>final indexes/constraints/seed hooks approved</w:t>
            </w:r>
          </w:p>
        </w:tc>
      </w:tr>
    </w:tbl>
    <w:p>
      <w:r>
        <w:rPr>
          <w:b w:val="0"/>
        </w:rPr>
        <w:t>Esta alocação é de planeamento. ART-012 é a autoridade final e pode redistribuir migrations sem alterar o modelo aprovado.</w:t>
      </w:r>
    </w:p>
    <w:p>
      <w:pPr>
        <w:pStyle w:val="Heading1"/>
      </w:pPr>
      <w:r>
        <w:t>27. Package/class catalogue mínimo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Classes/interfaces mínimas</w:t>
            </w:r>
          </w:p>
        </w:tc>
      </w:tr>
      <w:tr>
        <w:tc>
          <w:tcPr>
            <w:tcW w:type="dxa" w:w="5156"/>
          </w:tcPr>
          <w:p>
            <w:r>
              <w:t>foundation</w:t>
            </w:r>
          </w:p>
        </w:tc>
        <w:tc>
          <w:tcPr>
            <w:tcW w:type="dxa" w:w="5156"/>
          </w:tcPr>
          <w:p>
            <w:r>
              <w:t>TenantId, CurrentTenantProvider, CurrentActorProvider, AuditService, AuditRepositoryPort, CorrelationIdFilter, PermissionEvaluator</w:t>
            </w:r>
          </w:p>
        </w:tc>
      </w:tr>
      <w:tr>
        <w:tc>
          <w:tcPr>
            <w:tcW w:type="dxa" w:w="5156"/>
          </w:tcPr>
          <w:p>
            <w:r>
              <w:t>product</w:t>
            </w:r>
          </w:p>
        </w:tc>
        <w:tc>
          <w:tcPr>
            <w:tcW w:type="dxa" w:w="5156"/>
          </w:tcPr>
          <w:p>
            <w:r>
              <w:t>Product, ProductVersion, Plan, Benefit, ProductVersionResolver, CreateProductUseCase, PublishProductVersionUseCase, ProductRepositoryPort</w:t>
            </w:r>
          </w:p>
        </w:tc>
      </w:tr>
      <w:tr>
        <w:tc>
          <w:tcPr>
            <w:tcW w:type="dxa" w:w="5156"/>
          </w:tcPr>
          <w:p>
            <w:r>
              <w:t>client</w:t>
            </w:r>
          </w:p>
        </w:tc>
        <w:tc>
          <w:tcPr>
            <w:tcW w:type="dxa" w:w="5156"/>
          </w:tcPr>
          <w:p>
            <w:r>
              <w:t>Proposer, InsuredMember, MemberRelationship, CreateProposerUseCase, AddMemberUseCase, MemberImportService, ProposerRepositoryPort, MemberRepositoryPort</w:t>
            </w:r>
          </w:p>
        </w:tc>
      </w:tr>
      <w:tr>
        <w:tc>
          <w:tcPr>
            <w:tcW w:type="dxa" w:w="5156"/>
          </w:tcPr>
          <w:p>
            <w:r>
              <w:t>eligibility</w:t>
            </w:r>
          </w:p>
        </w:tc>
        <w:tc>
          <w:tcPr>
            <w:tcW w:type="dxa" w:w="5156"/>
          </w:tcPr>
          <w:p>
            <w:r>
              <w:t>EligibilityContext, EligibilityDecision, EligibilityResult, EvaluateEligibilityUseCase, EligibilityRulePort</w:t>
            </w:r>
          </w:p>
        </w:tc>
      </w:tr>
      <w:tr>
        <w:tc>
          <w:tcPr>
            <w:tcW w:type="dxa" w:w="5156"/>
          </w:tcPr>
          <w:p>
            <w:r>
              <w:t>pricing</w:t>
            </w:r>
          </w:p>
        </w:tc>
        <w:tc>
          <w:tcPr>
            <w:tcW w:type="dxa" w:w="5156"/>
          </w:tcPr>
          <w:p>
            <w:r>
              <w:t>Money, PricingContext, PricingComponent, PricingResult, PricingEngine, RatingTablePort, RuleEnginePort, RoundingPolicy, PricingValidator, PricingExplainabilityService</w:t>
            </w:r>
          </w:p>
        </w:tc>
      </w:tr>
      <w:tr>
        <w:tc>
          <w:tcPr>
            <w:tcW w:type="dxa" w:w="5156"/>
          </w:tcPr>
          <w:p>
            <w:r>
              <w:t>quotation</w:t>
            </w:r>
          </w:p>
        </w:tc>
        <w:tc>
          <w:tcPr>
            <w:tcW w:type="dxa" w:w="5156"/>
          </w:tcPr>
          <w:p>
            <w:r>
              <w:t>Quote, QuoteSnapshot, QuoteMemberSnapshot, CreateQuoteUseCase, UpdateQuotePopulationUseCase, PriceQuoteUseCase, SubmitQuoteUseCase, QuoteRepositoryPort</w:t>
            </w:r>
          </w:p>
        </w:tc>
      </w:tr>
      <w:tr>
        <w:tc>
          <w:tcPr>
            <w:tcW w:type="dxa" w:w="5156"/>
          </w:tcPr>
          <w:p>
            <w:r>
              <w:t>underwriting</w:t>
            </w:r>
          </w:p>
        </w:tc>
        <w:tc>
          <w:tcPr>
            <w:tcW w:type="dxa" w:w="5156"/>
          </w:tcPr>
          <w:p>
            <w:r>
              <w:t>ReviewTask, AuthorityPolicy, UnderwritingDecision, SubmitForReviewUseCase, DecideQuoteUseCase, QuoteStateMachine</w:t>
            </w:r>
          </w:p>
        </w:tc>
      </w:tr>
      <w:tr>
        <w:tc>
          <w:tcPr>
            <w:tcW w:type="dxa" w:w="5156"/>
          </w:tcPr>
          <w:p>
            <w:r>
              <w:t>documents</w:t>
            </w:r>
          </w:p>
        </w:tc>
        <w:tc>
          <w:tcPr>
            <w:tcW w:type="dxa" w:w="5156"/>
          </w:tcPr>
          <w:p>
            <w:r>
              <w:t>DocumentTemplateVersion, DocumentRecord, GenerateProposalUseCase, NumberingService, DocumentStoragePort, PdfRendererPort</w:t>
            </w:r>
          </w:p>
        </w:tc>
      </w:tr>
      <w:tr>
        <w:tc>
          <w:tcPr>
            <w:tcW w:type="dxa" w:w="5156"/>
          </w:tcPr>
          <w:p>
            <w:r>
              <w:t>integration</w:t>
            </w:r>
          </w:p>
        </w:tc>
        <w:tc>
          <w:tcPr>
            <w:tcW w:type="dxa" w:w="5156"/>
          </w:tcPr>
          <w:p>
            <w:r>
              <w:t>OutboxEvent, OutboxWriter, OutboxDispatcher, EventEnvelope, IdempotencyService, RabbitEventPublisherAdapter</w:t>
            </w:r>
          </w:p>
        </w:tc>
      </w:tr>
    </w:tbl>
    <w:p>
      <w:r>
        <w:rPr>
          <w:b w:val="0"/>
        </w:rPr>
        <w:t>O catálogo é mínimo e normativo quanto às responsabilidades, não quanto ao número exacto de ficheiros. Classes auxiliares podem ser criadas se não introduzirem comportamento de negócio não especificado.</w:t>
      </w:r>
    </w:p>
    <w:p>
      <w:pPr>
        <w:pStyle w:val="Heading1"/>
      </w:pPr>
      <w:r>
        <w:t>28. Mapping Story →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Stories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Módulos principais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Artefactos derivados</w:t>
            </w:r>
          </w:p>
        </w:tc>
      </w:tr>
      <w:tr>
        <w:tc>
          <w:tcPr>
            <w:tcW w:type="dxa" w:w="3437"/>
          </w:tcPr>
          <w:p>
            <w:r>
              <w:t>S1-*</w:t>
            </w:r>
          </w:p>
        </w:tc>
        <w:tc>
          <w:tcPr>
            <w:tcW w:type="dxa" w:w="3437"/>
          </w:tcPr>
          <w:p>
            <w:r>
              <w:t>foundation/infrastructure</w:t>
            </w:r>
          </w:p>
        </w:tc>
        <w:tc>
          <w:tcPr>
            <w:tcW w:type="dxa" w:w="3437"/>
          </w:tcPr>
          <w:p>
            <w:r>
              <w:t>ART-005/006/012</w:t>
            </w:r>
          </w:p>
        </w:tc>
      </w:tr>
      <w:tr>
        <w:tc>
          <w:tcPr>
            <w:tcW w:type="dxa" w:w="3437"/>
          </w:tcPr>
          <w:p>
            <w:r>
              <w:t>S2-*</w:t>
            </w:r>
          </w:p>
        </w:tc>
        <w:tc>
          <w:tcPr>
            <w:tcW w:type="dxa" w:w="3437"/>
          </w:tcPr>
          <w:p>
            <w:r>
              <w:t>product/frontend</w:t>
            </w:r>
          </w:p>
        </w:tc>
        <w:tc>
          <w:tcPr>
            <w:tcW w:type="dxa" w:w="3437"/>
          </w:tcPr>
          <w:p>
            <w:r>
              <w:t>ART-005/006/010/012</w:t>
            </w:r>
          </w:p>
        </w:tc>
      </w:tr>
      <w:tr>
        <w:tc>
          <w:tcPr>
            <w:tcW w:type="dxa" w:w="3437"/>
          </w:tcPr>
          <w:p>
            <w:r>
              <w:t>S3-*</w:t>
            </w:r>
          </w:p>
        </w:tc>
        <w:tc>
          <w:tcPr>
            <w:tcW w:type="dxa" w:w="3437"/>
          </w:tcPr>
          <w:p>
            <w:r>
              <w:t>client/eligibility/frontend</w:t>
            </w:r>
          </w:p>
        </w:tc>
        <w:tc>
          <w:tcPr>
            <w:tcW w:type="dxa" w:w="3437"/>
          </w:tcPr>
          <w:p>
            <w:r>
              <w:t>ART-005/006/008/010</w:t>
            </w:r>
          </w:p>
        </w:tc>
      </w:tr>
      <w:tr>
        <w:tc>
          <w:tcPr>
            <w:tcW w:type="dxa" w:w="3437"/>
          </w:tcPr>
          <w:p>
            <w:r>
              <w:t>S4-*</w:t>
            </w:r>
          </w:p>
        </w:tc>
        <w:tc>
          <w:tcPr>
            <w:tcW w:type="dxa" w:w="3437"/>
          </w:tcPr>
          <w:p>
            <w:r>
              <w:t>pricing</w:t>
            </w:r>
          </w:p>
        </w:tc>
        <w:tc>
          <w:tcPr>
            <w:tcW w:type="dxa" w:w="3437"/>
          </w:tcPr>
          <w:p>
            <w:r>
              <w:t>ART-005/006/013</w:t>
            </w:r>
          </w:p>
        </w:tc>
      </w:tr>
      <w:tr>
        <w:tc>
          <w:tcPr>
            <w:tcW w:type="dxa" w:w="3437"/>
          </w:tcPr>
          <w:p>
            <w:r>
              <w:t>S5-*</w:t>
            </w:r>
          </w:p>
        </w:tc>
        <w:tc>
          <w:tcPr>
            <w:tcW w:type="dxa" w:w="3437"/>
          </w:tcPr>
          <w:p>
            <w:r>
              <w:t>pricing/rules</w:t>
            </w:r>
          </w:p>
        </w:tc>
        <w:tc>
          <w:tcPr>
            <w:tcW w:type="dxa" w:w="3437"/>
          </w:tcPr>
          <w:p>
            <w:r>
              <w:t>ART-008/013</w:t>
            </w:r>
          </w:p>
        </w:tc>
      </w:tr>
      <w:tr>
        <w:tc>
          <w:tcPr>
            <w:tcW w:type="dxa" w:w="3437"/>
          </w:tcPr>
          <w:p>
            <w:r>
              <w:t>S6-*</w:t>
            </w:r>
          </w:p>
        </w:tc>
        <w:tc>
          <w:tcPr>
            <w:tcW w:type="dxa" w:w="3437"/>
          </w:tcPr>
          <w:p>
            <w:r>
              <w:t>quotation/pricing</w:t>
            </w:r>
          </w:p>
        </w:tc>
        <w:tc>
          <w:tcPr>
            <w:tcW w:type="dxa" w:w="3437"/>
          </w:tcPr>
          <w:p>
            <w:r>
              <w:t>ART-005/006/009/013</w:t>
            </w:r>
          </w:p>
        </w:tc>
      </w:tr>
      <w:tr>
        <w:tc>
          <w:tcPr>
            <w:tcW w:type="dxa" w:w="3437"/>
          </w:tcPr>
          <w:p>
            <w:r>
              <w:t>S7-*</w:t>
            </w:r>
          </w:p>
        </w:tc>
        <w:tc>
          <w:tcPr>
            <w:tcW w:type="dxa" w:w="3437"/>
          </w:tcPr>
          <w:p>
            <w:r>
              <w:t>underwriting</w:t>
            </w:r>
          </w:p>
        </w:tc>
        <w:tc>
          <w:tcPr>
            <w:tcW w:type="dxa" w:w="3437"/>
          </w:tcPr>
          <w:p>
            <w:r>
              <w:t>ART-006/009/013</w:t>
            </w:r>
          </w:p>
        </w:tc>
      </w:tr>
      <w:tr>
        <w:tc>
          <w:tcPr>
            <w:tcW w:type="dxa" w:w="3437"/>
          </w:tcPr>
          <w:p>
            <w:r>
              <w:t>S8-*</w:t>
            </w:r>
          </w:p>
        </w:tc>
        <w:tc>
          <w:tcPr>
            <w:tcW w:type="dxa" w:w="3437"/>
          </w:tcPr>
          <w:p>
            <w:r>
              <w:t>documents</w:t>
            </w:r>
          </w:p>
        </w:tc>
        <w:tc>
          <w:tcPr>
            <w:tcW w:type="dxa" w:w="3437"/>
          </w:tcPr>
          <w:p>
            <w:r>
              <w:t>ART-005/006/009</w:t>
            </w:r>
          </w:p>
        </w:tc>
      </w:tr>
      <w:tr>
        <w:tc>
          <w:tcPr>
            <w:tcW w:type="dxa" w:w="3437"/>
          </w:tcPr>
          <w:p>
            <w:r>
              <w:t>S9-*</w:t>
            </w:r>
          </w:p>
        </w:tc>
        <w:tc>
          <w:tcPr>
            <w:tcW w:type="dxa" w:w="3437"/>
          </w:tcPr>
          <w:p>
            <w:r>
              <w:t>integration/foundation</w:t>
            </w:r>
          </w:p>
        </w:tc>
        <w:tc>
          <w:tcPr>
            <w:tcW w:type="dxa" w:w="3437"/>
          </w:tcPr>
          <w:p>
            <w:r>
              <w:t>ART-006/007</w:t>
            </w:r>
          </w:p>
        </w:tc>
      </w:tr>
      <w:tr>
        <w:tc>
          <w:tcPr>
            <w:tcW w:type="dxa" w:w="3437"/>
          </w:tcPr>
          <w:p>
            <w:r>
              <w:t>S10-*</w:t>
            </w:r>
          </w:p>
        </w:tc>
        <w:tc>
          <w:tcPr>
            <w:tcW w:type="dxa" w:w="3437"/>
          </w:tcPr>
          <w:p>
            <w:r>
              <w:t>cross-cutting</w:t>
            </w:r>
          </w:p>
        </w:tc>
        <w:tc>
          <w:tcPr>
            <w:tcW w:type="dxa" w:w="3437"/>
          </w:tcPr>
          <w:p>
            <w:r>
              <w:t>QA-015</w:t>
            </w:r>
          </w:p>
        </w:tc>
      </w:tr>
      <w:tr>
        <w:tc>
          <w:tcPr>
            <w:tcW w:type="dxa" w:w="3437"/>
          </w:tcPr>
          <w:p>
            <w:r>
              <w:t>S11-*</w:t>
            </w:r>
          </w:p>
        </w:tc>
        <w:tc>
          <w:tcPr>
            <w:tcW w:type="dxa" w:w="3437"/>
          </w:tcPr>
          <w:p>
            <w:r>
              <w:t>tests/release</w:t>
            </w:r>
          </w:p>
        </w:tc>
        <w:tc>
          <w:tcPr>
            <w:tcW w:type="dxa" w:w="3437"/>
          </w:tcPr>
          <w:p>
            <w:r>
              <w:t>ART-013/DOC-014/QA-015</w:t>
            </w:r>
          </w:p>
        </w:tc>
      </w:tr>
    </w:tbl>
    <w:p>
      <w:pPr>
        <w:pStyle w:val="Heading1"/>
      </w:pPr>
      <w:r>
        <w:t>29. ADRs obrigatórios antes de implementação divergente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ADR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Tema</w:t>
            </w:r>
          </w:p>
        </w:tc>
      </w:tr>
      <w:tr>
        <w:tc>
          <w:tcPr>
            <w:tcW w:type="dxa" w:w="5156"/>
          </w:tcPr>
          <w:p>
            <w:r>
              <w:t>ADR-001</w:t>
            </w:r>
          </w:p>
        </w:tc>
        <w:tc>
          <w:tcPr>
            <w:tcW w:type="dxa" w:w="5156"/>
          </w:tcPr>
          <w:p>
            <w:r>
              <w:t>Modular Monolith e boundaries</w:t>
            </w:r>
          </w:p>
        </w:tc>
      </w:tr>
      <w:tr>
        <w:tc>
          <w:tcPr>
            <w:tcW w:type="dxa" w:w="5156"/>
          </w:tcPr>
          <w:p>
            <w:r>
              <w:t>ADR-002</w:t>
            </w:r>
          </w:p>
        </w:tc>
        <w:tc>
          <w:tcPr>
            <w:tcW w:type="dxa" w:w="5156"/>
          </w:tcPr>
          <w:p>
            <w:r>
              <w:t>ID strategy</w:t>
            </w:r>
          </w:p>
        </w:tc>
      </w:tr>
      <w:tr>
        <w:tc>
          <w:tcPr>
            <w:tcW w:type="dxa" w:w="5156"/>
          </w:tcPr>
          <w:p>
            <w:r>
              <w:t>ADR-003</w:t>
            </w:r>
          </w:p>
        </w:tc>
        <w:tc>
          <w:tcPr>
            <w:tcW w:type="dxa" w:w="5156"/>
          </w:tcPr>
          <w:p>
            <w:r>
              <w:t>Tenant isolation strategy</w:t>
            </w:r>
          </w:p>
        </w:tc>
      </w:tr>
      <w:tr>
        <w:tc>
          <w:tcPr>
            <w:tcW w:type="dxa" w:w="5156"/>
          </w:tcPr>
          <w:p>
            <w:r>
              <w:t>ADR-004</w:t>
            </w:r>
          </w:p>
        </w:tc>
        <w:tc>
          <w:tcPr>
            <w:tcW w:type="dxa" w:w="5156"/>
          </w:tcPr>
          <w:p>
            <w:r>
              <w:t>Money/rounding policy technical representation</w:t>
            </w:r>
          </w:p>
        </w:tc>
      </w:tr>
      <w:tr>
        <w:tc>
          <w:tcPr>
            <w:tcW w:type="dxa" w:w="5156"/>
          </w:tcPr>
          <w:p>
            <w:r>
              <w:t>ADR-005</w:t>
            </w:r>
          </w:p>
        </w:tc>
        <w:tc>
          <w:tcPr>
            <w:tcW w:type="dxa" w:w="5156"/>
          </w:tcPr>
          <w:p>
            <w:r>
              <w:t>Rule engine packaging/version loading</w:t>
            </w:r>
          </w:p>
        </w:tc>
      </w:tr>
      <w:tr>
        <w:tc>
          <w:tcPr>
            <w:tcW w:type="dxa" w:w="5156"/>
          </w:tcPr>
          <w:p>
            <w:r>
              <w:t>ADR-006</w:t>
            </w:r>
          </w:p>
        </w:tc>
        <w:tc>
          <w:tcPr>
            <w:tcW w:type="dxa" w:w="5156"/>
          </w:tcPr>
          <w:p>
            <w:r>
              <w:t>Document storage/rendering</w:t>
            </w:r>
          </w:p>
        </w:tc>
      </w:tr>
      <w:tr>
        <w:tc>
          <w:tcPr>
            <w:tcW w:type="dxa" w:w="5156"/>
          </w:tcPr>
          <w:p>
            <w:r>
              <w:t>ADR-007</w:t>
            </w:r>
          </w:p>
        </w:tc>
        <w:tc>
          <w:tcPr>
            <w:tcW w:type="dxa" w:w="5156"/>
          </w:tcPr>
          <w:p>
            <w:r>
              <w:t>State machine implementation mechanism</w:t>
            </w:r>
          </w:p>
        </w:tc>
      </w:tr>
      <w:tr>
        <w:tc>
          <w:tcPr>
            <w:tcW w:type="dxa" w:w="5156"/>
          </w:tcPr>
          <w:p>
            <w:r>
              <w:t>ADR-008</w:t>
            </w:r>
          </w:p>
        </w:tc>
        <w:tc>
          <w:tcPr>
            <w:tcW w:type="dxa" w:w="5156"/>
          </w:tcPr>
          <w:p>
            <w:r>
              <w:t>Outbox dispatcher locking/retry</w:t>
            </w:r>
          </w:p>
        </w:tc>
      </w:tr>
      <w:tr>
        <w:tc>
          <w:tcPr>
            <w:tcW w:type="dxa" w:w="5156"/>
          </w:tcPr>
          <w:p>
            <w:r>
              <w:t>ADR-009</w:t>
            </w:r>
          </w:p>
        </w:tc>
        <w:tc>
          <w:tcPr>
            <w:tcW w:type="dxa" w:w="5156"/>
          </w:tcPr>
          <w:p>
            <w:r>
              <w:t>Frontend server-state/data-fetching approach</w:t>
            </w:r>
          </w:p>
        </w:tc>
      </w:tr>
      <w:tr>
        <w:tc>
          <w:tcPr>
            <w:tcW w:type="dxa" w:w="5156"/>
          </w:tcPr>
          <w:p>
            <w:r>
              <w:t>ADR-010</w:t>
            </w:r>
          </w:p>
        </w:tc>
        <w:tc>
          <w:tcPr>
            <w:tcW w:type="dxa" w:w="5156"/>
          </w:tcPr>
          <w:p>
            <w:r>
              <w:t>Deployment topology</w:t>
            </w:r>
          </w:p>
        </w:tc>
      </w:tr>
    </w:tbl>
    <w:p>
      <w:r>
        <w:rPr>
          <w:b w:val="0"/>
        </w:rPr>
        <w:t>ADR documenta decisão técnica; não pode criar requisito comercial.</w:t>
      </w:r>
    </w:p>
    <w:p>
      <w:pPr>
        <w:pStyle w:val="Heading1"/>
      </w:pPr>
      <w:r>
        <w:t>30. Open Decisions herdadas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Decisão pendente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Bloqueia</w:t>
            </w:r>
          </w:p>
        </w:tc>
      </w:tr>
      <w:tr>
        <w:tc>
          <w:tcPr>
            <w:tcW w:type="dxa" w:w="3437"/>
          </w:tcPr>
          <w:p>
            <w:r>
              <w:t>OD-001</w:t>
            </w:r>
          </w:p>
        </w:tc>
        <w:tc>
          <w:tcPr>
            <w:tcW w:type="dxa" w:w="3437"/>
          </w:tcPr>
          <w:p>
            <w:r>
              <w:t>Tarifário oficial</w:t>
            </w:r>
          </w:p>
        </w:tc>
        <w:tc>
          <w:tcPr>
            <w:tcW w:type="dxa" w:w="3437"/>
          </w:tcPr>
          <w:p>
            <w:r>
              <w:t>Seed/Golden final</w:t>
            </w:r>
          </w:p>
        </w:tc>
      </w:tr>
      <w:tr>
        <w:tc>
          <w:tcPr>
            <w:tcW w:type="dxa" w:w="3437"/>
          </w:tcPr>
          <w:p>
            <w:r>
              <w:t>OD-002</w:t>
            </w:r>
          </w:p>
        </w:tc>
        <w:tc>
          <w:tcPr>
            <w:tcW w:type="dxa" w:w="3437"/>
          </w:tcPr>
          <w:p>
            <w:r>
              <w:t>Moeda/rounding oficial</w:t>
            </w:r>
          </w:p>
        </w:tc>
        <w:tc>
          <w:tcPr>
            <w:tcW w:type="dxa" w:w="3437"/>
          </w:tcPr>
          <w:p>
            <w:r>
              <w:t>Pricing final</w:t>
            </w:r>
          </w:p>
        </w:tc>
      </w:tr>
      <w:tr>
        <w:tc>
          <w:tcPr>
            <w:tcW w:type="dxa" w:w="3437"/>
          </w:tcPr>
          <w:p>
            <w:r>
              <w:t>OD-003</w:t>
            </w:r>
          </w:p>
        </w:tc>
        <w:tc>
          <w:tcPr>
            <w:tcW w:type="dxa" w:w="3437"/>
          </w:tcPr>
          <w:p>
            <w:r>
              <w:t>Campos exactos proposer/member</w:t>
            </w:r>
          </w:p>
        </w:tc>
        <w:tc>
          <w:tcPr>
            <w:tcW w:type="dxa" w:w="3437"/>
          </w:tcPr>
          <w:p>
            <w:r>
              <w:t>DDL/OpenAPI final</w:t>
            </w:r>
          </w:p>
        </w:tc>
      </w:tr>
      <w:tr>
        <w:tc>
          <w:tcPr>
            <w:tcW w:type="dxa" w:w="3437"/>
          </w:tcPr>
          <w:p>
            <w:r>
              <w:t>OD-004</w:t>
            </w:r>
          </w:p>
        </w:tc>
        <w:tc>
          <w:tcPr>
            <w:tcW w:type="dxa" w:w="3437"/>
          </w:tcPr>
          <w:p>
            <w:r>
              <w:t>Elegibilidade</w:t>
            </w:r>
          </w:p>
        </w:tc>
        <w:tc>
          <w:tcPr>
            <w:tcW w:type="dxa" w:w="3437"/>
          </w:tcPr>
          <w:p>
            <w:r>
              <w:t>Drools/Golden</w:t>
            </w:r>
          </w:p>
        </w:tc>
      </w:tr>
      <w:tr>
        <w:tc>
          <w:tcPr>
            <w:tcW w:type="dxa" w:w="3437"/>
          </w:tcPr>
          <w:p>
            <w:r>
              <w:t>OD-005</w:t>
            </w:r>
          </w:p>
        </w:tc>
        <w:tc>
          <w:tcPr>
            <w:tcW w:type="dxa" w:w="3437"/>
          </w:tcPr>
          <w:p>
            <w:r>
              <w:t>Authority limits</w:t>
            </w:r>
          </w:p>
        </w:tc>
        <w:tc>
          <w:tcPr>
            <w:tcW w:type="dxa" w:w="3437"/>
          </w:tcPr>
          <w:p>
            <w:r>
              <w:t>Workflow</w:t>
            </w:r>
          </w:p>
        </w:tc>
      </w:tr>
      <w:tr>
        <w:tc>
          <w:tcPr>
            <w:tcW w:type="dxa" w:w="3437"/>
          </w:tcPr>
          <w:p>
            <w:r>
              <w:t>OD-006</w:t>
            </w:r>
          </w:p>
        </w:tc>
        <w:tc>
          <w:tcPr>
            <w:tcW w:type="dxa" w:w="3437"/>
          </w:tcPr>
          <w:p>
            <w:r>
              <w:t>Template proposta</w:t>
            </w:r>
          </w:p>
        </w:tc>
        <w:tc>
          <w:tcPr>
            <w:tcW w:type="dxa" w:w="3437"/>
          </w:tcPr>
          <w:p>
            <w:r>
              <w:t>Documents</w:t>
            </w:r>
          </w:p>
        </w:tc>
      </w:tr>
      <w:tr>
        <w:tc>
          <w:tcPr>
            <w:tcW w:type="dxa" w:w="3437"/>
          </w:tcPr>
          <w:p>
            <w:r>
              <w:t>OD-007</w:t>
            </w:r>
          </w:p>
        </w:tc>
        <w:tc>
          <w:tcPr>
            <w:tcW w:type="dxa" w:w="3437"/>
          </w:tcPr>
          <w:p>
            <w:r>
              <w:t>Numbering policy</w:t>
            </w:r>
          </w:p>
        </w:tc>
        <w:tc>
          <w:tcPr>
            <w:tcW w:type="dxa" w:w="3437"/>
          </w:tcPr>
          <w:p>
            <w:r>
              <w:t>Documents</w:t>
            </w:r>
          </w:p>
        </w:tc>
      </w:tr>
      <w:tr>
        <w:tc>
          <w:tcPr>
            <w:tcW w:type="dxa" w:w="3437"/>
          </w:tcPr>
          <w:p>
            <w:r>
              <w:t>OD-008</w:t>
            </w:r>
          </w:p>
        </w:tc>
        <w:tc>
          <w:tcPr>
            <w:tcW w:type="dxa" w:w="3437"/>
          </w:tcPr>
          <w:p>
            <w:r>
              <w:t>Performance thresholds</w:t>
            </w:r>
          </w:p>
        </w:tc>
        <w:tc>
          <w:tcPr>
            <w:tcW w:type="dxa" w:w="3437"/>
          </w:tcPr>
          <w:p>
            <w:r>
              <w:t>Hardening</w:t>
            </w:r>
          </w:p>
        </w:tc>
      </w:tr>
      <w:tr>
        <w:tc>
          <w:tcPr>
            <w:tcW w:type="dxa" w:w="3437"/>
          </w:tcPr>
          <w:p>
            <w:r>
              <w:t>OD-009</w:t>
            </w:r>
          </w:p>
        </w:tc>
        <w:tc>
          <w:tcPr>
            <w:tcW w:type="dxa" w:w="3437"/>
          </w:tcPr>
          <w:p>
            <w:r>
              <w:t>OIDC provider/claims</w:t>
            </w:r>
          </w:p>
        </w:tc>
        <w:tc>
          <w:tcPr>
            <w:tcW w:type="dxa" w:w="3437"/>
          </w:tcPr>
          <w:p>
            <w:r>
              <w:t>Security deployment</w:t>
            </w:r>
          </w:p>
        </w:tc>
      </w:tr>
      <w:tr>
        <w:tc>
          <w:tcPr>
            <w:tcW w:type="dxa" w:w="3437"/>
          </w:tcPr>
          <w:p>
            <w:r>
              <w:t>OD-010</w:t>
            </w:r>
          </w:p>
        </w:tc>
        <w:tc>
          <w:tcPr>
            <w:tcW w:type="dxa" w:w="3437"/>
          </w:tcPr>
          <w:p>
            <w:r>
              <w:t>RabbitMQ topology</w:t>
            </w:r>
          </w:p>
        </w:tc>
        <w:tc>
          <w:tcPr>
            <w:tcW w:type="dxa" w:w="3437"/>
          </w:tcPr>
          <w:p>
            <w:r>
              <w:t>ART-007</w:t>
            </w:r>
          </w:p>
        </w:tc>
      </w:tr>
    </w:tbl>
    <w:p>
      <w:pPr>
        <w:pStyle w:val="Heading1"/>
      </w:pPr>
      <w:r>
        <w:t>31. Definition of Done de engenharia</w:t>
      </w:r>
    </w:p>
    <w:p>
      <w:pPr>
        <w:pStyle w:val="ListBullet"/>
      </w:pPr>
      <w:r>
        <w:t>Use case implementado na camada correcta e sem regra de negócio no controller/UI.</w:t>
      </w:r>
    </w:p>
    <w:p>
      <w:pPr>
        <w:pStyle w:val="ListBullet"/>
      </w:pPr>
      <w:r>
        <w:t>Persistência protegida por constraints e migration.</w:t>
      </w:r>
    </w:p>
    <w:p>
      <w:pPr>
        <w:pStyle w:val="ListBullet"/>
      </w:pPr>
      <w:r>
        <w:t>Tenant/security/audit aplicados conforme risco.</w:t>
      </w:r>
    </w:p>
    <w:p>
      <w:pPr>
        <w:pStyle w:val="ListBullet"/>
      </w:pPr>
      <w:r>
        <w:t>OpenAPI/event contract actualizado.</w:t>
      </w:r>
    </w:p>
    <w:p>
      <w:pPr>
        <w:pStyle w:val="ListBullet"/>
      </w:pPr>
      <w:r>
        <w:t>Unit + integration + contract/golden/E2E conforme matriz.</w:t>
      </w:r>
    </w:p>
    <w:p>
      <w:pPr>
        <w:pStyle w:val="ListBullet"/>
      </w:pPr>
      <w:r>
        <w:t>Observability suficiente para diagnosticar falha sem expor PII.</w:t>
      </w:r>
    </w:p>
    <w:p>
      <w:pPr>
        <w:pStyle w:val="ListBullet"/>
      </w:pPr>
      <w:r>
        <w:t>Sem valores comerciais inventados.</w:t>
      </w:r>
    </w:p>
    <w:p>
      <w:pPr>
        <w:pStyle w:val="ListBullet"/>
      </w:pPr>
      <w:r>
        <w:t>Architecture tests não detectam dependência proibida.</w:t>
      </w:r>
    </w:p>
    <w:p>
      <w:pPr>
        <w:pStyle w:val="ListBullet"/>
      </w:pPr>
      <w:r>
        <w:t>Code review e QA concluídos.</w:t>
      </w:r>
    </w:p>
    <w:p>
      <w:pPr>
        <w:pStyle w:val="ListBullet"/>
      </w:pPr>
      <w:r>
        <w:t>Traceability Story → code → migration → API/event → test registada.</w:t>
      </w:r>
    </w:p>
    <w:p>
      <w:pPr>
        <w:pStyle w:val="Heading1"/>
      </w:pPr>
      <w:r>
        <w:t>32. Critérios de aceitação do DOC-004</w:t>
      </w:r>
    </w:p>
    <w:p>
      <w:pPr>
        <w:pStyle w:val="ListBullet"/>
      </w:pPr>
      <w:r>
        <w:t>Define arquitectura V1 sem exigir invenção estrutural pelos programadores.</w:t>
      </w:r>
    </w:p>
    <w:p>
      <w:pPr>
        <w:pStyle w:val="ListBullet"/>
      </w:pPr>
      <w:r>
        <w:t>Define módulos, boundaries, responsabilidades e classes/interfaces mínimas.</w:t>
      </w:r>
    </w:p>
    <w:p>
      <w:pPr>
        <w:pStyle w:val="ListBullet"/>
      </w:pPr>
      <w:r>
        <w:t>Define pricing determinístico, versionamento e explainability.</w:t>
      </w:r>
    </w:p>
    <w:p>
      <w:pPr>
        <w:pStyle w:val="ListBullet"/>
      </w:pPr>
      <w:r>
        <w:t>Define persistência, transacções, segurança, audit, observabilidade e integração.</w:t>
      </w:r>
    </w:p>
    <w:p>
      <w:pPr>
        <w:pStyle w:val="ListBullet"/>
      </w:pPr>
      <w:r>
        <w:t>Define React, API, events, state machine e testing baseline.</w:t>
      </w:r>
    </w:p>
    <w:p>
      <w:pPr>
        <w:pStyle w:val="ListBullet"/>
      </w:pPr>
      <w:r>
        <w:t>Permite produzir ART-005 a ART-013 de forma consistente.</w:t>
      </w:r>
    </w:p>
    <w:p>
      <w:pPr>
        <w:pStyle w:val="ListBullet"/>
      </w:pPr>
      <w:r>
        <w:t>Não inclui funcionalidades V2 nem parâmetros comerciais não aprovados.</w:t>
      </w:r>
    </w:p>
    <w:p>
      <w:pPr>
        <w:pStyle w:val="Heading1"/>
      </w:pPr>
      <w:r>
        <w:t>33. Próximo artefacto oficial</w:t>
      </w:r>
    </w:p>
    <w:p>
      <w:r>
        <w:rPr>
          <w:b w:val="0"/>
        </w:rPr>
        <w:t>Q360-MVP-ART-005 — DDL PostgreSQL V1. O próximo artefacto deve materializar o modelo físico de dados autorizado: schemas/tabelas, colunas, tipos, PK/FK, unique/check constraints, tenant strategy, índices, versionamento, audit metadata e comentários técnicos. Deve ser executável e preparado para servir de baseline às migrations V001–V026.</w:t>
      </w:r>
      <w:r>
        <w:t xml:space="preserve"> Estado do DOC-004: REVIEW.</w:t>
      </w:r>
    </w:p>
    <w:sectPr w:rsidR="00FC693F" w:rsidRPr="0006063C" w:rsidSect="00034616">
      <w:footerReference w:type="default" r:id="rId9"/>
      <w:pgSz w:w="12240" w:h="15840"/>
      <w:pgMar w:top="822" w:right="964" w:bottom="82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Q360-MVP-DOC-004 | Engineering Specification Pack V1 | REVIEW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