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423" w:rsidRDefault="000D5423" w:rsidP="000D542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03030"/>
          <w:sz w:val="70"/>
          <w:szCs w:val="70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70"/>
          <w:szCs w:val="70"/>
          <w:lang w:val="pt-PT"/>
        </w:rPr>
        <w:t>Briefing Técnico</w:t>
      </w:r>
    </w:p>
    <w:p w:rsidR="000D5423" w:rsidRDefault="000D5423" w:rsidP="000D542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03030"/>
          <w:sz w:val="70"/>
          <w:szCs w:val="70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70"/>
          <w:szCs w:val="70"/>
          <w:lang w:val="pt-PT"/>
        </w:rPr>
        <w:t>-</w:t>
      </w:r>
    </w:p>
    <w:p w:rsidR="000D5423" w:rsidRDefault="000D5423" w:rsidP="000D542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03030"/>
          <w:sz w:val="70"/>
          <w:szCs w:val="70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70"/>
          <w:szCs w:val="70"/>
          <w:lang w:val="pt-PT"/>
        </w:rPr>
        <w:t xml:space="preserve">Operacional: </w:t>
      </w:r>
    </w:p>
    <w:p w:rsidR="000D5423" w:rsidRDefault="000D5423" w:rsidP="000D542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03030"/>
          <w:sz w:val="70"/>
          <w:szCs w:val="70"/>
          <w:lang w:val="pt-PT"/>
        </w:rPr>
      </w:pPr>
    </w:p>
    <w:p w:rsidR="000D5423" w:rsidRPr="000D5423" w:rsidRDefault="000D5423" w:rsidP="000D542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03030"/>
          <w:sz w:val="70"/>
          <w:szCs w:val="70"/>
          <w:lang w:val="pt-PT"/>
        </w:rPr>
      </w:pPr>
      <w:bookmarkStart w:id="0" w:name="_GoBack"/>
      <w:bookmarkEnd w:id="0"/>
      <w:proofErr w:type="spellStart"/>
      <w:r w:rsidRPr="000D5423">
        <w:rPr>
          <w:rFonts w:ascii="Times New Roman" w:eastAsia="Times New Roman" w:hAnsi="Times New Roman" w:cs="Times New Roman"/>
          <w:color w:val="303030"/>
          <w:sz w:val="70"/>
          <w:szCs w:val="70"/>
          <w:lang w:val="pt-PT"/>
        </w:rPr>
        <w:t>Projecto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70"/>
          <w:szCs w:val="70"/>
          <w:lang w:val="pt-PT"/>
        </w:rPr>
        <w:t xml:space="preserve"> Q360 — Linha Saúde</w:t>
      </w:r>
    </w:p>
    <w:p w:rsidR="000D5423" w:rsidRDefault="000D5423">
      <w:pPr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br w:type="page"/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32"/>
          <w:szCs w:val="32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32"/>
          <w:szCs w:val="32"/>
          <w:lang w:val="pt-PT"/>
        </w:rPr>
        <w:lastRenderedPageBreak/>
        <w:t>Sumário Executivo</w:t>
      </w:r>
    </w:p>
    <w:p w:rsid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O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Projecto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Q360 representa uma iniciativa estruturante para o mercado de seguros de saúde em Angola, integrando uma metodologia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actuarial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rigorosa com uma infraestrutura tecnológica de alta escala. O sistema fundamenta-se num modelo de tarifação multiplicativo e determinístico, garantindo que o prémio comercial seja sempre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auditável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e justificável através de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factores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de risco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versionados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(idade, grupo, geografia, experiência e subscrição) e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loadings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técnicos explícitos.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A implementação tecnológica (V1.0) sustenta esta complexidade através de uma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arquitectura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de 523 tabelas físicas e mais de 500 artefactos Java, operando sob princípios de segregação de dados clínicos (Medical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Vault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) e rastreabilidade total de decisões. O sucesso do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projecto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depende da calibração final por parte do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Actuário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Responsável e da validação de pressupostos críticos, como a inflação médica e a credibilidade estatística dos grupos.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4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1.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Arquitectura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de Tarifação e Princípios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Actuariais</w:t>
      </w:r>
      <w:proofErr w:type="spellEnd"/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A tarifa Q360 afasta-se de ajustes discricionários,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adoptando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três princípios fundamentais:</w:t>
      </w:r>
    </w:p>
    <w:p w:rsidR="000D5423" w:rsidRPr="000D5423" w:rsidRDefault="000D5423" w:rsidP="000D54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Determinismo</w:t>
      </w:r>
      <w:proofErr w:type="gram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 Para</w:t>
      </w:r>
      <w:proofErr w:type="gram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os mesmos inputs, o prémio calculado é invariavelmente o mesmo, eliminando a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subjectividade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no cálculo.</w:t>
      </w:r>
    </w:p>
    <w:p w:rsidR="000D5423" w:rsidRPr="000D5423" w:rsidRDefault="000D5423" w:rsidP="000D54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Auditabilidade</w:t>
      </w:r>
      <w:proofErr w:type="spellEnd"/>
      <w:proofErr w:type="gram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 Cada</w:t>
      </w:r>
      <w:proofErr w:type="gram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componente do prémio é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rastreável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a uma fonte de calibração específica (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benchmarks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de mercado ou estudos de sinistralidade).</w:t>
      </w:r>
    </w:p>
    <w:p w:rsidR="000D5423" w:rsidRPr="000D5423" w:rsidRDefault="000D5423" w:rsidP="000D54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Transparência: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 A estrutura de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loadings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e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factores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é comunicável, permitindo que as áreas de Subscrição e Produto compreendam o impacto técnico das suas decisões comerciais.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Estrutura de Planos (Mercado Angolano)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O modelo define quatro níveis de serviço com progressão de benefícios e redes de cuidados: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2617"/>
        <w:gridCol w:w="2371"/>
        <w:gridCol w:w="2459"/>
      </w:tblGrid>
      <w:tr w:rsidR="000D5423" w:rsidRPr="000D5423" w:rsidTr="000D5423"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</w:pPr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Plano</w:t>
            </w:r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</w:pPr>
            <w:proofErr w:type="spellStart"/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Rede</w:t>
            </w:r>
            <w:proofErr w:type="spellEnd"/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 xml:space="preserve"> Base</w:t>
            </w:r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</w:pPr>
            <w:proofErr w:type="spellStart"/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Evacuação</w:t>
            </w:r>
            <w:proofErr w:type="spellEnd"/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 xml:space="preserve"> 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Médica</w:t>
            </w:r>
            <w:proofErr w:type="spellEnd"/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</w:pPr>
            <w:proofErr w:type="spellStart"/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Posicionamento</w:t>
            </w:r>
            <w:proofErr w:type="spellEnd"/>
          </w:p>
        </w:tc>
      </w:tr>
      <w:tr w:rsidR="000D5423" w:rsidRPr="000D5423" w:rsidTr="000D5423"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ESSENCIAL</w:t>
            </w:r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Angola</w:t>
            </w:r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Não</w:t>
            </w:r>
            <w:proofErr w:type="spellEnd"/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Custo</w:t>
            </w:r>
            <w:proofErr w:type="spellEnd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 xml:space="preserve"> 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controlado</w:t>
            </w:r>
            <w:proofErr w:type="spellEnd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 xml:space="preserve"> / 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Rede</w:t>
            </w:r>
            <w:proofErr w:type="spellEnd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 xml:space="preserve"> local</w:t>
            </w:r>
          </w:p>
        </w:tc>
      </w:tr>
      <w:tr w:rsidR="000D5423" w:rsidRPr="000D5423" w:rsidTr="000D5423"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STANDARD</w:t>
            </w:r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Angola</w:t>
            </w:r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Angola</w:t>
            </w:r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 xml:space="preserve">Corporate 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equilibrado</w:t>
            </w:r>
            <w:proofErr w:type="spellEnd"/>
          </w:p>
        </w:tc>
      </w:tr>
      <w:tr w:rsidR="000D5423" w:rsidRPr="000D5423" w:rsidTr="000D5423"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PLUS</w:t>
            </w:r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 xml:space="preserve">Angola + 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África</w:t>
            </w:r>
            <w:proofErr w:type="spellEnd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 xml:space="preserve"> Austral</w:t>
            </w:r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África</w:t>
            </w:r>
            <w:proofErr w:type="spellEnd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 xml:space="preserve"> Austral</w:t>
            </w:r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 xml:space="preserve">Corporate 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alargado</w:t>
            </w:r>
            <w:proofErr w:type="spellEnd"/>
          </w:p>
        </w:tc>
      </w:tr>
      <w:tr w:rsidR="000D5423" w:rsidRPr="000D5423" w:rsidTr="000D5423"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PREMIUM</w:t>
            </w:r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 xml:space="preserve">Angola + 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África</w:t>
            </w:r>
            <w:proofErr w:type="spellEnd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 xml:space="preserve"> Austral + 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Extensão</w:t>
            </w:r>
            <w:proofErr w:type="spellEnd"/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África</w:t>
            </w:r>
            <w:proofErr w:type="spellEnd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 xml:space="preserve"> Austral + 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Internacional</w:t>
            </w:r>
            <w:proofErr w:type="spellEnd"/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Executivo</w:t>
            </w:r>
            <w:proofErr w:type="spellEnd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 xml:space="preserve"> / 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  <w:t>Internacional</w:t>
            </w:r>
            <w:proofErr w:type="spellEnd"/>
          </w:p>
        </w:tc>
      </w:tr>
    </w:tbl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42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2. Metodologia de Cálculo do Prémio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O Prémio Comercial é o resultado da aplicação de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factores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de ajustamento ao Prémio Base, acrescido de cargas (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loadings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) operacionais.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2.1 A Fórmula Multiplicativa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pt-PT"/>
        </w:rPr>
        <w:t xml:space="preserve">Prémio de Risco Ajustado = Prémio Base × </w:t>
      </w: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pt-PT"/>
        </w:rPr>
        <w:t>F_idade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pt-PT"/>
        </w:rPr>
        <w:t xml:space="preserve"> × </w:t>
      </w: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pt-PT"/>
        </w:rPr>
        <w:t>F_relação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pt-PT"/>
        </w:rPr>
        <w:t xml:space="preserve"> × </w:t>
      </w: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pt-PT"/>
        </w:rPr>
        <w:t>F_grupo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pt-PT"/>
        </w:rPr>
        <w:t xml:space="preserve"> × </w:t>
      </w: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pt-PT"/>
        </w:rPr>
        <w:t>F_área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pt-PT"/>
        </w:rPr>
        <w:t xml:space="preserve"> × </w:t>
      </w: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pt-PT"/>
        </w:rPr>
        <w:t>F_experiência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pt-PT"/>
        </w:rPr>
        <w:t xml:space="preserve"> × </w:t>
      </w: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pt-PT"/>
        </w:rPr>
        <w:t>F_underwriting</w:t>
      </w:r>
      <w:proofErr w:type="spellEnd"/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2.2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>Factores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de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>Risco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>Críticos</w:t>
      </w:r>
      <w:proofErr w:type="spellEnd"/>
    </w:p>
    <w:p w:rsidR="000D5423" w:rsidRPr="000D5423" w:rsidRDefault="000D5423" w:rsidP="000D54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proofErr w:type="spellStart"/>
      <w:proofErr w:type="gram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lastRenderedPageBreak/>
        <w:t>Factor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 xml:space="preserve"> Etário</w:t>
      </w:r>
      <w:proofErr w:type="gramEnd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 Segmentado em 10 bandas (0-5 anos até 70+). A banda de referência (30–39 anos) possui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factor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1,00, enquanto a banda de 70</w:t>
      </w:r>
      <w:proofErr w:type="gram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+</w:t>
      </w:r>
      <w:proofErr w:type="gram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atinge 3,80 (ilustrativo).</w:t>
      </w:r>
    </w:p>
    <w:p w:rsidR="000D5423" w:rsidRPr="000D5423" w:rsidRDefault="000D5423" w:rsidP="000D54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Factor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 xml:space="preserve"> de Dimensão do Grupo: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 Recompensas de escala para grupos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corporate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, variando de 1,15 (grupos de 1–9 vidas) até 0,90 (grupos de 1000</w:t>
      </w:r>
      <w:proofErr w:type="gram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+</w:t>
      </w:r>
      <w:proofErr w:type="gram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vidas).</w:t>
      </w:r>
    </w:p>
    <w:p w:rsidR="000D5423" w:rsidRPr="000D5423" w:rsidRDefault="000D5423" w:rsidP="000D54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proofErr w:type="spellStart"/>
      <w:proofErr w:type="gram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Factor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 xml:space="preserve"> Geográfico</w:t>
      </w:r>
      <w:proofErr w:type="gramEnd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 Reflete o risco de evacuação e custos de rede, com agravamentos de até 2,20 para coberturas internacionais amplas.</w:t>
      </w:r>
    </w:p>
    <w:p w:rsidR="000D5423" w:rsidRPr="000D5423" w:rsidRDefault="000D5423" w:rsidP="000D542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Factor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 xml:space="preserve"> de Experiência (</w:t>
      </w: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Loss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 xml:space="preserve"> Ratio):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 Grupos com sinistralidade controlada (&lt;55%) podem receber bónus (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factor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0,92), enquanto grupos deficitários (&gt;100%) enfrentam agravamentos obrigatórios (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factor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1,35) ou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re-pricing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.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2.3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Loadings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Técnicos e Comerciais (Indicativos)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A estrutura prevê uma carga total de </w:t>
      </w:r>
      <w:r w:rsidRPr="000D5423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pt-PT"/>
        </w:rPr>
        <w:t>37,0%</w:t>
      </w: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 sobre o prémio de risco, distribuída por:</w:t>
      </w:r>
    </w:p>
    <w:p w:rsidR="000D5423" w:rsidRPr="000D5423" w:rsidRDefault="000D5423" w:rsidP="000D542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</w:rPr>
      </w:pP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>Administração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 xml:space="preserve"> / TPA: 8%</w:t>
      </w:r>
    </w:p>
    <w:p w:rsidR="000D5423" w:rsidRPr="000D5423" w:rsidRDefault="000D5423" w:rsidP="000D542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</w:rPr>
      </w:pP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>Comissões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 xml:space="preserve"> de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>Aquisição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>: 10%</w:t>
      </w:r>
    </w:p>
    <w:p w:rsidR="000D5423" w:rsidRPr="000D5423" w:rsidRDefault="000D5423" w:rsidP="000D542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</w:rPr>
      </w:pP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>Margem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 xml:space="preserve"> de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>Segurança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>: 7%</w:t>
      </w:r>
    </w:p>
    <w:p w:rsidR="000D5423" w:rsidRPr="000D5423" w:rsidRDefault="000D5423" w:rsidP="000D542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</w:rPr>
      </w:pP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>Custo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 xml:space="preserve"> de Capital /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>Solvência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>: 4%</w:t>
      </w:r>
    </w:p>
    <w:p w:rsidR="000D5423" w:rsidRPr="000D5423" w:rsidRDefault="000D5423" w:rsidP="000D542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</w:rPr>
      </w:pP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>Resseguro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 xml:space="preserve"> / Stop-loss: 3%</w:t>
      </w:r>
    </w:p>
    <w:p w:rsidR="000D5423" w:rsidRPr="000D5423" w:rsidRDefault="000D5423" w:rsidP="000D542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</w:rPr>
      </w:pP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>Margem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 xml:space="preserve">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>Técnica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</w:rPr>
        <w:t>: 5%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42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3. Especificações de Engenharia e Tecnologia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O Core de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Underwriting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&amp;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Pricing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é "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code-ready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", desenhado para ser implementado com Java 21 e Spring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Boot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3.x.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3.1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>Infraestrutura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de Dados e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>Segurança</w:t>
      </w:r>
      <w:proofErr w:type="spellEnd"/>
    </w:p>
    <w:p w:rsidR="000D5423" w:rsidRPr="000D5423" w:rsidRDefault="000D5423" w:rsidP="000D54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Catálogo Físico: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 523 tabelas organizadas em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bounded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contexts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(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Pricing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,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Claims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, Medical,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Reinsurance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, etc.).</w:t>
      </w:r>
    </w:p>
    <w:p w:rsidR="000D5423" w:rsidRPr="000D5423" w:rsidRDefault="000D5423" w:rsidP="000D54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 xml:space="preserve">Medical </w:t>
      </w: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Vault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 Segregação absoluta de dados clínicos. Nenhuma API comercial devolve detalhes de diagnósticos, cumprindo normas de privacidade.</w:t>
      </w:r>
    </w:p>
    <w:p w:rsidR="000D5423" w:rsidRPr="000D5423" w:rsidRDefault="000D5423" w:rsidP="000D54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Rastreabilidade (</w:t>
      </w: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Snapshots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):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 Toda a decisão de subscrição e cálculo de prémio guarda um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snapshot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imutável das versões de regras e parâmetros utilizados no momento.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3.2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>Motores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de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>Regras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 xml:space="preserve"> e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</w:rPr>
        <w:t>Integração</w:t>
      </w:r>
      <w:proofErr w:type="spellEnd"/>
    </w:p>
    <w:p w:rsidR="000D5423" w:rsidRPr="000D5423" w:rsidRDefault="000D5423" w:rsidP="000D542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 xml:space="preserve">Motores </w:t>
      </w: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Drools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 O sistema utiliza matrizes de regras para subscrição médica (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ex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: agravamento para IMC &gt;= 40),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anti-seleção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em grupos e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triggers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de resseguro.</w:t>
      </w:r>
    </w:p>
    <w:p w:rsidR="000D5423" w:rsidRPr="000D5423" w:rsidRDefault="000D5423" w:rsidP="000D542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lastRenderedPageBreak/>
        <w:t xml:space="preserve">Integração via </w:t>
      </w: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Mensajaria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 xml:space="preserve"> (</w:t>
      </w: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RabbitMQ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):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 87 eventos de domínio garantem o funcionamento assíncrono e a consistência através do padrão </w:t>
      </w:r>
      <w:proofErr w:type="spellStart"/>
      <w:r w:rsidRPr="000D5423">
        <w:rPr>
          <w:rFonts w:ascii="Times New Roman" w:eastAsia="Times New Roman" w:hAnsi="Times New Roman" w:cs="Times New Roman"/>
          <w:i/>
          <w:iCs/>
          <w:color w:val="303030"/>
          <w:sz w:val="27"/>
          <w:szCs w:val="27"/>
          <w:lang w:val="pt-PT"/>
        </w:rPr>
        <w:t>Transactional</w:t>
      </w:r>
      <w:proofErr w:type="spellEnd"/>
      <w:r w:rsidRPr="000D5423">
        <w:rPr>
          <w:rFonts w:ascii="Times New Roman" w:eastAsia="Times New Roman" w:hAnsi="Times New Roman" w:cs="Times New Roman"/>
          <w:i/>
          <w:iCs/>
          <w:color w:val="303030"/>
          <w:sz w:val="27"/>
          <w:szCs w:val="27"/>
          <w:lang w:val="pt-PT"/>
        </w:rPr>
        <w:t xml:space="preserve"> </w:t>
      </w:r>
      <w:proofErr w:type="spellStart"/>
      <w:r w:rsidRPr="000D5423">
        <w:rPr>
          <w:rFonts w:ascii="Times New Roman" w:eastAsia="Times New Roman" w:hAnsi="Times New Roman" w:cs="Times New Roman"/>
          <w:i/>
          <w:iCs/>
          <w:color w:val="303030"/>
          <w:sz w:val="27"/>
          <w:szCs w:val="27"/>
          <w:lang w:val="pt-PT"/>
        </w:rPr>
        <w:t>Outbox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.</w:t>
      </w:r>
    </w:p>
    <w:p w:rsidR="000D5423" w:rsidRPr="000D5423" w:rsidRDefault="000D5423" w:rsidP="000D542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Operações API: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 99 operações documentadas via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OpenAPI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para cobrir todo o ciclo de vida da apólice, desde a cotação até à renovação.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42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4. Pressupostos Técnicos e Validação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O manual sublinha que a calibração deve ser contínua e baseada em dados reais.</w:t>
      </w:r>
    </w:p>
    <w:p w:rsidR="000D5423" w:rsidRPr="000D5423" w:rsidRDefault="000D5423" w:rsidP="000D542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Referências de Mercado</w:t>
      </w:r>
      <w:proofErr w:type="gram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 Na</w:t>
      </w:r>
      <w:proofErr w:type="gram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ausência de dados locais suficientes em Angola, o modelo utiliza referências estruturais da África do Sul (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Council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for Medical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Schemes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,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MultiChoice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e Genesis Medical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Scheme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).</w:t>
      </w:r>
    </w:p>
    <w:p w:rsidR="000D5423" w:rsidRPr="000D5423" w:rsidRDefault="000D5423" w:rsidP="000D542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 xml:space="preserve">Inflação Médica (Medical </w:t>
      </w: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Trend</w:t>
      </w:r>
      <w:proofErr w:type="spellEnd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)</w:t>
      </w:r>
      <w:proofErr w:type="gram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 Deve</w:t>
      </w:r>
      <w:proofErr w:type="gram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ser tratada como um pressuposto explícito, distinguindo-se o aumento de utilização do aumento do custo unitário dos cuidados.</w:t>
      </w:r>
    </w:p>
    <w:p w:rsidR="000D5423" w:rsidRPr="000D5423" w:rsidRDefault="000D5423" w:rsidP="000D542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 xml:space="preserve">Credibilidade de </w:t>
      </w:r>
      <w:proofErr w:type="spell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Bühlmann</w:t>
      </w:r>
      <w:proofErr w:type="spellEnd"/>
      <w:proofErr w:type="gramStart"/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 Recomendada</w:t>
      </w:r>
      <w:proofErr w:type="gram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 xml:space="preserve"> para ponderar a experiência de grupos pequenos, evitando que sinistros fortuitos causem volatilidade excessiva nos prémios.</w:t>
      </w:r>
    </w:p>
    <w:p w:rsidR="000D5423" w:rsidRPr="000D5423" w:rsidRDefault="000D5423" w:rsidP="000D542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</w:pPr>
      <w:r w:rsidRPr="000D5423">
        <w:rPr>
          <w:rFonts w:ascii="Times New Roman" w:eastAsia="Times New Roman" w:hAnsi="Times New Roman" w:cs="Times New Roman"/>
          <w:b/>
          <w:bCs/>
          <w:color w:val="303030"/>
          <w:sz w:val="27"/>
          <w:szCs w:val="27"/>
          <w:lang w:val="pt-PT"/>
        </w:rPr>
        <w:t>Tratamento de Grandes Sinistros:</w:t>
      </w:r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 Necessidade de definir um limiar (</w:t>
      </w:r>
      <w:proofErr w:type="spellStart"/>
      <w:r w:rsidRPr="000D5423">
        <w:rPr>
          <w:rFonts w:ascii="Times New Roman" w:eastAsia="Times New Roman" w:hAnsi="Times New Roman" w:cs="Times New Roman"/>
          <w:i/>
          <w:iCs/>
          <w:color w:val="303030"/>
          <w:sz w:val="27"/>
          <w:szCs w:val="27"/>
          <w:lang w:val="pt-PT"/>
        </w:rPr>
        <w:t>threshold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7"/>
          <w:szCs w:val="27"/>
          <w:lang w:val="pt-PT"/>
        </w:rPr>
        <w:t>) para isolar eventos catastróficos do cálculo de experiência normal.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42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5. Decisões Pendentes do </w:t>
      </w:r>
      <w:proofErr w:type="spellStart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Actuário</w:t>
      </w:r>
      <w:proofErr w:type="spellEnd"/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 xml:space="preserve"> Responsável</w:t>
      </w:r>
    </w:p>
    <w:p w:rsidR="000D5423" w:rsidRPr="000D5423" w:rsidRDefault="000D5423" w:rsidP="000D5423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</w:pPr>
      <w:r w:rsidRPr="000D5423">
        <w:rPr>
          <w:rFonts w:ascii="Times New Roman" w:eastAsia="Times New Roman" w:hAnsi="Times New Roman" w:cs="Times New Roman"/>
          <w:color w:val="303030"/>
          <w:sz w:val="24"/>
          <w:szCs w:val="24"/>
          <w:lang w:val="pt-PT"/>
        </w:rPr>
        <w:t>Antes da promoção para o ambiente de produção, os seguintes pontos do modelo de referência (fictícios) devem ser formalizados: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6780"/>
      </w:tblGrid>
      <w:tr w:rsidR="000D5423" w:rsidRPr="000D5423" w:rsidTr="000D5423"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</w:pPr>
            <w:proofErr w:type="spellStart"/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Área</w:t>
            </w:r>
            <w:proofErr w:type="spellEnd"/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</w:pPr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 xml:space="preserve">Ponto de 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Decisão</w:t>
            </w:r>
            <w:proofErr w:type="spellEnd"/>
          </w:p>
        </w:tc>
      </w:tr>
      <w:tr w:rsidR="000D5423" w:rsidRPr="000D5423" w:rsidTr="000D5423"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proofErr w:type="spellStart"/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Tarifação</w:t>
            </w:r>
            <w:proofErr w:type="spellEnd"/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</w:pPr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  <w:t>Definição dos Prémios Base reais por plano (AOA).</w:t>
            </w:r>
          </w:p>
        </w:tc>
      </w:tr>
      <w:tr w:rsidR="000D5423" w:rsidRPr="000D5423" w:rsidTr="000D5423"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proofErr w:type="spellStart"/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Demografia</w:t>
            </w:r>
            <w:proofErr w:type="spellEnd"/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</w:pPr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  <w:t xml:space="preserve">Validação da curva de 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  <w:t>factores</w:t>
            </w:r>
            <w:proofErr w:type="spellEnd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  <w:t xml:space="preserve"> etários e elegibilidade para 65+.</w:t>
            </w:r>
          </w:p>
        </w:tc>
      </w:tr>
      <w:tr w:rsidR="000D5423" w:rsidRPr="000D5423" w:rsidTr="000D5423"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proofErr w:type="spellStart"/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Inflação</w:t>
            </w:r>
            <w:proofErr w:type="spellEnd"/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</w:pPr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  <w:t>Incorporação automática da taxa de tendência médica (</w:t>
            </w:r>
            <w:r w:rsidRPr="000D5423">
              <w:rPr>
                <w:rFonts w:ascii="Times New Roman" w:eastAsia="Times New Roman" w:hAnsi="Times New Roman" w:cs="Times New Roman"/>
                <w:i/>
                <w:iCs/>
                <w:color w:val="303030"/>
                <w:sz w:val="24"/>
                <w:szCs w:val="24"/>
                <w:lang w:val="pt-PT"/>
              </w:rPr>
              <w:t xml:space="preserve">medical 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i/>
                <w:iCs/>
                <w:color w:val="303030"/>
                <w:sz w:val="24"/>
                <w:szCs w:val="24"/>
                <w:lang w:val="pt-PT"/>
              </w:rPr>
              <w:t>trend</w:t>
            </w:r>
            <w:proofErr w:type="spellEnd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  <w:t>).</w:t>
            </w:r>
          </w:p>
        </w:tc>
      </w:tr>
      <w:tr w:rsidR="000D5423" w:rsidRPr="000D5423" w:rsidTr="000D5423"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proofErr w:type="spellStart"/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Resseguro</w:t>
            </w:r>
            <w:proofErr w:type="spellEnd"/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</w:pPr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  <w:t>Definição de limites de retenção e carregamentos de stop-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  <w:t>loss</w:t>
            </w:r>
            <w:proofErr w:type="spellEnd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  <w:t>.</w:t>
            </w:r>
          </w:p>
        </w:tc>
      </w:tr>
      <w:tr w:rsidR="000D5423" w:rsidRPr="000D5423" w:rsidTr="000D5423"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proofErr w:type="spellStart"/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Credibilidade</w:t>
            </w:r>
            <w:proofErr w:type="spellEnd"/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</w:pPr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  <w:t xml:space="preserve">Escolha entre o modelo de 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  <w:t>Bühlmann</w:t>
            </w:r>
            <w:proofErr w:type="spellEnd"/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  <w:t xml:space="preserve"> ou Flutuação Limitada.</w:t>
            </w:r>
          </w:p>
        </w:tc>
      </w:tr>
      <w:tr w:rsidR="000D5423" w:rsidRPr="000D5423" w:rsidTr="000D5423"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</w:rPr>
            </w:pPr>
            <w:proofErr w:type="spellStart"/>
            <w:r w:rsidRPr="000D5423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</w:rPr>
              <w:t>Governança</w:t>
            </w:r>
            <w:proofErr w:type="spellEnd"/>
          </w:p>
        </w:tc>
        <w:tc>
          <w:tcPr>
            <w:tcW w:w="0" w:type="auto"/>
            <w:hideMark/>
          </w:tcPr>
          <w:p w:rsidR="000D5423" w:rsidRPr="000D5423" w:rsidRDefault="000D5423" w:rsidP="000D54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</w:pPr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  <w:t>Definição dos períodos de validade da tarifa (</w:t>
            </w:r>
            <w:proofErr w:type="spellStart"/>
            <w:r w:rsidRPr="000D5423">
              <w:rPr>
                <w:rFonts w:ascii="Times New Roman" w:eastAsia="Times New Roman" w:hAnsi="Times New Roman" w:cs="Times New Roman"/>
                <w:i/>
                <w:iCs/>
                <w:color w:val="303030"/>
                <w:sz w:val="24"/>
                <w:szCs w:val="24"/>
                <w:lang w:val="pt-PT"/>
              </w:rPr>
              <w:t>effective_from</w:t>
            </w:r>
            <w:proofErr w:type="spellEnd"/>
            <w:r w:rsidRPr="000D5423">
              <w:rPr>
                <w:rFonts w:ascii="Times New Roman" w:eastAsia="Times New Roman" w:hAnsi="Times New Roman" w:cs="Times New Roman"/>
                <w:i/>
                <w:iCs/>
                <w:color w:val="303030"/>
                <w:sz w:val="24"/>
                <w:szCs w:val="24"/>
                <w:lang w:val="pt-PT"/>
              </w:rPr>
              <w:t>/to</w:t>
            </w:r>
            <w:r w:rsidRPr="000D5423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val="pt-PT"/>
              </w:rPr>
              <w:t>).</w:t>
            </w:r>
          </w:p>
        </w:tc>
      </w:tr>
    </w:tbl>
    <w:p w:rsidR="00752959" w:rsidRPr="000D5423" w:rsidRDefault="00752959">
      <w:pPr>
        <w:rPr>
          <w:lang w:val="pt-PT"/>
        </w:rPr>
      </w:pPr>
    </w:p>
    <w:sectPr w:rsidR="00752959" w:rsidRPr="000D54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47317"/>
    <w:multiLevelType w:val="multilevel"/>
    <w:tmpl w:val="1968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F38EC"/>
    <w:multiLevelType w:val="multilevel"/>
    <w:tmpl w:val="E57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46491"/>
    <w:multiLevelType w:val="multilevel"/>
    <w:tmpl w:val="9B52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10015"/>
    <w:multiLevelType w:val="multilevel"/>
    <w:tmpl w:val="C92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A6F77"/>
    <w:multiLevelType w:val="multilevel"/>
    <w:tmpl w:val="DFC2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223F3"/>
    <w:multiLevelType w:val="multilevel"/>
    <w:tmpl w:val="989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423"/>
    <w:rsid w:val="000D5423"/>
    <w:rsid w:val="00752959"/>
    <w:rsid w:val="0086236F"/>
    <w:rsid w:val="00BA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4A4D"/>
  <w15:chartTrackingRefBased/>
  <w15:docId w15:val="{69A94A6E-0E6F-4D80-9DAA-79A48BA37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0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8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2026-09-08T10:02:00Z</dcterms:created>
  <dcterms:modified xsi:type="dcterms:W3CDTF">2026-09-08T10:04:00Z</dcterms:modified>
</cp:coreProperties>
</file>