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C53" w:rsidRDefault="00A61A1E">
      <w:pPr>
        <w:spacing w:before="1800"/>
        <w:jc w:val="center"/>
      </w:pPr>
      <w:r>
        <w:rPr>
          <w:b/>
          <w:bCs/>
          <w:color w:val="1F3864"/>
          <w:sz w:val="48"/>
          <w:szCs w:val="48"/>
        </w:rPr>
        <w:t>MANUAL TÉCNICO-OPERACIONAL</w:t>
      </w:r>
    </w:p>
    <w:p w:rsidR="00B72C53" w:rsidRPr="00F80D02" w:rsidRDefault="00A61A1E">
      <w:pPr>
        <w:spacing w:after="200"/>
        <w:jc w:val="center"/>
        <w:rPr>
          <w:lang w:val="pt-PT"/>
        </w:rPr>
      </w:pPr>
      <w:r w:rsidRPr="00F80D02">
        <w:rPr>
          <w:b/>
          <w:bCs/>
          <w:color w:val="2E74B5"/>
          <w:sz w:val="30"/>
          <w:szCs w:val="30"/>
          <w:lang w:val="pt-PT"/>
        </w:rPr>
        <w:t>Construção, Calibração e Validação da Tarifa de Seguro de Saúde</w:t>
      </w:r>
    </w:p>
    <w:p w:rsidR="00B72C53" w:rsidRDefault="00A61A1E">
      <w:pPr>
        <w:spacing w:after="600"/>
        <w:jc w:val="center"/>
      </w:pPr>
      <w:r>
        <w:rPr>
          <w:i/>
          <w:iCs/>
          <w:color w:val="595959"/>
          <w:sz w:val="24"/>
          <w:szCs w:val="24"/>
        </w:rPr>
        <w:t>Projecto Q360 — Linha Saúde</w:t>
      </w:r>
    </w:p>
    <w:p w:rsidR="00B72C53" w:rsidRPr="00F80D02" w:rsidRDefault="00A61A1E">
      <w:pPr>
        <w:spacing w:after="80"/>
        <w:jc w:val="center"/>
        <w:rPr>
          <w:lang w:val="pt-PT"/>
        </w:rPr>
      </w:pPr>
      <w:r w:rsidRPr="00F80D02">
        <w:rPr>
          <w:sz w:val="20"/>
          <w:szCs w:val="20"/>
          <w:lang w:val="pt-PT"/>
        </w:rPr>
        <w:t>Mercado de referência: Angola (com referências estruturais observadas na África do Sul)</w:t>
      </w:r>
    </w:p>
    <w:p w:rsidR="00B72C53" w:rsidRPr="00F80D02" w:rsidRDefault="00A61A1E">
      <w:pPr>
        <w:spacing w:after="80"/>
        <w:jc w:val="center"/>
        <w:rPr>
          <w:lang w:val="pt-PT"/>
        </w:rPr>
      </w:pPr>
      <w:r w:rsidRPr="00F80D02">
        <w:rPr>
          <w:sz w:val="20"/>
          <w:szCs w:val="20"/>
          <w:lang w:val="pt-PT"/>
        </w:rPr>
        <w:t>Versão do manual: 0.1 — Documento de trabalho para validação do Actuário Responsável</w:t>
      </w:r>
    </w:p>
    <w:p w:rsidR="00B72C53" w:rsidRPr="00F80D02" w:rsidRDefault="00A61A1E">
      <w:pPr>
        <w:spacing w:after="600"/>
        <w:jc w:val="center"/>
        <w:rPr>
          <w:lang w:val="pt-PT"/>
        </w:rPr>
      </w:pPr>
      <w:r w:rsidRPr="00F80D02">
        <w:rPr>
          <w:color w:val="595959"/>
          <w:sz w:val="18"/>
          <w:szCs w:val="18"/>
          <w:lang w:val="pt-PT"/>
        </w:rPr>
        <w:t>Ficheiro de referência estrutural: Q360_Modelo_Tarifa_Saude_Ficticia_Para_Actuario_v0.1.xlsx</w:t>
      </w:r>
    </w:p>
    <w:p w:rsidR="00B72C53" w:rsidRPr="00F80D02" w:rsidRDefault="00A61A1E">
      <w:pPr>
        <w:pBdr>
          <w:top w:val="single" w:sz="8" w:space="6" w:color="BF9000"/>
          <w:left w:val="single" w:sz="8" w:space="6" w:color="BF9000"/>
          <w:bottom w:val="single" w:sz="8" w:space="6" w:color="BF9000"/>
          <w:right w:val="single" w:sz="8" w:space="6" w:color="BF9000"/>
        </w:pBdr>
        <w:shd w:val="clear" w:color="auto" w:fill="FFF2CC"/>
        <w:spacing w:before="300" w:after="300"/>
        <w:jc w:val="center"/>
        <w:rPr>
          <w:lang w:val="pt-PT"/>
        </w:rPr>
      </w:pPr>
      <w:r w:rsidRPr="00F80D02">
        <w:rPr>
          <w:b/>
          <w:bCs/>
          <w:color w:val="7F6000"/>
          <w:sz w:val="19"/>
          <w:szCs w:val="19"/>
          <w:lang w:val="pt-PT"/>
        </w:rPr>
        <w:t>AVISO — Todos os prémios, factores e loadings apresentados neste manual são IL</w:t>
      </w:r>
      <w:r w:rsidRPr="00F80D02">
        <w:rPr>
          <w:b/>
          <w:bCs/>
          <w:color w:val="7F6000"/>
          <w:sz w:val="19"/>
          <w:szCs w:val="19"/>
          <w:lang w:val="pt-PT"/>
        </w:rPr>
        <w:t>USTRATIVOS/FICTÍCIOS. Antes de qualquer uso comercial, devem ser substituídos por valores calibrados com base em experiência local, sinistralidade observada e estudos de mercado, sob validação do Actuário Responsável.</w:t>
      </w:r>
    </w:p>
    <w:p w:rsidR="00B72C53" w:rsidRPr="00F80D02" w:rsidRDefault="00A61A1E">
      <w:pPr>
        <w:rPr>
          <w:lang w:val="pt-PT"/>
        </w:rPr>
      </w:pPr>
      <w:r w:rsidRPr="00F80D02">
        <w:rPr>
          <w:lang w:val="pt-PT"/>
        </w:rPr>
        <w:br w:type="page"/>
      </w:r>
    </w:p>
    <w:p w:rsidR="00B72C53" w:rsidRDefault="00A61A1E">
      <w:pPr>
        <w:spacing w:after="240"/>
      </w:pPr>
      <w:r>
        <w:rPr>
          <w:b/>
          <w:bCs/>
          <w:color w:val="1F3864"/>
          <w:sz w:val="32"/>
          <w:szCs w:val="32"/>
        </w:rPr>
        <w:lastRenderedPageBreak/>
        <w:t>Índice</w:t>
      </w:r>
    </w:p>
    <w:sdt>
      <w:sdtPr>
        <w:alias w:val="Índice"/>
        <w:id w:val="-782193958"/>
      </w:sdtPr>
      <w:sdtEndPr/>
      <w:sdtContent>
        <w:p w:rsidR="00F80D02" w:rsidRDefault="00A61A1E">
          <w:pPr>
            <w:pStyle w:val="ndice1"/>
            <w:tabs>
              <w:tab w:val="right" w:leader="dot" w:pos="9496"/>
            </w:tabs>
            <w:rPr>
              <w:noProof/>
            </w:rPr>
          </w:pPr>
          <w:r>
            <w:fldChar w:fldCharType="begin"/>
          </w:r>
          <w:r>
            <w:instrText>TOC \h \o "1-3"</w:instrText>
          </w:r>
          <w:r>
            <w:fldChar w:fldCharType="separate"/>
          </w:r>
          <w:hyperlink w:anchor="_Toc239580109" w:history="1">
            <w:r w:rsidR="00F80D02" w:rsidRPr="00FF3F99">
              <w:rPr>
                <w:rStyle w:val="Hiperligao"/>
                <w:b/>
                <w:bCs/>
                <w:noProof/>
              </w:rPr>
              <w:t>1. Introdução</w:t>
            </w:r>
            <w:r w:rsidR="00F80D02">
              <w:rPr>
                <w:noProof/>
              </w:rPr>
              <w:tab/>
            </w:r>
            <w:r w:rsidR="00F80D02">
              <w:rPr>
                <w:noProof/>
              </w:rPr>
              <w:fldChar w:fldCharType="begin"/>
            </w:r>
            <w:r w:rsidR="00F80D02">
              <w:rPr>
                <w:noProof/>
              </w:rPr>
              <w:instrText xml:space="preserve"> PAGEREF _Toc239580109 \h </w:instrText>
            </w:r>
            <w:r w:rsidR="00F80D02">
              <w:rPr>
                <w:noProof/>
              </w:rPr>
            </w:r>
            <w:r w:rsidR="00F80D02">
              <w:rPr>
                <w:noProof/>
              </w:rPr>
              <w:fldChar w:fldCharType="separate"/>
            </w:r>
            <w:r w:rsidR="00F80D02">
              <w:rPr>
                <w:noProof/>
              </w:rPr>
              <w:t>4</w:t>
            </w:r>
            <w:r w:rsidR="00F80D02">
              <w:rPr>
                <w:noProof/>
              </w:rPr>
              <w:fldChar w:fldCharType="end"/>
            </w:r>
          </w:hyperlink>
        </w:p>
        <w:p w:rsidR="00F80D02" w:rsidRDefault="00F80D02">
          <w:pPr>
            <w:pStyle w:val="ndice2"/>
            <w:tabs>
              <w:tab w:val="right" w:leader="dot" w:pos="9496"/>
            </w:tabs>
            <w:rPr>
              <w:noProof/>
            </w:rPr>
          </w:pPr>
          <w:hyperlink w:anchor="_Toc239580110" w:history="1">
            <w:r w:rsidRPr="00FF3F99">
              <w:rPr>
                <w:rStyle w:val="Hiperligao"/>
                <w:b/>
                <w:bCs/>
                <w:noProof/>
              </w:rPr>
              <w:t>1.1 Finalidade do documento</w:t>
            </w:r>
            <w:r>
              <w:rPr>
                <w:noProof/>
              </w:rPr>
              <w:tab/>
            </w:r>
            <w:r>
              <w:rPr>
                <w:noProof/>
              </w:rPr>
              <w:fldChar w:fldCharType="begin"/>
            </w:r>
            <w:r>
              <w:rPr>
                <w:noProof/>
              </w:rPr>
              <w:instrText xml:space="preserve"> PAGEREF _Toc239580110 \h </w:instrText>
            </w:r>
            <w:r>
              <w:rPr>
                <w:noProof/>
              </w:rPr>
            </w:r>
            <w:r>
              <w:rPr>
                <w:noProof/>
              </w:rPr>
              <w:fldChar w:fldCharType="separate"/>
            </w:r>
            <w:r>
              <w:rPr>
                <w:noProof/>
              </w:rPr>
              <w:t>4</w:t>
            </w:r>
            <w:r>
              <w:rPr>
                <w:noProof/>
              </w:rPr>
              <w:fldChar w:fldCharType="end"/>
            </w:r>
          </w:hyperlink>
        </w:p>
        <w:p w:rsidR="00F80D02" w:rsidRDefault="00F80D02">
          <w:pPr>
            <w:pStyle w:val="ndice2"/>
            <w:tabs>
              <w:tab w:val="right" w:leader="dot" w:pos="9496"/>
            </w:tabs>
            <w:rPr>
              <w:noProof/>
            </w:rPr>
          </w:pPr>
          <w:hyperlink w:anchor="_Toc239580111" w:history="1">
            <w:r w:rsidRPr="00FF3F99">
              <w:rPr>
                <w:rStyle w:val="Hiperligao"/>
                <w:b/>
                <w:bCs/>
                <w:noProof/>
              </w:rPr>
              <w:t>1.2 Âmbito de aplicação</w:t>
            </w:r>
            <w:r>
              <w:rPr>
                <w:noProof/>
              </w:rPr>
              <w:tab/>
            </w:r>
            <w:r>
              <w:rPr>
                <w:noProof/>
              </w:rPr>
              <w:fldChar w:fldCharType="begin"/>
            </w:r>
            <w:r>
              <w:rPr>
                <w:noProof/>
              </w:rPr>
              <w:instrText xml:space="preserve"> PAGEREF _Toc239580111 \h </w:instrText>
            </w:r>
            <w:r>
              <w:rPr>
                <w:noProof/>
              </w:rPr>
            </w:r>
            <w:r>
              <w:rPr>
                <w:noProof/>
              </w:rPr>
              <w:fldChar w:fldCharType="separate"/>
            </w:r>
            <w:r>
              <w:rPr>
                <w:noProof/>
              </w:rPr>
              <w:t>4</w:t>
            </w:r>
            <w:r>
              <w:rPr>
                <w:noProof/>
              </w:rPr>
              <w:fldChar w:fldCharType="end"/>
            </w:r>
          </w:hyperlink>
        </w:p>
        <w:p w:rsidR="00F80D02" w:rsidRDefault="00F80D02">
          <w:pPr>
            <w:pStyle w:val="ndice2"/>
            <w:tabs>
              <w:tab w:val="right" w:leader="dot" w:pos="9496"/>
            </w:tabs>
            <w:rPr>
              <w:noProof/>
            </w:rPr>
          </w:pPr>
          <w:hyperlink w:anchor="_Toc239580112" w:history="1">
            <w:r w:rsidRPr="00FF3F99">
              <w:rPr>
                <w:rStyle w:val="Hiperligao"/>
                <w:b/>
                <w:bCs/>
                <w:noProof/>
              </w:rPr>
              <w:t>1.3 Princípios actuariais adoptados</w:t>
            </w:r>
            <w:r>
              <w:rPr>
                <w:noProof/>
              </w:rPr>
              <w:tab/>
            </w:r>
            <w:r>
              <w:rPr>
                <w:noProof/>
              </w:rPr>
              <w:fldChar w:fldCharType="begin"/>
            </w:r>
            <w:r>
              <w:rPr>
                <w:noProof/>
              </w:rPr>
              <w:instrText xml:space="preserve"> PAGEREF _Toc239580112 \h </w:instrText>
            </w:r>
            <w:r>
              <w:rPr>
                <w:noProof/>
              </w:rPr>
            </w:r>
            <w:r>
              <w:rPr>
                <w:noProof/>
              </w:rPr>
              <w:fldChar w:fldCharType="separate"/>
            </w:r>
            <w:r>
              <w:rPr>
                <w:noProof/>
              </w:rPr>
              <w:t>4</w:t>
            </w:r>
            <w:r>
              <w:rPr>
                <w:noProof/>
              </w:rPr>
              <w:fldChar w:fldCharType="end"/>
            </w:r>
          </w:hyperlink>
        </w:p>
        <w:p w:rsidR="00F80D02" w:rsidRDefault="00F80D02">
          <w:pPr>
            <w:pStyle w:val="ndice3"/>
            <w:tabs>
              <w:tab w:val="right" w:leader="dot" w:pos="9496"/>
            </w:tabs>
            <w:rPr>
              <w:noProof/>
            </w:rPr>
          </w:pPr>
          <w:hyperlink w:anchor="_Toc239580113" w:history="1">
            <w:r w:rsidRPr="00FF3F99">
              <w:rPr>
                <w:rStyle w:val="Hiperligao"/>
                <w:b/>
                <w:bCs/>
                <w:noProof/>
              </w:rPr>
              <w:t>Determinismo</w:t>
            </w:r>
            <w:r>
              <w:rPr>
                <w:noProof/>
              </w:rPr>
              <w:tab/>
            </w:r>
            <w:r>
              <w:rPr>
                <w:noProof/>
              </w:rPr>
              <w:fldChar w:fldCharType="begin"/>
            </w:r>
            <w:r>
              <w:rPr>
                <w:noProof/>
              </w:rPr>
              <w:instrText xml:space="preserve"> PAGEREF _Toc239580113 \h </w:instrText>
            </w:r>
            <w:r>
              <w:rPr>
                <w:noProof/>
              </w:rPr>
            </w:r>
            <w:r>
              <w:rPr>
                <w:noProof/>
              </w:rPr>
              <w:fldChar w:fldCharType="separate"/>
            </w:r>
            <w:r>
              <w:rPr>
                <w:noProof/>
              </w:rPr>
              <w:t>4</w:t>
            </w:r>
            <w:r>
              <w:rPr>
                <w:noProof/>
              </w:rPr>
              <w:fldChar w:fldCharType="end"/>
            </w:r>
          </w:hyperlink>
        </w:p>
        <w:p w:rsidR="00F80D02" w:rsidRDefault="00F80D02">
          <w:pPr>
            <w:pStyle w:val="ndice3"/>
            <w:tabs>
              <w:tab w:val="right" w:leader="dot" w:pos="9496"/>
            </w:tabs>
            <w:rPr>
              <w:noProof/>
            </w:rPr>
          </w:pPr>
          <w:hyperlink w:anchor="_Toc239580114" w:history="1">
            <w:r w:rsidRPr="00FF3F99">
              <w:rPr>
                <w:rStyle w:val="Hiperligao"/>
                <w:b/>
                <w:bCs/>
                <w:noProof/>
              </w:rPr>
              <w:t>Auditabilidade</w:t>
            </w:r>
            <w:r>
              <w:rPr>
                <w:noProof/>
              </w:rPr>
              <w:tab/>
            </w:r>
            <w:r>
              <w:rPr>
                <w:noProof/>
              </w:rPr>
              <w:fldChar w:fldCharType="begin"/>
            </w:r>
            <w:r>
              <w:rPr>
                <w:noProof/>
              </w:rPr>
              <w:instrText xml:space="preserve"> PAGEREF _Toc239580114 \h </w:instrText>
            </w:r>
            <w:r>
              <w:rPr>
                <w:noProof/>
              </w:rPr>
            </w:r>
            <w:r>
              <w:rPr>
                <w:noProof/>
              </w:rPr>
              <w:fldChar w:fldCharType="separate"/>
            </w:r>
            <w:r>
              <w:rPr>
                <w:noProof/>
              </w:rPr>
              <w:t>4</w:t>
            </w:r>
            <w:r>
              <w:rPr>
                <w:noProof/>
              </w:rPr>
              <w:fldChar w:fldCharType="end"/>
            </w:r>
          </w:hyperlink>
        </w:p>
        <w:p w:rsidR="00F80D02" w:rsidRDefault="00F80D02">
          <w:pPr>
            <w:pStyle w:val="ndice3"/>
            <w:tabs>
              <w:tab w:val="right" w:leader="dot" w:pos="9496"/>
            </w:tabs>
            <w:rPr>
              <w:noProof/>
            </w:rPr>
          </w:pPr>
          <w:hyperlink w:anchor="_Toc239580115" w:history="1">
            <w:r w:rsidRPr="00FF3F99">
              <w:rPr>
                <w:rStyle w:val="Hiperligao"/>
                <w:b/>
                <w:bCs/>
                <w:noProof/>
              </w:rPr>
              <w:t>Transparência</w:t>
            </w:r>
            <w:r>
              <w:rPr>
                <w:noProof/>
              </w:rPr>
              <w:tab/>
            </w:r>
            <w:r>
              <w:rPr>
                <w:noProof/>
              </w:rPr>
              <w:fldChar w:fldCharType="begin"/>
            </w:r>
            <w:r>
              <w:rPr>
                <w:noProof/>
              </w:rPr>
              <w:instrText xml:space="preserve"> PAGEREF _Toc239580115 \h </w:instrText>
            </w:r>
            <w:r>
              <w:rPr>
                <w:noProof/>
              </w:rPr>
            </w:r>
            <w:r>
              <w:rPr>
                <w:noProof/>
              </w:rPr>
              <w:fldChar w:fldCharType="separate"/>
            </w:r>
            <w:r>
              <w:rPr>
                <w:noProof/>
              </w:rPr>
              <w:t>5</w:t>
            </w:r>
            <w:r>
              <w:rPr>
                <w:noProof/>
              </w:rPr>
              <w:fldChar w:fldCharType="end"/>
            </w:r>
          </w:hyperlink>
        </w:p>
        <w:p w:rsidR="00F80D02" w:rsidRDefault="00F80D02">
          <w:pPr>
            <w:pStyle w:val="ndice1"/>
            <w:tabs>
              <w:tab w:val="right" w:leader="dot" w:pos="9496"/>
            </w:tabs>
            <w:rPr>
              <w:noProof/>
            </w:rPr>
          </w:pPr>
          <w:hyperlink w:anchor="_Toc239580116" w:history="1">
            <w:r w:rsidRPr="00FF3F99">
              <w:rPr>
                <w:rStyle w:val="Hiperligao"/>
                <w:b/>
                <w:bCs/>
                <w:noProof/>
              </w:rPr>
              <w:t>2. Arquitectura da Tarifa</w:t>
            </w:r>
            <w:r>
              <w:rPr>
                <w:noProof/>
              </w:rPr>
              <w:tab/>
            </w:r>
            <w:r>
              <w:rPr>
                <w:noProof/>
              </w:rPr>
              <w:fldChar w:fldCharType="begin"/>
            </w:r>
            <w:r>
              <w:rPr>
                <w:noProof/>
              </w:rPr>
              <w:instrText xml:space="preserve"> PAGEREF _Toc239580116 \h </w:instrText>
            </w:r>
            <w:r>
              <w:rPr>
                <w:noProof/>
              </w:rPr>
            </w:r>
            <w:r>
              <w:rPr>
                <w:noProof/>
              </w:rPr>
              <w:fldChar w:fldCharType="separate"/>
            </w:r>
            <w:r>
              <w:rPr>
                <w:noProof/>
              </w:rPr>
              <w:t>6</w:t>
            </w:r>
            <w:r>
              <w:rPr>
                <w:noProof/>
              </w:rPr>
              <w:fldChar w:fldCharType="end"/>
            </w:r>
          </w:hyperlink>
        </w:p>
        <w:p w:rsidR="00F80D02" w:rsidRDefault="00F80D02">
          <w:pPr>
            <w:pStyle w:val="ndice2"/>
            <w:tabs>
              <w:tab w:val="right" w:leader="dot" w:pos="9496"/>
            </w:tabs>
            <w:rPr>
              <w:noProof/>
            </w:rPr>
          </w:pPr>
          <w:hyperlink w:anchor="_Toc239580117" w:history="1">
            <w:r w:rsidRPr="00FF3F99">
              <w:rPr>
                <w:rStyle w:val="Hiperligao"/>
                <w:b/>
                <w:bCs/>
                <w:noProof/>
              </w:rPr>
              <w:t>2.1 Definição dos planos</w:t>
            </w:r>
            <w:r>
              <w:rPr>
                <w:noProof/>
              </w:rPr>
              <w:tab/>
            </w:r>
            <w:r>
              <w:rPr>
                <w:noProof/>
              </w:rPr>
              <w:fldChar w:fldCharType="begin"/>
            </w:r>
            <w:r>
              <w:rPr>
                <w:noProof/>
              </w:rPr>
              <w:instrText xml:space="preserve"> PAGEREF _Toc239580117 \h </w:instrText>
            </w:r>
            <w:r>
              <w:rPr>
                <w:noProof/>
              </w:rPr>
            </w:r>
            <w:r>
              <w:rPr>
                <w:noProof/>
              </w:rPr>
              <w:fldChar w:fldCharType="separate"/>
            </w:r>
            <w:r>
              <w:rPr>
                <w:noProof/>
              </w:rPr>
              <w:t>6</w:t>
            </w:r>
            <w:r>
              <w:rPr>
                <w:noProof/>
              </w:rPr>
              <w:fldChar w:fldCharType="end"/>
            </w:r>
          </w:hyperlink>
        </w:p>
        <w:p w:rsidR="00F80D02" w:rsidRDefault="00F80D02">
          <w:pPr>
            <w:pStyle w:val="ndice2"/>
            <w:tabs>
              <w:tab w:val="right" w:leader="dot" w:pos="9496"/>
            </w:tabs>
            <w:rPr>
              <w:noProof/>
            </w:rPr>
          </w:pPr>
          <w:hyperlink w:anchor="_Toc239580118" w:history="1">
            <w:r w:rsidRPr="00FF3F99">
              <w:rPr>
                <w:rStyle w:val="Hiperligao"/>
                <w:b/>
                <w:bCs/>
                <w:noProof/>
              </w:rPr>
              <w:t>2.2 Coberturas e limites por plano</w:t>
            </w:r>
            <w:r>
              <w:rPr>
                <w:noProof/>
              </w:rPr>
              <w:tab/>
            </w:r>
            <w:r>
              <w:rPr>
                <w:noProof/>
              </w:rPr>
              <w:fldChar w:fldCharType="begin"/>
            </w:r>
            <w:r>
              <w:rPr>
                <w:noProof/>
              </w:rPr>
              <w:instrText xml:space="preserve"> PAGEREF _Toc239580118 \h </w:instrText>
            </w:r>
            <w:r>
              <w:rPr>
                <w:noProof/>
              </w:rPr>
            </w:r>
            <w:r>
              <w:rPr>
                <w:noProof/>
              </w:rPr>
              <w:fldChar w:fldCharType="separate"/>
            </w:r>
            <w:r>
              <w:rPr>
                <w:noProof/>
              </w:rPr>
              <w:t>6</w:t>
            </w:r>
            <w:r>
              <w:rPr>
                <w:noProof/>
              </w:rPr>
              <w:fldChar w:fldCharType="end"/>
            </w:r>
          </w:hyperlink>
        </w:p>
        <w:p w:rsidR="00F80D02" w:rsidRDefault="00F80D02">
          <w:pPr>
            <w:pStyle w:val="ndice2"/>
            <w:tabs>
              <w:tab w:val="right" w:leader="dot" w:pos="9496"/>
            </w:tabs>
            <w:rPr>
              <w:noProof/>
            </w:rPr>
          </w:pPr>
          <w:hyperlink w:anchor="_Toc239580119" w:history="1">
            <w:r w:rsidRPr="00FF3F99">
              <w:rPr>
                <w:rStyle w:val="Hiperligao"/>
                <w:b/>
                <w:bCs/>
                <w:noProof/>
              </w:rPr>
              <w:t>2.3 Metodologia de base</w:t>
            </w:r>
            <w:r>
              <w:rPr>
                <w:noProof/>
              </w:rPr>
              <w:tab/>
            </w:r>
            <w:r>
              <w:rPr>
                <w:noProof/>
              </w:rPr>
              <w:fldChar w:fldCharType="begin"/>
            </w:r>
            <w:r>
              <w:rPr>
                <w:noProof/>
              </w:rPr>
              <w:instrText xml:space="preserve"> PAGEREF _Toc239580119 \h </w:instrText>
            </w:r>
            <w:r>
              <w:rPr>
                <w:noProof/>
              </w:rPr>
            </w:r>
            <w:r>
              <w:rPr>
                <w:noProof/>
              </w:rPr>
              <w:fldChar w:fldCharType="separate"/>
            </w:r>
            <w:r>
              <w:rPr>
                <w:noProof/>
              </w:rPr>
              <w:t>6</w:t>
            </w:r>
            <w:r>
              <w:rPr>
                <w:noProof/>
              </w:rPr>
              <w:fldChar w:fldCharType="end"/>
            </w:r>
          </w:hyperlink>
        </w:p>
        <w:p w:rsidR="00F80D02" w:rsidRDefault="00F80D02">
          <w:pPr>
            <w:pStyle w:val="ndice1"/>
            <w:tabs>
              <w:tab w:val="right" w:leader="dot" w:pos="9496"/>
            </w:tabs>
            <w:rPr>
              <w:noProof/>
            </w:rPr>
          </w:pPr>
          <w:hyperlink w:anchor="_Toc239580120" w:history="1">
            <w:r w:rsidRPr="00FF3F99">
              <w:rPr>
                <w:rStyle w:val="Hiperligao"/>
                <w:b/>
                <w:bCs/>
                <w:noProof/>
              </w:rPr>
              <w:t>3. Estrutura de Cálculo</w:t>
            </w:r>
            <w:r>
              <w:rPr>
                <w:noProof/>
              </w:rPr>
              <w:tab/>
            </w:r>
            <w:r>
              <w:rPr>
                <w:noProof/>
              </w:rPr>
              <w:fldChar w:fldCharType="begin"/>
            </w:r>
            <w:r>
              <w:rPr>
                <w:noProof/>
              </w:rPr>
              <w:instrText xml:space="preserve"> PAGEREF _Toc239580120 \h </w:instrText>
            </w:r>
            <w:r>
              <w:rPr>
                <w:noProof/>
              </w:rPr>
            </w:r>
            <w:r>
              <w:rPr>
                <w:noProof/>
              </w:rPr>
              <w:fldChar w:fldCharType="separate"/>
            </w:r>
            <w:r>
              <w:rPr>
                <w:noProof/>
              </w:rPr>
              <w:t>8</w:t>
            </w:r>
            <w:r>
              <w:rPr>
                <w:noProof/>
              </w:rPr>
              <w:fldChar w:fldCharType="end"/>
            </w:r>
          </w:hyperlink>
        </w:p>
        <w:p w:rsidR="00F80D02" w:rsidRDefault="00F80D02">
          <w:pPr>
            <w:pStyle w:val="ndice2"/>
            <w:tabs>
              <w:tab w:val="right" w:leader="dot" w:pos="9496"/>
            </w:tabs>
            <w:rPr>
              <w:noProof/>
            </w:rPr>
          </w:pPr>
          <w:hyperlink w:anchor="_Toc239580121" w:history="1">
            <w:r w:rsidRPr="00FF3F99">
              <w:rPr>
                <w:rStyle w:val="Hiperligao"/>
                <w:b/>
                <w:bCs/>
                <w:noProof/>
              </w:rPr>
              <w:t>3.1 Fórmula geral do prémio comercial</w:t>
            </w:r>
            <w:r>
              <w:rPr>
                <w:noProof/>
              </w:rPr>
              <w:tab/>
            </w:r>
            <w:r>
              <w:rPr>
                <w:noProof/>
              </w:rPr>
              <w:fldChar w:fldCharType="begin"/>
            </w:r>
            <w:r>
              <w:rPr>
                <w:noProof/>
              </w:rPr>
              <w:instrText xml:space="preserve"> PAGEREF _Toc239580121 \h </w:instrText>
            </w:r>
            <w:r>
              <w:rPr>
                <w:noProof/>
              </w:rPr>
            </w:r>
            <w:r>
              <w:rPr>
                <w:noProof/>
              </w:rPr>
              <w:fldChar w:fldCharType="separate"/>
            </w:r>
            <w:r>
              <w:rPr>
                <w:noProof/>
              </w:rPr>
              <w:t>8</w:t>
            </w:r>
            <w:r>
              <w:rPr>
                <w:noProof/>
              </w:rPr>
              <w:fldChar w:fldCharType="end"/>
            </w:r>
          </w:hyperlink>
        </w:p>
        <w:p w:rsidR="00F80D02" w:rsidRDefault="00F80D02">
          <w:pPr>
            <w:pStyle w:val="ndice2"/>
            <w:tabs>
              <w:tab w:val="right" w:leader="dot" w:pos="9496"/>
            </w:tabs>
            <w:rPr>
              <w:noProof/>
            </w:rPr>
          </w:pPr>
          <w:hyperlink w:anchor="_Toc239580122" w:history="1">
            <w:r w:rsidRPr="00FF3F99">
              <w:rPr>
                <w:rStyle w:val="Hiperligao"/>
                <w:b/>
                <w:bCs/>
                <w:noProof/>
              </w:rPr>
              <w:t>3.2 Componentes do cálculo</w:t>
            </w:r>
            <w:r>
              <w:rPr>
                <w:noProof/>
              </w:rPr>
              <w:tab/>
            </w:r>
            <w:r>
              <w:rPr>
                <w:noProof/>
              </w:rPr>
              <w:fldChar w:fldCharType="begin"/>
            </w:r>
            <w:r>
              <w:rPr>
                <w:noProof/>
              </w:rPr>
              <w:instrText xml:space="preserve"> PAGEREF _Toc239580122 \h </w:instrText>
            </w:r>
            <w:r>
              <w:rPr>
                <w:noProof/>
              </w:rPr>
            </w:r>
            <w:r>
              <w:rPr>
                <w:noProof/>
              </w:rPr>
              <w:fldChar w:fldCharType="separate"/>
            </w:r>
            <w:r>
              <w:rPr>
                <w:noProof/>
              </w:rPr>
              <w:t>8</w:t>
            </w:r>
            <w:r>
              <w:rPr>
                <w:noProof/>
              </w:rPr>
              <w:fldChar w:fldCharType="end"/>
            </w:r>
          </w:hyperlink>
        </w:p>
        <w:p w:rsidR="00F80D02" w:rsidRDefault="00F80D02">
          <w:pPr>
            <w:pStyle w:val="ndice3"/>
            <w:tabs>
              <w:tab w:val="right" w:leader="dot" w:pos="9496"/>
            </w:tabs>
            <w:rPr>
              <w:noProof/>
            </w:rPr>
          </w:pPr>
          <w:hyperlink w:anchor="_Toc239580123" w:history="1">
            <w:r w:rsidRPr="00FF3F99">
              <w:rPr>
                <w:rStyle w:val="Hiperligao"/>
                <w:b/>
                <w:bCs/>
                <w:noProof/>
              </w:rPr>
              <w:t>3.2.1 Prémio base</w:t>
            </w:r>
            <w:r>
              <w:rPr>
                <w:noProof/>
              </w:rPr>
              <w:tab/>
            </w:r>
            <w:r>
              <w:rPr>
                <w:noProof/>
              </w:rPr>
              <w:fldChar w:fldCharType="begin"/>
            </w:r>
            <w:r>
              <w:rPr>
                <w:noProof/>
              </w:rPr>
              <w:instrText xml:space="preserve"> PAGEREF _Toc239580123 \h </w:instrText>
            </w:r>
            <w:r>
              <w:rPr>
                <w:noProof/>
              </w:rPr>
            </w:r>
            <w:r>
              <w:rPr>
                <w:noProof/>
              </w:rPr>
              <w:fldChar w:fldCharType="separate"/>
            </w:r>
            <w:r>
              <w:rPr>
                <w:noProof/>
              </w:rPr>
              <w:t>8</w:t>
            </w:r>
            <w:r>
              <w:rPr>
                <w:noProof/>
              </w:rPr>
              <w:fldChar w:fldCharType="end"/>
            </w:r>
          </w:hyperlink>
        </w:p>
        <w:p w:rsidR="00F80D02" w:rsidRDefault="00F80D02">
          <w:pPr>
            <w:pStyle w:val="ndice3"/>
            <w:tabs>
              <w:tab w:val="right" w:leader="dot" w:pos="9496"/>
            </w:tabs>
            <w:rPr>
              <w:noProof/>
            </w:rPr>
          </w:pPr>
          <w:hyperlink w:anchor="_Toc239580124" w:history="1">
            <w:r w:rsidRPr="00FF3F99">
              <w:rPr>
                <w:rStyle w:val="Hiperligao"/>
                <w:b/>
                <w:bCs/>
                <w:noProof/>
              </w:rPr>
              <w:t>3.2.2 Factores etários</w:t>
            </w:r>
            <w:r>
              <w:rPr>
                <w:noProof/>
              </w:rPr>
              <w:tab/>
            </w:r>
            <w:r>
              <w:rPr>
                <w:noProof/>
              </w:rPr>
              <w:fldChar w:fldCharType="begin"/>
            </w:r>
            <w:r>
              <w:rPr>
                <w:noProof/>
              </w:rPr>
              <w:instrText xml:space="preserve"> PAGEREF _Toc239580124 \h </w:instrText>
            </w:r>
            <w:r>
              <w:rPr>
                <w:noProof/>
              </w:rPr>
            </w:r>
            <w:r>
              <w:rPr>
                <w:noProof/>
              </w:rPr>
              <w:fldChar w:fldCharType="separate"/>
            </w:r>
            <w:r>
              <w:rPr>
                <w:noProof/>
              </w:rPr>
              <w:t>8</w:t>
            </w:r>
            <w:r>
              <w:rPr>
                <w:noProof/>
              </w:rPr>
              <w:fldChar w:fldCharType="end"/>
            </w:r>
          </w:hyperlink>
        </w:p>
        <w:p w:rsidR="00F80D02" w:rsidRDefault="00F80D02">
          <w:pPr>
            <w:pStyle w:val="ndice3"/>
            <w:tabs>
              <w:tab w:val="right" w:leader="dot" w:pos="9496"/>
            </w:tabs>
            <w:rPr>
              <w:noProof/>
            </w:rPr>
          </w:pPr>
          <w:hyperlink w:anchor="_Toc239580125" w:history="1">
            <w:r w:rsidRPr="00FF3F99">
              <w:rPr>
                <w:rStyle w:val="Hiperligao"/>
                <w:b/>
                <w:bCs/>
                <w:noProof/>
              </w:rPr>
              <w:t>3.2.3 Factores familiares</w:t>
            </w:r>
            <w:r>
              <w:rPr>
                <w:noProof/>
              </w:rPr>
              <w:tab/>
            </w:r>
            <w:r>
              <w:rPr>
                <w:noProof/>
              </w:rPr>
              <w:fldChar w:fldCharType="begin"/>
            </w:r>
            <w:r>
              <w:rPr>
                <w:noProof/>
              </w:rPr>
              <w:instrText xml:space="preserve"> PAGEREF _Toc239580125 \h </w:instrText>
            </w:r>
            <w:r>
              <w:rPr>
                <w:noProof/>
              </w:rPr>
            </w:r>
            <w:r>
              <w:rPr>
                <w:noProof/>
              </w:rPr>
              <w:fldChar w:fldCharType="separate"/>
            </w:r>
            <w:r>
              <w:rPr>
                <w:noProof/>
              </w:rPr>
              <w:t>9</w:t>
            </w:r>
            <w:r>
              <w:rPr>
                <w:noProof/>
              </w:rPr>
              <w:fldChar w:fldCharType="end"/>
            </w:r>
          </w:hyperlink>
        </w:p>
        <w:p w:rsidR="00F80D02" w:rsidRDefault="00F80D02">
          <w:pPr>
            <w:pStyle w:val="ndice3"/>
            <w:tabs>
              <w:tab w:val="right" w:leader="dot" w:pos="9496"/>
            </w:tabs>
            <w:rPr>
              <w:noProof/>
            </w:rPr>
          </w:pPr>
          <w:hyperlink w:anchor="_Toc239580126" w:history="1">
            <w:r w:rsidRPr="00FF3F99">
              <w:rPr>
                <w:rStyle w:val="Hiperligao"/>
                <w:b/>
                <w:bCs/>
                <w:noProof/>
              </w:rPr>
              <w:t>3.2.4 Factores de grupo</w:t>
            </w:r>
            <w:r>
              <w:rPr>
                <w:noProof/>
              </w:rPr>
              <w:tab/>
            </w:r>
            <w:r>
              <w:rPr>
                <w:noProof/>
              </w:rPr>
              <w:fldChar w:fldCharType="begin"/>
            </w:r>
            <w:r>
              <w:rPr>
                <w:noProof/>
              </w:rPr>
              <w:instrText xml:space="preserve"> PAGEREF _Toc239580126 \h </w:instrText>
            </w:r>
            <w:r>
              <w:rPr>
                <w:noProof/>
              </w:rPr>
            </w:r>
            <w:r>
              <w:rPr>
                <w:noProof/>
              </w:rPr>
              <w:fldChar w:fldCharType="separate"/>
            </w:r>
            <w:r>
              <w:rPr>
                <w:noProof/>
              </w:rPr>
              <w:t>9</w:t>
            </w:r>
            <w:r>
              <w:rPr>
                <w:noProof/>
              </w:rPr>
              <w:fldChar w:fldCharType="end"/>
            </w:r>
          </w:hyperlink>
        </w:p>
        <w:p w:rsidR="00F80D02" w:rsidRDefault="00F80D02">
          <w:pPr>
            <w:pStyle w:val="ndice3"/>
            <w:tabs>
              <w:tab w:val="right" w:leader="dot" w:pos="9496"/>
            </w:tabs>
            <w:rPr>
              <w:noProof/>
            </w:rPr>
          </w:pPr>
          <w:hyperlink w:anchor="_Toc239580127" w:history="1">
            <w:r w:rsidRPr="00FF3F99">
              <w:rPr>
                <w:rStyle w:val="Hiperligao"/>
                <w:b/>
                <w:bCs/>
                <w:noProof/>
              </w:rPr>
              <w:t>3.2.5 Factores geográficos</w:t>
            </w:r>
            <w:r>
              <w:rPr>
                <w:noProof/>
              </w:rPr>
              <w:tab/>
            </w:r>
            <w:r>
              <w:rPr>
                <w:noProof/>
              </w:rPr>
              <w:fldChar w:fldCharType="begin"/>
            </w:r>
            <w:r>
              <w:rPr>
                <w:noProof/>
              </w:rPr>
              <w:instrText xml:space="preserve"> PAGEREF _Toc239580127 \h </w:instrText>
            </w:r>
            <w:r>
              <w:rPr>
                <w:noProof/>
              </w:rPr>
            </w:r>
            <w:r>
              <w:rPr>
                <w:noProof/>
              </w:rPr>
              <w:fldChar w:fldCharType="separate"/>
            </w:r>
            <w:r>
              <w:rPr>
                <w:noProof/>
              </w:rPr>
              <w:t>9</w:t>
            </w:r>
            <w:r>
              <w:rPr>
                <w:noProof/>
              </w:rPr>
              <w:fldChar w:fldCharType="end"/>
            </w:r>
          </w:hyperlink>
        </w:p>
        <w:p w:rsidR="00F80D02" w:rsidRDefault="00F80D02">
          <w:pPr>
            <w:pStyle w:val="ndice3"/>
            <w:tabs>
              <w:tab w:val="right" w:leader="dot" w:pos="9496"/>
            </w:tabs>
            <w:rPr>
              <w:noProof/>
            </w:rPr>
          </w:pPr>
          <w:hyperlink w:anchor="_Toc239580128" w:history="1">
            <w:r w:rsidRPr="00FF3F99">
              <w:rPr>
                <w:rStyle w:val="Hiperligao"/>
                <w:b/>
                <w:bCs/>
                <w:noProof/>
              </w:rPr>
              <w:t>3.2.6 Factores de experiência (sinistralidade)</w:t>
            </w:r>
            <w:r>
              <w:rPr>
                <w:noProof/>
              </w:rPr>
              <w:tab/>
            </w:r>
            <w:r>
              <w:rPr>
                <w:noProof/>
              </w:rPr>
              <w:fldChar w:fldCharType="begin"/>
            </w:r>
            <w:r>
              <w:rPr>
                <w:noProof/>
              </w:rPr>
              <w:instrText xml:space="preserve"> PAGEREF _Toc239580128 \h </w:instrText>
            </w:r>
            <w:r>
              <w:rPr>
                <w:noProof/>
              </w:rPr>
            </w:r>
            <w:r>
              <w:rPr>
                <w:noProof/>
              </w:rPr>
              <w:fldChar w:fldCharType="separate"/>
            </w:r>
            <w:r>
              <w:rPr>
                <w:noProof/>
              </w:rPr>
              <w:t>10</w:t>
            </w:r>
            <w:r>
              <w:rPr>
                <w:noProof/>
              </w:rPr>
              <w:fldChar w:fldCharType="end"/>
            </w:r>
          </w:hyperlink>
        </w:p>
        <w:p w:rsidR="00F80D02" w:rsidRDefault="00F80D02">
          <w:pPr>
            <w:pStyle w:val="ndice3"/>
            <w:tabs>
              <w:tab w:val="right" w:leader="dot" w:pos="9496"/>
            </w:tabs>
            <w:rPr>
              <w:noProof/>
            </w:rPr>
          </w:pPr>
          <w:hyperlink w:anchor="_Toc239580129" w:history="1">
            <w:r w:rsidRPr="00FF3F99">
              <w:rPr>
                <w:rStyle w:val="Hiperligao"/>
                <w:b/>
                <w:bCs/>
                <w:noProof/>
              </w:rPr>
              <w:t>3.2.7 Factor de underwriting (médico)</w:t>
            </w:r>
            <w:r>
              <w:rPr>
                <w:noProof/>
              </w:rPr>
              <w:tab/>
            </w:r>
            <w:r>
              <w:rPr>
                <w:noProof/>
              </w:rPr>
              <w:fldChar w:fldCharType="begin"/>
            </w:r>
            <w:r>
              <w:rPr>
                <w:noProof/>
              </w:rPr>
              <w:instrText xml:space="preserve"> PAGEREF _Toc239580129 \h </w:instrText>
            </w:r>
            <w:r>
              <w:rPr>
                <w:noProof/>
              </w:rPr>
            </w:r>
            <w:r>
              <w:rPr>
                <w:noProof/>
              </w:rPr>
              <w:fldChar w:fldCharType="separate"/>
            </w:r>
            <w:r>
              <w:rPr>
                <w:noProof/>
              </w:rPr>
              <w:t>10</w:t>
            </w:r>
            <w:r>
              <w:rPr>
                <w:noProof/>
              </w:rPr>
              <w:fldChar w:fldCharType="end"/>
            </w:r>
          </w:hyperlink>
        </w:p>
        <w:p w:rsidR="00F80D02" w:rsidRDefault="00F80D02">
          <w:pPr>
            <w:pStyle w:val="ndice2"/>
            <w:tabs>
              <w:tab w:val="right" w:leader="dot" w:pos="9496"/>
            </w:tabs>
            <w:rPr>
              <w:noProof/>
            </w:rPr>
          </w:pPr>
          <w:hyperlink w:anchor="_Toc239580130" w:history="1">
            <w:r w:rsidRPr="00FF3F99">
              <w:rPr>
                <w:rStyle w:val="Hiperligao"/>
                <w:b/>
                <w:bCs/>
                <w:noProof/>
              </w:rPr>
              <w:t>3.3 Exemplo numérico integrado</w:t>
            </w:r>
            <w:r>
              <w:rPr>
                <w:noProof/>
              </w:rPr>
              <w:tab/>
            </w:r>
            <w:r>
              <w:rPr>
                <w:noProof/>
              </w:rPr>
              <w:fldChar w:fldCharType="begin"/>
            </w:r>
            <w:r>
              <w:rPr>
                <w:noProof/>
              </w:rPr>
              <w:instrText xml:space="preserve"> PAGEREF _Toc239580130 \h </w:instrText>
            </w:r>
            <w:r>
              <w:rPr>
                <w:noProof/>
              </w:rPr>
            </w:r>
            <w:r>
              <w:rPr>
                <w:noProof/>
              </w:rPr>
              <w:fldChar w:fldCharType="separate"/>
            </w:r>
            <w:r>
              <w:rPr>
                <w:noProof/>
              </w:rPr>
              <w:t>10</w:t>
            </w:r>
            <w:r>
              <w:rPr>
                <w:noProof/>
              </w:rPr>
              <w:fldChar w:fldCharType="end"/>
            </w:r>
          </w:hyperlink>
        </w:p>
        <w:p w:rsidR="00F80D02" w:rsidRDefault="00F80D02">
          <w:pPr>
            <w:pStyle w:val="ndice1"/>
            <w:tabs>
              <w:tab w:val="right" w:leader="dot" w:pos="9496"/>
            </w:tabs>
            <w:rPr>
              <w:noProof/>
            </w:rPr>
          </w:pPr>
          <w:hyperlink w:anchor="_Toc239580131" w:history="1">
            <w:r w:rsidRPr="00FF3F99">
              <w:rPr>
                <w:rStyle w:val="Hiperligao"/>
                <w:b/>
                <w:bCs/>
                <w:noProof/>
              </w:rPr>
              <w:t>4. Pressupostos Técnicos</w:t>
            </w:r>
            <w:r>
              <w:rPr>
                <w:noProof/>
              </w:rPr>
              <w:tab/>
            </w:r>
            <w:r>
              <w:rPr>
                <w:noProof/>
              </w:rPr>
              <w:fldChar w:fldCharType="begin"/>
            </w:r>
            <w:r>
              <w:rPr>
                <w:noProof/>
              </w:rPr>
              <w:instrText xml:space="preserve"> PAGEREF _Toc239580131 \h </w:instrText>
            </w:r>
            <w:r>
              <w:rPr>
                <w:noProof/>
              </w:rPr>
            </w:r>
            <w:r>
              <w:rPr>
                <w:noProof/>
              </w:rPr>
              <w:fldChar w:fldCharType="separate"/>
            </w:r>
            <w:r>
              <w:rPr>
                <w:noProof/>
              </w:rPr>
              <w:t>12</w:t>
            </w:r>
            <w:r>
              <w:rPr>
                <w:noProof/>
              </w:rPr>
              <w:fldChar w:fldCharType="end"/>
            </w:r>
          </w:hyperlink>
        </w:p>
        <w:p w:rsidR="00F80D02" w:rsidRDefault="00F80D02">
          <w:pPr>
            <w:pStyle w:val="ndice2"/>
            <w:tabs>
              <w:tab w:val="right" w:leader="dot" w:pos="9496"/>
            </w:tabs>
            <w:rPr>
              <w:noProof/>
            </w:rPr>
          </w:pPr>
          <w:hyperlink w:anchor="_Toc239580132" w:history="1">
            <w:r w:rsidRPr="00FF3F99">
              <w:rPr>
                <w:rStyle w:val="Hiperligao"/>
                <w:b/>
                <w:bCs/>
                <w:noProof/>
              </w:rPr>
              <w:t>4.1 Bandas etárias e factores associados</w:t>
            </w:r>
            <w:r>
              <w:rPr>
                <w:noProof/>
              </w:rPr>
              <w:tab/>
            </w:r>
            <w:r>
              <w:rPr>
                <w:noProof/>
              </w:rPr>
              <w:fldChar w:fldCharType="begin"/>
            </w:r>
            <w:r>
              <w:rPr>
                <w:noProof/>
              </w:rPr>
              <w:instrText xml:space="preserve"> PAGEREF _Toc239580132 \h </w:instrText>
            </w:r>
            <w:r>
              <w:rPr>
                <w:noProof/>
              </w:rPr>
            </w:r>
            <w:r>
              <w:rPr>
                <w:noProof/>
              </w:rPr>
              <w:fldChar w:fldCharType="separate"/>
            </w:r>
            <w:r>
              <w:rPr>
                <w:noProof/>
              </w:rPr>
              <w:t>12</w:t>
            </w:r>
            <w:r>
              <w:rPr>
                <w:noProof/>
              </w:rPr>
              <w:fldChar w:fldCharType="end"/>
            </w:r>
          </w:hyperlink>
        </w:p>
        <w:p w:rsidR="00F80D02" w:rsidRDefault="00F80D02">
          <w:pPr>
            <w:pStyle w:val="ndice2"/>
            <w:tabs>
              <w:tab w:val="right" w:leader="dot" w:pos="9496"/>
            </w:tabs>
            <w:rPr>
              <w:noProof/>
            </w:rPr>
          </w:pPr>
          <w:hyperlink w:anchor="_Toc239580133" w:history="1">
            <w:r w:rsidRPr="00FF3F99">
              <w:rPr>
                <w:rStyle w:val="Hiperligao"/>
                <w:b/>
                <w:bCs/>
                <w:noProof/>
              </w:rPr>
              <w:t>4.2 Calibração por frequência e severidade</w:t>
            </w:r>
            <w:r>
              <w:rPr>
                <w:noProof/>
              </w:rPr>
              <w:tab/>
            </w:r>
            <w:r>
              <w:rPr>
                <w:noProof/>
              </w:rPr>
              <w:fldChar w:fldCharType="begin"/>
            </w:r>
            <w:r>
              <w:rPr>
                <w:noProof/>
              </w:rPr>
              <w:instrText xml:space="preserve"> PAGEREF _Toc239580133 \h </w:instrText>
            </w:r>
            <w:r>
              <w:rPr>
                <w:noProof/>
              </w:rPr>
            </w:r>
            <w:r>
              <w:rPr>
                <w:noProof/>
              </w:rPr>
              <w:fldChar w:fldCharType="separate"/>
            </w:r>
            <w:r>
              <w:rPr>
                <w:noProof/>
              </w:rPr>
              <w:t>12</w:t>
            </w:r>
            <w:r>
              <w:rPr>
                <w:noProof/>
              </w:rPr>
              <w:fldChar w:fldCharType="end"/>
            </w:r>
          </w:hyperlink>
        </w:p>
        <w:p w:rsidR="00F80D02" w:rsidRDefault="00F80D02">
          <w:pPr>
            <w:pStyle w:val="ndice2"/>
            <w:tabs>
              <w:tab w:val="right" w:leader="dot" w:pos="9496"/>
            </w:tabs>
            <w:rPr>
              <w:noProof/>
            </w:rPr>
          </w:pPr>
          <w:hyperlink w:anchor="_Toc239580134" w:history="1">
            <w:r w:rsidRPr="00FF3F99">
              <w:rPr>
                <w:rStyle w:val="Hiperligao"/>
                <w:b/>
                <w:bCs/>
                <w:noProof/>
              </w:rPr>
              <w:t>4.3 Tratamento de grandes sinistros e eventos catastróficos</w:t>
            </w:r>
            <w:r>
              <w:rPr>
                <w:noProof/>
              </w:rPr>
              <w:tab/>
            </w:r>
            <w:r>
              <w:rPr>
                <w:noProof/>
              </w:rPr>
              <w:fldChar w:fldCharType="begin"/>
            </w:r>
            <w:r>
              <w:rPr>
                <w:noProof/>
              </w:rPr>
              <w:instrText xml:space="preserve"> PAGEREF _Toc239580134 \h </w:instrText>
            </w:r>
            <w:r>
              <w:rPr>
                <w:noProof/>
              </w:rPr>
            </w:r>
            <w:r>
              <w:rPr>
                <w:noProof/>
              </w:rPr>
              <w:fldChar w:fldCharType="separate"/>
            </w:r>
            <w:r>
              <w:rPr>
                <w:noProof/>
              </w:rPr>
              <w:t>12</w:t>
            </w:r>
            <w:r>
              <w:rPr>
                <w:noProof/>
              </w:rPr>
              <w:fldChar w:fldCharType="end"/>
            </w:r>
          </w:hyperlink>
        </w:p>
        <w:p w:rsidR="00F80D02" w:rsidRDefault="00F80D02">
          <w:pPr>
            <w:pStyle w:val="ndice2"/>
            <w:tabs>
              <w:tab w:val="right" w:leader="dot" w:pos="9496"/>
            </w:tabs>
            <w:rPr>
              <w:noProof/>
            </w:rPr>
          </w:pPr>
          <w:hyperlink w:anchor="_Toc239580135" w:history="1">
            <w:r w:rsidRPr="00FF3F99">
              <w:rPr>
                <w:rStyle w:val="Hiperligao"/>
                <w:b/>
                <w:bCs/>
                <w:noProof/>
              </w:rPr>
              <w:t>4.4 Provisões técnicas (IBNR e volatilidade)</w:t>
            </w:r>
            <w:r>
              <w:rPr>
                <w:noProof/>
              </w:rPr>
              <w:tab/>
            </w:r>
            <w:r>
              <w:rPr>
                <w:noProof/>
              </w:rPr>
              <w:fldChar w:fldCharType="begin"/>
            </w:r>
            <w:r>
              <w:rPr>
                <w:noProof/>
              </w:rPr>
              <w:instrText xml:space="preserve"> PAGEREF _Toc239580135 \h </w:instrText>
            </w:r>
            <w:r>
              <w:rPr>
                <w:noProof/>
              </w:rPr>
            </w:r>
            <w:r>
              <w:rPr>
                <w:noProof/>
              </w:rPr>
              <w:fldChar w:fldCharType="separate"/>
            </w:r>
            <w:r>
              <w:rPr>
                <w:noProof/>
              </w:rPr>
              <w:t>12</w:t>
            </w:r>
            <w:r>
              <w:rPr>
                <w:noProof/>
              </w:rPr>
              <w:fldChar w:fldCharType="end"/>
            </w:r>
          </w:hyperlink>
        </w:p>
        <w:p w:rsidR="00F80D02" w:rsidRDefault="00F80D02">
          <w:pPr>
            <w:pStyle w:val="ndice2"/>
            <w:tabs>
              <w:tab w:val="right" w:leader="dot" w:pos="9496"/>
            </w:tabs>
            <w:rPr>
              <w:noProof/>
            </w:rPr>
          </w:pPr>
          <w:hyperlink w:anchor="_Toc239580136" w:history="1">
            <w:r w:rsidRPr="00FF3F99">
              <w:rPr>
                <w:rStyle w:val="Hiperligao"/>
                <w:b/>
                <w:bCs/>
                <w:noProof/>
              </w:rPr>
              <w:t>4.5 Inflação médica e actualização das bases técnicas</w:t>
            </w:r>
            <w:r>
              <w:rPr>
                <w:noProof/>
              </w:rPr>
              <w:tab/>
            </w:r>
            <w:r>
              <w:rPr>
                <w:noProof/>
              </w:rPr>
              <w:fldChar w:fldCharType="begin"/>
            </w:r>
            <w:r>
              <w:rPr>
                <w:noProof/>
              </w:rPr>
              <w:instrText xml:space="preserve"> PAGEREF _Toc239580136 \h </w:instrText>
            </w:r>
            <w:r>
              <w:rPr>
                <w:noProof/>
              </w:rPr>
            </w:r>
            <w:r>
              <w:rPr>
                <w:noProof/>
              </w:rPr>
              <w:fldChar w:fldCharType="separate"/>
            </w:r>
            <w:r>
              <w:rPr>
                <w:noProof/>
              </w:rPr>
              <w:t>13</w:t>
            </w:r>
            <w:r>
              <w:rPr>
                <w:noProof/>
              </w:rPr>
              <w:fldChar w:fldCharType="end"/>
            </w:r>
          </w:hyperlink>
        </w:p>
        <w:p w:rsidR="00F80D02" w:rsidRDefault="00F80D02">
          <w:pPr>
            <w:pStyle w:val="ndice1"/>
            <w:tabs>
              <w:tab w:val="right" w:leader="dot" w:pos="9496"/>
            </w:tabs>
            <w:rPr>
              <w:noProof/>
            </w:rPr>
          </w:pPr>
          <w:hyperlink w:anchor="_Toc239580137" w:history="1">
            <w:r w:rsidRPr="00FF3F99">
              <w:rPr>
                <w:rStyle w:val="Hiperligao"/>
                <w:b/>
                <w:bCs/>
                <w:noProof/>
              </w:rPr>
              <w:t>5. Loadings Técnicos e Comerciais</w:t>
            </w:r>
            <w:r>
              <w:rPr>
                <w:noProof/>
              </w:rPr>
              <w:tab/>
            </w:r>
            <w:r>
              <w:rPr>
                <w:noProof/>
              </w:rPr>
              <w:fldChar w:fldCharType="begin"/>
            </w:r>
            <w:r>
              <w:rPr>
                <w:noProof/>
              </w:rPr>
              <w:instrText xml:space="preserve"> PAGEREF _Toc239580137 \h </w:instrText>
            </w:r>
            <w:r>
              <w:rPr>
                <w:noProof/>
              </w:rPr>
            </w:r>
            <w:r>
              <w:rPr>
                <w:noProof/>
              </w:rPr>
              <w:fldChar w:fldCharType="separate"/>
            </w:r>
            <w:r>
              <w:rPr>
                <w:noProof/>
              </w:rPr>
              <w:t>14</w:t>
            </w:r>
            <w:r>
              <w:rPr>
                <w:noProof/>
              </w:rPr>
              <w:fldChar w:fldCharType="end"/>
            </w:r>
          </w:hyperlink>
        </w:p>
        <w:p w:rsidR="00F80D02" w:rsidRDefault="00F80D02">
          <w:pPr>
            <w:pStyle w:val="ndice2"/>
            <w:tabs>
              <w:tab w:val="right" w:leader="dot" w:pos="9496"/>
            </w:tabs>
            <w:rPr>
              <w:noProof/>
            </w:rPr>
          </w:pPr>
          <w:hyperlink w:anchor="_Toc239580138" w:history="1">
            <w:r w:rsidRPr="00FF3F99">
              <w:rPr>
                <w:rStyle w:val="Hiperligao"/>
                <w:b/>
                <w:bCs/>
                <w:noProof/>
              </w:rPr>
              <w:t>5.1 Administração / TPA</w:t>
            </w:r>
            <w:r>
              <w:rPr>
                <w:noProof/>
              </w:rPr>
              <w:tab/>
            </w:r>
            <w:r>
              <w:rPr>
                <w:noProof/>
              </w:rPr>
              <w:fldChar w:fldCharType="begin"/>
            </w:r>
            <w:r>
              <w:rPr>
                <w:noProof/>
              </w:rPr>
              <w:instrText xml:space="preserve"> PAGEREF _Toc239580138 \h </w:instrText>
            </w:r>
            <w:r>
              <w:rPr>
                <w:noProof/>
              </w:rPr>
            </w:r>
            <w:r>
              <w:rPr>
                <w:noProof/>
              </w:rPr>
              <w:fldChar w:fldCharType="separate"/>
            </w:r>
            <w:r>
              <w:rPr>
                <w:noProof/>
              </w:rPr>
              <w:t>14</w:t>
            </w:r>
            <w:r>
              <w:rPr>
                <w:noProof/>
              </w:rPr>
              <w:fldChar w:fldCharType="end"/>
            </w:r>
          </w:hyperlink>
        </w:p>
        <w:p w:rsidR="00F80D02" w:rsidRDefault="00F80D02">
          <w:pPr>
            <w:pStyle w:val="ndice2"/>
            <w:tabs>
              <w:tab w:val="right" w:leader="dot" w:pos="9496"/>
            </w:tabs>
            <w:rPr>
              <w:noProof/>
            </w:rPr>
          </w:pPr>
          <w:hyperlink w:anchor="_Toc239580139" w:history="1">
            <w:r w:rsidRPr="00FF3F99">
              <w:rPr>
                <w:rStyle w:val="Hiperligao"/>
                <w:b/>
                <w:bCs/>
                <w:noProof/>
              </w:rPr>
              <w:t>5.2 Comissões por canal</w:t>
            </w:r>
            <w:r>
              <w:rPr>
                <w:noProof/>
              </w:rPr>
              <w:tab/>
            </w:r>
            <w:r>
              <w:rPr>
                <w:noProof/>
              </w:rPr>
              <w:fldChar w:fldCharType="begin"/>
            </w:r>
            <w:r>
              <w:rPr>
                <w:noProof/>
              </w:rPr>
              <w:instrText xml:space="preserve"> PAGEREF _Toc239580139 \h </w:instrText>
            </w:r>
            <w:r>
              <w:rPr>
                <w:noProof/>
              </w:rPr>
            </w:r>
            <w:r>
              <w:rPr>
                <w:noProof/>
              </w:rPr>
              <w:fldChar w:fldCharType="separate"/>
            </w:r>
            <w:r>
              <w:rPr>
                <w:noProof/>
              </w:rPr>
              <w:t>14</w:t>
            </w:r>
            <w:r>
              <w:rPr>
                <w:noProof/>
              </w:rPr>
              <w:fldChar w:fldCharType="end"/>
            </w:r>
          </w:hyperlink>
        </w:p>
        <w:p w:rsidR="00F80D02" w:rsidRDefault="00F80D02">
          <w:pPr>
            <w:pStyle w:val="ndice2"/>
            <w:tabs>
              <w:tab w:val="right" w:leader="dot" w:pos="9496"/>
            </w:tabs>
            <w:rPr>
              <w:noProof/>
            </w:rPr>
          </w:pPr>
          <w:hyperlink w:anchor="_Toc239580140" w:history="1">
            <w:r w:rsidRPr="00FF3F99">
              <w:rPr>
                <w:rStyle w:val="Hiperligao"/>
                <w:b/>
                <w:bCs/>
                <w:noProof/>
              </w:rPr>
              <w:t>5.3 Margem de segurança</w:t>
            </w:r>
            <w:r>
              <w:rPr>
                <w:noProof/>
              </w:rPr>
              <w:tab/>
            </w:r>
            <w:r>
              <w:rPr>
                <w:noProof/>
              </w:rPr>
              <w:fldChar w:fldCharType="begin"/>
            </w:r>
            <w:r>
              <w:rPr>
                <w:noProof/>
              </w:rPr>
              <w:instrText xml:space="preserve"> PAGEREF _Toc239580140 \h </w:instrText>
            </w:r>
            <w:r>
              <w:rPr>
                <w:noProof/>
              </w:rPr>
            </w:r>
            <w:r>
              <w:rPr>
                <w:noProof/>
              </w:rPr>
              <w:fldChar w:fldCharType="separate"/>
            </w:r>
            <w:r>
              <w:rPr>
                <w:noProof/>
              </w:rPr>
              <w:t>14</w:t>
            </w:r>
            <w:r>
              <w:rPr>
                <w:noProof/>
              </w:rPr>
              <w:fldChar w:fldCharType="end"/>
            </w:r>
          </w:hyperlink>
        </w:p>
        <w:p w:rsidR="00F80D02" w:rsidRDefault="00F80D02">
          <w:pPr>
            <w:pStyle w:val="ndice2"/>
            <w:tabs>
              <w:tab w:val="right" w:leader="dot" w:pos="9496"/>
            </w:tabs>
            <w:rPr>
              <w:noProof/>
            </w:rPr>
          </w:pPr>
          <w:hyperlink w:anchor="_Toc239580141" w:history="1">
            <w:r w:rsidRPr="00FF3F99">
              <w:rPr>
                <w:rStyle w:val="Hiperligao"/>
                <w:b/>
                <w:bCs/>
                <w:noProof/>
              </w:rPr>
              <w:t>5.4 Custo de capital / solvência</w:t>
            </w:r>
            <w:r>
              <w:rPr>
                <w:noProof/>
              </w:rPr>
              <w:tab/>
            </w:r>
            <w:r>
              <w:rPr>
                <w:noProof/>
              </w:rPr>
              <w:fldChar w:fldCharType="begin"/>
            </w:r>
            <w:r>
              <w:rPr>
                <w:noProof/>
              </w:rPr>
              <w:instrText xml:space="preserve"> PAGEREF _Toc239580141 \h </w:instrText>
            </w:r>
            <w:r>
              <w:rPr>
                <w:noProof/>
              </w:rPr>
            </w:r>
            <w:r>
              <w:rPr>
                <w:noProof/>
              </w:rPr>
              <w:fldChar w:fldCharType="separate"/>
            </w:r>
            <w:r>
              <w:rPr>
                <w:noProof/>
              </w:rPr>
              <w:t>14</w:t>
            </w:r>
            <w:r>
              <w:rPr>
                <w:noProof/>
              </w:rPr>
              <w:fldChar w:fldCharType="end"/>
            </w:r>
          </w:hyperlink>
        </w:p>
        <w:p w:rsidR="00F80D02" w:rsidRDefault="00F80D02">
          <w:pPr>
            <w:pStyle w:val="ndice2"/>
            <w:tabs>
              <w:tab w:val="right" w:leader="dot" w:pos="9496"/>
            </w:tabs>
            <w:rPr>
              <w:noProof/>
            </w:rPr>
          </w:pPr>
          <w:hyperlink w:anchor="_Toc239580142" w:history="1">
            <w:r w:rsidRPr="00FF3F99">
              <w:rPr>
                <w:rStyle w:val="Hiperligao"/>
                <w:b/>
                <w:bCs/>
                <w:noProof/>
              </w:rPr>
              <w:t>5.5 Resseguro / stop-loss</w:t>
            </w:r>
            <w:r>
              <w:rPr>
                <w:noProof/>
              </w:rPr>
              <w:tab/>
            </w:r>
            <w:r>
              <w:rPr>
                <w:noProof/>
              </w:rPr>
              <w:fldChar w:fldCharType="begin"/>
            </w:r>
            <w:r>
              <w:rPr>
                <w:noProof/>
              </w:rPr>
              <w:instrText xml:space="preserve"> PAGEREF _Toc239580142 \h </w:instrText>
            </w:r>
            <w:r>
              <w:rPr>
                <w:noProof/>
              </w:rPr>
            </w:r>
            <w:r>
              <w:rPr>
                <w:noProof/>
              </w:rPr>
              <w:fldChar w:fldCharType="separate"/>
            </w:r>
            <w:r>
              <w:rPr>
                <w:noProof/>
              </w:rPr>
              <w:t>14</w:t>
            </w:r>
            <w:r>
              <w:rPr>
                <w:noProof/>
              </w:rPr>
              <w:fldChar w:fldCharType="end"/>
            </w:r>
          </w:hyperlink>
        </w:p>
        <w:p w:rsidR="00F80D02" w:rsidRDefault="00F80D02">
          <w:pPr>
            <w:pStyle w:val="ndice2"/>
            <w:tabs>
              <w:tab w:val="right" w:leader="dot" w:pos="9496"/>
            </w:tabs>
            <w:rPr>
              <w:noProof/>
            </w:rPr>
          </w:pPr>
          <w:hyperlink w:anchor="_Toc239580143" w:history="1">
            <w:r w:rsidRPr="00FF3F99">
              <w:rPr>
                <w:rStyle w:val="Hiperligao"/>
                <w:b/>
                <w:bCs/>
                <w:noProof/>
              </w:rPr>
              <w:t>5.6 Margem técnica</w:t>
            </w:r>
            <w:r>
              <w:rPr>
                <w:noProof/>
              </w:rPr>
              <w:tab/>
            </w:r>
            <w:r>
              <w:rPr>
                <w:noProof/>
              </w:rPr>
              <w:fldChar w:fldCharType="begin"/>
            </w:r>
            <w:r>
              <w:rPr>
                <w:noProof/>
              </w:rPr>
              <w:instrText xml:space="preserve"> PAGEREF _Toc239580143 \h </w:instrText>
            </w:r>
            <w:r>
              <w:rPr>
                <w:noProof/>
              </w:rPr>
            </w:r>
            <w:r>
              <w:rPr>
                <w:noProof/>
              </w:rPr>
              <w:fldChar w:fldCharType="separate"/>
            </w:r>
            <w:r>
              <w:rPr>
                <w:noProof/>
              </w:rPr>
              <w:t>15</w:t>
            </w:r>
            <w:r>
              <w:rPr>
                <w:noProof/>
              </w:rPr>
              <w:fldChar w:fldCharType="end"/>
            </w:r>
          </w:hyperlink>
        </w:p>
        <w:p w:rsidR="00F80D02" w:rsidRDefault="00F80D02">
          <w:pPr>
            <w:pStyle w:val="ndice1"/>
            <w:tabs>
              <w:tab w:val="right" w:leader="dot" w:pos="9496"/>
            </w:tabs>
            <w:rPr>
              <w:noProof/>
            </w:rPr>
          </w:pPr>
          <w:hyperlink w:anchor="_Toc239580144" w:history="1">
            <w:r w:rsidRPr="00FF3F99">
              <w:rPr>
                <w:rStyle w:val="Hiperligao"/>
                <w:b/>
                <w:bCs/>
                <w:noProof/>
              </w:rPr>
              <w:t>6. Ajustes por Segmento</w:t>
            </w:r>
            <w:r>
              <w:rPr>
                <w:noProof/>
              </w:rPr>
              <w:tab/>
            </w:r>
            <w:r>
              <w:rPr>
                <w:noProof/>
              </w:rPr>
              <w:fldChar w:fldCharType="begin"/>
            </w:r>
            <w:r>
              <w:rPr>
                <w:noProof/>
              </w:rPr>
              <w:instrText xml:space="preserve"> PAGEREF _Toc239580144 \h </w:instrText>
            </w:r>
            <w:r>
              <w:rPr>
                <w:noProof/>
              </w:rPr>
            </w:r>
            <w:r>
              <w:rPr>
                <w:noProof/>
              </w:rPr>
              <w:fldChar w:fldCharType="separate"/>
            </w:r>
            <w:r>
              <w:rPr>
                <w:noProof/>
              </w:rPr>
              <w:t>16</w:t>
            </w:r>
            <w:r>
              <w:rPr>
                <w:noProof/>
              </w:rPr>
              <w:fldChar w:fldCharType="end"/>
            </w:r>
          </w:hyperlink>
        </w:p>
        <w:p w:rsidR="00F80D02" w:rsidRDefault="00F80D02">
          <w:pPr>
            <w:pStyle w:val="ndice2"/>
            <w:tabs>
              <w:tab w:val="right" w:leader="dot" w:pos="9496"/>
            </w:tabs>
            <w:rPr>
              <w:noProof/>
            </w:rPr>
          </w:pPr>
          <w:hyperlink w:anchor="_Toc239580145" w:history="1">
            <w:r w:rsidRPr="00FF3F99">
              <w:rPr>
                <w:rStyle w:val="Hiperligao"/>
                <w:b/>
                <w:bCs/>
                <w:noProof/>
              </w:rPr>
              <w:t>6.1 Empresas (dimensão do grupo)</w:t>
            </w:r>
            <w:r>
              <w:rPr>
                <w:noProof/>
              </w:rPr>
              <w:tab/>
            </w:r>
            <w:r>
              <w:rPr>
                <w:noProof/>
              </w:rPr>
              <w:fldChar w:fldCharType="begin"/>
            </w:r>
            <w:r>
              <w:rPr>
                <w:noProof/>
              </w:rPr>
              <w:instrText xml:space="preserve"> PAGEREF _Toc239580145 \h </w:instrText>
            </w:r>
            <w:r>
              <w:rPr>
                <w:noProof/>
              </w:rPr>
            </w:r>
            <w:r>
              <w:rPr>
                <w:noProof/>
              </w:rPr>
              <w:fldChar w:fldCharType="separate"/>
            </w:r>
            <w:r>
              <w:rPr>
                <w:noProof/>
              </w:rPr>
              <w:t>16</w:t>
            </w:r>
            <w:r>
              <w:rPr>
                <w:noProof/>
              </w:rPr>
              <w:fldChar w:fldCharType="end"/>
            </w:r>
          </w:hyperlink>
        </w:p>
        <w:p w:rsidR="00F80D02" w:rsidRDefault="00F80D02">
          <w:pPr>
            <w:pStyle w:val="ndice2"/>
            <w:tabs>
              <w:tab w:val="right" w:leader="dot" w:pos="9496"/>
            </w:tabs>
            <w:rPr>
              <w:noProof/>
            </w:rPr>
          </w:pPr>
          <w:hyperlink w:anchor="_Toc239580146" w:history="1">
            <w:r w:rsidRPr="00FF3F99">
              <w:rPr>
                <w:rStyle w:val="Hiperligao"/>
                <w:b/>
                <w:bCs/>
                <w:noProof/>
              </w:rPr>
              <w:t>6.2 Particulares (composição familiar)</w:t>
            </w:r>
            <w:r>
              <w:rPr>
                <w:noProof/>
              </w:rPr>
              <w:tab/>
            </w:r>
            <w:r>
              <w:rPr>
                <w:noProof/>
              </w:rPr>
              <w:fldChar w:fldCharType="begin"/>
            </w:r>
            <w:r>
              <w:rPr>
                <w:noProof/>
              </w:rPr>
              <w:instrText xml:space="preserve"> PAGEREF _Toc239580146 \h </w:instrText>
            </w:r>
            <w:r>
              <w:rPr>
                <w:noProof/>
              </w:rPr>
            </w:r>
            <w:r>
              <w:rPr>
                <w:noProof/>
              </w:rPr>
              <w:fldChar w:fldCharType="separate"/>
            </w:r>
            <w:r>
              <w:rPr>
                <w:noProof/>
              </w:rPr>
              <w:t>16</w:t>
            </w:r>
            <w:r>
              <w:rPr>
                <w:noProof/>
              </w:rPr>
              <w:fldChar w:fldCharType="end"/>
            </w:r>
          </w:hyperlink>
        </w:p>
        <w:p w:rsidR="00F80D02" w:rsidRDefault="00F80D02">
          <w:pPr>
            <w:pStyle w:val="ndice2"/>
            <w:tabs>
              <w:tab w:val="right" w:leader="dot" w:pos="9496"/>
            </w:tabs>
            <w:rPr>
              <w:noProof/>
            </w:rPr>
          </w:pPr>
          <w:hyperlink w:anchor="_Toc239580147" w:history="1">
            <w:r w:rsidRPr="00FF3F99">
              <w:rPr>
                <w:rStyle w:val="Hiperligao"/>
                <w:b/>
                <w:bCs/>
                <w:noProof/>
              </w:rPr>
              <w:t>6.3 Cobertura territorial</w:t>
            </w:r>
            <w:r>
              <w:rPr>
                <w:noProof/>
              </w:rPr>
              <w:tab/>
            </w:r>
            <w:r>
              <w:rPr>
                <w:noProof/>
              </w:rPr>
              <w:fldChar w:fldCharType="begin"/>
            </w:r>
            <w:r>
              <w:rPr>
                <w:noProof/>
              </w:rPr>
              <w:instrText xml:space="preserve"> PAGEREF _Toc239580147 \h </w:instrText>
            </w:r>
            <w:r>
              <w:rPr>
                <w:noProof/>
              </w:rPr>
            </w:r>
            <w:r>
              <w:rPr>
                <w:noProof/>
              </w:rPr>
              <w:fldChar w:fldCharType="separate"/>
            </w:r>
            <w:r>
              <w:rPr>
                <w:noProof/>
              </w:rPr>
              <w:t>16</w:t>
            </w:r>
            <w:r>
              <w:rPr>
                <w:noProof/>
              </w:rPr>
              <w:fldChar w:fldCharType="end"/>
            </w:r>
          </w:hyperlink>
        </w:p>
        <w:p w:rsidR="00F80D02" w:rsidRDefault="00F80D02">
          <w:pPr>
            <w:pStyle w:val="ndice1"/>
            <w:tabs>
              <w:tab w:val="right" w:leader="dot" w:pos="9496"/>
            </w:tabs>
            <w:rPr>
              <w:noProof/>
            </w:rPr>
          </w:pPr>
          <w:hyperlink w:anchor="_Toc239580148" w:history="1">
            <w:r w:rsidRPr="00FF3F99">
              <w:rPr>
                <w:rStyle w:val="Hiperligao"/>
                <w:b/>
                <w:bCs/>
                <w:noProof/>
              </w:rPr>
              <w:t>7. Validação e Calibração</w:t>
            </w:r>
            <w:r>
              <w:rPr>
                <w:noProof/>
              </w:rPr>
              <w:tab/>
            </w:r>
            <w:r>
              <w:rPr>
                <w:noProof/>
              </w:rPr>
              <w:fldChar w:fldCharType="begin"/>
            </w:r>
            <w:r>
              <w:rPr>
                <w:noProof/>
              </w:rPr>
              <w:instrText xml:space="preserve"> PAGEREF _Toc239580148 \h </w:instrText>
            </w:r>
            <w:r>
              <w:rPr>
                <w:noProof/>
              </w:rPr>
            </w:r>
            <w:r>
              <w:rPr>
                <w:noProof/>
              </w:rPr>
              <w:fldChar w:fldCharType="separate"/>
            </w:r>
            <w:r>
              <w:rPr>
                <w:noProof/>
              </w:rPr>
              <w:t>17</w:t>
            </w:r>
            <w:r>
              <w:rPr>
                <w:noProof/>
              </w:rPr>
              <w:fldChar w:fldCharType="end"/>
            </w:r>
          </w:hyperlink>
        </w:p>
        <w:p w:rsidR="00F80D02" w:rsidRDefault="00F80D02">
          <w:pPr>
            <w:pStyle w:val="ndice2"/>
            <w:tabs>
              <w:tab w:val="right" w:leader="dot" w:pos="9496"/>
            </w:tabs>
            <w:rPr>
              <w:noProof/>
            </w:rPr>
          </w:pPr>
          <w:hyperlink w:anchor="_Toc239580149" w:history="1">
            <w:r w:rsidRPr="00FF3F99">
              <w:rPr>
                <w:rStyle w:val="Hiperligao"/>
                <w:b/>
                <w:bCs/>
                <w:noProof/>
              </w:rPr>
              <w:t>7.1 Testes de sensibilidade</w:t>
            </w:r>
            <w:r>
              <w:rPr>
                <w:noProof/>
              </w:rPr>
              <w:tab/>
            </w:r>
            <w:r>
              <w:rPr>
                <w:noProof/>
              </w:rPr>
              <w:fldChar w:fldCharType="begin"/>
            </w:r>
            <w:r>
              <w:rPr>
                <w:noProof/>
              </w:rPr>
              <w:instrText xml:space="preserve"> PAGEREF _Toc239580149 \h </w:instrText>
            </w:r>
            <w:r>
              <w:rPr>
                <w:noProof/>
              </w:rPr>
            </w:r>
            <w:r>
              <w:rPr>
                <w:noProof/>
              </w:rPr>
              <w:fldChar w:fldCharType="separate"/>
            </w:r>
            <w:r>
              <w:rPr>
                <w:noProof/>
              </w:rPr>
              <w:t>17</w:t>
            </w:r>
            <w:r>
              <w:rPr>
                <w:noProof/>
              </w:rPr>
              <w:fldChar w:fldCharType="end"/>
            </w:r>
          </w:hyperlink>
        </w:p>
        <w:p w:rsidR="00F80D02" w:rsidRDefault="00F80D02">
          <w:pPr>
            <w:pStyle w:val="ndice2"/>
            <w:tabs>
              <w:tab w:val="right" w:leader="dot" w:pos="9496"/>
            </w:tabs>
            <w:rPr>
              <w:noProof/>
            </w:rPr>
          </w:pPr>
          <w:hyperlink w:anchor="_Toc239580150" w:history="1">
            <w:r w:rsidRPr="00FF3F99">
              <w:rPr>
                <w:rStyle w:val="Hiperligao"/>
                <w:b/>
                <w:bCs/>
                <w:noProof/>
              </w:rPr>
              <w:t>7.2 Comparação com referências de mercado</w:t>
            </w:r>
            <w:r>
              <w:rPr>
                <w:noProof/>
              </w:rPr>
              <w:tab/>
            </w:r>
            <w:r>
              <w:rPr>
                <w:noProof/>
              </w:rPr>
              <w:fldChar w:fldCharType="begin"/>
            </w:r>
            <w:r>
              <w:rPr>
                <w:noProof/>
              </w:rPr>
              <w:instrText xml:space="preserve"> PAGEREF _Toc239580150 \h </w:instrText>
            </w:r>
            <w:r>
              <w:rPr>
                <w:noProof/>
              </w:rPr>
            </w:r>
            <w:r>
              <w:rPr>
                <w:noProof/>
              </w:rPr>
              <w:fldChar w:fldCharType="separate"/>
            </w:r>
            <w:r>
              <w:rPr>
                <w:noProof/>
              </w:rPr>
              <w:t>17</w:t>
            </w:r>
            <w:r>
              <w:rPr>
                <w:noProof/>
              </w:rPr>
              <w:fldChar w:fldCharType="end"/>
            </w:r>
          </w:hyperlink>
        </w:p>
        <w:p w:rsidR="00F80D02" w:rsidRDefault="00F80D02">
          <w:pPr>
            <w:pStyle w:val="ndice2"/>
            <w:tabs>
              <w:tab w:val="right" w:leader="dot" w:pos="9496"/>
            </w:tabs>
            <w:rPr>
              <w:noProof/>
            </w:rPr>
          </w:pPr>
          <w:hyperlink w:anchor="_Toc239580151" w:history="1">
            <w:r w:rsidRPr="00FF3F99">
              <w:rPr>
                <w:rStyle w:val="Hiperligao"/>
                <w:b/>
                <w:bCs/>
                <w:noProof/>
              </w:rPr>
              <w:t>7.3 Critérios de credibilidade</w:t>
            </w:r>
            <w:r>
              <w:rPr>
                <w:noProof/>
              </w:rPr>
              <w:tab/>
            </w:r>
            <w:r>
              <w:rPr>
                <w:noProof/>
              </w:rPr>
              <w:fldChar w:fldCharType="begin"/>
            </w:r>
            <w:r>
              <w:rPr>
                <w:noProof/>
              </w:rPr>
              <w:instrText xml:space="preserve"> PAGEREF _Toc239580151 \h </w:instrText>
            </w:r>
            <w:r>
              <w:rPr>
                <w:noProof/>
              </w:rPr>
            </w:r>
            <w:r>
              <w:rPr>
                <w:noProof/>
              </w:rPr>
              <w:fldChar w:fldCharType="separate"/>
            </w:r>
            <w:r>
              <w:rPr>
                <w:noProof/>
              </w:rPr>
              <w:t>17</w:t>
            </w:r>
            <w:r>
              <w:rPr>
                <w:noProof/>
              </w:rPr>
              <w:fldChar w:fldCharType="end"/>
            </w:r>
          </w:hyperlink>
        </w:p>
        <w:p w:rsidR="00F80D02" w:rsidRDefault="00F80D02">
          <w:pPr>
            <w:pStyle w:val="ndice2"/>
            <w:tabs>
              <w:tab w:val="right" w:leader="dot" w:pos="9496"/>
            </w:tabs>
            <w:rPr>
              <w:noProof/>
            </w:rPr>
          </w:pPr>
          <w:hyperlink w:anchor="_Toc239580152" w:history="1">
            <w:r w:rsidRPr="00FF3F99">
              <w:rPr>
                <w:rStyle w:val="Hiperligao"/>
                <w:b/>
                <w:bCs/>
                <w:noProof/>
              </w:rPr>
              <w:t>7.4 Triggers para revisão tarifária</w:t>
            </w:r>
            <w:r>
              <w:rPr>
                <w:noProof/>
              </w:rPr>
              <w:tab/>
            </w:r>
            <w:r>
              <w:rPr>
                <w:noProof/>
              </w:rPr>
              <w:fldChar w:fldCharType="begin"/>
            </w:r>
            <w:r>
              <w:rPr>
                <w:noProof/>
              </w:rPr>
              <w:instrText xml:space="preserve"> PAGEREF _Toc239580152 \h </w:instrText>
            </w:r>
            <w:r>
              <w:rPr>
                <w:noProof/>
              </w:rPr>
            </w:r>
            <w:r>
              <w:rPr>
                <w:noProof/>
              </w:rPr>
              <w:fldChar w:fldCharType="separate"/>
            </w:r>
            <w:r>
              <w:rPr>
                <w:noProof/>
              </w:rPr>
              <w:t>18</w:t>
            </w:r>
            <w:r>
              <w:rPr>
                <w:noProof/>
              </w:rPr>
              <w:fldChar w:fldCharType="end"/>
            </w:r>
          </w:hyperlink>
        </w:p>
        <w:p w:rsidR="00F80D02" w:rsidRDefault="00F80D02">
          <w:pPr>
            <w:pStyle w:val="ndice1"/>
            <w:tabs>
              <w:tab w:val="right" w:leader="dot" w:pos="9496"/>
            </w:tabs>
            <w:rPr>
              <w:noProof/>
            </w:rPr>
          </w:pPr>
          <w:hyperlink w:anchor="_Toc239580153" w:history="1">
            <w:r w:rsidRPr="00FF3F99">
              <w:rPr>
                <w:rStyle w:val="Hiperligao"/>
                <w:b/>
                <w:bCs/>
                <w:noProof/>
              </w:rPr>
              <w:t>8. Governança e Actualização</w:t>
            </w:r>
            <w:r>
              <w:rPr>
                <w:noProof/>
              </w:rPr>
              <w:tab/>
            </w:r>
            <w:r>
              <w:rPr>
                <w:noProof/>
              </w:rPr>
              <w:fldChar w:fldCharType="begin"/>
            </w:r>
            <w:r>
              <w:rPr>
                <w:noProof/>
              </w:rPr>
              <w:instrText xml:space="preserve"> PAGEREF _Toc239580153 \h </w:instrText>
            </w:r>
            <w:r>
              <w:rPr>
                <w:noProof/>
              </w:rPr>
            </w:r>
            <w:r>
              <w:rPr>
                <w:noProof/>
              </w:rPr>
              <w:fldChar w:fldCharType="separate"/>
            </w:r>
            <w:r>
              <w:rPr>
                <w:noProof/>
              </w:rPr>
              <w:t>19</w:t>
            </w:r>
            <w:r>
              <w:rPr>
                <w:noProof/>
              </w:rPr>
              <w:fldChar w:fldCharType="end"/>
            </w:r>
          </w:hyperlink>
        </w:p>
        <w:p w:rsidR="00F80D02" w:rsidRDefault="00F80D02">
          <w:pPr>
            <w:pStyle w:val="ndice2"/>
            <w:tabs>
              <w:tab w:val="right" w:leader="dot" w:pos="9496"/>
            </w:tabs>
            <w:rPr>
              <w:noProof/>
            </w:rPr>
          </w:pPr>
          <w:hyperlink w:anchor="_Toc239580154" w:history="1">
            <w:r w:rsidRPr="00FF3F99">
              <w:rPr>
                <w:rStyle w:val="Hiperligao"/>
                <w:b/>
                <w:bCs/>
                <w:noProof/>
              </w:rPr>
              <w:t>8.1 Periodicidade de revisão</w:t>
            </w:r>
            <w:r>
              <w:rPr>
                <w:noProof/>
              </w:rPr>
              <w:tab/>
            </w:r>
            <w:r>
              <w:rPr>
                <w:noProof/>
              </w:rPr>
              <w:fldChar w:fldCharType="begin"/>
            </w:r>
            <w:r>
              <w:rPr>
                <w:noProof/>
              </w:rPr>
              <w:instrText xml:space="preserve"> PAGEREF _Toc239580154 \h </w:instrText>
            </w:r>
            <w:r>
              <w:rPr>
                <w:noProof/>
              </w:rPr>
            </w:r>
            <w:r>
              <w:rPr>
                <w:noProof/>
              </w:rPr>
              <w:fldChar w:fldCharType="separate"/>
            </w:r>
            <w:r>
              <w:rPr>
                <w:noProof/>
              </w:rPr>
              <w:t>19</w:t>
            </w:r>
            <w:r>
              <w:rPr>
                <w:noProof/>
              </w:rPr>
              <w:fldChar w:fldCharType="end"/>
            </w:r>
          </w:hyperlink>
        </w:p>
        <w:p w:rsidR="00F80D02" w:rsidRDefault="00F80D02">
          <w:pPr>
            <w:pStyle w:val="ndice2"/>
            <w:tabs>
              <w:tab w:val="right" w:leader="dot" w:pos="9496"/>
            </w:tabs>
            <w:rPr>
              <w:noProof/>
            </w:rPr>
          </w:pPr>
          <w:hyperlink w:anchor="_Toc239580155" w:history="1">
            <w:r w:rsidRPr="00FF3F99">
              <w:rPr>
                <w:rStyle w:val="Hiperligao"/>
                <w:b/>
                <w:bCs/>
                <w:noProof/>
              </w:rPr>
              <w:t>8.2 Responsabilidades</w:t>
            </w:r>
            <w:r>
              <w:rPr>
                <w:noProof/>
              </w:rPr>
              <w:tab/>
            </w:r>
            <w:r>
              <w:rPr>
                <w:noProof/>
              </w:rPr>
              <w:fldChar w:fldCharType="begin"/>
            </w:r>
            <w:r>
              <w:rPr>
                <w:noProof/>
              </w:rPr>
              <w:instrText xml:space="preserve"> PAGEREF _Toc239580155 \h </w:instrText>
            </w:r>
            <w:r>
              <w:rPr>
                <w:noProof/>
              </w:rPr>
            </w:r>
            <w:r>
              <w:rPr>
                <w:noProof/>
              </w:rPr>
              <w:fldChar w:fldCharType="separate"/>
            </w:r>
            <w:r>
              <w:rPr>
                <w:noProof/>
              </w:rPr>
              <w:t>19</w:t>
            </w:r>
            <w:r>
              <w:rPr>
                <w:noProof/>
              </w:rPr>
              <w:fldChar w:fldCharType="end"/>
            </w:r>
          </w:hyperlink>
        </w:p>
        <w:p w:rsidR="00F80D02" w:rsidRDefault="00F80D02">
          <w:pPr>
            <w:pStyle w:val="ndice2"/>
            <w:tabs>
              <w:tab w:val="right" w:leader="dot" w:pos="9496"/>
            </w:tabs>
            <w:rPr>
              <w:noProof/>
            </w:rPr>
          </w:pPr>
          <w:hyperlink w:anchor="_Toc239580156" w:history="1">
            <w:r w:rsidRPr="00FF3F99">
              <w:rPr>
                <w:rStyle w:val="Hiperligao"/>
                <w:b/>
                <w:bCs/>
                <w:noProof/>
              </w:rPr>
              <w:t>8.3 Controlo de versões e aprovações</w:t>
            </w:r>
            <w:r>
              <w:rPr>
                <w:noProof/>
              </w:rPr>
              <w:tab/>
            </w:r>
            <w:r>
              <w:rPr>
                <w:noProof/>
              </w:rPr>
              <w:fldChar w:fldCharType="begin"/>
            </w:r>
            <w:r>
              <w:rPr>
                <w:noProof/>
              </w:rPr>
              <w:instrText xml:space="preserve"> PAGEREF _Toc239580156 \h </w:instrText>
            </w:r>
            <w:r>
              <w:rPr>
                <w:noProof/>
              </w:rPr>
            </w:r>
            <w:r>
              <w:rPr>
                <w:noProof/>
              </w:rPr>
              <w:fldChar w:fldCharType="separate"/>
            </w:r>
            <w:r>
              <w:rPr>
                <w:noProof/>
              </w:rPr>
              <w:t>19</w:t>
            </w:r>
            <w:r>
              <w:rPr>
                <w:noProof/>
              </w:rPr>
              <w:fldChar w:fldCharType="end"/>
            </w:r>
          </w:hyperlink>
        </w:p>
        <w:p w:rsidR="00F80D02" w:rsidRDefault="00F80D02">
          <w:pPr>
            <w:pStyle w:val="ndice1"/>
            <w:tabs>
              <w:tab w:val="right" w:leader="dot" w:pos="9496"/>
            </w:tabs>
            <w:rPr>
              <w:noProof/>
            </w:rPr>
          </w:pPr>
          <w:hyperlink w:anchor="_Toc239580157" w:history="1">
            <w:r w:rsidRPr="00FF3F99">
              <w:rPr>
                <w:rStyle w:val="Hiperligao"/>
                <w:b/>
                <w:bCs/>
                <w:noProof/>
              </w:rPr>
              <w:t>9. Anexos</w:t>
            </w:r>
            <w:r>
              <w:rPr>
                <w:noProof/>
              </w:rPr>
              <w:tab/>
            </w:r>
            <w:r>
              <w:rPr>
                <w:noProof/>
              </w:rPr>
              <w:fldChar w:fldCharType="begin"/>
            </w:r>
            <w:r>
              <w:rPr>
                <w:noProof/>
              </w:rPr>
              <w:instrText xml:space="preserve"> PAGEREF _Toc239580157 \h </w:instrText>
            </w:r>
            <w:r>
              <w:rPr>
                <w:noProof/>
              </w:rPr>
            </w:r>
            <w:r>
              <w:rPr>
                <w:noProof/>
              </w:rPr>
              <w:fldChar w:fldCharType="separate"/>
            </w:r>
            <w:r>
              <w:rPr>
                <w:noProof/>
              </w:rPr>
              <w:t>20</w:t>
            </w:r>
            <w:r>
              <w:rPr>
                <w:noProof/>
              </w:rPr>
              <w:fldChar w:fldCharType="end"/>
            </w:r>
          </w:hyperlink>
        </w:p>
        <w:p w:rsidR="00F80D02" w:rsidRDefault="00F80D02">
          <w:pPr>
            <w:pStyle w:val="ndice2"/>
            <w:tabs>
              <w:tab w:val="right" w:leader="dot" w:pos="9496"/>
            </w:tabs>
            <w:rPr>
              <w:noProof/>
            </w:rPr>
          </w:pPr>
          <w:hyperlink w:anchor="_Toc239580158" w:history="1">
            <w:r w:rsidRPr="00FF3F99">
              <w:rPr>
                <w:rStyle w:val="Hiperligao"/>
                <w:b/>
                <w:bCs/>
                <w:noProof/>
              </w:rPr>
              <w:t>9.1 Tabelas de factores</w:t>
            </w:r>
            <w:r>
              <w:rPr>
                <w:noProof/>
              </w:rPr>
              <w:tab/>
            </w:r>
            <w:r>
              <w:rPr>
                <w:noProof/>
              </w:rPr>
              <w:fldChar w:fldCharType="begin"/>
            </w:r>
            <w:r>
              <w:rPr>
                <w:noProof/>
              </w:rPr>
              <w:instrText xml:space="preserve"> PAGEREF _Toc239580158 \h </w:instrText>
            </w:r>
            <w:r>
              <w:rPr>
                <w:noProof/>
              </w:rPr>
            </w:r>
            <w:r>
              <w:rPr>
                <w:noProof/>
              </w:rPr>
              <w:fldChar w:fldCharType="separate"/>
            </w:r>
            <w:r>
              <w:rPr>
                <w:noProof/>
              </w:rPr>
              <w:t>20</w:t>
            </w:r>
            <w:r>
              <w:rPr>
                <w:noProof/>
              </w:rPr>
              <w:fldChar w:fldCharType="end"/>
            </w:r>
          </w:hyperlink>
        </w:p>
        <w:p w:rsidR="00F80D02" w:rsidRDefault="00F80D02">
          <w:pPr>
            <w:pStyle w:val="ndice2"/>
            <w:tabs>
              <w:tab w:val="right" w:leader="dot" w:pos="9496"/>
            </w:tabs>
            <w:rPr>
              <w:noProof/>
            </w:rPr>
          </w:pPr>
          <w:hyperlink w:anchor="_Toc239580159" w:history="1">
            <w:r w:rsidRPr="00FF3F99">
              <w:rPr>
                <w:rStyle w:val="Hiperligao"/>
                <w:b/>
                <w:bCs/>
                <w:noProof/>
              </w:rPr>
              <w:t>9.2 Simulador de prémio — exemplo prático</w:t>
            </w:r>
            <w:r>
              <w:rPr>
                <w:noProof/>
              </w:rPr>
              <w:tab/>
            </w:r>
            <w:r>
              <w:rPr>
                <w:noProof/>
              </w:rPr>
              <w:fldChar w:fldCharType="begin"/>
            </w:r>
            <w:r>
              <w:rPr>
                <w:noProof/>
              </w:rPr>
              <w:instrText xml:space="preserve"> PAGEREF _Toc239580159 \h </w:instrText>
            </w:r>
            <w:r>
              <w:rPr>
                <w:noProof/>
              </w:rPr>
            </w:r>
            <w:r>
              <w:rPr>
                <w:noProof/>
              </w:rPr>
              <w:fldChar w:fldCharType="separate"/>
            </w:r>
            <w:r>
              <w:rPr>
                <w:noProof/>
              </w:rPr>
              <w:t>20</w:t>
            </w:r>
            <w:r>
              <w:rPr>
                <w:noProof/>
              </w:rPr>
              <w:fldChar w:fldCharType="end"/>
            </w:r>
          </w:hyperlink>
        </w:p>
        <w:p w:rsidR="00F80D02" w:rsidRDefault="00F80D02">
          <w:pPr>
            <w:pStyle w:val="ndice2"/>
            <w:tabs>
              <w:tab w:val="right" w:leader="dot" w:pos="9496"/>
            </w:tabs>
            <w:rPr>
              <w:noProof/>
            </w:rPr>
          </w:pPr>
          <w:hyperlink w:anchor="_Toc239580160" w:history="1">
            <w:r w:rsidRPr="00FF3F99">
              <w:rPr>
                <w:rStyle w:val="Hiperligao"/>
                <w:b/>
                <w:bCs/>
                <w:noProof/>
              </w:rPr>
              <w:t>9.3 Fontes de dados e referências externas</w:t>
            </w:r>
            <w:r>
              <w:rPr>
                <w:noProof/>
              </w:rPr>
              <w:tab/>
            </w:r>
            <w:r>
              <w:rPr>
                <w:noProof/>
              </w:rPr>
              <w:fldChar w:fldCharType="begin"/>
            </w:r>
            <w:r>
              <w:rPr>
                <w:noProof/>
              </w:rPr>
              <w:instrText xml:space="preserve"> PAGEREF _Toc239580160 \h </w:instrText>
            </w:r>
            <w:r>
              <w:rPr>
                <w:noProof/>
              </w:rPr>
            </w:r>
            <w:r>
              <w:rPr>
                <w:noProof/>
              </w:rPr>
              <w:fldChar w:fldCharType="separate"/>
            </w:r>
            <w:r>
              <w:rPr>
                <w:noProof/>
              </w:rPr>
              <w:t>20</w:t>
            </w:r>
            <w:r>
              <w:rPr>
                <w:noProof/>
              </w:rPr>
              <w:fldChar w:fldCharType="end"/>
            </w:r>
          </w:hyperlink>
        </w:p>
        <w:p w:rsidR="00F80D02" w:rsidRDefault="00F80D02">
          <w:pPr>
            <w:pStyle w:val="ndice2"/>
            <w:tabs>
              <w:tab w:val="right" w:leader="dot" w:pos="9496"/>
            </w:tabs>
            <w:rPr>
              <w:noProof/>
            </w:rPr>
          </w:pPr>
          <w:hyperlink w:anchor="_Toc239580161" w:history="1">
            <w:r w:rsidRPr="00FF3F99">
              <w:rPr>
                <w:rStyle w:val="Hiperligao"/>
                <w:b/>
                <w:bCs/>
                <w:noProof/>
              </w:rPr>
              <w:t>9.4 Registo de decisões pendentes do actuário</w:t>
            </w:r>
            <w:r>
              <w:rPr>
                <w:noProof/>
              </w:rPr>
              <w:tab/>
            </w:r>
            <w:r>
              <w:rPr>
                <w:noProof/>
              </w:rPr>
              <w:fldChar w:fldCharType="begin"/>
            </w:r>
            <w:r>
              <w:rPr>
                <w:noProof/>
              </w:rPr>
              <w:instrText xml:space="preserve"> PAGEREF _Toc239580161 \h </w:instrText>
            </w:r>
            <w:r>
              <w:rPr>
                <w:noProof/>
              </w:rPr>
            </w:r>
            <w:r>
              <w:rPr>
                <w:noProof/>
              </w:rPr>
              <w:fldChar w:fldCharType="separate"/>
            </w:r>
            <w:r>
              <w:rPr>
                <w:noProof/>
              </w:rPr>
              <w:t>20</w:t>
            </w:r>
            <w:r>
              <w:rPr>
                <w:noProof/>
              </w:rPr>
              <w:fldChar w:fldCharType="end"/>
            </w:r>
          </w:hyperlink>
        </w:p>
        <w:p w:rsidR="00B72C53" w:rsidRDefault="00A61A1E">
          <w:r>
            <w:fldChar w:fldCharType="end"/>
          </w:r>
        </w:p>
      </w:sdtContent>
    </w:sdt>
    <w:p w:rsidR="00B72C53" w:rsidRDefault="00A61A1E">
      <w:r>
        <w:br w:type="page"/>
      </w:r>
    </w:p>
    <w:p w:rsidR="00B72C53" w:rsidRPr="00F80D02" w:rsidRDefault="00A61A1E">
      <w:pPr>
        <w:pStyle w:val="Cabealho1"/>
        <w:pBdr>
          <w:bottom w:val="single" w:sz="12" w:space="4" w:color="1F3864"/>
        </w:pBdr>
        <w:spacing w:before="480" w:after="240"/>
        <w:rPr>
          <w:lang w:val="pt-PT"/>
        </w:rPr>
      </w:pPr>
      <w:bookmarkStart w:id="0" w:name="_Toc239580109"/>
      <w:r w:rsidRPr="00F80D02">
        <w:rPr>
          <w:b/>
          <w:bCs/>
          <w:color w:val="1F3864"/>
          <w:lang w:val="pt-PT"/>
        </w:rPr>
        <w:lastRenderedPageBreak/>
        <w:t>1. In</w:t>
      </w:r>
      <w:r w:rsidRPr="00F80D02">
        <w:rPr>
          <w:b/>
          <w:bCs/>
          <w:color w:val="1F3864"/>
          <w:lang w:val="pt-PT"/>
        </w:rPr>
        <w:t>trodução</w:t>
      </w:r>
      <w:bookmarkEnd w:id="0"/>
    </w:p>
    <w:p w:rsidR="00B72C53" w:rsidRPr="00F80D02" w:rsidRDefault="00A61A1E">
      <w:pPr>
        <w:pStyle w:val="Cabealho2"/>
        <w:spacing w:before="360" w:after="160"/>
        <w:rPr>
          <w:lang w:val="pt-PT"/>
        </w:rPr>
      </w:pPr>
      <w:bookmarkStart w:id="1" w:name="_Toc239580110"/>
      <w:r w:rsidRPr="00F80D02">
        <w:rPr>
          <w:b/>
          <w:bCs/>
          <w:lang w:val="pt-PT"/>
        </w:rPr>
        <w:t>1.1 Finalidade do documento</w:t>
      </w:r>
      <w:bookmarkEnd w:id="1"/>
    </w:p>
    <w:p w:rsidR="00B72C53" w:rsidRPr="00F80D02" w:rsidRDefault="00A61A1E">
      <w:pPr>
        <w:spacing w:after="160" w:line="276" w:lineRule="auto"/>
        <w:rPr>
          <w:lang w:val="pt-PT"/>
        </w:rPr>
      </w:pPr>
      <w:r w:rsidRPr="00F80D02">
        <w:rPr>
          <w:lang w:val="pt-PT"/>
        </w:rPr>
        <w:t>Este manual descreve, de forma estruturada e replicável, o processo técnico-operacional de construção, calibração, validação e governação da tarifa de seguro de saúde da seguradora. O documento toma como referência estr</w:t>
      </w:r>
      <w:r w:rsidRPr="00F80D02">
        <w:rPr>
          <w:lang w:val="pt-PT"/>
        </w:rPr>
        <w:t>utural o modelo de trabalho "Q360_Modelo_Tarifa_Saude_Ficticia_Para_Actuario_v0.1.xlsx", desenvolvido para orientar a discussão entre o Actuário Responsável, a Subscrição, o Produto e o Resseguro antes do fecho da ordem de desenvolvimento OD-001.</w:t>
      </w:r>
    </w:p>
    <w:p w:rsidR="00B72C53" w:rsidRPr="00F80D02" w:rsidRDefault="00A61A1E">
      <w:pPr>
        <w:spacing w:after="160" w:line="276" w:lineRule="auto"/>
        <w:rPr>
          <w:lang w:val="pt-PT"/>
        </w:rPr>
      </w:pPr>
      <w:r w:rsidRPr="00F80D02">
        <w:rPr>
          <w:lang w:val="pt-PT"/>
        </w:rPr>
        <w:t xml:space="preserve">O manual </w:t>
      </w:r>
      <w:r w:rsidRPr="00F80D02">
        <w:rPr>
          <w:lang w:val="pt-PT"/>
        </w:rPr>
        <w:t>não substitui o julgamento profissional do actuário nem qualquer norma regulamentar aplicável. Serve como guia de processo: define os componentes que compõem o prémio, a lógica de cálculo, os pressupostos que devem ser validados e os mecanismos de governaç</w:t>
      </w:r>
      <w:r w:rsidRPr="00F80D02">
        <w:rPr>
          <w:lang w:val="pt-PT"/>
        </w:rPr>
        <w:t>ão que garantem que a tarifa se mantém técnica, auditável e sustentável ao longo do tempo.</w:t>
      </w:r>
    </w:p>
    <w:p w:rsidR="00B72C53" w:rsidRPr="00F80D02" w:rsidRDefault="00A61A1E">
      <w:pPr>
        <w:pBdr>
          <w:left w:val="single" w:sz="24" w:space="8" w:color="2E74B5"/>
        </w:pBdr>
        <w:shd w:val="clear" w:color="auto" w:fill="F2F2F2"/>
        <w:spacing w:before="80" w:after="200"/>
        <w:ind w:left="100"/>
        <w:rPr>
          <w:lang w:val="pt-PT"/>
        </w:rPr>
      </w:pPr>
      <w:r w:rsidRPr="00F80D02">
        <w:rPr>
          <w:i/>
          <w:iCs/>
          <w:color w:val="404040"/>
          <w:sz w:val="20"/>
          <w:szCs w:val="20"/>
          <w:lang w:val="pt-PT"/>
        </w:rPr>
        <w:t>Nota importante: todos os valores numéricos citados neste manual (prémios base, factores, loadings) provêm do modelo de referência e são explicitamente fictícios. Cada valor deve ser substituído por dados reais ou calibrados antes de qualquer aprovação com</w:t>
      </w:r>
      <w:r w:rsidRPr="00F80D02">
        <w:rPr>
          <w:i/>
          <w:iCs/>
          <w:color w:val="404040"/>
          <w:sz w:val="20"/>
          <w:szCs w:val="20"/>
          <w:lang w:val="pt-PT"/>
        </w:rPr>
        <w:t>ercial.</w:t>
      </w:r>
    </w:p>
    <w:p w:rsidR="00B72C53" w:rsidRPr="00F80D02" w:rsidRDefault="00A61A1E">
      <w:pPr>
        <w:pStyle w:val="Cabealho2"/>
        <w:spacing w:before="360" w:after="160"/>
        <w:rPr>
          <w:lang w:val="pt-PT"/>
        </w:rPr>
      </w:pPr>
      <w:bookmarkStart w:id="2" w:name="_Toc239580111"/>
      <w:r w:rsidRPr="00F80D02">
        <w:rPr>
          <w:b/>
          <w:bCs/>
          <w:lang w:val="pt-PT"/>
        </w:rPr>
        <w:t>1.2 Âmbito de aplicação</w:t>
      </w:r>
      <w:bookmarkEnd w:id="2"/>
    </w:p>
    <w:p w:rsidR="00B72C53" w:rsidRPr="00F80D02" w:rsidRDefault="00A61A1E">
      <w:pPr>
        <w:spacing w:after="160" w:line="276" w:lineRule="auto"/>
        <w:rPr>
          <w:lang w:val="pt-PT"/>
        </w:rPr>
      </w:pPr>
      <w:r w:rsidRPr="00F80D02">
        <w:rPr>
          <w:lang w:val="pt-PT"/>
        </w:rPr>
        <w:t>O âmbito primário deste manual é o mercado angolano, cobrindo produtos de saúde individuais, familiares e de grupo (corporate), com prémios denominados em Kwanza (AOA). Onde a experiência local for ainda insuficiente para ca</w:t>
      </w:r>
      <w:r w:rsidRPr="00F80D02">
        <w:rPr>
          <w:lang w:val="pt-PT"/>
        </w:rPr>
        <w:t>libração directa (por exemplo, em bandas etárias avançadas ou em coberturas internacionais pouco frequentes), o manual recomenda a utilização de referências estruturais observadas no mercado sul-africano — nomeadamente relatórios do Council for Medical Sch</w:t>
      </w:r>
      <w:r w:rsidRPr="00F80D02">
        <w:rPr>
          <w:lang w:val="pt-PT"/>
        </w:rPr>
        <w:t>emes e de medical schemes como MultiChoice e Genesis — não como tarifa a copiar, mas como validação de desenho (estrutura de bandas, relação entre categorias, ordem de grandeza da progressão etária).</w:t>
      </w:r>
    </w:p>
    <w:p w:rsidR="00B72C53" w:rsidRPr="00F80D02" w:rsidRDefault="00A61A1E">
      <w:pPr>
        <w:spacing w:after="160" w:line="276" w:lineRule="auto"/>
        <w:rPr>
          <w:lang w:val="pt-PT"/>
        </w:rPr>
      </w:pPr>
      <w:r w:rsidRPr="00F80D02">
        <w:rPr>
          <w:lang w:val="pt-PT"/>
        </w:rPr>
        <w:t>O manual aplica-se a:</w:t>
      </w:r>
    </w:p>
    <w:p w:rsidR="00B72C53" w:rsidRPr="00F80D02" w:rsidRDefault="00A61A1E">
      <w:pPr>
        <w:pStyle w:val="PargrafodaLista"/>
        <w:numPr>
          <w:ilvl w:val="0"/>
          <w:numId w:val="2"/>
        </w:numPr>
        <w:spacing w:after="80"/>
        <w:rPr>
          <w:lang w:val="pt-PT"/>
        </w:rPr>
      </w:pPr>
      <w:r w:rsidRPr="00F80D02">
        <w:rPr>
          <w:lang w:val="pt-PT"/>
        </w:rPr>
        <w:t>Definição e revisão da estrutura d</w:t>
      </w:r>
      <w:r w:rsidRPr="00F80D02">
        <w:rPr>
          <w:lang w:val="pt-PT"/>
        </w:rPr>
        <w:t>e planos e coberturas;</w:t>
      </w:r>
    </w:p>
    <w:p w:rsidR="00B72C53" w:rsidRPr="00F80D02" w:rsidRDefault="00A61A1E">
      <w:pPr>
        <w:pStyle w:val="PargrafodaLista"/>
        <w:numPr>
          <w:ilvl w:val="0"/>
          <w:numId w:val="2"/>
        </w:numPr>
        <w:spacing w:after="80"/>
        <w:rPr>
          <w:lang w:val="pt-PT"/>
        </w:rPr>
      </w:pPr>
      <w:r w:rsidRPr="00F80D02">
        <w:rPr>
          <w:lang w:val="pt-PT"/>
        </w:rPr>
        <w:t>Cálculo do prémio comercial para novos negócios e renovações;</w:t>
      </w:r>
    </w:p>
    <w:p w:rsidR="00B72C53" w:rsidRPr="00F80D02" w:rsidRDefault="00A61A1E">
      <w:pPr>
        <w:pStyle w:val="PargrafodaLista"/>
        <w:numPr>
          <w:ilvl w:val="0"/>
          <w:numId w:val="2"/>
        </w:numPr>
        <w:spacing w:after="80"/>
        <w:rPr>
          <w:lang w:val="pt-PT"/>
        </w:rPr>
      </w:pPr>
      <w:r w:rsidRPr="00F80D02">
        <w:rPr>
          <w:lang w:val="pt-PT"/>
        </w:rPr>
        <w:t>Calibração periódica de factores e loadings com base em experiência observada;</w:t>
      </w:r>
    </w:p>
    <w:p w:rsidR="00B72C53" w:rsidRPr="00F80D02" w:rsidRDefault="00A61A1E">
      <w:pPr>
        <w:pStyle w:val="PargrafodaLista"/>
        <w:numPr>
          <w:ilvl w:val="0"/>
          <w:numId w:val="2"/>
        </w:numPr>
        <w:spacing w:after="80"/>
        <w:rPr>
          <w:lang w:val="pt-PT"/>
        </w:rPr>
      </w:pPr>
      <w:r w:rsidRPr="00F80D02">
        <w:rPr>
          <w:lang w:val="pt-PT"/>
        </w:rPr>
        <w:t>Processos de validação, auditoria interna/externa e aprovação regulatória da tarifa.</w:t>
      </w:r>
    </w:p>
    <w:p w:rsidR="00B72C53" w:rsidRPr="00F80D02" w:rsidRDefault="00A61A1E">
      <w:pPr>
        <w:pStyle w:val="Cabealho2"/>
        <w:spacing w:before="360" w:after="160"/>
        <w:rPr>
          <w:lang w:val="pt-PT"/>
        </w:rPr>
      </w:pPr>
      <w:bookmarkStart w:id="3" w:name="_Toc239580112"/>
      <w:r w:rsidRPr="00F80D02">
        <w:rPr>
          <w:b/>
          <w:bCs/>
          <w:lang w:val="pt-PT"/>
        </w:rPr>
        <w:t>1.3 Pri</w:t>
      </w:r>
      <w:r w:rsidRPr="00F80D02">
        <w:rPr>
          <w:b/>
          <w:bCs/>
          <w:lang w:val="pt-PT"/>
        </w:rPr>
        <w:t>ncípios actuariais adoptados</w:t>
      </w:r>
      <w:bookmarkEnd w:id="3"/>
    </w:p>
    <w:p w:rsidR="00B72C53" w:rsidRPr="00F80D02" w:rsidRDefault="00A61A1E">
      <w:pPr>
        <w:pStyle w:val="Cabealho3"/>
        <w:spacing w:before="240" w:after="120"/>
        <w:rPr>
          <w:lang w:val="pt-PT"/>
        </w:rPr>
      </w:pPr>
      <w:bookmarkStart w:id="4" w:name="_Toc239580113"/>
      <w:r w:rsidRPr="00F80D02">
        <w:rPr>
          <w:b/>
          <w:bCs/>
          <w:color w:val="595959"/>
          <w:sz w:val="22"/>
          <w:szCs w:val="22"/>
          <w:lang w:val="pt-PT"/>
        </w:rPr>
        <w:t>Determinismo</w:t>
      </w:r>
      <w:bookmarkEnd w:id="4"/>
    </w:p>
    <w:p w:rsidR="00B72C53" w:rsidRPr="00F80D02" w:rsidRDefault="00A61A1E">
      <w:pPr>
        <w:spacing w:after="160" w:line="276" w:lineRule="auto"/>
        <w:rPr>
          <w:lang w:val="pt-PT"/>
        </w:rPr>
      </w:pPr>
      <w:r w:rsidRPr="00F80D02">
        <w:rPr>
          <w:lang w:val="pt-PT"/>
        </w:rPr>
        <w:t>A tarifa resulta de uma fórmula fechada e determinística: prémio base × factores versionados + loadings explícitos. Para um mesmo conjunto de inputs (plano, idade, relação familiar, dimensão do grupo, área de cobertura, experiência de sinistros e resultado</w:t>
      </w:r>
      <w:r w:rsidRPr="00F80D02">
        <w:rPr>
          <w:lang w:val="pt-PT"/>
        </w:rPr>
        <w:t xml:space="preserve"> de underwriting), o prémio calculado é sempre o mesmo, independentemente de quem o calcula ou do momento em que é calculado. Não existem ajustamentos discricionários não documentados.</w:t>
      </w:r>
    </w:p>
    <w:p w:rsidR="00B72C53" w:rsidRPr="00F80D02" w:rsidRDefault="00A61A1E">
      <w:pPr>
        <w:pStyle w:val="Cabealho3"/>
        <w:spacing w:before="240" w:after="120"/>
        <w:rPr>
          <w:lang w:val="pt-PT"/>
        </w:rPr>
      </w:pPr>
      <w:bookmarkStart w:id="5" w:name="_Toc239580114"/>
      <w:r w:rsidRPr="00F80D02">
        <w:rPr>
          <w:b/>
          <w:bCs/>
          <w:color w:val="595959"/>
          <w:sz w:val="22"/>
          <w:szCs w:val="22"/>
          <w:lang w:val="pt-PT"/>
        </w:rPr>
        <w:t>Auditabilidade</w:t>
      </w:r>
      <w:bookmarkEnd w:id="5"/>
    </w:p>
    <w:p w:rsidR="00B72C53" w:rsidRPr="00F80D02" w:rsidRDefault="00A61A1E">
      <w:pPr>
        <w:spacing w:after="160" w:line="276" w:lineRule="auto"/>
        <w:rPr>
          <w:lang w:val="pt-PT"/>
        </w:rPr>
      </w:pPr>
      <w:r w:rsidRPr="00F80D02">
        <w:rPr>
          <w:lang w:val="pt-PT"/>
        </w:rPr>
        <w:t>Cada componente do cálculo é identificável, versionado e</w:t>
      </w:r>
      <w:r w:rsidRPr="00F80D02">
        <w:rPr>
          <w:lang w:val="pt-PT"/>
        </w:rPr>
        <w:t xml:space="preserve"> rastreável a uma fonte de calibração (estudo de sinistralidade, benchmark de mercado, decisão de comité técnico). Isto permite reconstruir, a qualquer </w:t>
      </w:r>
      <w:r w:rsidRPr="00F80D02">
        <w:rPr>
          <w:lang w:val="pt-PT"/>
        </w:rPr>
        <w:lastRenderedPageBreak/>
        <w:t>momento, o motivo pelo qual um prémio específico foi cotado, e é condição necessária para auditoria inte</w:t>
      </w:r>
      <w:r w:rsidRPr="00F80D02">
        <w:rPr>
          <w:lang w:val="pt-PT"/>
        </w:rPr>
        <w:t>rna, auditoria externa e supervisão regulatória.</w:t>
      </w:r>
    </w:p>
    <w:p w:rsidR="00B72C53" w:rsidRPr="00F80D02" w:rsidRDefault="00A61A1E">
      <w:pPr>
        <w:pStyle w:val="Cabealho3"/>
        <w:spacing w:before="240" w:after="120"/>
        <w:rPr>
          <w:lang w:val="pt-PT"/>
        </w:rPr>
      </w:pPr>
      <w:bookmarkStart w:id="6" w:name="_Toc239580115"/>
      <w:r w:rsidRPr="00F80D02">
        <w:rPr>
          <w:b/>
          <w:bCs/>
          <w:color w:val="595959"/>
          <w:sz w:val="22"/>
          <w:szCs w:val="22"/>
          <w:lang w:val="pt-PT"/>
        </w:rPr>
        <w:t>Transparência</w:t>
      </w:r>
      <w:bookmarkEnd w:id="6"/>
    </w:p>
    <w:p w:rsidR="00B72C53" w:rsidRPr="00F80D02" w:rsidRDefault="00A61A1E">
      <w:pPr>
        <w:spacing w:after="160" w:line="276" w:lineRule="auto"/>
        <w:rPr>
          <w:lang w:val="pt-PT"/>
        </w:rPr>
      </w:pPr>
      <w:r w:rsidRPr="00F80D02">
        <w:rPr>
          <w:lang w:val="pt-PT"/>
        </w:rPr>
        <w:t>A estrutura de factores e loadings é explícita e comunicável a públicos não actuariais (subscrição, comercial, regulador), sem que isso implique divulgar segredos comerciais sensíveis. A transp</w:t>
      </w:r>
      <w:r w:rsidRPr="00F80D02">
        <w:rPr>
          <w:lang w:val="pt-PT"/>
        </w:rPr>
        <w:t>arência interna do modelo é o que permite à Subscrição, ao Produto e ao Resseguro compreenderem o impacto das suas decisões sobre o prémio final.</w:t>
      </w:r>
    </w:p>
    <w:p w:rsidR="00B72C53" w:rsidRPr="00F80D02" w:rsidRDefault="00A61A1E">
      <w:pPr>
        <w:rPr>
          <w:lang w:val="pt-PT"/>
        </w:rPr>
      </w:pPr>
      <w:r w:rsidRPr="00F80D02">
        <w:rPr>
          <w:lang w:val="pt-PT"/>
        </w:rPr>
        <w:br w:type="page"/>
      </w:r>
    </w:p>
    <w:p w:rsidR="00B72C53" w:rsidRPr="00F80D02" w:rsidRDefault="00A61A1E">
      <w:pPr>
        <w:pStyle w:val="Cabealho1"/>
        <w:pBdr>
          <w:bottom w:val="single" w:sz="12" w:space="4" w:color="1F3864"/>
        </w:pBdr>
        <w:spacing w:before="480" w:after="240"/>
        <w:rPr>
          <w:lang w:val="pt-PT"/>
        </w:rPr>
      </w:pPr>
      <w:bookmarkStart w:id="7" w:name="_Toc239580116"/>
      <w:r w:rsidRPr="00F80D02">
        <w:rPr>
          <w:b/>
          <w:bCs/>
          <w:color w:val="1F3864"/>
          <w:lang w:val="pt-PT"/>
        </w:rPr>
        <w:lastRenderedPageBreak/>
        <w:t>2. Arquitectura da Tarifa</w:t>
      </w:r>
      <w:bookmarkEnd w:id="7"/>
    </w:p>
    <w:p w:rsidR="00B72C53" w:rsidRPr="00F80D02" w:rsidRDefault="00A61A1E">
      <w:pPr>
        <w:pStyle w:val="Cabealho2"/>
        <w:spacing w:before="360" w:after="160"/>
        <w:rPr>
          <w:lang w:val="pt-PT"/>
        </w:rPr>
      </w:pPr>
      <w:bookmarkStart w:id="8" w:name="_Toc239580117"/>
      <w:r w:rsidRPr="00F80D02">
        <w:rPr>
          <w:b/>
          <w:bCs/>
          <w:lang w:val="pt-PT"/>
        </w:rPr>
        <w:t>2.1 Definição dos planos</w:t>
      </w:r>
      <w:bookmarkEnd w:id="8"/>
    </w:p>
    <w:p w:rsidR="00B72C53" w:rsidRPr="00F80D02" w:rsidRDefault="00A61A1E">
      <w:pPr>
        <w:spacing w:after="160" w:line="276" w:lineRule="auto"/>
        <w:rPr>
          <w:lang w:val="pt-PT"/>
        </w:rPr>
      </w:pPr>
      <w:r w:rsidRPr="00F80D02">
        <w:rPr>
          <w:lang w:val="pt-PT"/>
        </w:rPr>
        <w:t>A tarifa está organizada em quatro planos, com posicionam</w:t>
      </w:r>
      <w:r w:rsidRPr="00F80D02">
        <w:rPr>
          <w:lang w:val="pt-PT"/>
        </w:rPr>
        <w:t>ento e nível de benefício crescente: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200"/>
        <w:gridCol w:w="2200"/>
        <w:gridCol w:w="2200"/>
      </w:tblGrid>
      <w:tr w:rsidR="00B72C53">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Elemento</w:t>
            </w:r>
          </w:p>
        </w:tc>
        <w:tc>
          <w:tcPr>
            <w:tcW w:w="22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ESSENCIAL</w:t>
            </w:r>
          </w:p>
        </w:tc>
        <w:tc>
          <w:tcPr>
            <w:tcW w:w="22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STANDARD</w:t>
            </w:r>
          </w:p>
        </w:tc>
        <w:tc>
          <w:tcPr>
            <w:tcW w:w="22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PLUS</w:t>
            </w:r>
          </w:p>
        </w:tc>
        <w:tc>
          <w:tcPr>
            <w:tcW w:w="22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PREMIUM</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Posicionamento</w:t>
            </w:r>
          </w:p>
        </w:tc>
        <w:tc>
          <w:tcPr>
            <w:tcW w:w="2200" w:type="dxa"/>
            <w:tcMar>
              <w:top w:w="60" w:type="dxa"/>
              <w:left w:w="100" w:type="dxa"/>
              <w:bottom w:w="60" w:type="dxa"/>
              <w:right w:w="100" w:type="dxa"/>
            </w:tcMar>
            <w:vAlign w:val="center"/>
          </w:tcPr>
          <w:p w:rsidR="00B72C53" w:rsidRDefault="00A61A1E">
            <w:r>
              <w:rPr>
                <w:sz w:val="19"/>
                <w:szCs w:val="19"/>
              </w:rPr>
              <w:t>Rede local / custo controlado</w:t>
            </w:r>
          </w:p>
        </w:tc>
        <w:tc>
          <w:tcPr>
            <w:tcW w:w="2200" w:type="dxa"/>
            <w:tcMar>
              <w:top w:w="60" w:type="dxa"/>
              <w:left w:w="100" w:type="dxa"/>
              <w:bottom w:w="60" w:type="dxa"/>
              <w:right w:w="100" w:type="dxa"/>
            </w:tcMar>
            <w:vAlign w:val="center"/>
          </w:tcPr>
          <w:p w:rsidR="00B72C53" w:rsidRDefault="00A61A1E">
            <w:r>
              <w:rPr>
                <w:sz w:val="19"/>
                <w:szCs w:val="19"/>
              </w:rPr>
              <w:t>Corporate equilibrado</w:t>
            </w:r>
          </w:p>
        </w:tc>
        <w:tc>
          <w:tcPr>
            <w:tcW w:w="2200" w:type="dxa"/>
            <w:tcMar>
              <w:top w:w="60" w:type="dxa"/>
              <w:left w:w="100" w:type="dxa"/>
              <w:bottom w:w="60" w:type="dxa"/>
              <w:right w:w="100" w:type="dxa"/>
            </w:tcMar>
            <w:vAlign w:val="center"/>
          </w:tcPr>
          <w:p w:rsidR="00B72C53" w:rsidRDefault="00A61A1E">
            <w:r>
              <w:rPr>
                <w:sz w:val="19"/>
                <w:szCs w:val="19"/>
              </w:rPr>
              <w:t>Corporate alargado</w:t>
            </w:r>
          </w:p>
        </w:tc>
        <w:tc>
          <w:tcPr>
            <w:tcW w:w="2200" w:type="dxa"/>
            <w:tcMar>
              <w:top w:w="60" w:type="dxa"/>
              <w:left w:w="100" w:type="dxa"/>
              <w:bottom w:w="60" w:type="dxa"/>
              <w:right w:w="100" w:type="dxa"/>
            </w:tcMar>
            <w:vAlign w:val="center"/>
          </w:tcPr>
          <w:p w:rsidR="00B72C53" w:rsidRDefault="00A61A1E">
            <w:r>
              <w:rPr>
                <w:sz w:val="19"/>
                <w:szCs w:val="19"/>
              </w:rPr>
              <w:t>Executivo / internacional</w:t>
            </w:r>
          </w:p>
        </w:tc>
      </w:tr>
      <w:tr w:rsidR="00B72C53" w:rsidRPr="00F80D02">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t>Rede base</w:t>
            </w:r>
          </w:p>
        </w:tc>
        <w:tc>
          <w:tcPr>
            <w:tcW w:w="2200" w:type="dxa"/>
            <w:shd w:val="clear" w:color="auto" w:fill="F2F2F2"/>
            <w:tcMar>
              <w:top w:w="60" w:type="dxa"/>
              <w:left w:w="100" w:type="dxa"/>
              <w:bottom w:w="60" w:type="dxa"/>
              <w:right w:w="100" w:type="dxa"/>
            </w:tcMar>
            <w:vAlign w:val="center"/>
          </w:tcPr>
          <w:p w:rsidR="00B72C53" w:rsidRDefault="00A61A1E">
            <w:r>
              <w:rPr>
                <w:sz w:val="19"/>
                <w:szCs w:val="19"/>
              </w:rPr>
              <w:t>Angola</w:t>
            </w:r>
          </w:p>
        </w:tc>
        <w:tc>
          <w:tcPr>
            <w:tcW w:w="2200" w:type="dxa"/>
            <w:shd w:val="clear" w:color="auto" w:fill="F2F2F2"/>
            <w:tcMar>
              <w:top w:w="60" w:type="dxa"/>
              <w:left w:w="100" w:type="dxa"/>
              <w:bottom w:w="60" w:type="dxa"/>
              <w:right w:w="100" w:type="dxa"/>
            </w:tcMar>
            <w:vAlign w:val="center"/>
          </w:tcPr>
          <w:p w:rsidR="00B72C53" w:rsidRDefault="00A61A1E">
            <w:r>
              <w:rPr>
                <w:sz w:val="19"/>
                <w:szCs w:val="19"/>
              </w:rPr>
              <w:t>Angola</w:t>
            </w:r>
          </w:p>
        </w:tc>
        <w:tc>
          <w:tcPr>
            <w:tcW w:w="2200" w:type="dxa"/>
            <w:shd w:val="clear" w:color="auto" w:fill="F2F2F2"/>
            <w:tcMar>
              <w:top w:w="60" w:type="dxa"/>
              <w:left w:w="100" w:type="dxa"/>
              <w:bottom w:w="60" w:type="dxa"/>
              <w:right w:w="100" w:type="dxa"/>
            </w:tcMar>
            <w:vAlign w:val="center"/>
          </w:tcPr>
          <w:p w:rsidR="00B72C53" w:rsidRDefault="00A61A1E">
            <w:r>
              <w:rPr>
                <w:sz w:val="19"/>
                <w:szCs w:val="19"/>
              </w:rPr>
              <w:t>Angola + África Austral</w:t>
            </w:r>
          </w:p>
        </w:tc>
        <w:tc>
          <w:tcPr>
            <w:tcW w:w="22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Angola + África Austral + extensão aprovada</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Evacuação médica</w:t>
            </w:r>
          </w:p>
        </w:tc>
        <w:tc>
          <w:tcPr>
            <w:tcW w:w="2200" w:type="dxa"/>
            <w:tcMar>
              <w:top w:w="60" w:type="dxa"/>
              <w:left w:w="100" w:type="dxa"/>
              <w:bottom w:w="60" w:type="dxa"/>
              <w:right w:w="100" w:type="dxa"/>
            </w:tcMar>
            <w:vAlign w:val="center"/>
          </w:tcPr>
          <w:p w:rsidR="00B72C53" w:rsidRDefault="00A61A1E">
            <w:r>
              <w:rPr>
                <w:sz w:val="19"/>
                <w:szCs w:val="19"/>
              </w:rPr>
              <w:t>Não</w:t>
            </w:r>
          </w:p>
        </w:tc>
        <w:tc>
          <w:tcPr>
            <w:tcW w:w="2200" w:type="dxa"/>
            <w:tcMar>
              <w:top w:w="60" w:type="dxa"/>
              <w:left w:w="100" w:type="dxa"/>
              <w:bottom w:w="60" w:type="dxa"/>
              <w:right w:w="100" w:type="dxa"/>
            </w:tcMar>
            <w:vAlign w:val="center"/>
          </w:tcPr>
          <w:p w:rsidR="00B72C53" w:rsidRDefault="00A61A1E">
            <w:r>
              <w:rPr>
                <w:sz w:val="19"/>
                <w:szCs w:val="19"/>
              </w:rPr>
              <w:t>Angola</w:t>
            </w:r>
          </w:p>
        </w:tc>
        <w:tc>
          <w:tcPr>
            <w:tcW w:w="2200" w:type="dxa"/>
            <w:tcMar>
              <w:top w:w="60" w:type="dxa"/>
              <w:left w:w="100" w:type="dxa"/>
              <w:bottom w:w="60" w:type="dxa"/>
              <w:right w:w="100" w:type="dxa"/>
            </w:tcMar>
            <w:vAlign w:val="center"/>
          </w:tcPr>
          <w:p w:rsidR="00B72C53" w:rsidRDefault="00A61A1E">
            <w:r>
              <w:rPr>
                <w:sz w:val="19"/>
                <w:szCs w:val="19"/>
              </w:rPr>
              <w:t>África Austral</w:t>
            </w:r>
          </w:p>
        </w:tc>
        <w:tc>
          <w:tcPr>
            <w:tcW w:w="2200" w:type="dxa"/>
            <w:tcMar>
              <w:top w:w="60" w:type="dxa"/>
              <w:left w:w="100" w:type="dxa"/>
              <w:bottom w:w="60" w:type="dxa"/>
              <w:right w:w="100" w:type="dxa"/>
            </w:tcMar>
            <w:vAlign w:val="center"/>
          </w:tcPr>
          <w:p w:rsidR="00B72C53" w:rsidRDefault="00A61A1E">
            <w:r>
              <w:rPr>
                <w:sz w:val="19"/>
                <w:szCs w:val="19"/>
              </w:rPr>
              <w:t>África Austral + internacional controlado</w:t>
            </w:r>
          </w:p>
        </w:tc>
      </w:tr>
    </w:tbl>
    <w:p w:rsidR="00B72C53" w:rsidRDefault="00B72C53">
      <w:pPr>
        <w:spacing w:after="120"/>
      </w:pPr>
    </w:p>
    <w:p w:rsidR="00B72C53" w:rsidRDefault="00A61A1E">
      <w:pPr>
        <w:pStyle w:val="Cabealho2"/>
        <w:spacing w:before="360" w:after="160"/>
      </w:pPr>
      <w:bookmarkStart w:id="9" w:name="_Toc239580118"/>
      <w:r>
        <w:rPr>
          <w:b/>
          <w:bCs/>
        </w:rPr>
        <w:t>2.2 Coberturas e limites por plano</w:t>
      </w:r>
      <w:bookmarkEnd w:id="9"/>
    </w:p>
    <w:p w:rsidR="00B72C53" w:rsidRPr="00F80D02" w:rsidRDefault="00A61A1E">
      <w:pPr>
        <w:spacing w:after="160" w:line="276" w:lineRule="auto"/>
        <w:rPr>
          <w:lang w:val="pt-PT"/>
        </w:rPr>
      </w:pPr>
      <w:r w:rsidRPr="00F80D02">
        <w:rPr>
          <w:lang w:val="pt-PT"/>
        </w:rPr>
        <w:t>Os limites anuais por cobertura (valores em AOA, fictícios) ilustram a progressão de benefício entre planos: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200"/>
        <w:gridCol w:w="2200"/>
        <w:gridCol w:w="2200"/>
      </w:tblGrid>
      <w:tr w:rsidR="00B72C53">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Cobertura</w:t>
            </w:r>
          </w:p>
        </w:tc>
        <w:tc>
          <w:tcPr>
            <w:tcW w:w="22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ESSENCIAL</w:t>
            </w:r>
          </w:p>
        </w:tc>
        <w:tc>
          <w:tcPr>
            <w:tcW w:w="22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STANDARD</w:t>
            </w:r>
          </w:p>
        </w:tc>
        <w:tc>
          <w:tcPr>
            <w:tcW w:w="22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PLUS</w:t>
            </w:r>
          </w:p>
        </w:tc>
        <w:tc>
          <w:tcPr>
            <w:tcW w:w="22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PREMIUM</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 xml:space="preserve">Hospitalização </w:t>
            </w:r>
            <w:r w:rsidR="00F80D02">
              <w:rPr>
                <w:sz w:val="19"/>
                <w:szCs w:val="19"/>
              </w:rPr>
              <w:t>annual</w:t>
            </w:r>
          </w:p>
        </w:tc>
        <w:tc>
          <w:tcPr>
            <w:tcW w:w="2200" w:type="dxa"/>
            <w:tcMar>
              <w:top w:w="60" w:type="dxa"/>
              <w:left w:w="100" w:type="dxa"/>
              <w:bottom w:w="60" w:type="dxa"/>
              <w:right w:w="100" w:type="dxa"/>
            </w:tcMar>
            <w:vAlign w:val="center"/>
          </w:tcPr>
          <w:p w:rsidR="00B72C53" w:rsidRDefault="00A61A1E">
            <w:pPr>
              <w:jc w:val="right"/>
            </w:pPr>
            <w:r>
              <w:rPr>
                <w:sz w:val="19"/>
                <w:szCs w:val="19"/>
              </w:rPr>
              <w:t>15.000.000</w:t>
            </w:r>
          </w:p>
        </w:tc>
        <w:tc>
          <w:tcPr>
            <w:tcW w:w="2200" w:type="dxa"/>
            <w:tcMar>
              <w:top w:w="60" w:type="dxa"/>
              <w:left w:w="100" w:type="dxa"/>
              <w:bottom w:w="60" w:type="dxa"/>
              <w:right w:w="100" w:type="dxa"/>
            </w:tcMar>
            <w:vAlign w:val="center"/>
          </w:tcPr>
          <w:p w:rsidR="00B72C53" w:rsidRDefault="00A61A1E">
            <w:pPr>
              <w:jc w:val="right"/>
            </w:pPr>
            <w:r>
              <w:rPr>
                <w:sz w:val="19"/>
                <w:szCs w:val="19"/>
              </w:rPr>
              <w:t>30.000.000</w:t>
            </w:r>
          </w:p>
        </w:tc>
        <w:tc>
          <w:tcPr>
            <w:tcW w:w="2200" w:type="dxa"/>
            <w:tcMar>
              <w:top w:w="60" w:type="dxa"/>
              <w:left w:w="100" w:type="dxa"/>
              <w:bottom w:w="60" w:type="dxa"/>
              <w:right w:w="100" w:type="dxa"/>
            </w:tcMar>
            <w:vAlign w:val="center"/>
          </w:tcPr>
          <w:p w:rsidR="00B72C53" w:rsidRDefault="00A61A1E">
            <w:pPr>
              <w:jc w:val="right"/>
            </w:pPr>
            <w:r>
              <w:rPr>
                <w:sz w:val="19"/>
                <w:szCs w:val="19"/>
              </w:rPr>
              <w:t>60.000.000</w:t>
            </w:r>
          </w:p>
        </w:tc>
        <w:tc>
          <w:tcPr>
            <w:tcW w:w="2200" w:type="dxa"/>
            <w:tcMar>
              <w:top w:w="60" w:type="dxa"/>
              <w:left w:w="100" w:type="dxa"/>
              <w:bottom w:w="60" w:type="dxa"/>
              <w:right w:w="100" w:type="dxa"/>
            </w:tcMar>
            <w:vAlign w:val="center"/>
          </w:tcPr>
          <w:p w:rsidR="00B72C53" w:rsidRDefault="00A61A1E">
            <w:pPr>
              <w:jc w:val="right"/>
            </w:pPr>
            <w:r>
              <w:rPr>
                <w:sz w:val="19"/>
                <w:szCs w:val="19"/>
              </w:rPr>
              <w:t>100.000.000</w:t>
            </w:r>
          </w:p>
        </w:tc>
      </w:tr>
      <w:tr w:rsidR="00B72C53">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t xml:space="preserve">Ambulatório </w:t>
            </w:r>
            <w:r w:rsidR="00F80D02">
              <w:rPr>
                <w:sz w:val="19"/>
                <w:szCs w:val="19"/>
              </w:rPr>
              <w:t>annual</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500.000</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1.000.000</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2.000.000</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3.500.000</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Medicamentos ambulatório</w:t>
            </w:r>
          </w:p>
        </w:tc>
        <w:tc>
          <w:tcPr>
            <w:tcW w:w="2200" w:type="dxa"/>
            <w:tcMar>
              <w:top w:w="60" w:type="dxa"/>
              <w:left w:w="100" w:type="dxa"/>
              <w:bottom w:w="60" w:type="dxa"/>
              <w:right w:w="100" w:type="dxa"/>
            </w:tcMar>
            <w:vAlign w:val="center"/>
          </w:tcPr>
          <w:p w:rsidR="00B72C53" w:rsidRDefault="00A61A1E">
            <w:pPr>
              <w:jc w:val="right"/>
            </w:pPr>
            <w:r>
              <w:rPr>
                <w:sz w:val="19"/>
                <w:szCs w:val="19"/>
              </w:rPr>
              <w:t>250.000</w:t>
            </w:r>
          </w:p>
        </w:tc>
        <w:tc>
          <w:tcPr>
            <w:tcW w:w="2200" w:type="dxa"/>
            <w:tcMar>
              <w:top w:w="60" w:type="dxa"/>
              <w:left w:w="100" w:type="dxa"/>
              <w:bottom w:w="60" w:type="dxa"/>
              <w:right w:w="100" w:type="dxa"/>
            </w:tcMar>
            <w:vAlign w:val="center"/>
          </w:tcPr>
          <w:p w:rsidR="00B72C53" w:rsidRDefault="00A61A1E">
            <w:pPr>
              <w:jc w:val="right"/>
            </w:pPr>
            <w:r>
              <w:rPr>
                <w:sz w:val="19"/>
                <w:szCs w:val="19"/>
              </w:rPr>
              <w:t>500.000</w:t>
            </w:r>
          </w:p>
        </w:tc>
        <w:tc>
          <w:tcPr>
            <w:tcW w:w="2200" w:type="dxa"/>
            <w:tcMar>
              <w:top w:w="60" w:type="dxa"/>
              <w:left w:w="100" w:type="dxa"/>
              <w:bottom w:w="60" w:type="dxa"/>
              <w:right w:w="100" w:type="dxa"/>
            </w:tcMar>
            <w:vAlign w:val="center"/>
          </w:tcPr>
          <w:p w:rsidR="00B72C53" w:rsidRDefault="00A61A1E">
            <w:pPr>
              <w:jc w:val="right"/>
            </w:pPr>
            <w:r>
              <w:rPr>
                <w:sz w:val="19"/>
                <w:szCs w:val="19"/>
              </w:rPr>
              <w:t>1.000.000</w:t>
            </w:r>
          </w:p>
        </w:tc>
        <w:tc>
          <w:tcPr>
            <w:tcW w:w="2200" w:type="dxa"/>
            <w:tcMar>
              <w:top w:w="60" w:type="dxa"/>
              <w:left w:w="100" w:type="dxa"/>
              <w:bottom w:w="60" w:type="dxa"/>
              <w:right w:w="100" w:type="dxa"/>
            </w:tcMar>
            <w:vAlign w:val="center"/>
          </w:tcPr>
          <w:p w:rsidR="00B72C53" w:rsidRDefault="00A61A1E">
            <w:pPr>
              <w:jc w:val="right"/>
            </w:pPr>
            <w:r>
              <w:rPr>
                <w:sz w:val="19"/>
                <w:szCs w:val="19"/>
              </w:rPr>
              <w:t>1.750.000</w:t>
            </w:r>
          </w:p>
        </w:tc>
      </w:tr>
      <w:tr w:rsidR="00B72C53">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t>Maternidade</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0 (não incluída)</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750.000</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1.500.000</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2.500.000</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Estomatologia</w:t>
            </w:r>
          </w:p>
        </w:tc>
        <w:tc>
          <w:tcPr>
            <w:tcW w:w="2200" w:type="dxa"/>
            <w:tcMar>
              <w:top w:w="60" w:type="dxa"/>
              <w:left w:w="100" w:type="dxa"/>
              <w:bottom w:w="60" w:type="dxa"/>
              <w:right w:w="100" w:type="dxa"/>
            </w:tcMar>
            <w:vAlign w:val="center"/>
          </w:tcPr>
          <w:p w:rsidR="00B72C53" w:rsidRDefault="00A61A1E">
            <w:pPr>
              <w:jc w:val="right"/>
            </w:pPr>
            <w:r>
              <w:rPr>
                <w:sz w:val="19"/>
                <w:szCs w:val="19"/>
              </w:rPr>
              <w:t>0 (não incluída)</w:t>
            </w:r>
          </w:p>
        </w:tc>
        <w:tc>
          <w:tcPr>
            <w:tcW w:w="2200" w:type="dxa"/>
            <w:tcMar>
              <w:top w:w="60" w:type="dxa"/>
              <w:left w:w="100" w:type="dxa"/>
              <w:bottom w:w="60" w:type="dxa"/>
              <w:right w:w="100" w:type="dxa"/>
            </w:tcMar>
            <w:vAlign w:val="center"/>
          </w:tcPr>
          <w:p w:rsidR="00B72C53" w:rsidRDefault="00A61A1E">
            <w:pPr>
              <w:jc w:val="right"/>
            </w:pPr>
            <w:r>
              <w:rPr>
                <w:sz w:val="19"/>
                <w:szCs w:val="19"/>
              </w:rPr>
              <w:t>150.000</w:t>
            </w:r>
          </w:p>
        </w:tc>
        <w:tc>
          <w:tcPr>
            <w:tcW w:w="2200" w:type="dxa"/>
            <w:tcMar>
              <w:top w:w="60" w:type="dxa"/>
              <w:left w:w="100" w:type="dxa"/>
              <w:bottom w:w="60" w:type="dxa"/>
              <w:right w:w="100" w:type="dxa"/>
            </w:tcMar>
            <w:vAlign w:val="center"/>
          </w:tcPr>
          <w:p w:rsidR="00B72C53" w:rsidRDefault="00A61A1E">
            <w:pPr>
              <w:jc w:val="right"/>
            </w:pPr>
            <w:r>
              <w:rPr>
                <w:sz w:val="19"/>
                <w:szCs w:val="19"/>
              </w:rPr>
              <w:t>300.000</w:t>
            </w:r>
          </w:p>
        </w:tc>
        <w:tc>
          <w:tcPr>
            <w:tcW w:w="2200" w:type="dxa"/>
            <w:tcMar>
              <w:top w:w="60" w:type="dxa"/>
              <w:left w:w="100" w:type="dxa"/>
              <w:bottom w:w="60" w:type="dxa"/>
              <w:right w:w="100" w:type="dxa"/>
            </w:tcMar>
            <w:vAlign w:val="center"/>
          </w:tcPr>
          <w:p w:rsidR="00B72C53" w:rsidRDefault="00A61A1E">
            <w:pPr>
              <w:jc w:val="right"/>
            </w:pPr>
            <w:r>
              <w:rPr>
                <w:sz w:val="19"/>
                <w:szCs w:val="19"/>
              </w:rPr>
              <w:t>500.000</w:t>
            </w:r>
          </w:p>
        </w:tc>
      </w:tr>
      <w:tr w:rsidR="00B72C53">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t>Óptica</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0 (não incluída)</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100.000</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200.000</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350.000</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Copagamento ambulatório</w:t>
            </w:r>
          </w:p>
        </w:tc>
        <w:tc>
          <w:tcPr>
            <w:tcW w:w="2200" w:type="dxa"/>
            <w:tcMar>
              <w:top w:w="60" w:type="dxa"/>
              <w:left w:w="100" w:type="dxa"/>
              <w:bottom w:w="60" w:type="dxa"/>
              <w:right w:w="100" w:type="dxa"/>
            </w:tcMar>
            <w:vAlign w:val="center"/>
          </w:tcPr>
          <w:p w:rsidR="00B72C53" w:rsidRDefault="00A61A1E">
            <w:pPr>
              <w:jc w:val="right"/>
            </w:pPr>
            <w:r>
              <w:rPr>
                <w:sz w:val="19"/>
                <w:szCs w:val="19"/>
              </w:rPr>
              <w:t>20%</w:t>
            </w:r>
          </w:p>
        </w:tc>
        <w:tc>
          <w:tcPr>
            <w:tcW w:w="2200" w:type="dxa"/>
            <w:tcMar>
              <w:top w:w="60" w:type="dxa"/>
              <w:left w:w="100" w:type="dxa"/>
              <w:bottom w:w="60" w:type="dxa"/>
              <w:right w:w="100" w:type="dxa"/>
            </w:tcMar>
            <w:vAlign w:val="center"/>
          </w:tcPr>
          <w:p w:rsidR="00B72C53" w:rsidRDefault="00A61A1E">
            <w:pPr>
              <w:jc w:val="right"/>
            </w:pPr>
            <w:r>
              <w:rPr>
                <w:sz w:val="19"/>
                <w:szCs w:val="19"/>
              </w:rPr>
              <w:t>15%</w:t>
            </w:r>
          </w:p>
        </w:tc>
        <w:tc>
          <w:tcPr>
            <w:tcW w:w="2200" w:type="dxa"/>
            <w:tcMar>
              <w:top w:w="60" w:type="dxa"/>
              <w:left w:w="100" w:type="dxa"/>
              <w:bottom w:w="60" w:type="dxa"/>
              <w:right w:w="100" w:type="dxa"/>
            </w:tcMar>
            <w:vAlign w:val="center"/>
          </w:tcPr>
          <w:p w:rsidR="00B72C53" w:rsidRDefault="00A61A1E">
            <w:pPr>
              <w:jc w:val="right"/>
            </w:pPr>
            <w:r>
              <w:rPr>
                <w:sz w:val="19"/>
                <w:szCs w:val="19"/>
              </w:rPr>
              <w:t>10%</w:t>
            </w:r>
          </w:p>
        </w:tc>
        <w:tc>
          <w:tcPr>
            <w:tcW w:w="2200" w:type="dxa"/>
            <w:tcMar>
              <w:top w:w="60" w:type="dxa"/>
              <w:left w:w="100" w:type="dxa"/>
              <w:bottom w:w="60" w:type="dxa"/>
              <w:right w:w="100" w:type="dxa"/>
            </w:tcMar>
            <w:vAlign w:val="center"/>
          </w:tcPr>
          <w:p w:rsidR="00B72C53" w:rsidRDefault="00A61A1E">
            <w:pPr>
              <w:jc w:val="right"/>
            </w:pPr>
            <w:r>
              <w:rPr>
                <w:sz w:val="19"/>
                <w:szCs w:val="19"/>
              </w:rPr>
              <w:t>5%</w:t>
            </w:r>
          </w:p>
        </w:tc>
      </w:tr>
      <w:tr w:rsidR="00B72C53">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t>Reembolso fora da rede</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0%</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60%</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75%</w:t>
            </w:r>
          </w:p>
        </w:tc>
        <w:tc>
          <w:tcPr>
            <w:tcW w:w="2200" w:type="dxa"/>
            <w:shd w:val="clear" w:color="auto" w:fill="F2F2F2"/>
            <w:tcMar>
              <w:top w:w="60" w:type="dxa"/>
              <w:left w:w="100" w:type="dxa"/>
              <w:bottom w:w="60" w:type="dxa"/>
              <w:right w:w="100" w:type="dxa"/>
            </w:tcMar>
            <w:vAlign w:val="center"/>
          </w:tcPr>
          <w:p w:rsidR="00B72C53" w:rsidRDefault="00A61A1E">
            <w:pPr>
              <w:jc w:val="right"/>
            </w:pPr>
            <w:r>
              <w:rPr>
                <w:sz w:val="19"/>
                <w:szCs w:val="19"/>
              </w:rPr>
              <w:t>85%</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Pré-autorização hospitalar</w:t>
            </w:r>
          </w:p>
        </w:tc>
        <w:tc>
          <w:tcPr>
            <w:tcW w:w="2200" w:type="dxa"/>
            <w:tcMar>
              <w:top w:w="60" w:type="dxa"/>
              <w:left w:w="100" w:type="dxa"/>
              <w:bottom w:w="60" w:type="dxa"/>
              <w:right w:w="100" w:type="dxa"/>
            </w:tcMar>
            <w:vAlign w:val="center"/>
          </w:tcPr>
          <w:p w:rsidR="00B72C53" w:rsidRDefault="00A61A1E">
            <w:pPr>
              <w:jc w:val="right"/>
            </w:pPr>
            <w:r>
              <w:rPr>
                <w:sz w:val="19"/>
                <w:szCs w:val="19"/>
              </w:rPr>
              <w:t>Sim</w:t>
            </w:r>
          </w:p>
        </w:tc>
        <w:tc>
          <w:tcPr>
            <w:tcW w:w="2200" w:type="dxa"/>
            <w:tcMar>
              <w:top w:w="60" w:type="dxa"/>
              <w:left w:w="100" w:type="dxa"/>
              <w:bottom w:w="60" w:type="dxa"/>
              <w:right w:w="100" w:type="dxa"/>
            </w:tcMar>
            <w:vAlign w:val="center"/>
          </w:tcPr>
          <w:p w:rsidR="00B72C53" w:rsidRDefault="00A61A1E">
            <w:pPr>
              <w:jc w:val="right"/>
            </w:pPr>
            <w:r>
              <w:rPr>
                <w:sz w:val="19"/>
                <w:szCs w:val="19"/>
              </w:rPr>
              <w:t>Sim</w:t>
            </w:r>
          </w:p>
        </w:tc>
        <w:tc>
          <w:tcPr>
            <w:tcW w:w="2200" w:type="dxa"/>
            <w:tcMar>
              <w:top w:w="60" w:type="dxa"/>
              <w:left w:w="100" w:type="dxa"/>
              <w:bottom w:w="60" w:type="dxa"/>
              <w:right w:w="100" w:type="dxa"/>
            </w:tcMar>
            <w:vAlign w:val="center"/>
          </w:tcPr>
          <w:p w:rsidR="00B72C53" w:rsidRDefault="00A61A1E">
            <w:pPr>
              <w:jc w:val="right"/>
            </w:pPr>
            <w:r>
              <w:rPr>
                <w:sz w:val="19"/>
                <w:szCs w:val="19"/>
              </w:rPr>
              <w:t>Sim</w:t>
            </w:r>
          </w:p>
        </w:tc>
        <w:tc>
          <w:tcPr>
            <w:tcW w:w="2200" w:type="dxa"/>
            <w:tcMar>
              <w:top w:w="60" w:type="dxa"/>
              <w:left w:w="100" w:type="dxa"/>
              <w:bottom w:w="60" w:type="dxa"/>
              <w:right w:w="100" w:type="dxa"/>
            </w:tcMar>
            <w:vAlign w:val="center"/>
          </w:tcPr>
          <w:p w:rsidR="00B72C53" w:rsidRDefault="00A61A1E">
            <w:pPr>
              <w:jc w:val="right"/>
            </w:pPr>
            <w:r>
              <w:rPr>
                <w:sz w:val="19"/>
                <w:szCs w:val="19"/>
              </w:rPr>
              <w:t>Sim</w:t>
            </w:r>
          </w:p>
        </w:tc>
      </w:tr>
    </w:tbl>
    <w:p w:rsidR="00B72C53" w:rsidRDefault="00B72C53">
      <w:pPr>
        <w:spacing w:after="120"/>
      </w:pPr>
    </w:p>
    <w:p w:rsidR="00B72C53" w:rsidRPr="00F80D02" w:rsidRDefault="00A61A1E">
      <w:pPr>
        <w:spacing w:after="160" w:line="276" w:lineRule="auto"/>
        <w:rPr>
          <w:lang w:val="pt-PT"/>
        </w:rPr>
      </w:pPr>
      <w:r w:rsidRPr="00F80D02">
        <w:rPr>
          <w:lang w:val="pt-PT"/>
        </w:rPr>
        <w:t>A leitura destas tabelas deve orientar a Subscrição e o Produto sobre onde reside a diferenciação de valor entre planos: sobretudo em (i) amplitude da rede e possibilidade de evacuação médica, (ii) nível de copagamento e reembolso fora de rede, e (iii) inc</w:t>
      </w:r>
      <w:r w:rsidRPr="00F80D02">
        <w:rPr>
          <w:lang w:val="pt-PT"/>
        </w:rPr>
        <w:t>lusão de coberturas acessórias (maternidade, estomatologia, óptica) a partir do plano STANDARD.</w:t>
      </w:r>
    </w:p>
    <w:p w:rsidR="00B72C53" w:rsidRPr="00F80D02" w:rsidRDefault="00A61A1E">
      <w:pPr>
        <w:pStyle w:val="Cabealho2"/>
        <w:spacing w:before="360" w:after="160"/>
        <w:rPr>
          <w:lang w:val="pt-PT"/>
        </w:rPr>
      </w:pPr>
      <w:bookmarkStart w:id="10" w:name="_Toc239580119"/>
      <w:r w:rsidRPr="00F80D02">
        <w:rPr>
          <w:b/>
          <w:bCs/>
          <w:lang w:val="pt-PT"/>
        </w:rPr>
        <w:t>2.3 Metodologia de base</w:t>
      </w:r>
      <w:bookmarkEnd w:id="10"/>
    </w:p>
    <w:p w:rsidR="00B72C53" w:rsidRDefault="00A61A1E">
      <w:pPr>
        <w:spacing w:after="160" w:line="276" w:lineRule="auto"/>
      </w:pPr>
      <w:r w:rsidRPr="00F80D02">
        <w:rPr>
          <w:lang w:val="pt-PT"/>
        </w:rPr>
        <w:t>A metodologia adoptada segue o princípio Q360: o prémio comercial resulta de um prémio base (por plano, calibrado para um perfil de referência) multiplicado por um conjunto de factores versionados que ajustam esse prémio ao perfil real do segurado ou grupo</w:t>
      </w:r>
      <w:r w:rsidRPr="00F80D02">
        <w:rPr>
          <w:lang w:val="pt-PT"/>
        </w:rPr>
        <w:t xml:space="preserve">, acrescido de loadings técnicos e comerciais explícitos. </w:t>
      </w:r>
      <w:r>
        <w:t>Esta abordagem multiplicativa tem três vantagens práticas:</w:t>
      </w:r>
    </w:p>
    <w:p w:rsidR="00B72C53" w:rsidRPr="00F80D02" w:rsidRDefault="00A61A1E">
      <w:pPr>
        <w:pStyle w:val="PargrafodaLista"/>
        <w:numPr>
          <w:ilvl w:val="0"/>
          <w:numId w:val="2"/>
        </w:numPr>
        <w:spacing w:after="80"/>
        <w:rPr>
          <w:lang w:val="pt-PT"/>
        </w:rPr>
      </w:pPr>
      <w:r w:rsidRPr="00F80D02">
        <w:rPr>
          <w:lang w:val="pt-PT"/>
        </w:rPr>
        <w:lastRenderedPageBreak/>
        <w:t>Permite isolar o efeito de cada variável de risco (idade, composição familiar, dimensão do grupo, geografia, experiência) sem misturar efei</w:t>
      </w:r>
      <w:r w:rsidRPr="00F80D02">
        <w:rPr>
          <w:lang w:val="pt-PT"/>
        </w:rPr>
        <w:t>tos;</w:t>
      </w:r>
    </w:p>
    <w:p w:rsidR="00B72C53" w:rsidRPr="00F80D02" w:rsidRDefault="00A61A1E">
      <w:pPr>
        <w:pStyle w:val="PargrafodaLista"/>
        <w:numPr>
          <w:ilvl w:val="0"/>
          <w:numId w:val="2"/>
        </w:numPr>
        <w:spacing w:after="80"/>
        <w:rPr>
          <w:lang w:val="pt-PT"/>
        </w:rPr>
      </w:pPr>
      <w:r w:rsidRPr="00F80D02">
        <w:rPr>
          <w:lang w:val="pt-PT"/>
        </w:rPr>
        <w:t>Facilita a calibração incremental — um único factor pode ser revisto sem reconstruir toda a tarifa;</w:t>
      </w:r>
    </w:p>
    <w:p w:rsidR="00B72C53" w:rsidRPr="00F80D02" w:rsidRDefault="00A61A1E">
      <w:pPr>
        <w:pStyle w:val="PargrafodaLista"/>
        <w:numPr>
          <w:ilvl w:val="0"/>
          <w:numId w:val="2"/>
        </w:numPr>
        <w:spacing w:after="80"/>
        <w:rPr>
          <w:lang w:val="pt-PT"/>
        </w:rPr>
      </w:pPr>
      <w:r w:rsidRPr="00F80D02">
        <w:rPr>
          <w:lang w:val="pt-PT"/>
        </w:rPr>
        <w:t>Torna o modelo auditável: a decomposição prémio base × factores + loadings é directamente reconciliável com a tabela de cálculo (ver Secção 3 e Anexo 9</w:t>
      </w:r>
      <w:r w:rsidRPr="00F80D02">
        <w:rPr>
          <w:lang w:val="pt-PT"/>
        </w:rPr>
        <w:t>.2).</w:t>
      </w:r>
    </w:p>
    <w:p w:rsidR="00B72C53" w:rsidRPr="00F80D02" w:rsidRDefault="00A61A1E">
      <w:pPr>
        <w:rPr>
          <w:lang w:val="pt-PT"/>
        </w:rPr>
      </w:pPr>
      <w:r w:rsidRPr="00F80D02">
        <w:rPr>
          <w:lang w:val="pt-PT"/>
        </w:rPr>
        <w:br w:type="page"/>
      </w:r>
    </w:p>
    <w:p w:rsidR="00B72C53" w:rsidRPr="00F80D02" w:rsidRDefault="00A61A1E">
      <w:pPr>
        <w:pStyle w:val="Cabealho1"/>
        <w:pBdr>
          <w:bottom w:val="single" w:sz="12" w:space="4" w:color="1F3864"/>
        </w:pBdr>
        <w:spacing w:before="480" w:after="240"/>
        <w:rPr>
          <w:lang w:val="pt-PT"/>
        </w:rPr>
      </w:pPr>
      <w:bookmarkStart w:id="11" w:name="_Toc239580120"/>
      <w:r w:rsidRPr="00F80D02">
        <w:rPr>
          <w:b/>
          <w:bCs/>
          <w:color w:val="1F3864"/>
          <w:lang w:val="pt-PT"/>
        </w:rPr>
        <w:lastRenderedPageBreak/>
        <w:t>3. Estrutura de Cálculo</w:t>
      </w:r>
      <w:bookmarkEnd w:id="11"/>
    </w:p>
    <w:p w:rsidR="00B72C53" w:rsidRPr="00F80D02" w:rsidRDefault="00A61A1E">
      <w:pPr>
        <w:pStyle w:val="Cabealho2"/>
        <w:spacing w:before="360" w:after="160"/>
        <w:rPr>
          <w:lang w:val="pt-PT"/>
        </w:rPr>
      </w:pPr>
      <w:bookmarkStart w:id="12" w:name="_Toc239580121"/>
      <w:r w:rsidRPr="00F80D02">
        <w:rPr>
          <w:b/>
          <w:bCs/>
          <w:lang w:val="pt-PT"/>
        </w:rPr>
        <w:t>3.1 Fórmula geral do prémio comercial</w:t>
      </w:r>
      <w:bookmarkEnd w:id="12"/>
    </w:p>
    <w:p w:rsidR="00B72C53" w:rsidRPr="00F80D02" w:rsidRDefault="00A61A1E">
      <w:pPr>
        <w:pBdr>
          <w:top w:val="single" w:sz="6" w:space="8" w:color="1F3864"/>
          <w:bottom w:val="single" w:sz="6" w:space="8" w:color="1F3864"/>
        </w:pBdr>
        <w:shd w:val="clear" w:color="auto" w:fill="DCE6F1"/>
        <w:spacing w:before="120" w:after="120"/>
        <w:jc w:val="center"/>
        <w:rPr>
          <w:lang w:val="pt-PT"/>
        </w:rPr>
      </w:pPr>
      <w:r w:rsidRPr="00F80D02">
        <w:rPr>
          <w:b/>
          <w:bCs/>
          <w:color w:val="1F3864"/>
          <w:lang w:val="pt-PT"/>
        </w:rPr>
        <w:t>Prémio de Risco Ajustado = Prémio Base × F_idade × F_relação × F_grupo × F_área × F_experiência × F_underwriting</w:t>
      </w:r>
    </w:p>
    <w:p w:rsidR="00B72C53" w:rsidRPr="00F80D02" w:rsidRDefault="00A61A1E">
      <w:pPr>
        <w:pBdr>
          <w:bottom w:val="single" w:sz="6" w:space="8" w:color="1F3864"/>
        </w:pBdr>
        <w:shd w:val="clear" w:color="auto" w:fill="DCE6F1"/>
        <w:spacing w:after="200"/>
        <w:jc w:val="center"/>
        <w:rPr>
          <w:lang w:val="pt-PT"/>
        </w:rPr>
      </w:pPr>
      <w:r w:rsidRPr="00F80D02">
        <w:rPr>
          <w:b/>
          <w:bCs/>
          <w:color w:val="1F3864"/>
          <w:lang w:val="pt-PT"/>
        </w:rPr>
        <w:t xml:space="preserve">Prémio Comercial = Prémio de Risco Ajustado × (1 + </w:t>
      </w:r>
      <w:r>
        <w:rPr>
          <w:b/>
          <w:bCs/>
          <w:color w:val="1F3864"/>
        </w:rPr>
        <w:t>Σ</w:t>
      </w:r>
      <w:r w:rsidRPr="00F80D02">
        <w:rPr>
          <w:b/>
          <w:bCs/>
          <w:color w:val="1F3864"/>
          <w:lang w:val="pt-PT"/>
        </w:rPr>
        <w:t xml:space="preserve"> Loadings)</w:t>
      </w:r>
    </w:p>
    <w:p w:rsidR="00B72C53" w:rsidRPr="00F80D02" w:rsidRDefault="00A61A1E">
      <w:pPr>
        <w:spacing w:after="160" w:line="276" w:lineRule="auto"/>
        <w:rPr>
          <w:lang w:val="pt-PT"/>
        </w:rPr>
      </w:pPr>
      <w:r w:rsidRPr="00F80D02">
        <w:rPr>
          <w:lang w:val="pt-PT"/>
        </w:rPr>
        <w:t>Cada factor tem valor de referência 1,00 (neutro) para o perfil-base do plano (adulto 30–39 anos, titular, rede Angola preferencial, grupo de 50–199 vidas, loss ratio histórico na faixa de referência, sem agravamento médico). Desvios face a este pe</w:t>
      </w:r>
      <w:bookmarkStart w:id="13" w:name="_GoBack"/>
      <w:bookmarkEnd w:id="13"/>
      <w:r w:rsidRPr="00F80D02">
        <w:rPr>
          <w:lang w:val="pt-PT"/>
        </w:rPr>
        <w:t>rfil apl</w:t>
      </w:r>
      <w:r w:rsidRPr="00F80D02">
        <w:rPr>
          <w:lang w:val="pt-PT"/>
        </w:rPr>
        <w:t>icam factores acima ou abaixo de 1,00, consoante aumentem ou reduzam o risco esperado.</w:t>
      </w:r>
    </w:p>
    <w:p w:rsidR="00B72C53" w:rsidRPr="00F80D02" w:rsidRDefault="00A61A1E">
      <w:pPr>
        <w:pStyle w:val="Cabealho2"/>
        <w:spacing w:before="360" w:after="160"/>
        <w:rPr>
          <w:lang w:val="pt-PT"/>
        </w:rPr>
      </w:pPr>
      <w:bookmarkStart w:id="14" w:name="_Toc239580122"/>
      <w:r w:rsidRPr="00F80D02">
        <w:rPr>
          <w:b/>
          <w:bCs/>
          <w:lang w:val="pt-PT"/>
        </w:rPr>
        <w:t>3.2 Componentes do cálculo</w:t>
      </w:r>
      <w:bookmarkEnd w:id="14"/>
    </w:p>
    <w:p w:rsidR="00B72C53" w:rsidRPr="00F80D02" w:rsidRDefault="00A61A1E">
      <w:pPr>
        <w:pStyle w:val="Cabealho3"/>
        <w:spacing w:before="240" w:after="120"/>
        <w:rPr>
          <w:lang w:val="pt-PT"/>
        </w:rPr>
      </w:pPr>
      <w:bookmarkStart w:id="15" w:name="_Toc239580123"/>
      <w:r w:rsidRPr="00F80D02">
        <w:rPr>
          <w:b/>
          <w:bCs/>
          <w:color w:val="595959"/>
          <w:sz w:val="22"/>
          <w:szCs w:val="22"/>
          <w:lang w:val="pt-PT"/>
        </w:rPr>
        <w:t>3.2.1 Prémio base</w:t>
      </w:r>
      <w:bookmarkEnd w:id="15"/>
    </w:p>
    <w:p w:rsidR="00B72C53" w:rsidRDefault="00A61A1E">
      <w:pPr>
        <w:spacing w:after="160" w:line="276" w:lineRule="auto"/>
      </w:pPr>
      <w:r w:rsidRPr="00F80D02">
        <w:rPr>
          <w:lang w:val="pt-PT"/>
        </w:rPr>
        <w:t xml:space="preserve">O prémio base é o valor de referência anual por plano, calculado para o perfil-base acima definido. </w:t>
      </w:r>
      <w:r>
        <w:t xml:space="preserve">Os valores do modelo de </w:t>
      </w:r>
      <w:r>
        <w:t>referência (fictícios) são: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600"/>
        <w:gridCol w:w="3600"/>
      </w:tblGrid>
      <w:tr w:rsidR="00B72C53">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Plano</w:t>
            </w:r>
          </w:p>
        </w:tc>
        <w:tc>
          <w:tcPr>
            <w:tcW w:w="2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Prémio Base Anual (AOA)</w:t>
            </w:r>
          </w:p>
        </w:tc>
        <w:tc>
          <w:tcPr>
            <w:tcW w:w="2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Equivalente Mensal (AOA)</w:t>
            </w:r>
          </w:p>
        </w:tc>
        <w:tc>
          <w:tcPr>
            <w:tcW w:w="3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Base técnica de referência</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ESSENCIAL</w:t>
            </w:r>
          </w:p>
        </w:tc>
        <w:tc>
          <w:tcPr>
            <w:tcW w:w="2600" w:type="dxa"/>
            <w:tcMar>
              <w:top w:w="60" w:type="dxa"/>
              <w:left w:w="100" w:type="dxa"/>
              <w:bottom w:w="60" w:type="dxa"/>
              <w:right w:w="100" w:type="dxa"/>
            </w:tcMar>
            <w:vAlign w:val="center"/>
          </w:tcPr>
          <w:p w:rsidR="00B72C53" w:rsidRDefault="00A61A1E">
            <w:pPr>
              <w:jc w:val="right"/>
            </w:pPr>
            <w:r>
              <w:rPr>
                <w:sz w:val="19"/>
                <w:szCs w:val="19"/>
              </w:rPr>
              <w:t>360.000</w:t>
            </w:r>
          </w:p>
        </w:tc>
        <w:tc>
          <w:tcPr>
            <w:tcW w:w="2600" w:type="dxa"/>
            <w:tcMar>
              <w:top w:w="60" w:type="dxa"/>
              <w:left w:w="100" w:type="dxa"/>
              <w:bottom w:w="60" w:type="dxa"/>
              <w:right w:w="100" w:type="dxa"/>
            </w:tcMar>
            <w:vAlign w:val="center"/>
          </w:tcPr>
          <w:p w:rsidR="00B72C53" w:rsidRDefault="00A61A1E">
            <w:pPr>
              <w:jc w:val="right"/>
            </w:pPr>
            <w:r>
              <w:rPr>
                <w:sz w:val="19"/>
                <w:szCs w:val="19"/>
              </w:rPr>
              <w:t>30.000</w:t>
            </w:r>
          </w:p>
        </w:tc>
        <w:tc>
          <w:tcPr>
            <w:tcW w:w="3600" w:type="dxa"/>
            <w:tcMar>
              <w:top w:w="60" w:type="dxa"/>
              <w:left w:w="100" w:type="dxa"/>
              <w:bottom w:w="60" w:type="dxa"/>
              <w:right w:w="100" w:type="dxa"/>
            </w:tcMar>
            <w:vAlign w:val="center"/>
          </w:tcPr>
          <w:p w:rsidR="00B72C53" w:rsidRDefault="00A61A1E">
            <w:r>
              <w:rPr>
                <w:sz w:val="19"/>
                <w:szCs w:val="19"/>
              </w:rPr>
              <w:t>Adulto 30–39, rede Angola, grupo 50–199</w:t>
            </w:r>
          </w:p>
        </w:tc>
      </w:tr>
      <w:tr w:rsidR="00B72C53">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t>STANDARD</w:t>
            </w:r>
          </w:p>
        </w:tc>
        <w:tc>
          <w:tcPr>
            <w:tcW w:w="2600" w:type="dxa"/>
            <w:shd w:val="clear" w:color="auto" w:fill="F2F2F2"/>
            <w:tcMar>
              <w:top w:w="60" w:type="dxa"/>
              <w:left w:w="100" w:type="dxa"/>
              <w:bottom w:w="60" w:type="dxa"/>
              <w:right w:w="100" w:type="dxa"/>
            </w:tcMar>
            <w:vAlign w:val="center"/>
          </w:tcPr>
          <w:p w:rsidR="00B72C53" w:rsidRDefault="00A61A1E">
            <w:pPr>
              <w:jc w:val="right"/>
            </w:pPr>
            <w:r>
              <w:rPr>
                <w:sz w:val="19"/>
                <w:szCs w:val="19"/>
              </w:rPr>
              <w:t>660.000</w:t>
            </w:r>
          </w:p>
        </w:tc>
        <w:tc>
          <w:tcPr>
            <w:tcW w:w="2600" w:type="dxa"/>
            <w:shd w:val="clear" w:color="auto" w:fill="F2F2F2"/>
            <w:tcMar>
              <w:top w:w="60" w:type="dxa"/>
              <w:left w:w="100" w:type="dxa"/>
              <w:bottom w:w="60" w:type="dxa"/>
              <w:right w:w="100" w:type="dxa"/>
            </w:tcMar>
            <w:vAlign w:val="center"/>
          </w:tcPr>
          <w:p w:rsidR="00B72C53" w:rsidRDefault="00A61A1E">
            <w:pPr>
              <w:jc w:val="right"/>
            </w:pPr>
            <w:r>
              <w:rPr>
                <w:sz w:val="19"/>
                <w:szCs w:val="19"/>
              </w:rPr>
              <w:t>55.000</w:t>
            </w:r>
          </w:p>
        </w:tc>
        <w:tc>
          <w:tcPr>
            <w:tcW w:w="3600" w:type="dxa"/>
            <w:shd w:val="clear" w:color="auto" w:fill="F2F2F2"/>
            <w:tcMar>
              <w:top w:w="60" w:type="dxa"/>
              <w:left w:w="100" w:type="dxa"/>
              <w:bottom w:w="60" w:type="dxa"/>
              <w:right w:w="100" w:type="dxa"/>
            </w:tcMar>
            <w:vAlign w:val="center"/>
          </w:tcPr>
          <w:p w:rsidR="00B72C53" w:rsidRDefault="00A61A1E">
            <w:r>
              <w:rPr>
                <w:sz w:val="19"/>
                <w:szCs w:val="19"/>
              </w:rPr>
              <w:t>Adulto 30–39, rede Angola, grupo 50–199</w:t>
            </w:r>
          </w:p>
        </w:tc>
      </w:tr>
      <w:tr w:rsidR="00B72C53" w:rsidRPr="00F80D02">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PLUS</w:t>
            </w:r>
          </w:p>
        </w:tc>
        <w:tc>
          <w:tcPr>
            <w:tcW w:w="2600" w:type="dxa"/>
            <w:tcMar>
              <w:top w:w="60" w:type="dxa"/>
              <w:left w:w="100" w:type="dxa"/>
              <w:bottom w:w="60" w:type="dxa"/>
              <w:right w:w="100" w:type="dxa"/>
            </w:tcMar>
            <w:vAlign w:val="center"/>
          </w:tcPr>
          <w:p w:rsidR="00B72C53" w:rsidRDefault="00A61A1E">
            <w:pPr>
              <w:jc w:val="right"/>
            </w:pPr>
            <w:r>
              <w:rPr>
                <w:sz w:val="19"/>
                <w:szCs w:val="19"/>
              </w:rPr>
              <w:t>1.050.000</w:t>
            </w:r>
          </w:p>
        </w:tc>
        <w:tc>
          <w:tcPr>
            <w:tcW w:w="2600" w:type="dxa"/>
            <w:tcMar>
              <w:top w:w="60" w:type="dxa"/>
              <w:left w:w="100" w:type="dxa"/>
              <w:bottom w:w="60" w:type="dxa"/>
              <w:right w:w="100" w:type="dxa"/>
            </w:tcMar>
            <w:vAlign w:val="center"/>
          </w:tcPr>
          <w:p w:rsidR="00B72C53" w:rsidRDefault="00A61A1E">
            <w:pPr>
              <w:jc w:val="right"/>
            </w:pPr>
            <w:r>
              <w:rPr>
                <w:sz w:val="19"/>
                <w:szCs w:val="19"/>
              </w:rPr>
              <w:t>87.500</w:t>
            </w:r>
          </w:p>
        </w:tc>
        <w:tc>
          <w:tcPr>
            <w:tcW w:w="36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Adulto 30–39, rede Angola + opção África Austral</w:t>
            </w:r>
          </w:p>
        </w:tc>
      </w:tr>
      <w:tr w:rsidR="00B72C53">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t>PREMIUM</w:t>
            </w:r>
          </w:p>
        </w:tc>
        <w:tc>
          <w:tcPr>
            <w:tcW w:w="2600" w:type="dxa"/>
            <w:shd w:val="clear" w:color="auto" w:fill="F2F2F2"/>
            <w:tcMar>
              <w:top w:w="60" w:type="dxa"/>
              <w:left w:w="100" w:type="dxa"/>
              <w:bottom w:w="60" w:type="dxa"/>
              <w:right w:w="100" w:type="dxa"/>
            </w:tcMar>
            <w:vAlign w:val="center"/>
          </w:tcPr>
          <w:p w:rsidR="00B72C53" w:rsidRDefault="00A61A1E">
            <w:pPr>
              <w:jc w:val="right"/>
            </w:pPr>
            <w:r>
              <w:rPr>
                <w:sz w:val="19"/>
                <w:szCs w:val="19"/>
              </w:rPr>
              <w:t>1.740.000</w:t>
            </w:r>
          </w:p>
        </w:tc>
        <w:tc>
          <w:tcPr>
            <w:tcW w:w="2600" w:type="dxa"/>
            <w:shd w:val="clear" w:color="auto" w:fill="F2F2F2"/>
            <w:tcMar>
              <w:top w:w="60" w:type="dxa"/>
              <w:left w:w="100" w:type="dxa"/>
              <w:bottom w:w="60" w:type="dxa"/>
              <w:right w:w="100" w:type="dxa"/>
            </w:tcMar>
            <w:vAlign w:val="center"/>
          </w:tcPr>
          <w:p w:rsidR="00B72C53" w:rsidRDefault="00A61A1E">
            <w:pPr>
              <w:jc w:val="right"/>
            </w:pPr>
            <w:r>
              <w:rPr>
                <w:sz w:val="19"/>
                <w:szCs w:val="19"/>
              </w:rPr>
              <w:t>145.000</w:t>
            </w:r>
          </w:p>
        </w:tc>
        <w:tc>
          <w:tcPr>
            <w:tcW w:w="3600" w:type="dxa"/>
            <w:shd w:val="clear" w:color="auto" w:fill="F2F2F2"/>
            <w:tcMar>
              <w:top w:w="60" w:type="dxa"/>
              <w:left w:w="100" w:type="dxa"/>
              <w:bottom w:w="60" w:type="dxa"/>
              <w:right w:w="100" w:type="dxa"/>
            </w:tcMar>
            <w:vAlign w:val="center"/>
          </w:tcPr>
          <w:p w:rsidR="00B72C53" w:rsidRDefault="00A61A1E">
            <w:r>
              <w:rPr>
                <w:sz w:val="19"/>
                <w:szCs w:val="19"/>
              </w:rPr>
              <w:t>Adulto 30–39, benefício alargado</w:t>
            </w:r>
          </w:p>
        </w:tc>
      </w:tr>
    </w:tbl>
    <w:p w:rsidR="00B72C53" w:rsidRDefault="00B72C53">
      <w:pPr>
        <w:spacing w:after="120"/>
      </w:pPr>
    </w:p>
    <w:p w:rsidR="00B72C53" w:rsidRPr="00F80D02" w:rsidRDefault="00A61A1E">
      <w:pPr>
        <w:spacing w:after="160" w:line="276" w:lineRule="auto"/>
        <w:rPr>
          <w:lang w:val="pt-PT"/>
        </w:rPr>
      </w:pPr>
      <w:r w:rsidRPr="00F80D02">
        <w:rPr>
          <w:lang w:val="pt-PT"/>
        </w:rPr>
        <w:t>O prémio base deve resultar de um estudo de custo esperado por vida e por plano (frequência × severidade × custo unitário dos serviços cobertos), não de um valor arbitrário. A Secção 4 detalha a calibração deste componente.</w:t>
      </w:r>
    </w:p>
    <w:p w:rsidR="00B72C53" w:rsidRPr="00F80D02" w:rsidRDefault="00A61A1E">
      <w:pPr>
        <w:pStyle w:val="Cabealho3"/>
        <w:spacing w:before="240" w:after="120"/>
        <w:rPr>
          <w:lang w:val="pt-PT"/>
        </w:rPr>
      </w:pPr>
      <w:bookmarkStart w:id="16" w:name="_Toc239580124"/>
      <w:r w:rsidRPr="00F80D02">
        <w:rPr>
          <w:b/>
          <w:bCs/>
          <w:color w:val="595959"/>
          <w:sz w:val="22"/>
          <w:szCs w:val="22"/>
          <w:lang w:val="pt-PT"/>
        </w:rPr>
        <w:t>3.2.2 Factores etários</w:t>
      </w:r>
      <w:bookmarkEnd w:id="16"/>
    </w:p>
    <w:p w:rsidR="00B72C53" w:rsidRPr="00F80D02" w:rsidRDefault="00A61A1E">
      <w:pPr>
        <w:spacing w:after="160" w:line="276" w:lineRule="auto"/>
        <w:rPr>
          <w:lang w:val="pt-PT"/>
        </w:rPr>
      </w:pPr>
      <w:r w:rsidRPr="00F80D02">
        <w:rPr>
          <w:lang w:val="pt-PT"/>
        </w:rPr>
        <w:t>O factor etário reflecte a variação esperada de utilização e custo por banda de idade, face à banda de referência (30–39 anos = 1,00):</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00"/>
        <w:gridCol w:w="1300"/>
        <w:gridCol w:w="1200"/>
        <w:gridCol w:w="4600"/>
      </w:tblGrid>
      <w:tr w:rsidR="00B72C53">
        <w:tblPrEx>
          <w:tblCellMar>
            <w:top w:w="0" w:type="dxa"/>
            <w:bottom w:w="0" w:type="dxa"/>
          </w:tblCellMar>
        </w:tblPrEx>
        <w:trPr>
          <w:tblHeader/>
        </w:trPr>
        <w:tc>
          <w:tcPr>
            <w:tcW w:w="14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Banda etária</w:t>
            </w:r>
          </w:p>
        </w:tc>
        <w:tc>
          <w:tcPr>
            <w:tcW w:w="13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Idade mín.</w:t>
            </w:r>
          </w:p>
        </w:tc>
        <w:tc>
          <w:tcPr>
            <w:tcW w:w="13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Idade máx.</w:t>
            </w:r>
          </w:p>
        </w:tc>
        <w:tc>
          <w:tcPr>
            <w:tcW w:w="12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Factor</w:t>
            </w:r>
          </w:p>
        </w:tc>
        <w:tc>
          <w:tcPr>
            <w:tcW w:w="4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Racional actuarial</w:t>
            </w:r>
          </w:p>
        </w:tc>
      </w:tr>
      <w:tr w:rsidR="00B72C53" w:rsidRPr="00F80D02">
        <w:tblPrEx>
          <w:tblCellMar>
            <w:top w:w="0" w:type="dxa"/>
            <w:bottom w:w="0" w:type="dxa"/>
          </w:tblCellMar>
        </w:tblPrEx>
        <w:tc>
          <w:tcPr>
            <w:tcW w:w="1400" w:type="dxa"/>
            <w:tcMar>
              <w:top w:w="60" w:type="dxa"/>
              <w:left w:w="100" w:type="dxa"/>
              <w:bottom w:w="60" w:type="dxa"/>
              <w:right w:w="100" w:type="dxa"/>
            </w:tcMar>
            <w:vAlign w:val="center"/>
          </w:tcPr>
          <w:p w:rsidR="00B72C53" w:rsidRDefault="00A61A1E">
            <w:r>
              <w:rPr>
                <w:sz w:val="19"/>
                <w:szCs w:val="19"/>
              </w:rPr>
              <w:t>0–5</w:t>
            </w:r>
          </w:p>
        </w:tc>
        <w:tc>
          <w:tcPr>
            <w:tcW w:w="1300" w:type="dxa"/>
            <w:tcMar>
              <w:top w:w="60" w:type="dxa"/>
              <w:left w:w="100" w:type="dxa"/>
              <w:bottom w:w="60" w:type="dxa"/>
              <w:right w:w="100" w:type="dxa"/>
            </w:tcMar>
            <w:vAlign w:val="center"/>
          </w:tcPr>
          <w:p w:rsidR="00B72C53" w:rsidRDefault="00A61A1E">
            <w:pPr>
              <w:jc w:val="center"/>
            </w:pPr>
            <w:r>
              <w:rPr>
                <w:sz w:val="19"/>
                <w:szCs w:val="19"/>
              </w:rPr>
              <w:t>0</w:t>
            </w:r>
          </w:p>
        </w:tc>
        <w:tc>
          <w:tcPr>
            <w:tcW w:w="1300" w:type="dxa"/>
            <w:tcMar>
              <w:top w:w="60" w:type="dxa"/>
              <w:left w:w="100" w:type="dxa"/>
              <w:bottom w:w="60" w:type="dxa"/>
              <w:right w:w="100" w:type="dxa"/>
            </w:tcMar>
            <w:vAlign w:val="center"/>
          </w:tcPr>
          <w:p w:rsidR="00B72C53" w:rsidRDefault="00A61A1E">
            <w:pPr>
              <w:jc w:val="center"/>
            </w:pPr>
            <w:r>
              <w:rPr>
                <w:sz w:val="19"/>
                <w:szCs w:val="19"/>
              </w:rPr>
              <w:t>5</w:t>
            </w:r>
          </w:p>
        </w:tc>
        <w:tc>
          <w:tcPr>
            <w:tcW w:w="1200" w:type="dxa"/>
            <w:tcMar>
              <w:top w:w="60" w:type="dxa"/>
              <w:left w:w="100" w:type="dxa"/>
              <w:bottom w:w="60" w:type="dxa"/>
              <w:right w:w="100" w:type="dxa"/>
            </w:tcMar>
            <w:vAlign w:val="center"/>
          </w:tcPr>
          <w:p w:rsidR="00B72C53" w:rsidRDefault="00A61A1E">
            <w:pPr>
              <w:jc w:val="center"/>
            </w:pPr>
            <w:r>
              <w:rPr>
                <w:sz w:val="19"/>
                <w:szCs w:val="19"/>
              </w:rPr>
              <w:t>0,62</w:t>
            </w:r>
          </w:p>
        </w:tc>
        <w:tc>
          <w:tcPr>
            <w:tcW w:w="46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Utilização pediátrica; validar frequência/severidade</w:t>
            </w:r>
          </w:p>
        </w:tc>
      </w:tr>
      <w:tr w:rsidR="00B72C53" w:rsidRPr="00F80D02">
        <w:tblPrEx>
          <w:tblCellMar>
            <w:top w:w="0" w:type="dxa"/>
            <w:bottom w:w="0" w:type="dxa"/>
          </w:tblCellMar>
        </w:tblPrEx>
        <w:tc>
          <w:tcPr>
            <w:tcW w:w="1400" w:type="dxa"/>
            <w:shd w:val="clear" w:color="auto" w:fill="F2F2F2"/>
            <w:tcMar>
              <w:top w:w="60" w:type="dxa"/>
              <w:left w:w="100" w:type="dxa"/>
              <w:bottom w:w="60" w:type="dxa"/>
              <w:right w:w="100" w:type="dxa"/>
            </w:tcMar>
            <w:vAlign w:val="center"/>
          </w:tcPr>
          <w:p w:rsidR="00B72C53" w:rsidRDefault="00A61A1E">
            <w:r>
              <w:rPr>
                <w:sz w:val="19"/>
                <w:szCs w:val="19"/>
              </w:rPr>
              <w:t>6–17</w:t>
            </w:r>
          </w:p>
        </w:tc>
        <w:tc>
          <w:tcPr>
            <w:tcW w:w="1300" w:type="dxa"/>
            <w:shd w:val="clear" w:color="auto" w:fill="F2F2F2"/>
            <w:tcMar>
              <w:top w:w="60" w:type="dxa"/>
              <w:left w:w="100" w:type="dxa"/>
              <w:bottom w:w="60" w:type="dxa"/>
              <w:right w:w="100" w:type="dxa"/>
            </w:tcMar>
            <w:vAlign w:val="center"/>
          </w:tcPr>
          <w:p w:rsidR="00B72C53" w:rsidRDefault="00A61A1E">
            <w:pPr>
              <w:jc w:val="center"/>
            </w:pPr>
            <w:r>
              <w:rPr>
                <w:sz w:val="19"/>
                <w:szCs w:val="19"/>
              </w:rPr>
              <w:t>6</w:t>
            </w:r>
          </w:p>
        </w:tc>
        <w:tc>
          <w:tcPr>
            <w:tcW w:w="1300" w:type="dxa"/>
            <w:shd w:val="clear" w:color="auto" w:fill="F2F2F2"/>
            <w:tcMar>
              <w:top w:w="60" w:type="dxa"/>
              <w:left w:w="100" w:type="dxa"/>
              <w:bottom w:w="60" w:type="dxa"/>
              <w:right w:w="100" w:type="dxa"/>
            </w:tcMar>
            <w:vAlign w:val="center"/>
          </w:tcPr>
          <w:p w:rsidR="00B72C53" w:rsidRDefault="00A61A1E">
            <w:pPr>
              <w:jc w:val="center"/>
            </w:pPr>
            <w:r>
              <w:rPr>
                <w:sz w:val="19"/>
                <w:szCs w:val="19"/>
              </w:rPr>
              <w:t>17</w:t>
            </w:r>
          </w:p>
        </w:tc>
        <w:tc>
          <w:tcPr>
            <w:tcW w:w="1200" w:type="dxa"/>
            <w:shd w:val="clear" w:color="auto" w:fill="F2F2F2"/>
            <w:tcMar>
              <w:top w:w="60" w:type="dxa"/>
              <w:left w:w="100" w:type="dxa"/>
              <w:bottom w:w="60" w:type="dxa"/>
              <w:right w:w="100" w:type="dxa"/>
            </w:tcMar>
            <w:vAlign w:val="center"/>
          </w:tcPr>
          <w:p w:rsidR="00B72C53" w:rsidRDefault="00A61A1E">
            <w:pPr>
              <w:jc w:val="center"/>
            </w:pPr>
            <w:r>
              <w:rPr>
                <w:sz w:val="19"/>
                <w:szCs w:val="19"/>
              </w:rPr>
              <w:t>0,48</w:t>
            </w:r>
          </w:p>
        </w:tc>
        <w:tc>
          <w:tcPr>
            <w:tcW w:w="46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Severidade esperada mais baixa; validar utilização local</w:t>
            </w:r>
          </w:p>
        </w:tc>
      </w:tr>
      <w:tr w:rsidR="00B72C53" w:rsidRPr="00F80D02">
        <w:tblPrEx>
          <w:tblCellMar>
            <w:top w:w="0" w:type="dxa"/>
            <w:bottom w:w="0" w:type="dxa"/>
          </w:tblCellMar>
        </w:tblPrEx>
        <w:tc>
          <w:tcPr>
            <w:tcW w:w="1400" w:type="dxa"/>
            <w:tcMar>
              <w:top w:w="60" w:type="dxa"/>
              <w:left w:w="100" w:type="dxa"/>
              <w:bottom w:w="60" w:type="dxa"/>
              <w:right w:w="100" w:type="dxa"/>
            </w:tcMar>
            <w:vAlign w:val="center"/>
          </w:tcPr>
          <w:p w:rsidR="00B72C53" w:rsidRDefault="00A61A1E">
            <w:r>
              <w:rPr>
                <w:sz w:val="19"/>
                <w:szCs w:val="19"/>
              </w:rPr>
              <w:t>18–24</w:t>
            </w:r>
          </w:p>
        </w:tc>
        <w:tc>
          <w:tcPr>
            <w:tcW w:w="1300" w:type="dxa"/>
            <w:tcMar>
              <w:top w:w="60" w:type="dxa"/>
              <w:left w:w="100" w:type="dxa"/>
              <w:bottom w:w="60" w:type="dxa"/>
              <w:right w:w="100" w:type="dxa"/>
            </w:tcMar>
            <w:vAlign w:val="center"/>
          </w:tcPr>
          <w:p w:rsidR="00B72C53" w:rsidRDefault="00A61A1E">
            <w:pPr>
              <w:jc w:val="center"/>
            </w:pPr>
            <w:r>
              <w:rPr>
                <w:sz w:val="19"/>
                <w:szCs w:val="19"/>
              </w:rPr>
              <w:t>18</w:t>
            </w:r>
          </w:p>
        </w:tc>
        <w:tc>
          <w:tcPr>
            <w:tcW w:w="1300" w:type="dxa"/>
            <w:tcMar>
              <w:top w:w="60" w:type="dxa"/>
              <w:left w:w="100" w:type="dxa"/>
              <w:bottom w:w="60" w:type="dxa"/>
              <w:right w:w="100" w:type="dxa"/>
            </w:tcMar>
            <w:vAlign w:val="center"/>
          </w:tcPr>
          <w:p w:rsidR="00B72C53" w:rsidRDefault="00A61A1E">
            <w:pPr>
              <w:jc w:val="center"/>
            </w:pPr>
            <w:r>
              <w:rPr>
                <w:sz w:val="19"/>
                <w:szCs w:val="19"/>
              </w:rPr>
              <w:t>24</w:t>
            </w:r>
          </w:p>
        </w:tc>
        <w:tc>
          <w:tcPr>
            <w:tcW w:w="1200" w:type="dxa"/>
            <w:tcMar>
              <w:top w:w="60" w:type="dxa"/>
              <w:left w:w="100" w:type="dxa"/>
              <w:bottom w:w="60" w:type="dxa"/>
              <w:right w:w="100" w:type="dxa"/>
            </w:tcMar>
            <w:vAlign w:val="center"/>
          </w:tcPr>
          <w:p w:rsidR="00B72C53" w:rsidRDefault="00A61A1E">
            <w:pPr>
              <w:jc w:val="center"/>
            </w:pPr>
            <w:r>
              <w:rPr>
                <w:sz w:val="19"/>
                <w:szCs w:val="19"/>
              </w:rPr>
              <w:t>0,72</w:t>
            </w:r>
          </w:p>
        </w:tc>
        <w:tc>
          <w:tcPr>
            <w:tcW w:w="46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Adulto jovem, abaixo da referência</w:t>
            </w:r>
          </w:p>
        </w:tc>
      </w:tr>
      <w:tr w:rsidR="00B72C53" w:rsidRPr="00F80D02">
        <w:tblPrEx>
          <w:tblCellMar>
            <w:top w:w="0" w:type="dxa"/>
            <w:bottom w:w="0" w:type="dxa"/>
          </w:tblCellMar>
        </w:tblPrEx>
        <w:tc>
          <w:tcPr>
            <w:tcW w:w="1400" w:type="dxa"/>
            <w:shd w:val="clear" w:color="auto" w:fill="F2F2F2"/>
            <w:tcMar>
              <w:top w:w="60" w:type="dxa"/>
              <w:left w:w="100" w:type="dxa"/>
              <w:bottom w:w="60" w:type="dxa"/>
              <w:right w:w="100" w:type="dxa"/>
            </w:tcMar>
            <w:vAlign w:val="center"/>
          </w:tcPr>
          <w:p w:rsidR="00B72C53" w:rsidRDefault="00A61A1E">
            <w:r>
              <w:rPr>
                <w:sz w:val="19"/>
                <w:szCs w:val="19"/>
              </w:rPr>
              <w:t>25–29</w:t>
            </w:r>
          </w:p>
        </w:tc>
        <w:tc>
          <w:tcPr>
            <w:tcW w:w="1300" w:type="dxa"/>
            <w:shd w:val="clear" w:color="auto" w:fill="F2F2F2"/>
            <w:tcMar>
              <w:top w:w="60" w:type="dxa"/>
              <w:left w:w="100" w:type="dxa"/>
              <w:bottom w:w="60" w:type="dxa"/>
              <w:right w:w="100" w:type="dxa"/>
            </w:tcMar>
            <w:vAlign w:val="center"/>
          </w:tcPr>
          <w:p w:rsidR="00B72C53" w:rsidRDefault="00A61A1E">
            <w:pPr>
              <w:jc w:val="center"/>
            </w:pPr>
            <w:r>
              <w:rPr>
                <w:sz w:val="19"/>
                <w:szCs w:val="19"/>
              </w:rPr>
              <w:t>25</w:t>
            </w:r>
          </w:p>
        </w:tc>
        <w:tc>
          <w:tcPr>
            <w:tcW w:w="1300" w:type="dxa"/>
            <w:shd w:val="clear" w:color="auto" w:fill="F2F2F2"/>
            <w:tcMar>
              <w:top w:w="60" w:type="dxa"/>
              <w:left w:w="100" w:type="dxa"/>
              <w:bottom w:w="60" w:type="dxa"/>
              <w:right w:w="100" w:type="dxa"/>
            </w:tcMar>
            <w:vAlign w:val="center"/>
          </w:tcPr>
          <w:p w:rsidR="00B72C53" w:rsidRDefault="00A61A1E">
            <w:pPr>
              <w:jc w:val="center"/>
            </w:pPr>
            <w:r>
              <w:rPr>
                <w:sz w:val="19"/>
                <w:szCs w:val="19"/>
              </w:rPr>
              <w:t>29</w:t>
            </w:r>
          </w:p>
        </w:tc>
        <w:tc>
          <w:tcPr>
            <w:tcW w:w="1200" w:type="dxa"/>
            <w:shd w:val="clear" w:color="auto" w:fill="F2F2F2"/>
            <w:tcMar>
              <w:top w:w="60" w:type="dxa"/>
              <w:left w:w="100" w:type="dxa"/>
              <w:bottom w:w="60" w:type="dxa"/>
              <w:right w:w="100" w:type="dxa"/>
            </w:tcMar>
            <w:vAlign w:val="center"/>
          </w:tcPr>
          <w:p w:rsidR="00B72C53" w:rsidRDefault="00A61A1E">
            <w:pPr>
              <w:jc w:val="center"/>
            </w:pPr>
            <w:r>
              <w:rPr>
                <w:sz w:val="19"/>
                <w:szCs w:val="19"/>
              </w:rPr>
              <w:t>0,88</w:t>
            </w:r>
          </w:p>
        </w:tc>
        <w:tc>
          <w:tcPr>
            <w:tcW w:w="46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Transição para a idade de referência</w:t>
            </w:r>
          </w:p>
        </w:tc>
      </w:tr>
      <w:tr w:rsidR="00B72C53">
        <w:tblPrEx>
          <w:tblCellMar>
            <w:top w:w="0" w:type="dxa"/>
            <w:bottom w:w="0" w:type="dxa"/>
          </w:tblCellMar>
        </w:tblPrEx>
        <w:tc>
          <w:tcPr>
            <w:tcW w:w="1400" w:type="dxa"/>
            <w:tcMar>
              <w:top w:w="60" w:type="dxa"/>
              <w:left w:w="100" w:type="dxa"/>
              <w:bottom w:w="60" w:type="dxa"/>
              <w:right w:w="100" w:type="dxa"/>
            </w:tcMar>
            <w:vAlign w:val="center"/>
          </w:tcPr>
          <w:p w:rsidR="00B72C53" w:rsidRDefault="00A61A1E">
            <w:r>
              <w:rPr>
                <w:sz w:val="19"/>
                <w:szCs w:val="19"/>
              </w:rPr>
              <w:t>30–39</w:t>
            </w:r>
          </w:p>
        </w:tc>
        <w:tc>
          <w:tcPr>
            <w:tcW w:w="1300" w:type="dxa"/>
            <w:tcMar>
              <w:top w:w="60" w:type="dxa"/>
              <w:left w:w="100" w:type="dxa"/>
              <w:bottom w:w="60" w:type="dxa"/>
              <w:right w:w="100" w:type="dxa"/>
            </w:tcMar>
            <w:vAlign w:val="center"/>
          </w:tcPr>
          <w:p w:rsidR="00B72C53" w:rsidRDefault="00A61A1E">
            <w:pPr>
              <w:jc w:val="center"/>
            </w:pPr>
            <w:r>
              <w:rPr>
                <w:sz w:val="19"/>
                <w:szCs w:val="19"/>
              </w:rPr>
              <w:t>30</w:t>
            </w:r>
          </w:p>
        </w:tc>
        <w:tc>
          <w:tcPr>
            <w:tcW w:w="1300" w:type="dxa"/>
            <w:tcMar>
              <w:top w:w="60" w:type="dxa"/>
              <w:left w:w="100" w:type="dxa"/>
              <w:bottom w:w="60" w:type="dxa"/>
              <w:right w:w="100" w:type="dxa"/>
            </w:tcMar>
            <w:vAlign w:val="center"/>
          </w:tcPr>
          <w:p w:rsidR="00B72C53" w:rsidRDefault="00A61A1E">
            <w:pPr>
              <w:jc w:val="center"/>
            </w:pPr>
            <w:r>
              <w:rPr>
                <w:sz w:val="19"/>
                <w:szCs w:val="19"/>
              </w:rPr>
              <w:t>39</w:t>
            </w:r>
          </w:p>
        </w:tc>
        <w:tc>
          <w:tcPr>
            <w:tcW w:w="1200" w:type="dxa"/>
            <w:tcMar>
              <w:top w:w="60" w:type="dxa"/>
              <w:left w:w="100" w:type="dxa"/>
              <w:bottom w:w="60" w:type="dxa"/>
              <w:right w:w="100" w:type="dxa"/>
            </w:tcMar>
            <w:vAlign w:val="center"/>
          </w:tcPr>
          <w:p w:rsidR="00B72C53" w:rsidRDefault="00A61A1E">
            <w:pPr>
              <w:jc w:val="center"/>
            </w:pPr>
            <w:r>
              <w:rPr>
                <w:sz w:val="19"/>
                <w:szCs w:val="19"/>
              </w:rPr>
              <w:t>1,00</w:t>
            </w:r>
          </w:p>
        </w:tc>
        <w:tc>
          <w:tcPr>
            <w:tcW w:w="4600" w:type="dxa"/>
            <w:tcMar>
              <w:top w:w="60" w:type="dxa"/>
              <w:left w:w="100" w:type="dxa"/>
              <w:bottom w:w="60" w:type="dxa"/>
              <w:right w:w="100" w:type="dxa"/>
            </w:tcMar>
            <w:vAlign w:val="center"/>
          </w:tcPr>
          <w:p w:rsidR="00B72C53" w:rsidRDefault="00A61A1E">
            <w:r>
              <w:rPr>
                <w:sz w:val="19"/>
                <w:szCs w:val="19"/>
              </w:rPr>
              <w:t>Banda de referência</w:t>
            </w:r>
          </w:p>
        </w:tc>
      </w:tr>
      <w:tr w:rsidR="00B72C53">
        <w:tblPrEx>
          <w:tblCellMar>
            <w:top w:w="0" w:type="dxa"/>
            <w:bottom w:w="0" w:type="dxa"/>
          </w:tblCellMar>
        </w:tblPrEx>
        <w:tc>
          <w:tcPr>
            <w:tcW w:w="1400" w:type="dxa"/>
            <w:shd w:val="clear" w:color="auto" w:fill="F2F2F2"/>
            <w:tcMar>
              <w:top w:w="60" w:type="dxa"/>
              <w:left w:w="100" w:type="dxa"/>
              <w:bottom w:w="60" w:type="dxa"/>
              <w:right w:w="100" w:type="dxa"/>
            </w:tcMar>
            <w:vAlign w:val="center"/>
          </w:tcPr>
          <w:p w:rsidR="00B72C53" w:rsidRDefault="00A61A1E">
            <w:r>
              <w:rPr>
                <w:sz w:val="19"/>
                <w:szCs w:val="19"/>
              </w:rPr>
              <w:t>40–49</w:t>
            </w:r>
          </w:p>
        </w:tc>
        <w:tc>
          <w:tcPr>
            <w:tcW w:w="1300" w:type="dxa"/>
            <w:shd w:val="clear" w:color="auto" w:fill="F2F2F2"/>
            <w:tcMar>
              <w:top w:w="60" w:type="dxa"/>
              <w:left w:w="100" w:type="dxa"/>
              <w:bottom w:w="60" w:type="dxa"/>
              <w:right w:w="100" w:type="dxa"/>
            </w:tcMar>
            <w:vAlign w:val="center"/>
          </w:tcPr>
          <w:p w:rsidR="00B72C53" w:rsidRDefault="00A61A1E">
            <w:pPr>
              <w:jc w:val="center"/>
            </w:pPr>
            <w:r>
              <w:rPr>
                <w:sz w:val="19"/>
                <w:szCs w:val="19"/>
              </w:rPr>
              <w:t>40</w:t>
            </w:r>
          </w:p>
        </w:tc>
        <w:tc>
          <w:tcPr>
            <w:tcW w:w="1300" w:type="dxa"/>
            <w:shd w:val="clear" w:color="auto" w:fill="F2F2F2"/>
            <w:tcMar>
              <w:top w:w="60" w:type="dxa"/>
              <w:left w:w="100" w:type="dxa"/>
              <w:bottom w:w="60" w:type="dxa"/>
              <w:right w:w="100" w:type="dxa"/>
            </w:tcMar>
            <w:vAlign w:val="center"/>
          </w:tcPr>
          <w:p w:rsidR="00B72C53" w:rsidRDefault="00A61A1E">
            <w:pPr>
              <w:jc w:val="center"/>
            </w:pPr>
            <w:r>
              <w:rPr>
                <w:sz w:val="19"/>
                <w:szCs w:val="19"/>
              </w:rPr>
              <w:t>49</w:t>
            </w:r>
          </w:p>
        </w:tc>
        <w:tc>
          <w:tcPr>
            <w:tcW w:w="1200" w:type="dxa"/>
            <w:shd w:val="clear" w:color="auto" w:fill="F2F2F2"/>
            <w:tcMar>
              <w:top w:w="60" w:type="dxa"/>
              <w:left w:w="100" w:type="dxa"/>
              <w:bottom w:w="60" w:type="dxa"/>
              <w:right w:w="100" w:type="dxa"/>
            </w:tcMar>
            <w:vAlign w:val="center"/>
          </w:tcPr>
          <w:p w:rsidR="00B72C53" w:rsidRDefault="00A61A1E">
            <w:pPr>
              <w:jc w:val="center"/>
            </w:pPr>
            <w:r>
              <w:rPr>
                <w:sz w:val="19"/>
                <w:szCs w:val="19"/>
              </w:rPr>
              <w:t>1,28</w:t>
            </w:r>
          </w:p>
        </w:tc>
        <w:tc>
          <w:tcPr>
            <w:tcW w:w="4600" w:type="dxa"/>
            <w:shd w:val="clear" w:color="auto" w:fill="F2F2F2"/>
            <w:tcMar>
              <w:top w:w="60" w:type="dxa"/>
              <w:left w:w="100" w:type="dxa"/>
              <w:bottom w:w="60" w:type="dxa"/>
              <w:right w:w="100" w:type="dxa"/>
            </w:tcMar>
            <w:vAlign w:val="center"/>
          </w:tcPr>
          <w:p w:rsidR="00B72C53" w:rsidRDefault="00A61A1E">
            <w:r>
              <w:rPr>
                <w:sz w:val="19"/>
                <w:szCs w:val="19"/>
              </w:rPr>
              <w:t>Maior utilização crónica/diagnóstica</w:t>
            </w:r>
          </w:p>
        </w:tc>
      </w:tr>
      <w:tr w:rsidR="00B72C53">
        <w:tblPrEx>
          <w:tblCellMar>
            <w:top w:w="0" w:type="dxa"/>
            <w:bottom w:w="0" w:type="dxa"/>
          </w:tblCellMar>
        </w:tblPrEx>
        <w:tc>
          <w:tcPr>
            <w:tcW w:w="1400" w:type="dxa"/>
            <w:tcMar>
              <w:top w:w="60" w:type="dxa"/>
              <w:left w:w="100" w:type="dxa"/>
              <w:bottom w:w="60" w:type="dxa"/>
              <w:right w:w="100" w:type="dxa"/>
            </w:tcMar>
            <w:vAlign w:val="center"/>
          </w:tcPr>
          <w:p w:rsidR="00B72C53" w:rsidRDefault="00A61A1E">
            <w:r>
              <w:rPr>
                <w:sz w:val="19"/>
                <w:szCs w:val="19"/>
              </w:rPr>
              <w:t>50–59</w:t>
            </w:r>
          </w:p>
        </w:tc>
        <w:tc>
          <w:tcPr>
            <w:tcW w:w="1300" w:type="dxa"/>
            <w:tcMar>
              <w:top w:w="60" w:type="dxa"/>
              <w:left w:w="100" w:type="dxa"/>
              <w:bottom w:w="60" w:type="dxa"/>
              <w:right w:w="100" w:type="dxa"/>
            </w:tcMar>
            <w:vAlign w:val="center"/>
          </w:tcPr>
          <w:p w:rsidR="00B72C53" w:rsidRDefault="00A61A1E">
            <w:pPr>
              <w:jc w:val="center"/>
            </w:pPr>
            <w:r>
              <w:rPr>
                <w:sz w:val="19"/>
                <w:szCs w:val="19"/>
              </w:rPr>
              <w:t>50</w:t>
            </w:r>
          </w:p>
        </w:tc>
        <w:tc>
          <w:tcPr>
            <w:tcW w:w="1300" w:type="dxa"/>
            <w:tcMar>
              <w:top w:w="60" w:type="dxa"/>
              <w:left w:w="100" w:type="dxa"/>
              <w:bottom w:w="60" w:type="dxa"/>
              <w:right w:w="100" w:type="dxa"/>
            </w:tcMar>
            <w:vAlign w:val="center"/>
          </w:tcPr>
          <w:p w:rsidR="00B72C53" w:rsidRDefault="00A61A1E">
            <w:pPr>
              <w:jc w:val="center"/>
            </w:pPr>
            <w:r>
              <w:rPr>
                <w:sz w:val="19"/>
                <w:szCs w:val="19"/>
              </w:rPr>
              <w:t>59</w:t>
            </w:r>
          </w:p>
        </w:tc>
        <w:tc>
          <w:tcPr>
            <w:tcW w:w="1200" w:type="dxa"/>
            <w:tcMar>
              <w:top w:w="60" w:type="dxa"/>
              <w:left w:w="100" w:type="dxa"/>
              <w:bottom w:w="60" w:type="dxa"/>
              <w:right w:w="100" w:type="dxa"/>
            </w:tcMar>
            <w:vAlign w:val="center"/>
          </w:tcPr>
          <w:p w:rsidR="00B72C53" w:rsidRDefault="00A61A1E">
            <w:pPr>
              <w:jc w:val="center"/>
            </w:pPr>
            <w:r>
              <w:rPr>
                <w:sz w:val="19"/>
                <w:szCs w:val="19"/>
              </w:rPr>
              <w:t>1,72</w:t>
            </w:r>
          </w:p>
        </w:tc>
        <w:tc>
          <w:tcPr>
            <w:tcW w:w="4600" w:type="dxa"/>
            <w:tcMar>
              <w:top w:w="60" w:type="dxa"/>
              <w:left w:w="100" w:type="dxa"/>
              <w:bottom w:w="60" w:type="dxa"/>
              <w:right w:w="100" w:type="dxa"/>
            </w:tcMar>
            <w:vAlign w:val="center"/>
          </w:tcPr>
          <w:p w:rsidR="00B72C53" w:rsidRDefault="00A61A1E">
            <w:r>
              <w:rPr>
                <w:sz w:val="19"/>
                <w:szCs w:val="19"/>
              </w:rPr>
              <w:t>Maior frequência e severidade</w:t>
            </w:r>
          </w:p>
        </w:tc>
      </w:tr>
      <w:tr w:rsidR="00B72C53" w:rsidRPr="00F80D02">
        <w:tblPrEx>
          <w:tblCellMar>
            <w:top w:w="0" w:type="dxa"/>
            <w:bottom w:w="0" w:type="dxa"/>
          </w:tblCellMar>
        </w:tblPrEx>
        <w:tc>
          <w:tcPr>
            <w:tcW w:w="1400" w:type="dxa"/>
            <w:shd w:val="clear" w:color="auto" w:fill="F2F2F2"/>
            <w:tcMar>
              <w:top w:w="60" w:type="dxa"/>
              <w:left w:w="100" w:type="dxa"/>
              <w:bottom w:w="60" w:type="dxa"/>
              <w:right w:w="100" w:type="dxa"/>
            </w:tcMar>
            <w:vAlign w:val="center"/>
          </w:tcPr>
          <w:p w:rsidR="00B72C53" w:rsidRDefault="00A61A1E">
            <w:r>
              <w:rPr>
                <w:sz w:val="19"/>
                <w:szCs w:val="19"/>
              </w:rPr>
              <w:t>60–64</w:t>
            </w:r>
          </w:p>
        </w:tc>
        <w:tc>
          <w:tcPr>
            <w:tcW w:w="1300" w:type="dxa"/>
            <w:shd w:val="clear" w:color="auto" w:fill="F2F2F2"/>
            <w:tcMar>
              <w:top w:w="60" w:type="dxa"/>
              <w:left w:w="100" w:type="dxa"/>
              <w:bottom w:w="60" w:type="dxa"/>
              <w:right w:w="100" w:type="dxa"/>
            </w:tcMar>
            <w:vAlign w:val="center"/>
          </w:tcPr>
          <w:p w:rsidR="00B72C53" w:rsidRDefault="00A61A1E">
            <w:pPr>
              <w:jc w:val="center"/>
            </w:pPr>
            <w:r>
              <w:rPr>
                <w:sz w:val="19"/>
                <w:szCs w:val="19"/>
              </w:rPr>
              <w:t>60</w:t>
            </w:r>
          </w:p>
        </w:tc>
        <w:tc>
          <w:tcPr>
            <w:tcW w:w="1300" w:type="dxa"/>
            <w:shd w:val="clear" w:color="auto" w:fill="F2F2F2"/>
            <w:tcMar>
              <w:top w:w="60" w:type="dxa"/>
              <w:left w:w="100" w:type="dxa"/>
              <w:bottom w:w="60" w:type="dxa"/>
              <w:right w:w="100" w:type="dxa"/>
            </w:tcMar>
            <w:vAlign w:val="center"/>
          </w:tcPr>
          <w:p w:rsidR="00B72C53" w:rsidRDefault="00A61A1E">
            <w:pPr>
              <w:jc w:val="center"/>
            </w:pPr>
            <w:r>
              <w:rPr>
                <w:sz w:val="19"/>
                <w:szCs w:val="19"/>
              </w:rPr>
              <w:t>64</w:t>
            </w:r>
          </w:p>
        </w:tc>
        <w:tc>
          <w:tcPr>
            <w:tcW w:w="1200" w:type="dxa"/>
            <w:shd w:val="clear" w:color="auto" w:fill="F2F2F2"/>
            <w:tcMar>
              <w:top w:w="60" w:type="dxa"/>
              <w:left w:w="100" w:type="dxa"/>
              <w:bottom w:w="60" w:type="dxa"/>
              <w:right w:w="100" w:type="dxa"/>
            </w:tcMar>
            <w:vAlign w:val="center"/>
          </w:tcPr>
          <w:p w:rsidR="00B72C53" w:rsidRDefault="00A61A1E">
            <w:pPr>
              <w:jc w:val="center"/>
            </w:pPr>
            <w:r>
              <w:rPr>
                <w:sz w:val="19"/>
                <w:szCs w:val="19"/>
              </w:rPr>
              <w:t>2,25</w:t>
            </w:r>
          </w:p>
        </w:tc>
        <w:tc>
          <w:tcPr>
            <w:tcW w:w="46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Morbilidade de idade avançada; requer validação</w:t>
            </w:r>
          </w:p>
        </w:tc>
      </w:tr>
      <w:tr w:rsidR="00B72C53" w:rsidRPr="00F80D02">
        <w:tblPrEx>
          <w:tblCellMar>
            <w:top w:w="0" w:type="dxa"/>
            <w:bottom w:w="0" w:type="dxa"/>
          </w:tblCellMar>
        </w:tblPrEx>
        <w:tc>
          <w:tcPr>
            <w:tcW w:w="1400" w:type="dxa"/>
            <w:tcMar>
              <w:top w:w="60" w:type="dxa"/>
              <w:left w:w="100" w:type="dxa"/>
              <w:bottom w:w="60" w:type="dxa"/>
              <w:right w:w="100" w:type="dxa"/>
            </w:tcMar>
            <w:vAlign w:val="center"/>
          </w:tcPr>
          <w:p w:rsidR="00B72C53" w:rsidRDefault="00A61A1E">
            <w:r>
              <w:rPr>
                <w:sz w:val="19"/>
                <w:szCs w:val="19"/>
              </w:rPr>
              <w:lastRenderedPageBreak/>
              <w:t>65–69</w:t>
            </w:r>
          </w:p>
        </w:tc>
        <w:tc>
          <w:tcPr>
            <w:tcW w:w="1300" w:type="dxa"/>
            <w:tcMar>
              <w:top w:w="60" w:type="dxa"/>
              <w:left w:w="100" w:type="dxa"/>
              <w:bottom w:w="60" w:type="dxa"/>
              <w:right w:w="100" w:type="dxa"/>
            </w:tcMar>
            <w:vAlign w:val="center"/>
          </w:tcPr>
          <w:p w:rsidR="00B72C53" w:rsidRDefault="00A61A1E">
            <w:pPr>
              <w:jc w:val="center"/>
            </w:pPr>
            <w:r>
              <w:rPr>
                <w:sz w:val="19"/>
                <w:szCs w:val="19"/>
              </w:rPr>
              <w:t>65</w:t>
            </w:r>
          </w:p>
        </w:tc>
        <w:tc>
          <w:tcPr>
            <w:tcW w:w="1300" w:type="dxa"/>
            <w:tcMar>
              <w:top w:w="60" w:type="dxa"/>
              <w:left w:w="100" w:type="dxa"/>
              <w:bottom w:w="60" w:type="dxa"/>
              <w:right w:w="100" w:type="dxa"/>
            </w:tcMar>
            <w:vAlign w:val="center"/>
          </w:tcPr>
          <w:p w:rsidR="00B72C53" w:rsidRDefault="00A61A1E">
            <w:pPr>
              <w:jc w:val="center"/>
            </w:pPr>
            <w:r>
              <w:rPr>
                <w:sz w:val="19"/>
                <w:szCs w:val="19"/>
              </w:rPr>
              <w:t>69</w:t>
            </w:r>
          </w:p>
        </w:tc>
        <w:tc>
          <w:tcPr>
            <w:tcW w:w="1200" w:type="dxa"/>
            <w:tcMar>
              <w:top w:w="60" w:type="dxa"/>
              <w:left w:w="100" w:type="dxa"/>
              <w:bottom w:w="60" w:type="dxa"/>
              <w:right w:w="100" w:type="dxa"/>
            </w:tcMar>
            <w:vAlign w:val="center"/>
          </w:tcPr>
          <w:p w:rsidR="00B72C53" w:rsidRDefault="00A61A1E">
            <w:pPr>
              <w:jc w:val="center"/>
            </w:pPr>
            <w:r>
              <w:rPr>
                <w:sz w:val="19"/>
                <w:szCs w:val="19"/>
              </w:rPr>
              <w:t>2,90</w:t>
            </w:r>
          </w:p>
        </w:tc>
        <w:tc>
          <w:tcPr>
            <w:tcW w:w="46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Banda de alto risco; elegibilidade sujeita a aprovação</w:t>
            </w:r>
          </w:p>
        </w:tc>
      </w:tr>
      <w:tr w:rsidR="00B72C53" w:rsidRPr="00F80D02">
        <w:tblPrEx>
          <w:tblCellMar>
            <w:top w:w="0" w:type="dxa"/>
            <w:bottom w:w="0" w:type="dxa"/>
          </w:tblCellMar>
        </w:tblPrEx>
        <w:tc>
          <w:tcPr>
            <w:tcW w:w="1400" w:type="dxa"/>
            <w:shd w:val="clear" w:color="auto" w:fill="F2F2F2"/>
            <w:tcMar>
              <w:top w:w="60" w:type="dxa"/>
              <w:left w:w="100" w:type="dxa"/>
              <w:bottom w:w="60" w:type="dxa"/>
              <w:right w:w="100" w:type="dxa"/>
            </w:tcMar>
            <w:vAlign w:val="center"/>
          </w:tcPr>
          <w:p w:rsidR="00B72C53" w:rsidRDefault="00A61A1E">
            <w:r>
              <w:rPr>
                <w:sz w:val="19"/>
                <w:szCs w:val="19"/>
              </w:rPr>
              <w:t>70+</w:t>
            </w:r>
          </w:p>
        </w:tc>
        <w:tc>
          <w:tcPr>
            <w:tcW w:w="1300" w:type="dxa"/>
            <w:shd w:val="clear" w:color="auto" w:fill="F2F2F2"/>
            <w:tcMar>
              <w:top w:w="60" w:type="dxa"/>
              <w:left w:w="100" w:type="dxa"/>
              <w:bottom w:w="60" w:type="dxa"/>
              <w:right w:w="100" w:type="dxa"/>
            </w:tcMar>
            <w:vAlign w:val="center"/>
          </w:tcPr>
          <w:p w:rsidR="00B72C53" w:rsidRDefault="00A61A1E">
            <w:pPr>
              <w:jc w:val="center"/>
            </w:pPr>
            <w:r>
              <w:rPr>
                <w:sz w:val="19"/>
                <w:szCs w:val="19"/>
              </w:rPr>
              <w:t>70</w:t>
            </w:r>
          </w:p>
        </w:tc>
        <w:tc>
          <w:tcPr>
            <w:tcW w:w="1300" w:type="dxa"/>
            <w:shd w:val="clear" w:color="auto" w:fill="F2F2F2"/>
            <w:tcMar>
              <w:top w:w="60" w:type="dxa"/>
              <w:left w:w="100" w:type="dxa"/>
              <w:bottom w:w="60" w:type="dxa"/>
              <w:right w:w="100" w:type="dxa"/>
            </w:tcMar>
            <w:vAlign w:val="center"/>
          </w:tcPr>
          <w:p w:rsidR="00B72C53" w:rsidRDefault="00A61A1E">
            <w:pPr>
              <w:jc w:val="center"/>
            </w:pPr>
            <w:r>
              <w:rPr>
                <w:sz w:val="19"/>
                <w:szCs w:val="19"/>
              </w:rPr>
              <w:t>120</w:t>
            </w:r>
          </w:p>
        </w:tc>
        <w:tc>
          <w:tcPr>
            <w:tcW w:w="1200" w:type="dxa"/>
            <w:shd w:val="clear" w:color="auto" w:fill="F2F2F2"/>
            <w:tcMar>
              <w:top w:w="60" w:type="dxa"/>
              <w:left w:w="100" w:type="dxa"/>
              <w:bottom w:w="60" w:type="dxa"/>
              <w:right w:w="100" w:type="dxa"/>
            </w:tcMar>
            <w:vAlign w:val="center"/>
          </w:tcPr>
          <w:p w:rsidR="00B72C53" w:rsidRDefault="00A61A1E">
            <w:pPr>
              <w:jc w:val="center"/>
            </w:pPr>
            <w:r>
              <w:rPr>
                <w:sz w:val="19"/>
                <w:szCs w:val="19"/>
              </w:rPr>
              <w:t>3,80</w:t>
            </w:r>
          </w:p>
        </w:tc>
        <w:tc>
          <w:tcPr>
            <w:tcW w:w="46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Ilustrativo; decisão explícita de elegibilidade/underwriting</w:t>
            </w:r>
          </w:p>
        </w:tc>
      </w:tr>
    </w:tbl>
    <w:p w:rsidR="00B72C53" w:rsidRPr="00F80D02" w:rsidRDefault="00B72C53">
      <w:pPr>
        <w:spacing w:after="120"/>
        <w:rPr>
          <w:lang w:val="pt-PT"/>
        </w:rPr>
      </w:pPr>
    </w:p>
    <w:p w:rsidR="00B72C53" w:rsidRPr="00F80D02" w:rsidRDefault="00A61A1E">
      <w:pPr>
        <w:spacing w:after="160" w:line="276" w:lineRule="auto"/>
        <w:rPr>
          <w:lang w:val="pt-PT"/>
        </w:rPr>
      </w:pPr>
      <w:r w:rsidRPr="00F80D02">
        <w:rPr>
          <w:lang w:val="pt-PT"/>
        </w:rPr>
        <w:t>Exemplo numérico: um segurado de 45 anos no plano STANDARD tem prémio base de risco de 660.000 AOA × 1,28 (factor 40–49) = 844.800 AOA, antes de qualquer outro factor ou loading.</w:t>
      </w:r>
    </w:p>
    <w:p w:rsidR="00B72C53" w:rsidRPr="00F80D02" w:rsidRDefault="00A61A1E">
      <w:pPr>
        <w:pStyle w:val="Cabealho3"/>
        <w:spacing w:before="240" w:after="120"/>
        <w:rPr>
          <w:lang w:val="pt-PT"/>
        </w:rPr>
      </w:pPr>
      <w:bookmarkStart w:id="17" w:name="_Toc239580125"/>
      <w:r w:rsidRPr="00F80D02">
        <w:rPr>
          <w:b/>
          <w:bCs/>
          <w:color w:val="595959"/>
          <w:sz w:val="22"/>
          <w:szCs w:val="22"/>
          <w:lang w:val="pt-PT"/>
        </w:rPr>
        <w:t>3.2.3 Factores familiares</w:t>
      </w:r>
      <w:bookmarkEnd w:id="17"/>
    </w:p>
    <w:p w:rsidR="00B72C53" w:rsidRPr="00F80D02" w:rsidRDefault="00A61A1E">
      <w:pPr>
        <w:spacing w:after="160" w:line="276" w:lineRule="auto"/>
        <w:rPr>
          <w:lang w:val="pt-PT"/>
        </w:rPr>
      </w:pPr>
      <w:r w:rsidRPr="00F80D02">
        <w:rPr>
          <w:lang w:val="pt-PT"/>
        </w:rPr>
        <w:t>O factor de relação/composição familiar ajusta o pr</w:t>
      </w:r>
      <w:r w:rsidRPr="00F80D02">
        <w:rPr>
          <w:lang w:val="pt-PT"/>
        </w:rPr>
        <w:t>émio consoante o titular, cônjuge/adulto dependente ou filho: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600"/>
      </w:tblGrid>
      <w:tr w:rsidR="00B72C53">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Categoria</w:t>
            </w:r>
          </w:p>
        </w:tc>
        <w:tc>
          <w:tcPr>
            <w:tcW w:w="18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Factor</w:t>
            </w:r>
          </w:p>
        </w:tc>
        <w:tc>
          <w:tcPr>
            <w:tcW w:w="4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Nota</w:t>
            </w:r>
          </w:p>
        </w:tc>
      </w:tr>
      <w:tr w:rsidR="00B72C53" w:rsidRPr="00F80D02">
        <w:tblPrEx>
          <w:tblCellMar>
            <w:top w:w="0" w:type="dxa"/>
            <w:bottom w:w="0" w:type="dxa"/>
          </w:tblCellMar>
        </w:tblPrEx>
        <w:tc>
          <w:tcPr>
            <w:tcW w:w="3200" w:type="dxa"/>
            <w:tcMar>
              <w:top w:w="60" w:type="dxa"/>
              <w:left w:w="100" w:type="dxa"/>
              <w:bottom w:w="60" w:type="dxa"/>
              <w:right w:w="100" w:type="dxa"/>
            </w:tcMar>
            <w:vAlign w:val="center"/>
          </w:tcPr>
          <w:p w:rsidR="00B72C53" w:rsidRDefault="00A61A1E">
            <w:r>
              <w:rPr>
                <w:sz w:val="19"/>
                <w:szCs w:val="19"/>
              </w:rPr>
              <w:t>Titular</w:t>
            </w:r>
          </w:p>
        </w:tc>
        <w:tc>
          <w:tcPr>
            <w:tcW w:w="1800" w:type="dxa"/>
            <w:tcMar>
              <w:top w:w="60" w:type="dxa"/>
              <w:left w:w="100" w:type="dxa"/>
              <w:bottom w:w="60" w:type="dxa"/>
              <w:right w:w="100" w:type="dxa"/>
            </w:tcMar>
            <w:vAlign w:val="center"/>
          </w:tcPr>
          <w:p w:rsidR="00B72C53" w:rsidRDefault="00A61A1E">
            <w:pPr>
              <w:jc w:val="center"/>
            </w:pPr>
            <w:r>
              <w:rPr>
                <w:sz w:val="19"/>
                <w:szCs w:val="19"/>
              </w:rPr>
              <w:t>1,00</w:t>
            </w:r>
          </w:p>
        </w:tc>
        <w:tc>
          <w:tcPr>
            <w:tcW w:w="46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Factor neutro; a idade continua a aplicar-se</w:t>
            </w:r>
          </w:p>
        </w:tc>
      </w:tr>
      <w:tr w:rsidR="00B72C53" w:rsidRPr="00F80D02">
        <w:tblPrEx>
          <w:tblCellMar>
            <w:top w:w="0" w:type="dxa"/>
            <w:bottom w:w="0" w:type="dxa"/>
          </w:tblCellMar>
        </w:tblPrEx>
        <w:tc>
          <w:tcPr>
            <w:tcW w:w="3200" w:type="dxa"/>
            <w:shd w:val="clear" w:color="auto" w:fill="F2F2F2"/>
            <w:tcMar>
              <w:top w:w="60" w:type="dxa"/>
              <w:left w:w="100" w:type="dxa"/>
              <w:bottom w:w="60" w:type="dxa"/>
              <w:right w:w="100" w:type="dxa"/>
            </w:tcMar>
            <w:vAlign w:val="center"/>
          </w:tcPr>
          <w:p w:rsidR="00B72C53" w:rsidRDefault="00A61A1E">
            <w:r>
              <w:rPr>
                <w:sz w:val="19"/>
                <w:szCs w:val="19"/>
              </w:rPr>
              <w:t>Cônjuge/Adulto</w:t>
            </w:r>
          </w:p>
        </w:tc>
        <w:tc>
          <w:tcPr>
            <w:tcW w:w="1800" w:type="dxa"/>
            <w:shd w:val="clear" w:color="auto" w:fill="F2F2F2"/>
            <w:tcMar>
              <w:top w:w="60" w:type="dxa"/>
              <w:left w:w="100" w:type="dxa"/>
              <w:bottom w:w="60" w:type="dxa"/>
              <w:right w:w="100" w:type="dxa"/>
            </w:tcMar>
            <w:vAlign w:val="center"/>
          </w:tcPr>
          <w:p w:rsidR="00B72C53" w:rsidRDefault="00A61A1E">
            <w:pPr>
              <w:jc w:val="center"/>
            </w:pPr>
            <w:r>
              <w:rPr>
                <w:sz w:val="19"/>
                <w:szCs w:val="19"/>
              </w:rPr>
              <w:t>0,95</w:t>
            </w:r>
          </w:p>
        </w:tc>
        <w:tc>
          <w:tcPr>
            <w:tcW w:w="46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Ilustrativo; validar se deve ser 1,00</w:t>
            </w:r>
          </w:p>
        </w:tc>
      </w:tr>
      <w:tr w:rsidR="00B72C53" w:rsidRPr="00F80D02">
        <w:tblPrEx>
          <w:tblCellMar>
            <w:top w:w="0" w:type="dxa"/>
            <w:bottom w:w="0" w:type="dxa"/>
          </w:tblCellMar>
        </w:tblPrEx>
        <w:tc>
          <w:tcPr>
            <w:tcW w:w="3200" w:type="dxa"/>
            <w:tcMar>
              <w:top w:w="60" w:type="dxa"/>
              <w:left w:w="100" w:type="dxa"/>
              <w:bottom w:w="60" w:type="dxa"/>
              <w:right w:w="100" w:type="dxa"/>
            </w:tcMar>
            <w:vAlign w:val="center"/>
          </w:tcPr>
          <w:p w:rsidR="00B72C53" w:rsidRDefault="00A61A1E">
            <w:r>
              <w:rPr>
                <w:sz w:val="19"/>
                <w:szCs w:val="19"/>
              </w:rPr>
              <w:t>Filho 0–17</w:t>
            </w:r>
          </w:p>
        </w:tc>
        <w:tc>
          <w:tcPr>
            <w:tcW w:w="1800" w:type="dxa"/>
            <w:tcMar>
              <w:top w:w="60" w:type="dxa"/>
              <w:left w:w="100" w:type="dxa"/>
              <w:bottom w:w="60" w:type="dxa"/>
              <w:right w:w="100" w:type="dxa"/>
            </w:tcMar>
            <w:vAlign w:val="center"/>
          </w:tcPr>
          <w:p w:rsidR="00B72C53" w:rsidRDefault="00A61A1E">
            <w:pPr>
              <w:jc w:val="center"/>
            </w:pPr>
            <w:r>
              <w:rPr>
                <w:sz w:val="19"/>
                <w:szCs w:val="19"/>
              </w:rPr>
              <w:t>0,55</w:t>
            </w:r>
          </w:p>
        </w:tc>
        <w:tc>
          <w:tcPr>
            <w:tcW w:w="46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Pode ser substituído por age-rating puro</w:t>
            </w:r>
          </w:p>
        </w:tc>
      </w:tr>
      <w:tr w:rsidR="00B72C53" w:rsidRPr="00F80D02">
        <w:tblPrEx>
          <w:tblCellMar>
            <w:top w:w="0" w:type="dxa"/>
            <w:bottom w:w="0" w:type="dxa"/>
          </w:tblCellMar>
        </w:tblPrEx>
        <w:tc>
          <w:tcPr>
            <w:tcW w:w="3200" w:type="dxa"/>
            <w:shd w:val="clear" w:color="auto" w:fill="F2F2F2"/>
            <w:tcMar>
              <w:top w:w="60" w:type="dxa"/>
              <w:left w:w="100" w:type="dxa"/>
              <w:bottom w:w="60" w:type="dxa"/>
              <w:right w:w="100" w:type="dxa"/>
            </w:tcMar>
            <w:vAlign w:val="center"/>
          </w:tcPr>
          <w:p w:rsidR="00B72C53" w:rsidRDefault="00A61A1E">
            <w:r>
              <w:rPr>
                <w:sz w:val="19"/>
                <w:szCs w:val="19"/>
              </w:rPr>
              <w:t>Filho 18–25 estudante</w:t>
            </w:r>
          </w:p>
        </w:tc>
        <w:tc>
          <w:tcPr>
            <w:tcW w:w="1800" w:type="dxa"/>
            <w:shd w:val="clear" w:color="auto" w:fill="F2F2F2"/>
            <w:tcMar>
              <w:top w:w="60" w:type="dxa"/>
              <w:left w:w="100" w:type="dxa"/>
              <w:bottom w:w="60" w:type="dxa"/>
              <w:right w:w="100" w:type="dxa"/>
            </w:tcMar>
            <w:vAlign w:val="center"/>
          </w:tcPr>
          <w:p w:rsidR="00B72C53" w:rsidRDefault="00A61A1E">
            <w:pPr>
              <w:jc w:val="center"/>
            </w:pPr>
            <w:r>
              <w:rPr>
                <w:sz w:val="19"/>
                <w:szCs w:val="19"/>
              </w:rPr>
              <w:t>0,70</w:t>
            </w:r>
          </w:p>
        </w:tc>
        <w:tc>
          <w:tcPr>
            <w:tcW w:w="46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Sujeito a regra de elegibilidade</w:t>
            </w:r>
          </w:p>
        </w:tc>
      </w:tr>
    </w:tbl>
    <w:p w:rsidR="00B72C53" w:rsidRPr="00F80D02" w:rsidRDefault="00B72C53">
      <w:pPr>
        <w:spacing w:after="120"/>
        <w:rPr>
          <w:lang w:val="pt-PT"/>
        </w:rPr>
      </w:pPr>
    </w:p>
    <w:p w:rsidR="00B72C53" w:rsidRPr="00F80D02" w:rsidRDefault="00A61A1E">
      <w:pPr>
        <w:pBdr>
          <w:left w:val="single" w:sz="24" w:space="8" w:color="2E74B5"/>
        </w:pBdr>
        <w:shd w:val="clear" w:color="auto" w:fill="F2F2F2"/>
        <w:spacing w:before="80" w:after="200"/>
        <w:ind w:left="100"/>
        <w:rPr>
          <w:lang w:val="pt-PT"/>
        </w:rPr>
      </w:pPr>
      <w:r w:rsidRPr="00F80D02">
        <w:rPr>
          <w:i/>
          <w:iCs/>
          <w:color w:val="404040"/>
          <w:sz w:val="20"/>
          <w:szCs w:val="20"/>
          <w:lang w:val="pt-PT"/>
        </w:rPr>
        <w:t>Questão em aberto para o actuário: decidir se a diferenciação por "relação familiar" deve coexistir com o age-rating, ou se o age-rating puro (aplicando apenas o factor etário a cada membro, independentemente do papel familiar) é suficiente e evita redundâ</w:t>
      </w:r>
      <w:r w:rsidRPr="00F80D02">
        <w:rPr>
          <w:i/>
          <w:iCs/>
          <w:color w:val="404040"/>
          <w:sz w:val="20"/>
          <w:szCs w:val="20"/>
          <w:lang w:val="pt-PT"/>
        </w:rPr>
        <w:t>ncia/antisselecção.</w:t>
      </w:r>
    </w:p>
    <w:p w:rsidR="00B72C53" w:rsidRPr="00F80D02" w:rsidRDefault="00A61A1E">
      <w:pPr>
        <w:pStyle w:val="Cabealho3"/>
        <w:spacing w:before="240" w:after="120"/>
        <w:rPr>
          <w:lang w:val="pt-PT"/>
        </w:rPr>
      </w:pPr>
      <w:bookmarkStart w:id="18" w:name="_Toc239580126"/>
      <w:r w:rsidRPr="00F80D02">
        <w:rPr>
          <w:b/>
          <w:bCs/>
          <w:color w:val="595959"/>
          <w:sz w:val="22"/>
          <w:szCs w:val="22"/>
          <w:lang w:val="pt-PT"/>
        </w:rPr>
        <w:t>3.2.4 Factores de grupo</w:t>
      </w:r>
      <w:bookmarkEnd w:id="18"/>
    </w:p>
    <w:p w:rsidR="00B72C53" w:rsidRPr="00F80D02" w:rsidRDefault="00A61A1E">
      <w:pPr>
        <w:spacing w:after="160" w:line="276" w:lineRule="auto"/>
        <w:rPr>
          <w:lang w:val="pt-PT"/>
        </w:rPr>
      </w:pPr>
      <w:r w:rsidRPr="00F80D02">
        <w:rPr>
          <w:lang w:val="pt-PT"/>
        </w:rPr>
        <w:t>O factor de dimensão do grupo reflecte economias de escala e maior credibilidade estatística em grupos maiores: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600"/>
      </w:tblGrid>
      <w:tr w:rsidR="00B72C53">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Vidas do grupo</w:t>
            </w:r>
          </w:p>
        </w:tc>
        <w:tc>
          <w:tcPr>
            <w:tcW w:w="18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Factor</w:t>
            </w:r>
          </w:p>
        </w:tc>
        <w:tc>
          <w:tcPr>
            <w:tcW w:w="4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Interpretação</w:t>
            </w:r>
          </w:p>
        </w:tc>
      </w:tr>
      <w:tr w:rsidR="00B72C53">
        <w:tblPrEx>
          <w:tblCellMar>
            <w:top w:w="0" w:type="dxa"/>
            <w:bottom w:w="0" w:type="dxa"/>
          </w:tblCellMar>
        </w:tblPrEx>
        <w:tc>
          <w:tcPr>
            <w:tcW w:w="3200" w:type="dxa"/>
            <w:tcMar>
              <w:top w:w="60" w:type="dxa"/>
              <w:left w:w="100" w:type="dxa"/>
              <w:bottom w:w="60" w:type="dxa"/>
              <w:right w:w="100" w:type="dxa"/>
            </w:tcMar>
            <w:vAlign w:val="center"/>
          </w:tcPr>
          <w:p w:rsidR="00B72C53" w:rsidRDefault="00A61A1E">
            <w:r>
              <w:rPr>
                <w:sz w:val="19"/>
                <w:szCs w:val="19"/>
              </w:rPr>
              <w:t>1–9</w:t>
            </w:r>
          </w:p>
        </w:tc>
        <w:tc>
          <w:tcPr>
            <w:tcW w:w="1800" w:type="dxa"/>
            <w:tcMar>
              <w:top w:w="60" w:type="dxa"/>
              <w:left w:w="100" w:type="dxa"/>
              <w:bottom w:w="60" w:type="dxa"/>
              <w:right w:w="100" w:type="dxa"/>
            </w:tcMar>
            <w:vAlign w:val="center"/>
          </w:tcPr>
          <w:p w:rsidR="00B72C53" w:rsidRDefault="00A61A1E">
            <w:pPr>
              <w:jc w:val="center"/>
            </w:pPr>
            <w:r>
              <w:rPr>
                <w:sz w:val="19"/>
                <w:szCs w:val="19"/>
              </w:rPr>
              <w:t>1,15</w:t>
            </w:r>
          </w:p>
        </w:tc>
        <w:tc>
          <w:tcPr>
            <w:tcW w:w="4600" w:type="dxa"/>
            <w:tcMar>
              <w:top w:w="60" w:type="dxa"/>
              <w:left w:w="100" w:type="dxa"/>
              <w:bottom w:w="60" w:type="dxa"/>
              <w:right w:w="100" w:type="dxa"/>
            </w:tcMar>
            <w:vAlign w:val="center"/>
          </w:tcPr>
          <w:p w:rsidR="00B72C53" w:rsidRDefault="00A61A1E">
            <w:r>
              <w:rPr>
                <w:sz w:val="19"/>
                <w:szCs w:val="19"/>
              </w:rPr>
              <w:t>Grupo pequeno / menor credibilidade</w:t>
            </w:r>
          </w:p>
        </w:tc>
      </w:tr>
      <w:tr w:rsidR="00B72C53">
        <w:tblPrEx>
          <w:tblCellMar>
            <w:top w:w="0" w:type="dxa"/>
            <w:bottom w:w="0" w:type="dxa"/>
          </w:tblCellMar>
        </w:tblPrEx>
        <w:tc>
          <w:tcPr>
            <w:tcW w:w="3200" w:type="dxa"/>
            <w:shd w:val="clear" w:color="auto" w:fill="F2F2F2"/>
            <w:tcMar>
              <w:top w:w="60" w:type="dxa"/>
              <w:left w:w="100" w:type="dxa"/>
              <w:bottom w:w="60" w:type="dxa"/>
              <w:right w:w="100" w:type="dxa"/>
            </w:tcMar>
            <w:vAlign w:val="center"/>
          </w:tcPr>
          <w:p w:rsidR="00B72C53" w:rsidRDefault="00A61A1E">
            <w:r>
              <w:rPr>
                <w:sz w:val="19"/>
                <w:szCs w:val="19"/>
              </w:rPr>
              <w:t>10–49</w:t>
            </w:r>
          </w:p>
        </w:tc>
        <w:tc>
          <w:tcPr>
            <w:tcW w:w="1800" w:type="dxa"/>
            <w:shd w:val="clear" w:color="auto" w:fill="F2F2F2"/>
            <w:tcMar>
              <w:top w:w="60" w:type="dxa"/>
              <w:left w:w="100" w:type="dxa"/>
              <w:bottom w:w="60" w:type="dxa"/>
              <w:right w:w="100" w:type="dxa"/>
            </w:tcMar>
            <w:vAlign w:val="center"/>
          </w:tcPr>
          <w:p w:rsidR="00B72C53" w:rsidRDefault="00A61A1E">
            <w:pPr>
              <w:jc w:val="center"/>
            </w:pPr>
            <w:r>
              <w:rPr>
                <w:sz w:val="19"/>
                <w:szCs w:val="19"/>
              </w:rPr>
              <w:t>1,07</w:t>
            </w:r>
          </w:p>
        </w:tc>
        <w:tc>
          <w:tcPr>
            <w:tcW w:w="4600" w:type="dxa"/>
            <w:shd w:val="clear" w:color="auto" w:fill="F2F2F2"/>
            <w:tcMar>
              <w:top w:w="60" w:type="dxa"/>
              <w:left w:w="100" w:type="dxa"/>
              <w:bottom w:w="60" w:type="dxa"/>
              <w:right w:w="100" w:type="dxa"/>
            </w:tcMar>
            <w:vAlign w:val="center"/>
          </w:tcPr>
          <w:p w:rsidR="00B72C53" w:rsidRDefault="00A61A1E">
            <w:r>
              <w:rPr>
                <w:sz w:val="19"/>
                <w:szCs w:val="19"/>
              </w:rPr>
              <w:t>Pequeno-médio</w:t>
            </w:r>
          </w:p>
        </w:tc>
      </w:tr>
      <w:tr w:rsidR="00B72C53">
        <w:tblPrEx>
          <w:tblCellMar>
            <w:top w:w="0" w:type="dxa"/>
            <w:bottom w:w="0" w:type="dxa"/>
          </w:tblCellMar>
        </w:tblPrEx>
        <w:tc>
          <w:tcPr>
            <w:tcW w:w="3200" w:type="dxa"/>
            <w:tcMar>
              <w:top w:w="60" w:type="dxa"/>
              <w:left w:w="100" w:type="dxa"/>
              <w:bottom w:w="60" w:type="dxa"/>
              <w:right w:w="100" w:type="dxa"/>
            </w:tcMar>
            <w:vAlign w:val="center"/>
          </w:tcPr>
          <w:p w:rsidR="00B72C53" w:rsidRDefault="00A61A1E">
            <w:r>
              <w:rPr>
                <w:sz w:val="19"/>
                <w:szCs w:val="19"/>
              </w:rPr>
              <w:t>50–199</w:t>
            </w:r>
          </w:p>
        </w:tc>
        <w:tc>
          <w:tcPr>
            <w:tcW w:w="1800" w:type="dxa"/>
            <w:tcMar>
              <w:top w:w="60" w:type="dxa"/>
              <w:left w:w="100" w:type="dxa"/>
              <w:bottom w:w="60" w:type="dxa"/>
              <w:right w:w="100" w:type="dxa"/>
            </w:tcMar>
            <w:vAlign w:val="center"/>
          </w:tcPr>
          <w:p w:rsidR="00B72C53" w:rsidRDefault="00A61A1E">
            <w:pPr>
              <w:jc w:val="center"/>
            </w:pPr>
            <w:r>
              <w:rPr>
                <w:sz w:val="19"/>
                <w:szCs w:val="19"/>
              </w:rPr>
              <w:t>1,00</w:t>
            </w:r>
          </w:p>
        </w:tc>
        <w:tc>
          <w:tcPr>
            <w:tcW w:w="4600" w:type="dxa"/>
            <w:tcMar>
              <w:top w:w="60" w:type="dxa"/>
              <w:left w:w="100" w:type="dxa"/>
              <w:bottom w:w="60" w:type="dxa"/>
              <w:right w:w="100" w:type="dxa"/>
            </w:tcMar>
            <w:vAlign w:val="center"/>
          </w:tcPr>
          <w:p w:rsidR="00B72C53" w:rsidRDefault="00A61A1E">
            <w:r>
              <w:rPr>
                <w:sz w:val="19"/>
                <w:szCs w:val="19"/>
              </w:rPr>
              <w:t>Grupo de referência</w:t>
            </w:r>
          </w:p>
        </w:tc>
      </w:tr>
      <w:tr w:rsidR="00B72C53" w:rsidRPr="00F80D02">
        <w:tblPrEx>
          <w:tblCellMar>
            <w:top w:w="0" w:type="dxa"/>
            <w:bottom w:w="0" w:type="dxa"/>
          </w:tblCellMar>
        </w:tblPrEx>
        <w:tc>
          <w:tcPr>
            <w:tcW w:w="3200" w:type="dxa"/>
            <w:shd w:val="clear" w:color="auto" w:fill="F2F2F2"/>
            <w:tcMar>
              <w:top w:w="60" w:type="dxa"/>
              <w:left w:w="100" w:type="dxa"/>
              <w:bottom w:w="60" w:type="dxa"/>
              <w:right w:w="100" w:type="dxa"/>
            </w:tcMar>
            <w:vAlign w:val="center"/>
          </w:tcPr>
          <w:p w:rsidR="00B72C53" w:rsidRDefault="00A61A1E">
            <w:r>
              <w:rPr>
                <w:sz w:val="19"/>
                <w:szCs w:val="19"/>
              </w:rPr>
              <w:t>200–499</w:t>
            </w:r>
          </w:p>
        </w:tc>
        <w:tc>
          <w:tcPr>
            <w:tcW w:w="1800" w:type="dxa"/>
            <w:shd w:val="clear" w:color="auto" w:fill="F2F2F2"/>
            <w:tcMar>
              <w:top w:w="60" w:type="dxa"/>
              <w:left w:w="100" w:type="dxa"/>
              <w:bottom w:w="60" w:type="dxa"/>
              <w:right w:w="100" w:type="dxa"/>
            </w:tcMar>
            <w:vAlign w:val="center"/>
          </w:tcPr>
          <w:p w:rsidR="00B72C53" w:rsidRDefault="00A61A1E">
            <w:pPr>
              <w:jc w:val="center"/>
            </w:pPr>
            <w:r>
              <w:rPr>
                <w:sz w:val="19"/>
                <w:szCs w:val="19"/>
              </w:rPr>
              <w:t>0,96</w:t>
            </w:r>
          </w:p>
        </w:tc>
        <w:tc>
          <w:tcPr>
            <w:tcW w:w="46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Economia de escala / maior credibilidade</w:t>
            </w:r>
          </w:p>
        </w:tc>
      </w:tr>
      <w:tr w:rsidR="00B72C53">
        <w:tblPrEx>
          <w:tblCellMar>
            <w:top w:w="0" w:type="dxa"/>
            <w:bottom w:w="0" w:type="dxa"/>
          </w:tblCellMar>
        </w:tblPrEx>
        <w:tc>
          <w:tcPr>
            <w:tcW w:w="3200" w:type="dxa"/>
            <w:tcMar>
              <w:top w:w="60" w:type="dxa"/>
              <w:left w:w="100" w:type="dxa"/>
              <w:bottom w:w="60" w:type="dxa"/>
              <w:right w:w="100" w:type="dxa"/>
            </w:tcMar>
            <w:vAlign w:val="center"/>
          </w:tcPr>
          <w:p w:rsidR="00B72C53" w:rsidRDefault="00A61A1E">
            <w:r>
              <w:rPr>
                <w:sz w:val="19"/>
                <w:szCs w:val="19"/>
              </w:rPr>
              <w:t>500–999</w:t>
            </w:r>
          </w:p>
        </w:tc>
        <w:tc>
          <w:tcPr>
            <w:tcW w:w="1800" w:type="dxa"/>
            <w:tcMar>
              <w:top w:w="60" w:type="dxa"/>
              <w:left w:w="100" w:type="dxa"/>
              <w:bottom w:w="60" w:type="dxa"/>
              <w:right w:w="100" w:type="dxa"/>
            </w:tcMar>
            <w:vAlign w:val="center"/>
          </w:tcPr>
          <w:p w:rsidR="00B72C53" w:rsidRDefault="00A61A1E">
            <w:pPr>
              <w:jc w:val="center"/>
            </w:pPr>
            <w:r>
              <w:rPr>
                <w:sz w:val="19"/>
                <w:szCs w:val="19"/>
              </w:rPr>
              <w:t>0,93</w:t>
            </w:r>
          </w:p>
        </w:tc>
        <w:tc>
          <w:tcPr>
            <w:tcW w:w="4600" w:type="dxa"/>
            <w:tcMar>
              <w:top w:w="60" w:type="dxa"/>
              <w:left w:w="100" w:type="dxa"/>
              <w:bottom w:w="60" w:type="dxa"/>
              <w:right w:w="100" w:type="dxa"/>
            </w:tcMar>
            <w:vAlign w:val="center"/>
          </w:tcPr>
          <w:p w:rsidR="00B72C53" w:rsidRDefault="00A61A1E">
            <w:r>
              <w:rPr>
                <w:sz w:val="19"/>
                <w:szCs w:val="19"/>
              </w:rPr>
              <w:t>Grande grupo</w:t>
            </w:r>
          </w:p>
        </w:tc>
      </w:tr>
      <w:tr w:rsidR="00B72C53" w:rsidRPr="00F80D02">
        <w:tblPrEx>
          <w:tblCellMar>
            <w:top w:w="0" w:type="dxa"/>
            <w:bottom w:w="0" w:type="dxa"/>
          </w:tblCellMar>
        </w:tblPrEx>
        <w:tc>
          <w:tcPr>
            <w:tcW w:w="3200" w:type="dxa"/>
            <w:shd w:val="clear" w:color="auto" w:fill="F2F2F2"/>
            <w:tcMar>
              <w:top w:w="60" w:type="dxa"/>
              <w:left w:w="100" w:type="dxa"/>
              <w:bottom w:w="60" w:type="dxa"/>
              <w:right w:w="100" w:type="dxa"/>
            </w:tcMar>
            <w:vAlign w:val="center"/>
          </w:tcPr>
          <w:p w:rsidR="00B72C53" w:rsidRDefault="00A61A1E">
            <w:r>
              <w:rPr>
                <w:sz w:val="19"/>
                <w:szCs w:val="19"/>
              </w:rPr>
              <w:t>1000+</w:t>
            </w:r>
          </w:p>
        </w:tc>
        <w:tc>
          <w:tcPr>
            <w:tcW w:w="1800" w:type="dxa"/>
            <w:shd w:val="clear" w:color="auto" w:fill="F2F2F2"/>
            <w:tcMar>
              <w:top w:w="60" w:type="dxa"/>
              <w:left w:w="100" w:type="dxa"/>
              <w:bottom w:w="60" w:type="dxa"/>
              <w:right w:w="100" w:type="dxa"/>
            </w:tcMar>
            <w:vAlign w:val="center"/>
          </w:tcPr>
          <w:p w:rsidR="00B72C53" w:rsidRDefault="00A61A1E">
            <w:pPr>
              <w:jc w:val="center"/>
            </w:pPr>
            <w:r>
              <w:rPr>
                <w:sz w:val="19"/>
                <w:szCs w:val="19"/>
              </w:rPr>
              <w:t>0,90</w:t>
            </w:r>
          </w:p>
        </w:tc>
        <w:tc>
          <w:tcPr>
            <w:tcW w:w="46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Muito grande; desconto deve depender de experiência</w:t>
            </w:r>
          </w:p>
        </w:tc>
      </w:tr>
    </w:tbl>
    <w:p w:rsidR="00B72C53" w:rsidRPr="00F80D02" w:rsidRDefault="00A61A1E">
      <w:pPr>
        <w:pStyle w:val="Cabealho3"/>
        <w:spacing w:before="240" w:after="120"/>
        <w:rPr>
          <w:lang w:val="pt-PT"/>
        </w:rPr>
      </w:pPr>
      <w:bookmarkStart w:id="19" w:name="_Toc239580127"/>
      <w:r w:rsidRPr="00F80D02">
        <w:rPr>
          <w:b/>
          <w:bCs/>
          <w:color w:val="595959"/>
          <w:sz w:val="22"/>
          <w:szCs w:val="22"/>
          <w:lang w:val="pt-PT"/>
        </w:rPr>
        <w:t>3.2.5 Factores geográficos</w:t>
      </w:r>
      <w:bookmarkEnd w:id="19"/>
    </w:p>
    <w:p w:rsidR="00B72C53" w:rsidRPr="00F80D02" w:rsidRDefault="00A61A1E">
      <w:pPr>
        <w:spacing w:after="160" w:line="276" w:lineRule="auto"/>
        <w:rPr>
          <w:lang w:val="pt-PT"/>
        </w:rPr>
      </w:pPr>
      <w:r w:rsidRPr="00F80D02">
        <w:rPr>
          <w:lang w:val="pt-PT"/>
        </w:rPr>
        <w:t>O factor de área de cobertura reflecte custos de rede, câmbio e risco de evacuação médica: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4600"/>
      </w:tblGrid>
      <w:tr w:rsidR="00B72C53">
        <w:tblPrEx>
          <w:tblCellMar>
            <w:top w:w="0" w:type="dxa"/>
            <w:bottom w:w="0" w:type="dxa"/>
          </w:tblCellMar>
        </w:tblPrEx>
        <w:trPr>
          <w:tblHeader/>
        </w:trPr>
        <w:tc>
          <w:tcPr>
            <w:tcW w:w="3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Âmbito de cobertura</w:t>
            </w:r>
          </w:p>
        </w:tc>
        <w:tc>
          <w:tcPr>
            <w:tcW w:w="14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Factor</w:t>
            </w:r>
          </w:p>
        </w:tc>
        <w:tc>
          <w:tcPr>
            <w:tcW w:w="4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Interpretação</w:t>
            </w:r>
          </w:p>
        </w:tc>
      </w:tr>
      <w:tr w:rsidR="00B72C53">
        <w:tblPrEx>
          <w:tblCellMar>
            <w:top w:w="0" w:type="dxa"/>
            <w:bottom w:w="0" w:type="dxa"/>
          </w:tblCellMar>
        </w:tblPrEx>
        <w:tc>
          <w:tcPr>
            <w:tcW w:w="3600" w:type="dxa"/>
            <w:tcMar>
              <w:top w:w="60" w:type="dxa"/>
              <w:left w:w="100" w:type="dxa"/>
              <w:bottom w:w="60" w:type="dxa"/>
              <w:right w:w="100" w:type="dxa"/>
            </w:tcMar>
            <w:vAlign w:val="center"/>
          </w:tcPr>
          <w:p w:rsidR="00B72C53" w:rsidRDefault="00A61A1E">
            <w:r>
              <w:rPr>
                <w:sz w:val="19"/>
                <w:szCs w:val="19"/>
              </w:rPr>
              <w:t>Angola — rede preferencial</w:t>
            </w:r>
          </w:p>
        </w:tc>
        <w:tc>
          <w:tcPr>
            <w:tcW w:w="1400" w:type="dxa"/>
            <w:tcMar>
              <w:top w:w="60" w:type="dxa"/>
              <w:left w:w="100" w:type="dxa"/>
              <w:bottom w:w="60" w:type="dxa"/>
              <w:right w:w="100" w:type="dxa"/>
            </w:tcMar>
            <w:vAlign w:val="center"/>
          </w:tcPr>
          <w:p w:rsidR="00B72C53" w:rsidRDefault="00A61A1E">
            <w:pPr>
              <w:jc w:val="center"/>
            </w:pPr>
            <w:r>
              <w:rPr>
                <w:sz w:val="19"/>
                <w:szCs w:val="19"/>
              </w:rPr>
              <w:t>1,00</w:t>
            </w:r>
          </w:p>
        </w:tc>
        <w:tc>
          <w:tcPr>
            <w:tcW w:w="4600" w:type="dxa"/>
            <w:tcMar>
              <w:top w:w="60" w:type="dxa"/>
              <w:left w:w="100" w:type="dxa"/>
              <w:bottom w:w="60" w:type="dxa"/>
              <w:right w:w="100" w:type="dxa"/>
            </w:tcMar>
            <w:vAlign w:val="center"/>
          </w:tcPr>
          <w:p w:rsidR="00B72C53" w:rsidRDefault="00A61A1E">
            <w:r>
              <w:rPr>
                <w:sz w:val="19"/>
                <w:szCs w:val="19"/>
              </w:rPr>
              <w:t>Base</w:t>
            </w:r>
          </w:p>
        </w:tc>
      </w:tr>
      <w:tr w:rsidR="00B72C53">
        <w:tblPrEx>
          <w:tblCellMar>
            <w:top w:w="0" w:type="dxa"/>
            <w:bottom w:w="0" w:type="dxa"/>
          </w:tblCellMar>
        </w:tblPrEx>
        <w:tc>
          <w:tcPr>
            <w:tcW w:w="3600" w:type="dxa"/>
            <w:shd w:val="clear" w:color="auto" w:fill="F2F2F2"/>
            <w:tcMar>
              <w:top w:w="60" w:type="dxa"/>
              <w:left w:w="100" w:type="dxa"/>
              <w:bottom w:w="60" w:type="dxa"/>
              <w:right w:w="100" w:type="dxa"/>
            </w:tcMar>
            <w:vAlign w:val="center"/>
          </w:tcPr>
          <w:p w:rsidR="00B72C53" w:rsidRDefault="00A61A1E">
            <w:r>
              <w:rPr>
                <w:sz w:val="19"/>
                <w:szCs w:val="19"/>
              </w:rPr>
              <w:t>Angola — rede alargada</w:t>
            </w:r>
          </w:p>
        </w:tc>
        <w:tc>
          <w:tcPr>
            <w:tcW w:w="1400" w:type="dxa"/>
            <w:shd w:val="clear" w:color="auto" w:fill="F2F2F2"/>
            <w:tcMar>
              <w:top w:w="60" w:type="dxa"/>
              <w:left w:w="100" w:type="dxa"/>
              <w:bottom w:w="60" w:type="dxa"/>
              <w:right w:w="100" w:type="dxa"/>
            </w:tcMar>
            <w:vAlign w:val="center"/>
          </w:tcPr>
          <w:p w:rsidR="00B72C53" w:rsidRDefault="00A61A1E">
            <w:pPr>
              <w:jc w:val="center"/>
            </w:pPr>
            <w:r>
              <w:rPr>
                <w:sz w:val="19"/>
                <w:szCs w:val="19"/>
              </w:rPr>
              <w:t>1,08</w:t>
            </w:r>
          </w:p>
        </w:tc>
        <w:tc>
          <w:tcPr>
            <w:tcW w:w="4600" w:type="dxa"/>
            <w:shd w:val="clear" w:color="auto" w:fill="F2F2F2"/>
            <w:tcMar>
              <w:top w:w="60" w:type="dxa"/>
              <w:left w:w="100" w:type="dxa"/>
              <w:bottom w:w="60" w:type="dxa"/>
              <w:right w:w="100" w:type="dxa"/>
            </w:tcMar>
            <w:vAlign w:val="center"/>
          </w:tcPr>
          <w:p w:rsidR="00B72C53" w:rsidRDefault="00A61A1E">
            <w:r>
              <w:rPr>
                <w:sz w:val="19"/>
                <w:szCs w:val="19"/>
              </w:rPr>
              <w:t>Maior liberdade / reembolso</w:t>
            </w:r>
          </w:p>
        </w:tc>
      </w:tr>
      <w:tr w:rsidR="00B72C53">
        <w:tblPrEx>
          <w:tblCellMar>
            <w:top w:w="0" w:type="dxa"/>
            <w:bottom w:w="0" w:type="dxa"/>
          </w:tblCellMar>
        </w:tblPrEx>
        <w:tc>
          <w:tcPr>
            <w:tcW w:w="3600" w:type="dxa"/>
            <w:tcMar>
              <w:top w:w="60" w:type="dxa"/>
              <w:left w:w="100" w:type="dxa"/>
              <w:bottom w:w="60" w:type="dxa"/>
              <w:right w:w="100" w:type="dxa"/>
            </w:tcMar>
            <w:vAlign w:val="center"/>
          </w:tcPr>
          <w:p w:rsidR="00B72C53" w:rsidRDefault="00A61A1E">
            <w:r>
              <w:rPr>
                <w:sz w:val="19"/>
                <w:szCs w:val="19"/>
              </w:rPr>
              <w:t>Angola + África Austral</w:t>
            </w:r>
          </w:p>
        </w:tc>
        <w:tc>
          <w:tcPr>
            <w:tcW w:w="1400" w:type="dxa"/>
            <w:tcMar>
              <w:top w:w="60" w:type="dxa"/>
              <w:left w:w="100" w:type="dxa"/>
              <w:bottom w:w="60" w:type="dxa"/>
              <w:right w:w="100" w:type="dxa"/>
            </w:tcMar>
            <w:vAlign w:val="center"/>
          </w:tcPr>
          <w:p w:rsidR="00B72C53" w:rsidRDefault="00A61A1E">
            <w:pPr>
              <w:jc w:val="center"/>
            </w:pPr>
            <w:r>
              <w:rPr>
                <w:sz w:val="19"/>
                <w:szCs w:val="19"/>
              </w:rPr>
              <w:t>1,35</w:t>
            </w:r>
          </w:p>
        </w:tc>
        <w:tc>
          <w:tcPr>
            <w:tcW w:w="4600" w:type="dxa"/>
            <w:tcMar>
              <w:top w:w="60" w:type="dxa"/>
              <w:left w:w="100" w:type="dxa"/>
              <w:bottom w:w="60" w:type="dxa"/>
              <w:right w:w="100" w:type="dxa"/>
            </w:tcMar>
            <w:vAlign w:val="center"/>
          </w:tcPr>
          <w:p w:rsidR="00B72C53" w:rsidRDefault="00A61A1E">
            <w:r>
              <w:rPr>
                <w:sz w:val="19"/>
                <w:szCs w:val="19"/>
              </w:rPr>
              <w:t>Custos transfronteiriços e câmbio</w:t>
            </w:r>
          </w:p>
        </w:tc>
      </w:tr>
      <w:tr w:rsidR="00B72C53">
        <w:tblPrEx>
          <w:tblCellMar>
            <w:top w:w="0" w:type="dxa"/>
            <w:bottom w:w="0" w:type="dxa"/>
          </w:tblCellMar>
        </w:tblPrEx>
        <w:tc>
          <w:tcPr>
            <w:tcW w:w="36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Angola + África Austral + Europa programada</w:t>
            </w:r>
          </w:p>
        </w:tc>
        <w:tc>
          <w:tcPr>
            <w:tcW w:w="1400" w:type="dxa"/>
            <w:shd w:val="clear" w:color="auto" w:fill="F2F2F2"/>
            <w:tcMar>
              <w:top w:w="60" w:type="dxa"/>
              <w:left w:w="100" w:type="dxa"/>
              <w:bottom w:w="60" w:type="dxa"/>
              <w:right w:w="100" w:type="dxa"/>
            </w:tcMar>
            <w:vAlign w:val="center"/>
          </w:tcPr>
          <w:p w:rsidR="00B72C53" w:rsidRDefault="00A61A1E">
            <w:pPr>
              <w:jc w:val="center"/>
            </w:pPr>
            <w:r>
              <w:rPr>
                <w:sz w:val="19"/>
                <w:szCs w:val="19"/>
              </w:rPr>
              <w:t>1,70</w:t>
            </w:r>
          </w:p>
        </w:tc>
        <w:tc>
          <w:tcPr>
            <w:tcW w:w="4600" w:type="dxa"/>
            <w:shd w:val="clear" w:color="auto" w:fill="F2F2F2"/>
            <w:tcMar>
              <w:top w:w="60" w:type="dxa"/>
              <w:left w:w="100" w:type="dxa"/>
              <w:bottom w:w="60" w:type="dxa"/>
              <w:right w:w="100" w:type="dxa"/>
            </w:tcMar>
            <w:vAlign w:val="center"/>
          </w:tcPr>
          <w:p w:rsidR="00B72C53" w:rsidRDefault="00A61A1E">
            <w:r>
              <w:rPr>
                <w:sz w:val="19"/>
                <w:szCs w:val="19"/>
              </w:rPr>
              <w:t>Uso internacional controlado</w:t>
            </w:r>
          </w:p>
        </w:tc>
      </w:tr>
      <w:tr w:rsidR="00B72C53" w:rsidRPr="00F80D02">
        <w:tblPrEx>
          <w:tblCellMar>
            <w:top w:w="0" w:type="dxa"/>
            <w:bottom w:w="0" w:type="dxa"/>
          </w:tblCellMar>
        </w:tblPrEx>
        <w:tc>
          <w:tcPr>
            <w:tcW w:w="3600" w:type="dxa"/>
            <w:tcMar>
              <w:top w:w="60" w:type="dxa"/>
              <w:left w:w="100" w:type="dxa"/>
              <w:bottom w:w="60" w:type="dxa"/>
              <w:right w:w="100" w:type="dxa"/>
            </w:tcMar>
            <w:vAlign w:val="center"/>
          </w:tcPr>
          <w:p w:rsidR="00B72C53" w:rsidRDefault="00A61A1E">
            <w:r>
              <w:rPr>
                <w:sz w:val="19"/>
                <w:szCs w:val="19"/>
              </w:rPr>
              <w:t>Internacional amplo</w:t>
            </w:r>
          </w:p>
        </w:tc>
        <w:tc>
          <w:tcPr>
            <w:tcW w:w="1400" w:type="dxa"/>
            <w:tcMar>
              <w:top w:w="60" w:type="dxa"/>
              <w:left w:w="100" w:type="dxa"/>
              <w:bottom w:w="60" w:type="dxa"/>
              <w:right w:w="100" w:type="dxa"/>
            </w:tcMar>
            <w:vAlign w:val="center"/>
          </w:tcPr>
          <w:p w:rsidR="00B72C53" w:rsidRDefault="00A61A1E">
            <w:pPr>
              <w:jc w:val="center"/>
            </w:pPr>
            <w:r>
              <w:rPr>
                <w:sz w:val="19"/>
                <w:szCs w:val="19"/>
              </w:rPr>
              <w:t>2,20</w:t>
            </w:r>
          </w:p>
        </w:tc>
        <w:tc>
          <w:tcPr>
            <w:tcW w:w="46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Ilustrativo; requer resseguro/gestão clínica</w:t>
            </w:r>
          </w:p>
        </w:tc>
      </w:tr>
    </w:tbl>
    <w:p w:rsidR="00B72C53" w:rsidRPr="00F80D02" w:rsidRDefault="00A61A1E">
      <w:pPr>
        <w:pStyle w:val="Cabealho3"/>
        <w:spacing w:before="240" w:after="120"/>
        <w:rPr>
          <w:lang w:val="pt-PT"/>
        </w:rPr>
      </w:pPr>
      <w:bookmarkStart w:id="20" w:name="_Toc239580128"/>
      <w:r w:rsidRPr="00F80D02">
        <w:rPr>
          <w:b/>
          <w:bCs/>
          <w:color w:val="595959"/>
          <w:sz w:val="22"/>
          <w:szCs w:val="22"/>
          <w:lang w:val="pt-PT"/>
        </w:rPr>
        <w:lastRenderedPageBreak/>
        <w:t>3.2.6 Factores de experiência (sinistralidade)</w:t>
      </w:r>
      <w:bookmarkEnd w:id="20"/>
    </w:p>
    <w:p w:rsidR="00B72C53" w:rsidRPr="00F80D02" w:rsidRDefault="00A61A1E">
      <w:pPr>
        <w:spacing w:after="160" w:line="276" w:lineRule="auto"/>
        <w:rPr>
          <w:lang w:val="pt-PT"/>
        </w:rPr>
      </w:pPr>
      <w:r w:rsidRPr="00F80D02">
        <w:rPr>
          <w:lang w:val="pt-PT"/>
        </w:rPr>
        <w:t>O factor de experiência ajusta o prémio de um grupo específico com base no seu loss ratio histórico ajustado (sinistros incorridos / prémio de risco), reflectindo o desempenho técnico observado: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4600"/>
      </w:tblGrid>
      <w:tr w:rsidR="00B72C53">
        <w:tblPrEx>
          <w:tblCellMar>
            <w:top w:w="0" w:type="dxa"/>
            <w:bottom w:w="0" w:type="dxa"/>
          </w:tblCellMar>
        </w:tblPrEx>
        <w:trPr>
          <w:tblHeader/>
        </w:trPr>
        <w:tc>
          <w:tcPr>
            <w:tcW w:w="3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Loss ratio histórico ajustado</w:t>
            </w:r>
          </w:p>
        </w:tc>
        <w:tc>
          <w:tcPr>
            <w:tcW w:w="14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Factor</w:t>
            </w:r>
          </w:p>
        </w:tc>
        <w:tc>
          <w:tcPr>
            <w:tcW w:w="4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Aplicação</w:t>
            </w:r>
          </w:p>
        </w:tc>
      </w:tr>
      <w:tr w:rsidR="00B72C53">
        <w:tblPrEx>
          <w:tblCellMar>
            <w:top w:w="0" w:type="dxa"/>
            <w:bottom w:w="0" w:type="dxa"/>
          </w:tblCellMar>
        </w:tblPrEx>
        <w:tc>
          <w:tcPr>
            <w:tcW w:w="3600" w:type="dxa"/>
            <w:tcMar>
              <w:top w:w="60" w:type="dxa"/>
              <w:left w:w="100" w:type="dxa"/>
              <w:bottom w:w="60" w:type="dxa"/>
              <w:right w:w="100" w:type="dxa"/>
            </w:tcMar>
            <w:vAlign w:val="center"/>
          </w:tcPr>
          <w:p w:rsidR="00B72C53" w:rsidRDefault="00A61A1E">
            <w:r>
              <w:rPr>
                <w:sz w:val="19"/>
                <w:szCs w:val="19"/>
              </w:rPr>
              <w:t>&lt; 55%</w:t>
            </w:r>
          </w:p>
        </w:tc>
        <w:tc>
          <w:tcPr>
            <w:tcW w:w="1400" w:type="dxa"/>
            <w:tcMar>
              <w:top w:w="60" w:type="dxa"/>
              <w:left w:w="100" w:type="dxa"/>
              <w:bottom w:w="60" w:type="dxa"/>
              <w:right w:w="100" w:type="dxa"/>
            </w:tcMar>
            <w:vAlign w:val="center"/>
          </w:tcPr>
          <w:p w:rsidR="00B72C53" w:rsidRDefault="00A61A1E">
            <w:pPr>
              <w:jc w:val="center"/>
            </w:pPr>
            <w:r>
              <w:rPr>
                <w:sz w:val="19"/>
                <w:szCs w:val="19"/>
              </w:rPr>
              <w:t>0,92</w:t>
            </w:r>
          </w:p>
        </w:tc>
        <w:tc>
          <w:tcPr>
            <w:tcW w:w="4600" w:type="dxa"/>
            <w:tcMar>
              <w:top w:w="60" w:type="dxa"/>
              <w:left w:w="100" w:type="dxa"/>
              <w:bottom w:w="60" w:type="dxa"/>
              <w:right w:w="100" w:type="dxa"/>
            </w:tcMar>
            <w:vAlign w:val="center"/>
          </w:tcPr>
          <w:p w:rsidR="00B72C53" w:rsidRDefault="00A61A1E">
            <w:r>
              <w:rPr>
                <w:sz w:val="19"/>
                <w:szCs w:val="19"/>
              </w:rPr>
              <w:t>Experiência favorável</w:t>
            </w:r>
          </w:p>
        </w:tc>
      </w:tr>
      <w:tr w:rsidR="00B72C53">
        <w:tblPrEx>
          <w:tblCellMar>
            <w:top w:w="0" w:type="dxa"/>
            <w:bottom w:w="0" w:type="dxa"/>
          </w:tblCellMar>
        </w:tblPrEx>
        <w:tc>
          <w:tcPr>
            <w:tcW w:w="3600" w:type="dxa"/>
            <w:shd w:val="clear" w:color="auto" w:fill="F2F2F2"/>
            <w:tcMar>
              <w:top w:w="60" w:type="dxa"/>
              <w:left w:w="100" w:type="dxa"/>
              <w:bottom w:w="60" w:type="dxa"/>
              <w:right w:w="100" w:type="dxa"/>
            </w:tcMar>
            <w:vAlign w:val="center"/>
          </w:tcPr>
          <w:p w:rsidR="00B72C53" w:rsidRDefault="00A61A1E">
            <w:r>
              <w:rPr>
                <w:sz w:val="19"/>
                <w:szCs w:val="19"/>
              </w:rPr>
              <w:t>55%–65%</w:t>
            </w:r>
          </w:p>
        </w:tc>
        <w:tc>
          <w:tcPr>
            <w:tcW w:w="1400" w:type="dxa"/>
            <w:shd w:val="clear" w:color="auto" w:fill="F2F2F2"/>
            <w:tcMar>
              <w:top w:w="60" w:type="dxa"/>
              <w:left w:w="100" w:type="dxa"/>
              <w:bottom w:w="60" w:type="dxa"/>
              <w:right w:w="100" w:type="dxa"/>
            </w:tcMar>
            <w:vAlign w:val="center"/>
          </w:tcPr>
          <w:p w:rsidR="00B72C53" w:rsidRDefault="00A61A1E">
            <w:pPr>
              <w:jc w:val="center"/>
            </w:pPr>
            <w:r>
              <w:rPr>
                <w:sz w:val="19"/>
                <w:szCs w:val="19"/>
              </w:rPr>
              <w:t>0,97</w:t>
            </w:r>
          </w:p>
        </w:tc>
        <w:tc>
          <w:tcPr>
            <w:tcW w:w="4600" w:type="dxa"/>
            <w:shd w:val="clear" w:color="auto" w:fill="F2F2F2"/>
            <w:tcMar>
              <w:top w:w="60" w:type="dxa"/>
              <w:left w:w="100" w:type="dxa"/>
              <w:bottom w:w="60" w:type="dxa"/>
              <w:right w:w="100" w:type="dxa"/>
            </w:tcMar>
            <w:vAlign w:val="center"/>
          </w:tcPr>
          <w:p w:rsidR="00B72C53" w:rsidRDefault="00A61A1E">
            <w:r>
              <w:rPr>
                <w:sz w:val="19"/>
                <w:szCs w:val="19"/>
              </w:rPr>
              <w:t>Favorável</w:t>
            </w:r>
          </w:p>
        </w:tc>
      </w:tr>
      <w:tr w:rsidR="00B72C53">
        <w:tblPrEx>
          <w:tblCellMar>
            <w:top w:w="0" w:type="dxa"/>
            <w:bottom w:w="0" w:type="dxa"/>
          </w:tblCellMar>
        </w:tblPrEx>
        <w:tc>
          <w:tcPr>
            <w:tcW w:w="3600" w:type="dxa"/>
            <w:tcMar>
              <w:top w:w="60" w:type="dxa"/>
              <w:left w:w="100" w:type="dxa"/>
              <w:bottom w:w="60" w:type="dxa"/>
              <w:right w:w="100" w:type="dxa"/>
            </w:tcMar>
            <w:vAlign w:val="center"/>
          </w:tcPr>
          <w:p w:rsidR="00B72C53" w:rsidRDefault="00A61A1E">
            <w:r>
              <w:rPr>
                <w:sz w:val="19"/>
                <w:szCs w:val="19"/>
              </w:rPr>
              <w:t>65%–75%</w:t>
            </w:r>
          </w:p>
        </w:tc>
        <w:tc>
          <w:tcPr>
            <w:tcW w:w="1400" w:type="dxa"/>
            <w:tcMar>
              <w:top w:w="60" w:type="dxa"/>
              <w:left w:w="100" w:type="dxa"/>
              <w:bottom w:w="60" w:type="dxa"/>
              <w:right w:w="100" w:type="dxa"/>
            </w:tcMar>
            <w:vAlign w:val="center"/>
          </w:tcPr>
          <w:p w:rsidR="00B72C53" w:rsidRDefault="00A61A1E">
            <w:pPr>
              <w:jc w:val="center"/>
            </w:pPr>
            <w:r>
              <w:rPr>
                <w:sz w:val="19"/>
                <w:szCs w:val="19"/>
              </w:rPr>
              <w:t>1,00</w:t>
            </w:r>
          </w:p>
        </w:tc>
        <w:tc>
          <w:tcPr>
            <w:tcW w:w="4600" w:type="dxa"/>
            <w:tcMar>
              <w:top w:w="60" w:type="dxa"/>
              <w:left w:w="100" w:type="dxa"/>
              <w:bottom w:w="60" w:type="dxa"/>
              <w:right w:w="100" w:type="dxa"/>
            </w:tcMar>
            <w:vAlign w:val="center"/>
          </w:tcPr>
          <w:p w:rsidR="00B72C53" w:rsidRDefault="00A61A1E">
            <w:r>
              <w:rPr>
                <w:sz w:val="19"/>
                <w:szCs w:val="19"/>
              </w:rPr>
              <w:t>Faixa de referência</w:t>
            </w:r>
          </w:p>
        </w:tc>
      </w:tr>
      <w:tr w:rsidR="00B72C53">
        <w:tblPrEx>
          <w:tblCellMar>
            <w:top w:w="0" w:type="dxa"/>
            <w:bottom w:w="0" w:type="dxa"/>
          </w:tblCellMar>
        </w:tblPrEx>
        <w:tc>
          <w:tcPr>
            <w:tcW w:w="3600" w:type="dxa"/>
            <w:shd w:val="clear" w:color="auto" w:fill="F2F2F2"/>
            <w:tcMar>
              <w:top w:w="60" w:type="dxa"/>
              <w:left w:w="100" w:type="dxa"/>
              <w:bottom w:w="60" w:type="dxa"/>
              <w:right w:w="100" w:type="dxa"/>
            </w:tcMar>
            <w:vAlign w:val="center"/>
          </w:tcPr>
          <w:p w:rsidR="00B72C53" w:rsidRDefault="00A61A1E">
            <w:r>
              <w:rPr>
                <w:sz w:val="19"/>
                <w:szCs w:val="19"/>
              </w:rPr>
              <w:t>75%–85%</w:t>
            </w:r>
          </w:p>
        </w:tc>
        <w:tc>
          <w:tcPr>
            <w:tcW w:w="1400" w:type="dxa"/>
            <w:shd w:val="clear" w:color="auto" w:fill="F2F2F2"/>
            <w:tcMar>
              <w:top w:w="60" w:type="dxa"/>
              <w:left w:w="100" w:type="dxa"/>
              <w:bottom w:w="60" w:type="dxa"/>
              <w:right w:w="100" w:type="dxa"/>
            </w:tcMar>
            <w:vAlign w:val="center"/>
          </w:tcPr>
          <w:p w:rsidR="00B72C53" w:rsidRDefault="00A61A1E">
            <w:pPr>
              <w:jc w:val="center"/>
            </w:pPr>
            <w:r>
              <w:rPr>
                <w:sz w:val="19"/>
                <w:szCs w:val="19"/>
              </w:rPr>
              <w:t>1,08</w:t>
            </w:r>
          </w:p>
        </w:tc>
        <w:tc>
          <w:tcPr>
            <w:tcW w:w="4600" w:type="dxa"/>
            <w:shd w:val="clear" w:color="auto" w:fill="F2F2F2"/>
            <w:tcMar>
              <w:top w:w="60" w:type="dxa"/>
              <w:left w:w="100" w:type="dxa"/>
              <w:bottom w:w="60" w:type="dxa"/>
              <w:right w:w="100" w:type="dxa"/>
            </w:tcMar>
            <w:vAlign w:val="center"/>
          </w:tcPr>
          <w:p w:rsidR="00B72C53" w:rsidRDefault="00A61A1E">
            <w:r>
              <w:rPr>
                <w:sz w:val="19"/>
                <w:szCs w:val="19"/>
              </w:rPr>
              <w:t>Deterioração moderada</w:t>
            </w:r>
          </w:p>
        </w:tc>
      </w:tr>
      <w:tr w:rsidR="00B72C53">
        <w:tblPrEx>
          <w:tblCellMar>
            <w:top w:w="0" w:type="dxa"/>
            <w:bottom w:w="0" w:type="dxa"/>
          </w:tblCellMar>
        </w:tblPrEx>
        <w:tc>
          <w:tcPr>
            <w:tcW w:w="3600" w:type="dxa"/>
            <w:tcMar>
              <w:top w:w="60" w:type="dxa"/>
              <w:left w:w="100" w:type="dxa"/>
              <w:bottom w:w="60" w:type="dxa"/>
              <w:right w:w="100" w:type="dxa"/>
            </w:tcMar>
            <w:vAlign w:val="center"/>
          </w:tcPr>
          <w:p w:rsidR="00B72C53" w:rsidRDefault="00A61A1E">
            <w:r>
              <w:rPr>
                <w:sz w:val="19"/>
                <w:szCs w:val="19"/>
              </w:rPr>
              <w:t>85%–100%</w:t>
            </w:r>
          </w:p>
        </w:tc>
        <w:tc>
          <w:tcPr>
            <w:tcW w:w="1400" w:type="dxa"/>
            <w:tcMar>
              <w:top w:w="60" w:type="dxa"/>
              <w:left w:w="100" w:type="dxa"/>
              <w:bottom w:w="60" w:type="dxa"/>
              <w:right w:w="100" w:type="dxa"/>
            </w:tcMar>
            <w:vAlign w:val="center"/>
          </w:tcPr>
          <w:p w:rsidR="00B72C53" w:rsidRDefault="00A61A1E">
            <w:pPr>
              <w:jc w:val="center"/>
            </w:pPr>
            <w:r>
              <w:rPr>
                <w:sz w:val="19"/>
                <w:szCs w:val="19"/>
              </w:rPr>
              <w:t>1,18</w:t>
            </w:r>
          </w:p>
        </w:tc>
        <w:tc>
          <w:tcPr>
            <w:tcW w:w="4600" w:type="dxa"/>
            <w:tcMar>
              <w:top w:w="60" w:type="dxa"/>
              <w:left w:w="100" w:type="dxa"/>
              <w:bottom w:w="60" w:type="dxa"/>
              <w:right w:w="100" w:type="dxa"/>
            </w:tcMar>
            <w:vAlign w:val="center"/>
          </w:tcPr>
          <w:p w:rsidR="00B72C53" w:rsidRDefault="00A61A1E">
            <w:r>
              <w:rPr>
                <w:sz w:val="19"/>
                <w:szCs w:val="19"/>
              </w:rPr>
              <w:t>Deterioração relevante</w:t>
            </w:r>
          </w:p>
        </w:tc>
      </w:tr>
      <w:tr w:rsidR="00B72C53">
        <w:tblPrEx>
          <w:tblCellMar>
            <w:top w:w="0" w:type="dxa"/>
            <w:bottom w:w="0" w:type="dxa"/>
          </w:tblCellMar>
        </w:tblPrEx>
        <w:tc>
          <w:tcPr>
            <w:tcW w:w="3600" w:type="dxa"/>
            <w:shd w:val="clear" w:color="auto" w:fill="F2F2F2"/>
            <w:tcMar>
              <w:top w:w="60" w:type="dxa"/>
              <w:left w:w="100" w:type="dxa"/>
              <w:bottom w:w="60" w:type="dxa"/>
              <w:right w:w="100" w:type="dxa"/>
            </w:tcMar>
            <w:vAlign w:val="center"/>
          </w:tcPr>
          <w:p w:rsidR="00B72C53" w:rsidRDefault="00A61A1E">
            <w:r>
              <w:rPr>
                <w:sz w:val="19"/>
                <w:szCs w:val="19"/>
              </w:rPr>
              <w:t>&gt; 100%</w:t>
            </w:r>
          </w:p>
        </w:tc>
        <w:tc>
          <w:tcPr>
            <w:tcW w:w="1400" w:type="dxa"/>
            <w:shd w:val="clear" w:color="auto" w:fill="F2F2F2"/>
            <w:tcMar>
              <w:top w:w="60" w:type="dxa"/>
              <w:left w:w="100" w:type="dxa"/>
              <w:bottom w:w="60" w:type="dxa"/>
              <w:right w:w="100" w:type="dxa"/>
            </w:tcMar>
            <w:vAlign w:val="center"/>
          </w:tcPr>
          <w:p w:rsidR="00B72C53" w:rsidRDefault="00A61A1E">
            <w:pPr>
              <w:jc w:val="center"/>
            </w:pPr>
            <w:r>
              <w:rPr>
                <w:sz w:val="19"/>
                <w:szCs w:val="19"/>
              </w:rPr>
              <w:t>1,35</w:t>
            </w:r>
          </w:p>
        </w:tc>
        <w:tc>
          <w:tcPr>
            <w:tcW w:w="4600" w:type="dxa"/>
            <w:shd w:val="clear" w:color="auto" w:fill="F2F2F2"/>
            <w:tcMar>
              <w:top w:w="60" w:type="dxa"/>
              <w:left w:w="100" w:type="dxa"/>
              <w:bottom w:w="60" w:type="dxa"/>
              <w:right w:w="100" w:type="dxa"/>
            </w:tcMar>
            <w:vAlign w:val="center"/>
          </w:tcPr>
          <w:p w:rsidR="00B72C53" w:rsidRDefault="00A61A1E">
            <w:r>
              <w:rPr>
                <w:sz w:val="19"/>
                <w:szCs w:val="19"/>
              </w:rPr>
              <w:t>Repricing / referral obrigatório</w:t>
            </w:r>
          </w:p>
        </w:tc>
      </w:tr>
    </w:tbl>
    <w:p w:rsidR="00B72C53" w:rsidRDefault="00B72C53">
      <w:pPr>
        <w:spacing w:after="120"/>
      </w:pPr>
    </w:p>
    <w:p w:rsidR="00B72C53" w:rsidRPr="00F80D02" w:rsidRDefault="00A61A1E">
      <w:pPr>
        <w:spacing w:after="160" w:line="276" w:lineRule="auto"/>
        <w:rPr>
          <w:lang w:val="pt-PT"/>
        </w:rPr>
      </w:pPr>
      <w:r w:rsidRPr="00F80D02">
        <w:rPr>
          <w:lang w:val="pt-PT"/>
        </w:rPr>
        <w:t>A aplicação deste factor a grupos pequenos deve ser ponderada pela credibilidade estatística da experiência observada (ver Secção 7.3), evitando volatilidade excessiva de prémio ano após ano.</w:t>
      </w:r>
    </w:p>
    <w:p w:rsidR="00B72C53" w:rsidRPr="00F80D02" w:rsidRDefault="00A61A1E">
      <w:pPr>
        <w:pStyle w:val="Cabealho3"/>
        <w:spacing w:before="240" w:after="120"/>
        <w:rPr>
          <w:lang w:val="pt-PT"/>
        </w:rPr>
      </w:pPr>
      <w:bookmarkStart w:id="21" w:name="_Toc239580129"/>
      <w:r w:rsidRPr="00F80D02">
        <w:rPr>
          <w:b/>
          <w:bCs/>
          <w:color w:val="595959"/>
          <w:sz w:val="22"/>
          <w:szCs w:val="22"/>
          <w:lang w:val="pt-PT"/>
        </w:rPr>
        <w:t>3.2.7 Factor de underwriting (médico)</w:t>
      </w:r>
      <w:bookmarkEnd w:id="21"/>
    </w:p>
    <w:p w:rsidR="00B72C53" w:rsidRPr="00F80D02" w:rsidRDefault="00A61A1E">
      <w:pPr>
        <w:spacing w:after="160" w:line="276" w:lineRule="auto"/>
        <w:rPr>
          <w:lang w:val="pt-PT"/>
        </w:rPr>
      </w:pPr>
      <w:r w:rsidRPr="00F80D02">
        <w:rPr>
          <w:lang w:val="pt-PT"/>
        </w:rPr>
        <w:t>O factor de underwriting m</w:t>
      </w:r>
      <w:r w:rsidRPr="00F80D02">
        <w:rPr>
          <w:lang w:val="pt-PT"/>
        </w:rPr>
        <w:t>édico permite um agravamento (ou, em casos definidos, um desconto) individual com base em questionário de saúde ou avaliação médica, aplicável apenas nos segmentos e circunstâncias em que a política de subscrição da seguradora o preveja (tipicamente seguro</w:t>
      </w:r>
      <w:r w:rsidRPr="00F80D02">
        <w:rPr>
          <w:lang w:val="pt-PT"/>
        </w:rPr>
        <w:t>s individuais e grupos muito pequenos, não em grandes grupos corporate community-rated). O valor por omissão é 1,00 (sem agravamento); qualquer desvio deve ser documentado caso a caso, com fundamento clínico e limites máximos pré-aprovados (cap).</w:t>
      </w:r>
    </w:p>
    <w:p w:rsidR="00B72C53" w:rsidRPr="00F80D02" w:rsidRDefault="00A61A1E">
      <w:pPr>
        <w:pStyle w:val="Cabealho2"/>
        <w:spacing w:before="360" w:after="160"/>
        <w:rPr>
          <w:lang w:val="pt-PT"/>
        </w:rPr>
      </w:pPr>
      <w:bookmarkStart w:id="22" w:name="_Toc239580130"/>
      <w:r w:rsidRPr="00F80D02">
        <w:rPr>
          <w:b/>
          <w:bCs/>
          <w:lang w:val="pt-PT"/>
        </w:rPr>
        <w:t>3.3 Exemp</w:t>
      </w:r>
      <w:r w:rsidRPr="00F80D02">
        <w:rPr>
          <w:b/>
          <w:bCs/>
          <w:lang w:val="pt-PT"/>
        </w:rPr>
        <w:t>lo numérico integrado</w:t>
      </w:r>
      <w:bookmarkEnd w:id="22"/>
    </w:p>
    <w:p w:rsidR="00B72C53" w:rsidRPr="00F80D02" w:rsidRDefault="00A61A1E">
      <w:pPr>
        <w:spacing w:after="160" w:line="276" w:lineRule="auto"/>
        <w:rPr>
          <w:lang w:val="pt-PT"/>
        </w:rPr>
      </w:pPr>
      <w:r w:rsidRPr="00F80D02">
        <w:rPr>
          <w:lang w:val="pt-PT"/>
        </w:rPr>
        <w:t>Tomando o caso simulado do modelo de referência (folha "Calculadora"): segurado titular de 37 anos, plano STANDARD, grupo de 120 vidas, área "Angola — rede preferencial", loss ratio histórico de 70% e sem agravamento médico:</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900"/>
      </w:tblGrid>
      <w:tr w:rsidR="00B72C53">
        <w:tblPrEx>
          <w:tblCellMar>
            <w:top w:w="0" w:type="dxa"/>
            <w:bottom w:w="0" w:type="dxa"/>
          </w:tblCellMar>
        </w:tblPrEx>
        <w:trPr>
          <w:tblHeader/>
        </w:trPr>
        <w:tc>
          <w:tcPr>
            <w:tcW w:w="58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Component</w:t>
            </w:r>
            <w:r>
              <w:rPr>
                <w:b/>
                <w:bCs/>
                <w:color w:val="FFFFFF"/>
                <w:sz w:val="19"/>
                <w:szCs w:val="19"/>
              </w:rPr>
              <w:t>e</w:t>
            </w:r>
          </w:p>
        </w:tc>
        <w:tc>
          <w:tcPr>
            <w:tcW w:w="39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Valor aplicado</w:t>
            </w:r>
          </w:p>
        </w:tc>
      </w:tr>
      <w:tr w:rsidR="00B72C53">
        <w:tblPrEx>
          <w:tblCellMar>
            <w:top w:w="0" w:type="dxa"/>
            <w:bottom w:w="0" w:type="dxa"/>
          </w:tblCellMar>
        </w:tblPrEx>
        <w:tc>
          <w:tcPr>
            <w:tcW w:w="5800" w:type="dxa"/>
            <w:tcMar>
              <w:top w:w="60" w:type="dxa"/>
              <w:left w:w="100" w:type="dxa"/>
              <w:bottom w:w="60" w:type="dxa"/>
              <w:right w:w="100" w:type="dxa"/>
            </w:tcMar>
            <w:vAlign w:val="center"/>
          </w:tcPr>
          <w:p w:rsidR="00B72C53" w:rsidRDefault="00A61A1E">
            <w:r>
              <w:rPr>
                <w:sz w:val="19"/>
                <w:szCs w:val="19"/>
              </w:rPr>
              <w:t>Prémio base anual (STANDARD)</w:t>
            </w:r>
          </w:p>
        </w:tc>
        <w:tc>
          <w:tcPr>
            <w:tcW w:w="3900" w:type="dxa"/>
            <w:tcMar>
              <w:top w:w="60" w:type="dxa"/>
              <w:left w:w="100" w:type="dxa"/>
              <w:bottom w:w="60" w:type="dxa"/>
              <w:right w:w="100" w:type="dxa"/>
            </w:tcMar>
            <w:vAlign w:val="center"/>
          </w:tcPr>
          <w:p w:rsidR="00B72C53" w:rsidRDefault="00A61A1E">
            <w:pPr>
              <w:jc w:val="right"/>
            </w:pPr>
            <w:r>
              <w:rPr>
                <w:sz w:val="19"/>
                <w:szCs w:val="19"/>
              </w:rPr>
              <w:t>660.000 AOA</w:t>
            </w:r>
          </w:p>
        </w:tc>
      </w:tr>
      <w:tr w:rsidR="00B72C53">
        <w:tblPrEx>
          <w:tblCellMar>
            <w:top w:w="0" w:type="dxa"/>
            <w:bottom w:w="0" w:type="dxa"/>
          </w:tblCellMar>
        </w:tblPrEx>
        <w:tc>
          <w:tcPr>
            <w:tcW w:w="5800" w:type="dxa"/>
            <w:shd w:val="clear" w:color="auto" w:fill="F2F2F2"/>
            <w:tcMar>
              <w:top w:w="60" w:type="dxa"/>
              <w:left w:w="100" w:type="dxa"/>
              <w:bottom w:w="60" w:type="dxa"/>
              <w:right w:w="100" w:type="dxa"/>
            </w:tcMar>
            <w:vAlign w:val="center"/>
          </w:tcPr>
          <w:p w:rsidR="00B72C53" w:rsidRDefault="00A61A1E">
            <w:r>
              <w:rPr>
                <w:sz w:val="19"/>
                <w:szCs w:val="19"/>
              </w:rPr>
              <w:t>Factor idade (banda 30–39)</w:t>
            </w:r>
          </w:p>
        </w:tc>
        <w:tc>
          <w:tcPr>
            <w:tcW w:w="3900" w:type="dxa"/>
            <w:shd w:val="clear" w:color="auto" w:fill="F2F2F2"/>
            <w:tcMar>
              <w:top w:w="60" w:type="dxa"/>
              <w:left w:w="100" w:type="dxa"/>
              <w:bottom w:w="60" w:type="dxa"/>
              <w:right w:w="100" w:type="dxa"/>
            </w:tcMar>
            <w:vAlign w:val="center"/>
          </w:tcPr>
          <w:p w:rsidR="00B72C53" w:rsidRDefault="00A61A1E">
            <w:pPr>
              <w:jc w:val="right"/>
            </w:pPr>
            <w:r>
              <w:rPr>
                <w:sz w:val="19"/>
                <w:szCs w:val="19"/>
              </w:rPr>
              <w:t>1,00</w:t>
            </w:r>
          </w:p>
        </w:tc>
      </w:tr>
      <w:tr w:rsidR="00B72C53">
        <w:tblPrEx>
          <w:tblCellMar>
            <w:top w:w="0" w:type="dxa"/>
            <w:bottom w:w="0" w:type="dxa"/>
          </w:tblCellMar>
        </w:tblPrEx>
        <w:tc>
          <w:tcPr>
            <w:tcW w:w="5800" w:type="dxa"/>
            <w:tcMar>
              <w:top w:w="60" w:type="dxa"/>
              <w:left w:w="100" w:type="dxa"/>
              <w:bottom w:w="60" w:type="dxa"/>
              <w:right w:w="100" w:type="dxa"/>
            </w:tcMar>
            <w:vAlign w:val="center"/>
          </w:tcPr>
          <w:p w:rsidR="00B72C53" w:rsidRDefault="00A61A1E">
            <w:r>
              <w:rPr>
                <w:sz w:val="19"/>
                <w:szCs w:val="19"/>
              </w:rPr>
              <w:t>Factor relação (Titular)</w:t>
            </w:r>
          </w:p>
        </w:tc>
        <w:tc>
          <w:tcPr>
            <w:tcW w:w="3900" w:type="dxa"/>
            <w:tcMar>
              <w:top w:w="60" w:type="dxa"/>
              <w:left w:w="100" w:type="dxa"/>
              <w:bottom w:w="60" w:type="dxa"/>
              <w:right w:w="100" w:type="dxa"/>
            </w:tcMar>
            <w:vAlign w:val="center"/>
          </w:tcPr>
          <w:p w:rsidR="00B72C53" w:rsidRDefault="00A61A1E">
            <w:pPr>
              <w:jc w:val="right"/>
            </w:pPr>
            <w:r>
              <w:rPr>
                <w:sz w:val="19"/>
                <w:szCs w:val="19"/>
              </w:rPr>
              <w:t>1,00</w:t>
            </w:r>
          </w:p>
        </w:tc>
      </w:tr>
      <w:tr w:rsidR="00B72C53">
        <w:tblPrEx>
          <w:tblCellMar>
            <w:top w:w="0" w:type="dxa"/>
            <w:bottom w:w="0" w:type="dxa"/>
          </w:tblCellMar>
        </w:tblPrEx>
        <w:tc>
          <w:tcPr>
            <w:tcW w:w="5800" w:type="dxa"/>
            <w:shd w:val="clear" w:color="auto" w:fill="F2F2F2"/>
            <w:tcMar>
              <w:top w:w="60" w:type="dxa"/>
              <w:left w:w="100" w:type="dxa"/>
              <w:bottom w:w="60" w:type="dxa"/>
              <w:right w:w="100" w:type="dxa"/>
            </w:tcMar>
            <w:vAlign w:val="center"/>
          </w:tcPr>
          <w:p w:rsidR="00B72C53" w:rsidRDefault="00A61A1E">
            <w:r>
              <w:rPr>
                <w:sz w:val="19"/>
                <w:szCs w:val="19"/>
              </w:rPr>
              <w:t>Factor grupo (50–199 vidas)</w:t>
            </w:r>
          </w:p>
        </w:tc>
        <w:tc>
          <w:tcPr>
            <w:tcW w:w="3900" w:type="dxa"/>
            <w:shd w:val="clear" w:color="auto" w:fill="F2F2F2"/>
            <w:tcMar>
              <w:top w:w="60" w:type="dxa"/>
              <w:left w:w="100" w:type="dxa"/>
              <w:bottom w:w="60" w:type="dxa"/>
              <w:right w:w="100" w:type="dxa"/>
            </w:tcMar>
            <w:vAlign w:val="center"/>
          </w:tcPr>
          <w:p w:rsidR="00B72C53" w:rsidRDefault="00A61A1E">
            <w:pPr>
              <w:jc w:val="right"/>
            </w:pPr>
            <w:r>
              <w:rPr>
                <w:sz w:val="19"/>
                <w:szCs w:val="19"/>
              </w:rPr>
              <w:t>1,00</w:t>
            </w:r>
          </w:p>
        </w:tc>
      </w:tr>
      <w:tr w:rsidR="00B72C53">
        <w:tblPrEx>
          <w:tblCellMar>
            <w:top w:w="0" w:type="dxa"/>
            <w:bottom w:w="0" w:type="dxa"/>
          </w:tblCellMar>
        </w:tblPrEx>
        <w:tc>
          <w:tcPr>
            <w:tcW w:w="5800" w:type="dxa"/>
            <w:tcMar>
              <w:top w:w="60" w:type="dxa"/>
              <w:left w:w="100" w:type="dxa"/>
              <w:bottom w:w="60" w:type="dxa"/>
              <w:right w:w="100" w:type="dxa"/>
            </w:tcMar>
            <w:vAlign w:val="center"/>
          </w:tcPr>
          <w:p w:rsidR="00B72C53" w:rsidRDefault="00A61A1E">
            <w:r>
              <w:rPr>
                <w:sz w:val="19"/>
                <w:szCs w:val="19"/>
              </w:rPr>
              <w:t>Factor área (rede preferencial)</w:t>
            </w:r>
          </w:p>
        </w:tc>
        <w:tc>
          <w:tcPr>
            <w:tcW w:w="3900" w:type="dxa"/>
            <w:tcMar>
              <w:top w:w="60" w:type="dxa"/>
              <w:left w:w="100" w:type="dxa"/>
              <w:bottom w:w="60" w:type="dxa"/>
              <w:right w:w="100" w:type="dxa"/>
            </w:tcMar>
            <w:vAlign w:val="center"/>
          </w:tcPr>
          <w:p w:rsidR="00B72C53" w:rsidRDefault="00A61A1E">
            <w:pPr>
              <w:jc w:val="right"/>
            </w:pPr>
            <w:r>
              <w:rPr>
                <w:sz w:val="19"/>
                <w:szCs w:val="19"/>
              </w:rPr>
              <w:t>1,00</w:t>
            </w:r>
          </w:p>
        </w:tc>
      </w:tr>
      <w:tr w:rsidR="00B72C53">
        <w:tblPrEx>
          <w:tblCellMar>
            <w:top w:w="0" w:type="dxa"/>
            <w:bottom w:w="0" w:type="dxa"/>
          </w:tblCellMar>
        </w:tblPrEx>
        <w:tc>
          <w:tcPr>
            <w:tcW w:w="5800" w:type="dxa"/>
            <w:shd w:val="clear" w:color="auto" w:fill="F2F2F2"/>
            <w:tcMar>
              <w:top w:w="60" w:type="dxa"/>
              <w:left w:w="100" w:type="dxa"/>
              <w:bottom w:w="60" w:type="dxa"/>
              <w:right w:w="100" w:type="dxa"/>
            </w:tcMar>
            <w:vAlign w:val="center"/>
          </w:tcPr>
          <w:p w:rsidR="00B72C53" w:rsidRDefault="00A61A1E">
            <w:r>
              <w:rPr>
                <w:sz w:val="19"/>
                <w:szCs w:val="19"/>
              </w:rPr>
              <w:t>Factor experiência (faixa 65–75%)</w:t>
            </w:r>
          </w:p>
        </w:tc>
        <w:tc>
          <w:tcPr>
            <w:tcW w:w="3900" w:type="dxa"/>
            <w:shd w:val="clear" w:color="auto" w:fill="F2F2F2"/>
            <w:tcMar>
              <w:top w:w="60" w:type="dxa"/>
              <w:left w:w="100" w:type="dxa"/>
              <w:bottom w:w="60" w:type="dxa"/>
              <w:right w:w="100" w:type="dxa"/>
            </w:tcMar>
            <w:vAlign w:val="center"/>
          </w:tcPr>
          <w:p w:rsidR="00B72C53" w:rsidRDefault="00A61A1E">
            <w:pPr>
              <w:jc w:val="right"/>
            </w:pPr>
            <w:r>
              <w:rPr>
                <w:sz w:val="19"/>
                <w:szCs w:val="19"/>
              </w:rPr>
              <w:t>1,00</w:t>
            </w:r>
          </w:p>
        </w:tc>
      </w:tr>
      <w:tr w:rsidR="00B72C53">
        <w:tblPrEx>
          <w:tblCellMar>
            <w:top w:w="0" w:type="dxa"/>
            <w:bottom w:w="0" w:type="dxa"/>
          </w:tblCellMar>
        </w:tblPrEx>
        <w:tc>
          <w:tcPr>
            <w:tcW w:w="5800" w:type="dxa"/>
            <w:tcMar>
              <w:top w:w="60" w:type="dxa"/>
              <w:left w:w="100" w:type="dxa"/>
              <w:bottom w:w="60" w:type="dxa"/>
              <w:right w:w="100" w:type="dxa"/>
            </w:tcMar>
            <w:vAlign w:val="center"/>
          </w:tcPr>
          <w:p w:rsidR="00B72C53" w:rsidRDefault="00A61A1E">
            <w:r>
              <w:rPr>
                <w:sz w:val="19"/>
                <w:szCs w:val="19"/>
              </w:rPr>
              <w:t>Factor underwriting</w:t>
            </w:r>
          </w:p>
        </w:tc>
        <w:tc>
          <w:tcPr>
            <w:tcW w:w="3900" w:type="dxa"/>
            <w:tcMar>
              <w:top w:w="60" w:type="dxa"/>
              <w:left w:w="100" w:type="dxa"/>
              <w:bottom w:w="60" w:type="dxa"/>
              <w:right w:w="100" w:type="dxa"/>
            </w:tcMar>
            <w:vAlign w:val="center"/>
          </w:tcPr>
          <w:p w:rsidR="00B72C53" w:rsidRDefault="00A61A1E">
            <w:pPr>
              <w:jc w:val="right"/>
            </w:pPr>
            <w:r>
              <w:rPr>
                <w:sz w:val="19"/>
                <w:szCs w:val="19"/>
              </w:rPr>
              <w:t>1,00</w:t>
            </w:r>
          </w:p>
        </w:tc>
      </w:tr>
      <w:tr w:rsidR="00B72C53">
        <w:tblPrEx>
          <w:tblCellMar>
            <w:top w:w="0" w:type="dxa"/>
            <w:bottom w:w="0" w:type="dxa"/>
          </w:tblCellMar>
        </w:tblPrEx>
        <w:tc>
          <w:tcPr>
            <w:tcW w:w="5800" w:type="dxa"/>
            <w:shd w:val="clear" w:color="auto" w:fill="F2F2F2"/>
            <w:tcMar>
              <w:top w:w="60" w:type="dxa"/>
              <w:left w:w="100" w:type="dxa"/>
              <w:bottom w:w="60" w:type="dxa"/>
              <w:right w:w="100" w:type="dxa"/>
            </w:tcMar>
            <w:vAlign w:val="center"/>
          </w:tcPr>
          <w:p w:rsidR="00B72C53" w:rsidRDefault="00A61A1E">
            <w:r>
              <w:rPr>
                <w:sz w:val="19"/>
                <w:szCs w:val="19"/>
              </w:rPr>
              <w:t>Prémio de risco ajustado</w:t>
            </w:r>
          </w:p>
        </w:tc>
        <w:tc>
          <w:tcPr>
            <w:tcW w:w="3900" w:type="dxa"/>
            <w:shd w:val="clear" w:color="auto" w:fill="F2F2F2"/>
            <w:tcMar>
              <w:top w:w="60" w:type="dxa"/>
              <w:left w:w="100" w:type="dxa"/>
              <w:bottom w:w="60" w:type="dxa"/>
              <w:right w:w="100" w:type="dxa"/>
            </w:tcMar>
            <w:vAlign w:val="center"/>
          </w:tcPr>
          <w:p w:rsidR="00B72C53" w:rsidRDefault="00A61A1E">
            <w:pPr>
              <w:jc w:val="right"/>
            </w:pPr>
            <w:r>
              <w:rPr>
                <w:sz w:val="19"/>
                <w:szCs w:val="19"/>
              </w:rPr>
              <w:t>660.000 AOA</w:t>
            </w:r>
          </w:p>
        </w:tc>
      </w:tr>
      <w:tr w:rsidR="00B72C53">
        <w:tblPrEx>
          <w:tblCellMar>
            <w:top w:w="0" w:type="dxa"/>
            <w:bottom w:w="0" w:type="dxa"/>
          </w:tblCellMar>
        </w:tblPrEx>
        <w:tc>
          <w:tcPr>
            <w:tcW w:w="5800" w:type="dxa"/>
            <w:tcMar>
              <w:top w:w="60" w:type="dxa"/>
              <w:left w:w="100" w:type="dxa"/>
              <w:bottom w:w="60" w:type="dxa"/>
              <w:right w:w="100" w:type="dxa"/>
            </w:tcMar>
            <w:vAlign w:val="center"/>
          </w:tcPr>
          <w:p w:rsidR="00B72C53" w:rsidRDefault="00A61A1E">
            <w:r>
              <w:rPr>
                <w:sz w:val="19"/>
                <w:szCs w:val="19"/>
              </w:rPr>
              <w:t>Total de loadings (Secção 5)</w:t>
            </w:r>
          </w:p>
        </w:tc>
        <w:tc>
          <w:tcPr>
            <w:tcW w:w="3900" w:type="dxa"/>
            <w:tcMar>
              <w:top w:w="60" w:type="dxa"/>
              <w:left w:w="100" w:type="dxa"/>
              <w:bottom w:w="60" w:type="dxa"/>
              <w:right w:w="100" w:type="dxa"/>
            </w:tcMar>
            <w:vAlign w:val="center"/>
          </w:tcPr>
          <w:p w:rsidR="00B72C53" w:rsidRDefault="00A61A1E">
            <w:pPr>
              <w:jc w:val="right"/>
            </w:pPr>
            <w:r>
              <w:rPr>
                <w:sz w:val="19"/>
                <w:szCs w:val="19"/>
              </w:rPr>
              <w:t>37,0%</w:t>
            </w:r>
          </w:p>
        </w:tc>
      </w:tr>
      <w:tr w:rsidR="00B72C53">
        <w:tblPrEx>
          <w:tblCellMar>
            <w:top w:w="0" w:type="dxa"/>
            <w:bottom w:w="0" w:type="dxa"/>
          </w:tblCellMar>
        </w:tblPrEx>
        <w:tc>
          <w:tcPr>
            <w:tcW w:w="5800" w:type="dxa"/>
            <w:shd w:val="clear" w:color="auto" w:fill="F2F2F2"/>
            <w:tcMar>
              <w:top w:w="60" w:type="dxa"/>
              <w:left w:w="100" w:type="dxa"/>
              <w:bottom w:w="60" w:type="dxa"/>
              <w:right w:w="100" w:type="dxa"/>
            </w:tcMar>
            <w:vAlign w:val="center"/>
          </w:tcPr>
          <w:p w:rsidR="00B72C53" w:rsidRDefault="00A61A1E">
            <w:r>
              <w:rPr>
                <w:sz w:val="19"/>
                <w:szCs w:val="19"/>
              </w:rPr>
              <w:t>Prémio comercial anual</w:t>
            </w:r>
          </w:p>
        </w:tc>
        <w:tc>
          <w:tcPr>
            <w:tcW w:w="3900" w:type="dxa"/>
            <w:shd w:val="clear" w:color="auto" w:fill="F2F2F2"/>
            <w:tcMar>
              <w:top w:w="60" w:type="dxa"/>
              <w:left w:w="100" w:type="dxa"/>
              <w:bottom w:w="60" w:type="dxa"/>
              <w:right w:w="100" w:type="dxa"/>
            </w:tcMar>
            <w:vAlign w:val="center"/>
          </w:tcPr>
          <w:p w:rsidR="00B72C53" w:rsidRDefault="00A61A1E">
            <w:pPr>
              <w:jc w:val="right"/>
            </w:pPr>
            <w:r>
              <w:rPr>
                <w:sz w:val="19"/>
                <w:szCs w:val="19"/>
              </w:rPr>
              <w:t>904.200 AOA</w:t>
            </w:r>
          </w:p>
        </w:tc>
      </w:tr>
      <w:tr w:rsidR="00B72C53">
        <w:tblPrEx>
          <w:tblCellMar>
            <w:top w:w="0" w:type="dxa"/>
            <w:bottom w:w="0" w:type="dxa"/>
          </w:tblCellMar>
        </w:tblPrEx>
        <w:tc>
          <w:tcPr>
            <w:tcW w:w="5800" w:type="dxa"/>
            <w:tcMar>
              <w:top w:w="60" w:type="dxa"/>
              <w:left w:w="100" w:type="dxa"/>
              <w:bottom w:w="60" w:type="dxa"/>
              <w:right w:w="100" w:type="dxa"/>
            </w:tcMar>
            <w:vAlign w:val="center"/>
          </w:tcPr>
          <w:p w:rsidR="00B72C53" w:rsidRDefault="00A61A1E">
            <w:r>
              <w:rPr>
                <w:sz w:val="19"/>
                <w:szCs w:val="19"/>
              </w:rPr>
              <w:t>Prémio comercial mensal</w:t>
            </w:r>
          </w:p>
        </w:tc>
        <w:tc>
          <w:tcPr>
            <w:tcW w:w="3900" w:type="dxa"/>
            <w:tcMar>
              <w:top w:w="60" w:type="dxa"/>
              <w:left w:w="100" w:type="dxa"/>
              <w:bottom w:w="60" w:type="dxa"/>
              <w:right w:w="100" w:type="dxa"/>
            </w:tcMar>
            <w:vAlign w:val="center"/>
          </w:tcPr>
          <w:p w:rsidR="00B72C53" w:rsidRDefault="00A61A1E">
            <w:pPr>
              <w:jc w:val="right"/>
            </w:pPr>
            <w:r>
              <w:rPr>
                <w:sz w:val="19"/>
                <w:szCs w:val="19"/>
              </w:rPr>
              <w:t>75.350 AOA</w:t>
            </w:r>
          </w:p>
        </w:tc>
      </w:tr>
    </w:tbl>
    <w:p w:rsidR="00B72C53" w:rsidRDefault="00B72C53">
      <w:pPr>
        <w:spacing w:after="120"/>
      </w:pPr>
    </w:p>
    <w:p w:rsidR="00B72C53" w:rsidRPr="00F80D02" w:rsidRDefault="00A61A1E">
      <w:pPr>
        <w:spacing w:after="160" w:line="276" w:lineRule="auto"/>
        <w:rPr>
          <w:lang w:val="pt-PT"/>
        </w:rPr>
      </w:pPr>
      <w:r w:rsidRPr="00F80D02">
        <w:rPr>
          <w:lang w:val="pt-PT"/>
        </w:rPr>
        <w:t xml:space="preserve">Neste caso todos os factores de ajuste coincidem com o perfil de referência (todos = 1,00), pelo que o prémio comercial resulta apenas da aplicação dos loadings ao prémio base. Um segundo exemplo, com um titular de </w:t>
      </w:r>
      <w:r w:rsidRPr="00F80D02">
        <w:rPr>
          <w:lang w:val="pt-PT"/>
        </w:rPr>
        <w:lastRenderedPageBreak/>
        <w:t>52 anos (factor 1,72) no mesmo plano e re</w:t>
      </w:r>
      <w:r w:rsidRPr="00F80D02">
        <w:rPr>
          <w:lang w:val="pt-PT"/>
        </w:rPr>
        <w:t>stantes condições iguais, resultaria num prémio de risco ajustado de 660.000 × 1,72 = 1.135.200 AOA e num prémio comercial anual de aproximadamente 1.555.224 AOA — ilustrando o efeito, isolado, do factor etário.</w:t>
      </w:r>
    </w:p>
    <w:p w:rsidR="00B72C53" w:rsidRPr="00F80D02" w:rsidRDefault="00A61A1E">
      <w:pPr>
        <w:rPr>
          <w:lang w:val="pt-PT"/>
        </w:rPr>
      </w:pPr>
      <w:r w:rsidRPr="00F80D02">
        <w:rPr>
          <w:lang w:val="pt-PT"/>
        </w:rPr>
        <w:br w:type="page"/>
      </w:r>
    </w:p>
    <w:p w:rsidR="00B72C53" w:rsidRPr="00F80D02" w:rsidRDefault="00A61A1E">
      <w:pPr>
        <w:pStyle w:val="Cabealho1"/>
        <w:pBdr>
          <w:bottom w:val="single" w:sz="12" w:space="4" w:color="1F3864"/>
        </w:pBdr>
        <w:spacing w:before="480" w:after="240"/>
        <w:rPr>
          <w:lang w:val="pt-PT"/>
        </w:rPr>
      </w:pPr>
      <w:bookmarkStart w:id="23" w:name="_Toc239580131"/>
      <w:r w:rsidRPr="00F80D02">
        <w:rPr>
          <w:b/>
          <w:bCs/>
          <w:color w:val="1F3864"/>
          <w:lang w:val="pt-PT"/>
        </w:rPr>
        <w:lastRenderedPageBreak/>
        <w:t>4. Pressupostos Técnicos</w:t>
      </w:r>
      <w:bookmarkEnd w:id="23"/>
    </w:p>
    <w:p w:rsidR="00B72C53" w:rsidRPr="00F80D02" w:rsidRDefault="00A61A1E">
      <w:pPr>
        <w:pStyle w:val="Cabealho2"/>
        <w:spacing w:before="360" w:after="160"/>
        <w:rPr>
          <w:lang w:val="pt-PT"/>
        </w:rPr>
      </w:pPr>
      <w:bookmarkStart w:id="24" w:name="_Toc239580132"/>
      <w:r w:rsidRPr="00F80D02">
        <w:rPr>
          <w:b/>
          <w:bCs/>
          <w:lang w:val="pt-PT"/>
        </w:rPr>
        <w:t>4.1 Bandas etária</w:t>
      </w:r>
      <w:r w:rsidRPr="00F80D02">
        <w:rPr>
          <w:b/>
          <w:bCs/>
          <w:lang w:val="pt-PT"/>
        </w:rPr>
        <w:t>s e factores associados</w:t>
      </w:r>
      <w:bookmarkEnd w:id="24"/>
    </w:p>
    <w:p w:rsidR="00B72C53" w:rsidRPr="00F80D02" w:rsidRDefault="00A61A1E">
      <w:pPr>
        <w:spacing w:after="160" w:line="276" w:lineRule="auto"/>
        <w:rPr>
          <w:lang w:val="pt-PT"/>
        </w:rPr>
      </w:pPr>
      <w:r w:rsidRPr="00F80D02">
        <w:rPr>
          <w:lang w:val="pt-PT"/>
        </w:rPr>
        <w:t>As dez bandas etárias definidas no modelo (0–5 até 70+) constituem uma proposta de desenho, não um resultado calibrado. O actuário deve validar: (i) se o número e amplitude das bandas é adequado ao volume de dados disponível — banda</w:t>
      </w:r>
      <w:r w:rsidRPr="00F80D02">
        <w:rPr>
          <w:lang w:val="pt-PT"/>
        </w:rPr>
        <w:t xml:space="preserve">s demasiado estreitas em segmentos com poucos segurados reduzem a credibilidade estatística de cada factor; (ii) se a progressão de factores entre bandas reflecte a curva real de frequência × severidade observada na carteira ou, na ausência de experiência </w:t>
      </w:r>
      <w:r w:rsidRPr="00F80D02">
        <w:rPr>
          <w:lang w:val="pt-PT"/>
        </w:rPr>
        <w:t>própria suficiente, em benchmarks de mercado comparáveis; (iii) se bandas de idade avançada (65+) devem estar sujeitas a regras de elegibilidade e subscrição médica distintas das restantes, dado o risco de antisselecção.</w:t>
      </w:r>
    </w:p>
    <w:p w:rsidR="00B72C53" w:rsidRPr="00F80D02" w:rsidRDefault="00A61A1E">
      <w:pPr>
        <w:pStyle w:val="Cabealho2"/>
        <w:spacing w:before="360" w:after="160"/>
        <w:rPr>
          <w:lang w:val="pt-PT"/>
        </w:rPr>
      </w:pPr>
      <w:bookmarkStart w:id="25" w:name="_Toc239580133"/>
      <w:r w:rsidRPr="00F80D02">
        <w:rPr>
          <w:b/>
          <w:bCs/>
          <w:lang w:val="pt-PT"/>
        </w:rPr>
        <w:t>4.2 Calibração por frequência e sev</w:t>
      </w:r>
      <w:r w:rsidRPr="00F80D02">
        <w:rPr>
          <w:b/>
          <w:bCs/>
          <w:lang w:val="pt-PT"/>
        </w:rPr>
        <w:t>eridade</w:t>
      </w:r>
      <w:bookmarkEnd w:id="25"/>
    </w:p>
    <w:p w:rsidR="00B72C53" w:rsidRPr="00F80D02" w:rsidRDefault="00A61A1E">
      <w:pPr>
        <w:spacing w:after="160" w:line="276" w:lineRule="auto"/>
        <w:rPr>
          <w:lang w:val="pt-PT"/>
        </w:rPr>
      </w:pPr>
      <w:r w:rsidRPr="00F80D02">
        <w:rPr>
          <w:lang w:val="pt-PT"/>
        </w:rPr>
        <w:t>A calibração técnica de cada factor (etário, familiar, geográfico) deve decompor-se em dois elementos multiplicativos:</w:t>
      </w:r>
    </w:p>
    <w:p w:rsidR="00B72C53" w:rsidRPr="00F80D02" w:rsidRDefault="00A61A1E">
      <w:pPr>
        <w:pStyle w:val="PargrafodaLista"/>
        <w:numPr>
          <w:ilvl w:val="0"/>
          <w:numId w:val="2"/>
        </w:numPr>
        <w:spacing w:after="80"/>
        <w:rPr>
          <w:lang w:val="pt-PT"/>
        </w:rPr>
      </w:pPr>
      <w:r w:rsidRPr="00F80D02">
        <w:rPr>
          <w:lang w:val="pt-PT"/>
        </w:rPr>
        <w:t>Frequência — número esperado de eventos/sinistros por vida-ano, por segmento;</w:t>
      </w:r>
    </w:p>
    <w:p w:rsidR="00B72C53" w:rsidRPr="00F80D02" w:rsidRDefault="00A61A1E">
      <w:pPr>
        <w:pStyle w:val="PargrafodaLista"/>
        <w:numPr>
          <w:ilvl w:val="0"/>
          <w:numId w:val="2"/>
        </w:numPr>
        <w:spacing w:after="80"/>
        <w:rPr>
          <w:lang w:val="pt-PT"/>
        </w:rPr>
      </w:pPr>
      <w:r w:rsidRPr="00F80D02">
        <w:rPr>
          <w:lang w:val="pt-PT"/>
        </w:rPr>
        <w:t>Severidade — custo médio esperado por evento, por s</w:t>
      </w:r>
      <w:r w:rsidRPr="00F80D02">
        <w:rPr>
          <w:lang w:val="pt-PT"/>
        </w:rPr>
        <w:t>egmento e por tipo de cobertura (hospitalização, ambulatório, medicamentos, maternidade, etc.).</w:t>
      </w:r>
    </w:p>
    <w:p w:rsidR="00B72C53" w:rsidRPr="00F80D02" w:rsidRDefault="00A61A1E">
      <w:pPr>
        <w:spacing w:after="160" w:line="276" w:lineRule="auto"/>
        <w:rPr>
          <w:lang w:val="pt-PT"/>
        </w:rPr>
      </w:pPr>
      <w:r w:rsidRPr="00F80D02">
        <w:rPr>
          <w:lang w:val="pt-PT"/>
        </w:rPr>
        <w:t>O produto frequência × severidade dá o custo esperado por vida-ano nesse segmento; o factor de calibração resulta do rácio entre este custo esperado e o custo e</w:t>
      </w:r>
      <w:r w:rsidRPr="00F80D02">
        <w:rPr>
          <w:lang w:val="pt-PT"/>
        </w:rPr>
        <w:t xml:space="preserve">sperado do segmento de referência. Esta decomposição é essencial para distinguir se uma diferença de custo entre bandas etárias, por exemplo, resulta de mais episódios de cuidado ou de episódios mais caros — a resposta de gestão (rede, copagamento, gestão </w:t>
      </w:r>
      <w:r w:rsidRPr="00F80D02">
        <w:rPr>
          <w:lang w:val="pt-PT"/>
        </w:rPr>
        <w:t>de casos) é diferente em cada caso.</w:t>
      </w:r>
    </w:p>
    <w:p w:rsidR="00B72C53" w:rsidRPr="00F80D02" w:rsidRDefault="00A61A1E">
      <w:pPr>
        <w:pStyle w:val="Cabealho2"/>
        <w:spacing w:before="360" w:after="160"/>
        <w:rPr>
          <w:lang w:val="pt-PT"/>
        </w:rPr>
      </w:pPr>
      <w:bookmarkStart w:id="26" w:name="_Toc239580134"/>
      <w:r w:rsidRPr="00F80D02">
        <w:rPr>
          <w:b/>
          <w:bCs/>
          <w:lang w:val="pt-PT"/>
        </w:rPr>
        <w:t>4.3 Tratamento de grandes sinistros e eventos catastróficos</w:t>
      </w:r>
      <w:bookmarkEnd w:id="26"/>
    </w:p>
    <w:p w:rsidR="00B72C53" w:rsidRDefault="00A61A1E">
      <w:pPr>
        <w:spacing w:after="160" w:line="276" w:lineRule="auto"/>
      </w:pPr>
      <w:r w:rsidRPr="00F80D02">
        <w:rPr>
          <w:lang w:val="pt-PT"/>
        </w:rPr>
        <w:t xml:space="preserve">O modelo de referência não define, na versão actual, um tratamento explícito para grandes sinistros (large claims) nem para eventos catastróficos (por exemplo, </w:t>
      </w:r>
      <w:r w:rsidRPr="00F80D02">
        <w:rPr>
          <w:lang w:val="pt-PT"/>
        </w:rPr>
        <w:t xml:space="preserve">surtos epidémicos, acidentes de grande escala). </w:t>
      </w:r>
      <w:r>
        <w:t>Recomenda-se que o manual final incorpore:</w:t>
      </w:r>
    </w:p>
    <w:p w:rsidR="00B72C53" w:rsidRPr="00F80D02" w:rsidRDefault="00A61A1E">
      <w:pPr>
        <w:pStyle w:val="PargrafodaLista"/>
        <w:numPr>
          <w:ilvl w:val="0"/>
          <w:numId w:val="2"/>
        </w:numPr>
        <w:spacing w:after="80"/>
        <w:rPr>
          <w:lang w:val="pt-PT"/>
        </w:rPr>
      </w:pPr>
      <w:r w:rsidRPr="00F80D02">
        <w:rPr>
          <w:lang w:val="pt-PT"/>
        </w:rPr>
        <w:t xml:space="preserve">Um limiar (threshold) de sinistro individual acima do qual o valor é excluído do cálculo de loss ratio de experiência e tratado separadamente (pooling), para evitar </w:t>
      </w:r>
      <w:r w:rsidRPr="00F80D02">
        <w:rPr>
          <w:lang w:val="pt-PT"/>
        </w:rPr>
        <w:t>que um único evento distorça a tarifa de um grupo pequeno;</w:t>
      </w:r>
    </w:p>
    <w:p w:rsidR="00B72C53" w:rsidRPr="00F80D02" w:rsidRDefault="00A61A1E">
      <w:pPr>
        <w:pStyle w:val="PargrafodaLista"/>
        <w:numPr>
          <w:ilvl w:val="0"/>
          <w:numId w:val="2"/>
        </w:numPr>
        <w:spacing w:after="80"/>
        <w:rPr>
          <w:lang w:val="pt-PT"/>
        </w:rPr>
      </w:pPr>
      <w:r w:rsidRPr="00F80D02">
        <w:rPr>
          <w:lang w:val="pt-PT"/>
        </w:rPr>
        <w:t>Um mecanismo de capping (tecto) por sinistro e/ou por segurado/ano, articulado com a cobertura de resseguro/stop-loss (ver Secção 5.5);</w:t>
      </w:r>
    </w:p>
    <w:p w:rsidR="00B72C53" w:rsidRPr="00F80D02" w:rsidRDefault="00A61A1E">
      <w:pPr>
        <w:pStyle w:val="PargrafodaLista"/>
        <w:numPr>
          <w:ilvl w:val="0"/>
          <w:numId w:val="2"/>
        </w:numPr>
        <w:spacing w:after="80"/>
        <w:rPr>
          <w:lang w:val="pt-PT"/>
        </w:rPr>
      </w:pPr>
      <w:r w:rsidRPr="00F80D02">
        <w:rPr>
          <w:lang w:val="pt-PT"/>
        </w:rPr>
        <w:t>Um pooling charge explícito, cobrado a todos os grupos, que f</w:t>
      </w:r>
      <w:r w:rsidRPr="00F80D02">
        <w:rPr>
          <w:lang w:val="pt-PT"/>
        </w:rPr>
        <w:t>inancia o custo esperado de grandes sinistros a nível de carteira, evitando que a exposição a eventos raros mas severos seja suportada apenas pelo grupo onde ocorreram.</w:t>
      </w:r>
    </w:p>
    <w:p w:rsidR="00B72C53" w:rsidRPr="00F80D02" w:rsidRDefault="00A61A1E">
      <w:pPr>
        <w:pStyle w:val="Cabealho2"/>
        <w:spacing w:before="360" w:after="160"/>
        <w:rPr>
          <w:lang w:val="pt-PT"/>
        </w:rPr>
      </w:pPr>
      <w:bookmarkStart w:id="27" w:name="_Toc239580135"/>
      <w:r w:rsidRPr="00F80D02">
        <w:rPr>
          <w:b/>
          <w:bCs/>
          <w:lang w:val="pt-PT"/>
        </w:rPr>
        <w:t>4.4 Provisões técnicas (IBNR e volatilidade)</w:t>
      </w:r>
      <w:bookmarkEnd w:id="27"/>
    </w:p>
    <w:p w:rsidR="00B72C53" w:rsidRDefault="00A61A1E">
      <w:pPr>
        <w:spacing w:after="160" w:line="276" w:lineRule="auto"/>
      </w:pPr>
      <w:r w:rsidRPr="00F80D02">
        <w:rPr>
          <w:lang w:val="pt-PT"/>
        </w:rPr>
        <w:t>A margem de segurança (Secção 5.3) e o loa</w:t>
      </w:r>
      <w:r w:rsidRPr="00F80D02">
        <w:rPr>
          <w:lang w:val="pt-PT"/>
        </w:rPr>
        <w:t xml:space="preserve">ding de volatilidade devem articular-se com o cálculo de provisões técnicas, nomeadamente a provisão para sinistros ocorridos mas não reportados (IBNR — Incurred But Not Reported). </w:t>
      </w:r>
      <w:r>
        <w:t>Recomenda-se que:</w:t>
      </w:r>
    </w:p>
    <w:p w:rsidR="00B72C53" w:rsidRPr="00F80D02" w:rsidRDefault="00A61A1E">
      <w:pPr>
        <w:pStyle w:val="PargrafodaLista"/>
        <w:numPr>
          <w:ilvl w:val="0"/>
          <w:numId w:val="2"/>
        </w:numPr>
        <w:spacing w:after="80"/>
        <w:rPr>
          <w:lang w:val="pt-PT"/>
        </w:rPr>
      </w:pPr>
      <w:r w:rsidRPr="00F80D02">
        <w:rPr>
          <w:lang w:val="pt-PT"/>
        </w:rPr>
        <w:t>O método de estimativa de IBNR (triangulação de desenvolv</w:t>
      </w:r>
      <w:r w:rsidRPr="00F80D02">
        <w:rPr>
          <w:lang w:val="pt-PT"/>
        </w:rPr>
        <w:t>imento de sinistros, chain-ladder ou método actuarial equivalente) seja documentado e aplicado de forma consistente entre períodos;</w:t>
      </w:r>
    </w:p>
    <w:p w:rsidR="00B72C53" w:rsidRPr="00F80D02" w:rsidRDefault="00A61A1E">
      <w:pPr>
        <w:pStyle w:val="PargrafodaLista"/>
        <w:numPr>
          <w:ilvl w:val="0"/>
          <w:numId w:val="2"/>
        </w:numPr>
        <w:spacing w:after="80"/>
        <w:rPr>
          <w:lang w:val="pt-PT"/>
        </w:rPr>
      </w:pPr>
      <w:r w:rsidRPr="00F80D02">
        <w:rPr>
          <w:lang w:val="pt-PT"/>
        </w:rPr>
        <w:lastRenderedPageBreak/>
        <w:t>A margem de segurança incorporada no prémio reflicta explicitamente a incerteza associada à estimativa de IBNR e à volatilid</w:t>
      </w:r>
      <w:r w:rsidRPr="00F80D02">
        <w:rPr>
          <w:lang w:val="pt-PT"/>
        </w:rPr>
        <w:t>ade de frequência/severidade, sobretudo em carteiras ainda pequenas ou com histórico curto;</w:t>
      </w:r>
    </w:p>
    <w:p w:rsidR="00B72C53" w:rsidRPr="00F80D02" w:rsidRDefault="00A61A1E">
      <w:pPr>
        <w:pStyle w:val="PargrafodaLista"/>
        <w:numPr>
          <w:ilvl w:val="0"/>
          <w:numId w:val="2"/>
        </w:numPr>
        <w:spacing w:after="80"/>
        <w:rPr>
          <w:lang w:val="pt-PT"/>
        </w:rPr>
      </w:pPr>
      <w:r w:rsidRPr="00F80D02">
        <w:rPr>
          <w:lang w:val="pt-PT"/>
        </w:rPr>
        <w:t>Exista reconciliação periódica entre a margem cobrada na tarifa e o resultado técnico efectivamente observado, para evitar que a margem se torne estruturalmente ins</w:t>
      </w:r>
      <w:r w:rsidRPr="00F80D02">
        <w:rPr>
          <w:lang w:val="pt-PT"/>
        </w:rPr>
        <w:t>uficiente ou excessiva.</w:t>
      </w:r>
    </w:p>
    <w:p w:rsidR="00B72C53" w:rsidRPr="00F80D02" w:rsidRDefault="00A61A1E">
      <w:pPr>
        <w:pStyle w:val="Cabealho2"/>
        <w:spacing w:before="360" w:after="160"/>
        <w:rPr>
          <w:lang w:val="pt-PT"/>
        </w:rPr>
      </w:pPr>
      <w:bookmarkStart w:id="28" w:name="_Toc239580136"/>
      <w:r w:rsidRPr="00F80D02">
        <w:rPr>
          <w:b/>
          <w:bCs/>
          <w:lang w:val="pt-PT"/>
        </w:rPr>
        <w:t>4.5 Inflação médica e actualização das bases técnicas</w:t>
      </w:r>
      <w:bookmarkEnd w:id="28"/>
    </w:p>
    <w:p w:rsidR="00B72C53" w:rsidRDefault="00A61A1E">
      <w:pPr>
        <w:spacing w:after="160" w:line="276" w:lineRule="auto"/>
      </w:pPr>
      <w:r w:rsidRPr="00F80D02">
        <w:rPr>
          <w:lang w:val="pt-PT"/>
        </w:rPr>
        <w:t>A inflação médica — o aumento do custo unitário dos cuidados de saúde, tipicamente superior à inflação geral, por efeito combinado de custos de tecnologia, medicamentos, honorári</w:t>
      </w:r>
      <w:r w:rsidRPr="00F80D02">
        <w:rPr>
          <w:lang w:val="pt-PT"/>
        </w:rPr>
        <w:t xml:space="preserve">os médicos e utilização — deve ser tratada como um pressuposto técnico explícito e não incorporada de forma implícita ou ad-hoc. </w:t>
      </w:r>
      <w:r>
        <w:t>Recomenda-se um processo formal com os seguintes elementos:</w:t>
      </w:r>
    </w:p>
    <w:p w:rsidR="00B72C53" w:rsidRPr="00F80D02" w:rsidRDefault="00A61A1E">
      <w:pPr>
        <w:pStyle w:val="PargrafodaLista"/>
        <w:numPr>
          <w:ilvl w:val="0"/>
          <w:numId w:val="2"/>
        </w:numPr>
        <w:spacing w:after="80"/>
        <w:rPr>
          <w:lang w:val="pt-PT"/>
        </w:rPr>
      </w:pPr>
      <w:r w:rsidRPr="00F80D02">
        <w:rPr>
          <w:lang w:val="pt-PT"/>
        </w:rPr>
        <w:t>Definição de uma taxa de tendência médica (medical trend) anual, es</w:t>
      </w:r>
      <w:r w:rsidRPr="00F80D02">
        <w:rPr>
          <w:lang w:val="pt-PT"/>
        </w:rPr>
        <w:t>timada a partir da evolução observada do custo médio por sinistro na carteira própria (quando o histórico for suficiente) e, complementarmente, de índices e estudos de mercado (por exemplo, relatórios de tendência de custos de saúde publicados por associaç</w:t>
      </w:r>
      <w:r w:rsidRPr="00F80D02">
        <w:rPr>
          <w:lang w:val="pt-PT"/>
        </w:rPr>
        <w:t>ões actuariais e reguladores de medical schemes);</w:t>
      </w:r>
    </w:p>
    <w:p w:rsidR="00B72C53" w:rsidRPr="00F80D02" w:rsidRDefault="00A61A1E">
      <w:pPr>
        <w:pStyle w:val="PargrafodaLista"/>
        <w:numPr>
          <w:ilvl w:val="0"/>
          <w:numId w:val="2"/>
        </w:numPr>
        <w:spacing w:after="80"/>
        <w:rPr>
          <w:lang w:val="pt-PT"/>
        </w:rPr>
      </w:pPr>
      <w:r w:rsidRPr="00F80D02">
        <w:rPr>
          <w:lang w:val="pt-PT"/>
        </w:rPr>
        <w:t>Separação, sempre que possível, entre o efeito de tendência de utilização (mais episódios de cuidado) e o efeito de tendência de custo unitário (preços mais altos por episódio), dado que respondem a alavanc</w:t>
      </w:r>
      <w:r w:rsidRPr="00F80D02">
        <w:rPr>
          <w:lang w:val="pt-PT"/>
        </w:rPr>
        <w:t>as de gestão diferentes;</w:t>
      </w:r>
    </w:p>
    <w:p w:rsidR="00B72C53" w:rsidRPr="00F80D02" w:rsidRDefault="00A61A1E">
      <w:pPr>
        <w:pStyle w:val="PargrafodaLista"/>
        <w:numPr>
          <w:ilvl w:val="0"/>
          <w:numId w:val="2"/>
        </w:numPr>
        <w:spacing w:after="80"/>
        <w:rPr>
          <w:lang w:val="pt-PT"/>
        </w:rPr>
      </w:pPr>
      <w:r w:rsidRPr="00F80D02">
        <w:rPr>
          <w:lang w:val="pt-PT"/>
        </w:rPr>
        <w:t>Data-base explícita para cada tarifa (effective_from) e regra de actualização — por exemplo, aplicação da taxa de tendência médica ao prémio base em cada revisão anual, antes de qualquer ajuste por experiência específica de grupo;</w:t>
      </w:r>
    </w:p>
    <w:p w:rsidR="00B72C53" w:rsidRPr="00F80D02" w:rsidRDefault="00A61A1E">
      <w:pPr>
        <w:pStyle w:val="PargrafodaLista"/>
        <w:numPr>
          <w:ilvl w:val="0"/>
          <w:numId w:val="2"/>
        </w:numPr>
        <w:spacing w:after="80"/>
        <w:rPr>
          <w:lang w:val="pt-PT"/>
        </w:rPr>
      </w:pPr>
      <w:r w:rsidRPr="00F80D02">
        <w:rPr>
          <w:lang w:val="pt-PT"/>
        </w:rPr>
        <w:t>Comunicação clara, no processo de renovação, da parcela do aumento de prémio atribuível a tendência médica geral versus a parcela atribuível a experiência específica do grupo, para preservar a transparência (Secção 1.3) perante clientes e reguladores.</w:t>
      </w:r>
    </w:p>
    <w:p w:rsidR="00B72C53" w:rsidRPr="00F80D02" w:rsidRDefault="00A61A1E">
      <w:pPr>
        <w:pBdr>
          <w:left w:val="single" w:sz="24" w:space="8" w:color="2E74B5"/>
        </w:pBdr>
        <w:shd w:val="clear" w:color="auto" w:fill="F2F2F2"/>
        <w:spacing w:before="80" w:after="200"/>
        <w:ind w:left="100"/>
        <w:rPr>
          <w:lang w:val="pt-PT"/>
        </w:rPr>
      </w:pPr>
      <w:r w:rsidRPr="00F80D02">
        <w:rPr>
          <w:i/>
          <w:iCs/>
          <w:color w:val="404040"/>
          <w:sz w:val="20"/>
          <w:szCs w:val="20"/>
          <w:lang w:val="pt-PT"/>
        </w:rPr>
        <w:t>O mo</w:t>
      </w:r>
      <w:r w:rsidRPr="00F80D02">
        <w:rPr>
          <w:i/>
          <w:iCs/>
          <w:color w:val="404040"/>
          <w:sz w:val="20"/>
          <w:szCs w:val="20"/>
          <w:lang w:val="pt-PT"/>
        </w:rPr>
        <w:t>delo de referência regista este ponto como pendente ("Medical trend — não incorporado automaticamente"). É uma das primeiras decisões que o Actuário Responsável deve formalizar antes da aprovação da tarifa oficial.</w:t>
      </w:r>
    </w:p>
    <w:p w:rsidR="00B72C53" w:rsidRPr="00F80D02" w:rsidRDefault="00A61A1E">
      <w:pPr>
        <w:rPr>
          <w:lang w:val="pt-PT"/>
        </w:rPr>
      </w:pPr>
      <w:r w:rsidRPr="00F80D02">
        <w:rPr>
          <w:lang w:val="pt-PT"/>
        </w:rPr>
        <w:br w:type="page"/>
      </w:r>
    </w:p>
    <w:p w:rsidR="00B72C53" w:rsidRPr="00F80D02" w:rsidRDefault="00A61A1E">
      <w:pPr>
        <w:pStyle w:val="Cabealho1"/>
        <w:pBdr>
          <w:bottom w:val="single" w:sz="12" w:space="4" w:color="1F3864"/>
        </w:pBdr>
        <w:spacing w:before="480" w:after="240"/>
        <w:rPr>
          <w:lang w:val="pt-PT"/>
        </w:rPr>
      </w:pPr>
      <w:bookmarkStart w:id="29" w:name="_Toc239580137"/>
      <w:r w:rsidRPr="00F80D02">
        <w:rPr>
          <w:b/>
          <w:bCs/>
          <w:color w:val="1F3864"/>
          <w:lang w:val="pt-PT"/>
        </w:rPr>
        <w:lastRenderedPageBreak/>
        <w:t>5. Loadings Técnicos e Comerciais</w:t>
      </w:r>
      <w:bookmarkEnd w:id="29"/>
    </w:p>
    <w:p w:rsidR="00B72C53" w:rsidRPr="00F80D02" w:rsidRDefault="00A61A1E">
      <w:pPr>
        <w:spacing w:after="160" w:line="276" w:lineRule="auto"/>
        <w:rPr>
          <w:lang w:val="pt-PT"/>
        </w:rPr>
      </w:pPr>
      <w:r w:rsidRPr="00F80D02">
        <w:rPr>
          <w:lang w:val="pt-PT"/>
        </w:rPr>
        <w:t>Os lo</w:t>
      </w:r>
      <w:r w:rsidRPr="00F80D02">
        <w:rPr>
          <w:lang w:val="pt-PT"/>
        </w:rPr>
        <w:t>adings são aplicados sobre o prémio de risco ajustado (Secção 3.1) e representam os custos e margens necessários para que o produto seja operacional, sustentável e cumpra requisitos regulatórios de solvência. No modelo de referência, os loadings somam 37,0</w:t>
      </w:r>
      <w:r w:rsidRPr="00F80D02">
        <w:rPr>
          <w:lang w:val="pt-PT"/>
        </w:rPr>
        <w:t>% do prémio de risco, distribuídos da seguinte forma:</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300"/>
        <w:gridCol w:w="3000"/>
      </w:tblGrid>
      <w:tr w:rsidR="00B72C53" w:rsidRPr="00F80D02">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Componente</w:t>
            </w:r>
          </w:p>
        </w:tc>
        <w:tc>
          <w:tcPr>
            <w:tcW w:w="18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 sobre prémio de risco</w:t>
            </w:r>
          </w:p>
        </w:tc>
        <w:tc>
          <w:tcPr>
            <w:tcW w:w="13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Natureza</w:t>
            </w:r>
          </w:p>
        </w:tc>
        <w:tc>
          <w:tcPr>
            <w:tcW w:w="3000" w:type="dxa"/>
            <w:shd w:val="clear" w:color="auto" w:fill="1F3864"/>
            <w:tcMar>
              <w:top w:w="60" w:type="dxa"/>
              <w:left w:w="100" w:type="dxa"/>
              <w:bottom w:w="60" w:type="dxa"/>
              <w:right w:w="100" w:type="dxa"/>
            </w:tcMar>
            <w:vAlign w:val="center"/>
          </w:tcPr>
          <w:p w:rsidR="00B72C53" w:rsidRPr="00F80D02" w:rsidRDefault="00A61A1E">
            <w:pPr>
              <w:jc w:val="center"/>
              <w:rPr>
                <w:lang w:val="pt-PT"/>
              </w:rPr>
            </w:pPr>
            <w:r w:rsidRPr="00F80D02">
              <w:rPr>
                <w:b/>
                <w:bCs/>
                <w:color w:val="FFFFFF"/>
                <w:sz w:val="19"/>
                <w:szCs w:val="19"/>
                <w:lang w:val="pt-PT"/>
              </w:rPr>
              <w:t>Questão a validar pelo actuário</w:t>
            </w:r>
          </w:p>
        </w:tc>
      </w:tr>
      <w:tr w:rsidR="00B72C53" w:rsidRPr="00F80D02">
        <w:tblPrEx>
          <w:tblCellMar>
            <w:top w:w="0" w:type="dxa"/>
            <w:bottom w:w="0" w:type="dxa"/>
          </w:tblCellMar>
        </w:tblPrEx>
        <w:tc>
          <w:tcPr>
            <w:tcW w:w="2600" w:type="dxa"/>
            <w:tcMar>
              <w:top w:w="60" w:type="dxa"/>
              <w:left w:w="100" w:type="dxa"/>
              <w:bottom w:w="60" w:type="dxa"/>
              <w:right w:w="100" w:type="dxa"/>
            </w:tcMar>
            <w:vAlign w:val="center"/>
          </w:tcPr>
          <w:p w:rsidR="00B72C53" w:rsidRDefault="00A61A1E">
            <w:r>
              <w:rPr>
                <w:sz w:val="19"/>
                <w:szCs w:val="19"/>
              </w:rPr>
              <w:t>Administração / TPA</w:t>
            </w:r>
          </w:p>
        </w:tc>
        <w:tc>
          <w:tcPr>
            <w:tcW w:w="1800" w:type="dxa"/>
            <w:tcMar>
              <w:top w:w="60" w:type="dxa"/>
              <w:left w:w="100" w:type="dxa"/>
              <w:bottom w:w="60" w:type="dxa"/>
              <w:right w:w="100" w:type="dxa"/>
            </w:tcMar>
            <w:vAlign w:val="center"/>
          </w:tcPr>
          <w:p w:rsidR="00B72C53" w:rsidRDefault="00A61A1E">
            <w:pPr>
              <w:jc w:val="center"/>
            </w:pPr>
            <w:r>
              <w:rPr>
                <w:sz w:val="19"/>
                <w:szCs w:val="19"/>
              </w:rPr>
              <w:t>8%</w:t>
            </w:r>
          </w:p>
        </w:tc>
        <w:tc>
          <w:tcPr>
            <w:tcW w:w="1300" w:type="dxa"/>
            <w:tcMar>
              <w:top w:w="60" w:type="dxa"/>
              <w:left w:w="100" w:type="dxa"/>
              <w:bottom w:w="60" w:type="dxa"/>
              <w:right w:w="100" w:type="dxa"/>
            </w:tcMar>
            <w:vAlign w:val="center"/>
          </w:tcPr>
          <w:p w:rsidR="00B72C53" w:rsidRDefault="00A61A1E">
            <w:pPr>
              <w:jc w:val="center"/>
            </w:pPr>
            <w:r>
              <w:rPr>
                <w:sz w:val="19"/>
                <w:szCs w:val="19"/>
              </w:rPr>
              <w:t>Loading</w:t>
            </w:r>
          </w:p>
        </w:tc>
        <w:tc>
          <w:tcPr>
            <w:tcW w:w="30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Qual o custo real por vida / %?</w:t>
            </w:r>
          </w:p>
        </w:tc>
      </w:tr>
      <w:tr w:rsidR="00B72C53" w:rsidRPr="00F80D02">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B72C53" w:rsidRDefault="00A61A1E">
            <w:r>
              <w:rPr>
                <w:sz w:val="19"/>
                <w:szCs w:val="19"/>
              </w:rPr>
              <w:t>Aquisição / comissão</w:t>
            </w:r>
          </w:p>
        </w:tc>
        <w:tc>
          <w:tcPr>
            <w:tcW w:w="1800" w:type="dxa"/>
            <w:shd w:val="clear" w:color="auto" w:fill="F2F2F2"/>
            <w:tcMar>
              <w:top w:w="60" w:type="dxa"/>
              <w:left w:w="100" w:type="dxa"/>
              <w:bottom w:w="60" w:type="dxa"/>
              <w:right w:w="100" w:type="dxa"/>
            </w:tcMar>
            <w:vAlign w:val="center"/>
          </w:tcPr>
          <w:p w:rsidR="00B72C53" w:rsidRDefault="00A61A1E">
            <w:pPr>
              <w:jc w:val="center"/>
            </w:pPr>
            <w:r>
              <w:rPr>
                <w:sz w:val="19"/>
                <w:szCs w:val="19"/>
              </w:rPr>
              <w:t>10%</w:t>
            </w:r>
          </w:p>
        </w:tc>
        <w:tc>
          <w:tcPr>
            <w:tcW w:w="1300" w:type="dxa"/>
            <w:shd w:val="clear" w:color="auto" w:fill="F2F2F2"/>
            <w:tcMar>
              <w:top w:w="60" w:type="dxa"/>
              <w:left w:w="100" w:type="dxa"/>
              <w:bottom w:w="60" w:type="dxa"/>
              <w:right w:w="100" w:type="dxa"/>
            </w:tcMar>
            <w:vAlign w:val="center"/>
          </w:tcPr>
          <w:p w:rsidR="00B72C53" w:rsidRDefault="00A61A1E">
            <w:pPr>
              <w:jc w:val="center"/>
            </w:pPr>
            <w:r>
              <w:rPr>
                <w:sz w:val="19"/>
                <w:szCs w:val="19"/>
              </w:rPr>
              <w:t>Loading</w:t>
            </w:r>
          </w:p>
        </w:tc>
        <w:tc>
          <w:tcPr>
            <w:tcW w:w="30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Qual a comissão/canal por segmento?</w:t>
            </w:r>
          </w:p>
        </w:tc>
      </w:tr>
      <w:tr w:rsidR="00B72C53" w:rsidRPr="00F80D02">
        <w:tblPrEx>
          <w:tblCellMar>
            <w:top w:w="0" w:type="dxa"/>
            <w:bottom w:w="0" w:type="dxa"/>
          </w:tblCellMar>
        </w:tblPrEx>
        <w:tc>
          <w:tcPr>
            <w:tcW w:w="2600" w:type="dxa"/>
            <w:tcMar>
              <w:top w:w="60" w:type="dxa"/>
              <w:left w:w="100" w:type="dxa"/>
              <w:bottom w:w="60" w:type="dxa"/>
              <w:right w:w="100" w:type="dxa"/>
            </w:tcMar>
            <w:vAlign w:val="center"/>
          </w:tcPr>
          <w:p w:rsidR="00B72C53" w:rsidRDefault="00A61A1E">
            <w:r>
              <w:rPr>
                <w:sz w:val="19"/>
                <w:szCs w:val="19"/>
              </w:rPr>
              <w:t>Margem de segurança</w:t>
            </w:r>
          </w:p>
        </w:tc>
        <w:tc>
          <w:tcPr>
            <w:tcW w:w="1800" w:type="dxa"/>
            <w:tcMar>
              <w:top w:w="60" w:type="dxa"/>
              <w:left w:w="100" w:type="dxa"/>
              <w:bottom w:w="60" w:type="dxa"/>
              <w:right w:w="100" w:type="dxa"/>
            </w:tcMar>
            <w:vAlign w:val="center"/>
          </w:tcPr>
          <w:p w:rsidR="00B72C53" w:rsidRDefault="00A61A1E">
            <w:pPr>
              <w:jc w:val="center"/>
            </w:pPr>
            <w:r>
              <w:rPr>
                <w:sz w:val="19"/>
                <w:szCs w:val="19"/>
              </w:rPr>
              <w:t>7%</w:t>
            </w:r>
          </w:p>
        </w:tc>
        <w:tc>
          <w:tcPr>
            <w:tcW w:w="1300" w:type="dxa"/>
            <w:tcMar>
              <w:top w:w="60" w:type="dxa"/>
              <w:left w:w="100" w:type="dxa"/>
              <w:bottom w:w="60" w:type="dxa"/>
              <w:right w:w="100" w:type="dxa"/>
            </w:tcMar>
            <w:vAlign w:val="center"/>
          </w:tcPr>
          <w:p w:rsidR="00B72C53" w:rsidRDefault="00A61A1E">
            <w:pPr>
              <w:jc w:val="center"/>
            </w:pPr>
            <w:r>
              <w:rPr>
                <w:sz w:val="19"/>
                <w:szCs w:val="19"/>
              </w:rPr>
              <w:t>Loading</w:t>
            </w:r>
          </w:p>
        </w:tc>
        <w:tc>
          <w:tcPr>
            <w:tcW w:w="30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Qual margem para volatilidade/credibilidade?</w:t>
            </w:r>
          </w:p>
        </w:tc>
      </w:tr>
      <w:tr w:rsidR="00B72C53" w:rsidRPr="00F80D02">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B72C53" w:rsidRDefault="00A61A1E">
            <w:r>
              <w:rPr>
                <w:sz w:val="19"/>
                <w:szCs w:val="19"/>
              </w:rPr>
              <w:t>Custo de capital / solvência</w:t>
            </w:r>
          </w:p>
        </w:tc>
        <w:tc>
          <w:tcPr>
            <w:tcW w:w="1800" w:type="dxa"/>
            <w:shd w:val="clear" w:color="auto" w:fill="F2F2F2"/>
            <w:tcMar>
              <w:top w:w="60" w:type="dxa"/>
              <w:left w:w="100" w:type="dxa"/>
              <w:bottom w:w="60" w:type="dxa"/>
              <w:right w:w="100" w:type="dxa"/>
            </w:tcMar>
            <w:vAlign w:val="center"/>
          </w:tcPr>
          <w:p w:rsidR="00B72C53" w:rsidRDefault="00A61A1E">
            <w:pPr>
              <w:jc w:val="center"/>
            </w:pPr>
            <w:r>
              <w:rPr>
                <w:sz w:val="19"/>
                <w:szCs w:val="19"/>
              </w:rPr>
              <w:t>4%</w:t>
            </w:r>
          </w:p>
        </w:tc>
        <w:tc>
          <w:tcPr>
            <w:tcW w:w="1300" w:type="dxa"/>
            <w:shd w:val="clear" w:color="auto" w:fill="F2F2F2"/>
            <w:tcMar>
              <w:top w:w="60" w:type="dxa"/>
              <w:left w:w="100" w:type="dxa"/>
              <w:bottom w:w="60" w:type="dxa"/>
              <w:right w:w="100" w:type="dxa"/>
            </w:tcMar>
            <w:vAlign w:val="center"/>
          </w:tcPr>
          <w:p w:rsidR="00B72C53" w:rsidRDefault="00A61A1E">
            <w:pPr>
              <w:jc w:val="center"/>
            </w:pPr>
            <w:r>
              <w:rPr>
                <w:sz w:val="19"/>
                <w:szCs w:val="19"/>
              </w:rPr>
              <w:t>Loading</w:t>
            </w:r>
          </w:p>
        </w:tc>
        <w:tc>
          <w:tcPr>
            <w:tcW w:w="30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Qual target coerente com capital/regulação?</w:t>
            </w:r>
          </w:p>
        </w:tc>
      </w:tr>
      <w:tr w:rsidR="00B72C53">
        <w:tblPrEx>
          <w:tblCellMar>
            <w:top w:w="0" w:type="dxa"/>
            <w:bottom w:w="0" w:type="dxa"/>
          </w:tblCellMar>
        </w:tblPrEx>
        <w:tc>
          <w:tcPr>
            <w:tcW w:w="2600" w:type="dxa"/>
            <w:tcMar>
              <w:top w:w="60" w:type="dxa"/>
              <w:left w:w="100" w:type="dxa"/>
              <w:bottom w:w="60" w:type="dxa"/>
              <w:right w:w="100" w:type="dxa"/>
            </w:tcMar>
            <w:vAlign w:val="center"/>
          </w:tcPr>
          <w:p w:rsidR="00B72C53" w:rsidRDefault="00A61A1E">
            <w:r>
              <w:rPr>
                <w:sz w:val="19"/>
                <w:szCs w:val="19"/>
              </w:rPr>
              <w:t>Resseguro / stop-loss</w:t>
            </w:r>
          </w:p>
        </w:tc>
        <w:tc>
          <w:tcPr>
            <w:tcW w:w="1800" w:type="dxa"/>
            <w:tcMar>
              <w:top w:w="60" w:type="dxa"/>
              <w:left w:w="100" w:type="dxa"/>
              <w:bottom w:w="60" w:type="dxa"/>
              <w:right w:w="100" w:type="dxa"/>
            </w:tcMar>
            <w:vAlign w:val="center"/>
          </w:tcPr>
          <w:p w:rsidR="00B72C53" w:rsidRDefault="00A61A1E">
            <w:pPr>
              <w:jc w:val="center"/>
            </w:pPr>
            <w:r>
              <w:rPr>
                <w:sz w:val="19"/>
                <w:szCs w:val="19"/>
              </w:rPr>
              <w:t>3%</w:t>
            </w:r>
          </w:p>
        </w:tc>
        <w:tc>
          <w:tcPr>
            <w:tcW w:w="1300" w:type="dxa"/>
            <w:tcMar>
              <w:top w:w="60" w:type="dxa"/>
              <w:left w:w="100" w:type="dxa"/>
              <w:bottom w:w="60" w:type="dxa"/>
              <w:right w:w="100" w:type="dxa"/>
            </w:tcMar>
            <w:vAlign w:val="center"/>
          </w:tcPr>
          <w:p w:rsidR="00B72C53" w:rsidRDefault="00A61A1E">
            <w:pPr>
              <w:jc w:val="center"/>
            </w:pPr>
            <w:r>
              <w:rPr>
                <w:sz w:val="19"/>
                <w:szCs w:val="19"/>
              </w:rPr>
              <w:t>Loading</w:t>
            </w:r>
          </w:p>
        </w:tc>
        <w:tc>
          <w:tcPr>
            <w:tcW w:w="3000" w:type="dxa"/>
            <w:tcMar>
              <w:top w:w="60" w:type="dxa"/>
              <w:left w:w="100" w:type="dxa"/>
              <w:bottom w:w="60" w:type="dxa"/>
              <w:right w:w="100" w:type="dxa"/>
            </w:tcMar>
            <w:vAlign w:val="center"/>
          </w:tcPr>
          <w:p w:rsidR="00B72C53" w:rsidRDefault="00A61A1E">
            <w:r>
              <w:rPr>
                <w:sz w:val="19"/>
                <w:szCs w:val="19"/>
              </w:rPr>
              <w:t>Aplicável por plano/grupo?</w:t>
            </w:r>
          </w:p>
        </w:tc>
      </w:tr>
      <w:tr w:rsidR="00B72C53" w:rsidRPr="00F80D02">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B72C53" w:rsidRDefault="00A61A1E">
            <w:r>
              <w:rPr>
                <w:sz w:val="19"/>
                <w:szCs w:val="19"/>
              </w:rPr>
              <w:t>Margem técnica</w:t>
            </w:r>
          </w:p>
        </w:tc>
        <w:tc>
          <w:tcPr>
            <w:tcW w:w="1800" w:type="dxa"/>
            <w:shd w:val="clear" w:color="auto" w:fill="F2F2F2"/>
            <w:tcMar>
              <w:top w:w="60" w:type="dxa"/>
              <w:left w:w="100" w:type="dxa"/>
              <w:bottom w:w="60" w:type="dxa"/>
              <w:right w:w="100" w:type="dxa"/>
            </w:tcMar>
            <w:vAlign w:val="center"/>
          </w:tcPr>
          <w:p w:rsidR="00B72C53" w:rsidRDefault="00A61A1E">
            <w:pPr>
              <w:jc w:val="center"/>
            </w:pPr>
            <w:r>
              <w:rPr>
                <w:sz w:val="19"/>
                <w:szCs w:val="19"/>
              </w:rPr>
              <w:t>5%</w:t>
            </w:r>
          </w:p>
        </w:tc>
        <w:tc>
          <w:tcPr>
            <w:tcW w:w="1300" w:type="dxa"/>
            <w:shd w:val="clear" w:color="auto" w:fill="F2F2F2"/>
            <w:tcMar>
              <w:top w:w="60" w:type="dxa"/>
              <w:left w:w="100" w:type="dxa"/>
              <w:bottom w:w="60" w:type="dxa"/>
              <w:right w:w="100" w:type="dxa"/>
            </w:tcMar>
            <w:vAlign w:val="center"/>
          </w:tcPr>
          <w:p w:rsidR="00B72C53" w:rsidRDefault="00A61A1E">
            <w:pPr>
              <w:jc w:val="center"/>
            </w:pPr>
            <w:r>
              <w:rPr>
                <w:sz w:val="19"/>
                <w:szCs w:val="19"/>
              </w:rPr>
              <w:t>Loading</w:t>
            </w:r>
          </w:p>
        </w:tc>
        <w:tc>
          <w:tcPr>
            <w:tcW w:w="30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Qual target de resultado técnico?</w:t>
            </w:r>
          </w:p>
        </w:tc>
      </w:tr>
      <w:tr w:rsidR="00B72C53" w:rsidRPr="00F80D02">
        <w:tblPrEx>
          <w:tblCellMar>
            <w:top w:w="0" w:type="dxa"/>
            <w:bottom w:w="0" w:type="dxa"/>
          </w:tblCellMar>
        </w:tblPrEx>
        <w:tc>
          <w:tcPr>
            <w:tcW w:w="2600" w:type="dxa"/>
            <w:tcMar>
              <w:top w:w="60" w:type="dxa"/>
              <w:left w:w="100" w:type="dxa"/>
              <w:bottom w:w="60" w:type="dxa"/>
              <w:right w:w="100" w:type="dxa"/>
            </w:tcMar>
            <w:vAlign w:val="center"/>
          </w:tcPr>
          <w:p w:rsidR="00B72C53" w:rsidRDefault="00A61A1E">
            <w:r>
              <w:rPr>
                <w:sz w:val="19"/>
                <w:szCs w:val="19"/>
              </w:rPr>
              <w:t>Total indicativo</w:t>
            </w:r>
          </w:p>
        </w:tc>
        <w:tc>
          <w:tcPr>
            <w:tcW w:w="1800" w:type="dxa"/>
            <w:tcMar>
              <w:top w:w="60" w:type="dxa"/>
              <w:left w:w="100" w:type="dxa"/>
              <w:bottom w:w="60" w:type="dxa"/>
              <w:right w:w="100" w:type="dxa"/>
            </w:tcMar>
            <w:vAlign w:val="center"/>
          </w:tcPr>
          <w:p w:rsidR="00B72C53" w:rsidRDefault="00A61A1E">
            <w:pPr>
              <w:jc w:val="center"/>
            </w:pPr>
            <w:r>
              <w:rPr>
                <w:sz w:val="19"/>
                <w:szCs w:val="19"/>
              </w:rPr>
              <w:t>37%</w:t>
            </w:r>
          </w:p>
        </w:tc>
        <w:tc>
          <w:tcPr>
            <w:tcW w:w="1300" w:type="dxa"/>
            <w:tcMar>
              <w:top w:w="60" w:type="dxa"/>
              <w:left w:w="100" w:type="dxa"/>
              <w:bottom w:w="60" w:type="dxa"/>
              <w:right w:w="100" w:type="dxa"/>
            </w:tcMar>
            <w:vAlign w:val="center"/>
          </w:tcPr>
          <w:p w:rsidR="00B72C53" w:rsidRDefault="00A61A1E">
            <w:pPr>
              <w:jc w:val="center"/>
            </w:pPr>
            <w:r>
              <w:rPr>
                <w:sz w:val="19"/>
                <w:szCs w:val="19"/>
              </w:rPr>
              <w:t>Fórmula</w:t>
            </w:r>
          </w:p>
        </w:tc>
        <w:tc>
          <w:tcPr>
            <w:tcW w:w="30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Não é valor recomendado; apenas estrutura</w:t>
            </w:r>
          </w:p>
        </w:tc>
      </w:tr>
    </w:tbl>
    <w:p w:rsidR="00B72C53" w:rsidRPr="00F80D02" w:rsidRDefault="00B72C53">
      <w:pPr>
        <w:spacing w:after="120"/>
        <w:rPr>
          <w:lang w:val="pt-PT"/>
        </w:rPr>
      </w:pPr>
    </w:p>
    <w:p w:rsidR="00B72C53" w:rsidRPr="00F80D02" w:rsidRDefault="00A61A1E">
      <w:pPr>
        <w:pStyle w:val="Cabealho2"/>
        <w:spacing w:before="360" w:after="160"/>
        <w:rPr>
          <w:lang w:val="pt-PT"/>
        </w:rPr>
      </w:pPr>
      <w:bookmarkStart w:id="30" w:name="_Toc239580138"/>
      <w:r w:rsidRPr="00F80D02">
        <w:rPr>
          <w:b/>
          <w:bCs/>
          <w:lang w:val="pt-PT"/>
        </w:rPr>
        <w:t>5.1 Administração / TPA</w:t>
      </w:r>
      <w:bookmarkEnd w:id="30"/>
    </w:p>
    <w:p w:rsidR="00B72C53" w:rsidRPr="00F80D02" w:rsidRDefault="00A61A1E">
      <w:pPr>
        <w:spacing w:after="160" w:line="276" w:lineRule="auto"/>
        <w:rPr>
          <w:lang w:val="pt-PT"/>
        </w:rPr>
      </w:pPr>
      <w:r w:rsidRPr="00F80D02">
        <w:rPr>
          <w:lang w:val="pt-PT"/>
        </w:rPr>
        <w:t>Cobre os custos de administração de apólices, gestão de sinistros e, quando aplicável, os serviços de um Third Party Administrator (TPA) externo. Recomenda-se substituir o valor indicativo de 8% por um custo real por vida (ou por apólice), calculado a part</w:t>
      </w:r>
      <w:r w:rsidRPr="00F80D02">
        <w:rPr>
          <w:lang w:val="pt-PT"/>
        </w:rPr>
        <w:t>ir da estrutura de custos operacionais efectiva, expresso depois como percentagem do prémio de risco médio.</w:t>
      </w:r>
    </w:p>
    <w:p w:rsidR="00B72C53" w:rsidRPr="00F80D02" w:rsidRDefault="00A61A1E">
      <w:pPr>
        <w:pStyle w:val="Cabealho2"/>
        <w:spacing w:before="360" w:after="160"/>
        <w:rPr>
          <w:lang w:val="pt-PT"/>
        </w:rPr>
      </w:pPr>
      <w:bookmarkStart w:id="31" w:name="_Toc239580139"/>
      <w:r w:rsidRPr="00F80D02">
        <w:rPr>
          <w:b/>
          <w:bCs/>
          <w:lang w:val="pt-PT"/>
        </w:rPr>
        <w:t>5.2 Comissões por canal</w:t>
      </w:r>
      <w:bookmarkEnd w:id="31"/>
    </w:p>
    <w:p w:rsidR="00B72C53" w:rsidRPr="00F80D02" w:rsidRDefault="00A61A1E">
      <w:pPr>
        <w:spacing w:after="160" w:line="276" w:lineRule="auto"/>
        <w:rPr>
          <w:lang w:val="pt-PT"/>
        </w:rPr>
      </w:pPr>
      <w:r w:rsidRPr="00F80D02">
        <w:rPr>
          <w:lang w:val="pt-PT"/>
        </w:rPr>
        <w:t xml:space="preserve">Remunera os canais de distribuição (mediadores, corretores, vendas directas, bancassurance). O valor indicativo de 10% deve </w:t>
      </w:r>
      <w:r w:rsidRPr="00F80D02">
        <w:rPr>
          <w:lang w:val="pt-PT"/>
        </w:rPr>
        <w:t>ser desagregado por canal e por segmento (individual vs. corporate), já que a estrutura de comissões tipicamente difere entre canais e escalas de negócio.</w:t>
      </w:r>
    </w:p>
    <w:p w:rsidR="00B72C53" w:rsidRPr="00F80D02" w:rsidRDefault="00A61A1E">
      <w:pPr>
        <w:pStyle w:val="Cabealho2"/>
        <w:spacing w:before="360" w:after="160"/>
        <w:rPr>
          <w:lang w:val="pt-PT"/>
        </w:rPr>
      </w:pPr>
      <w:bookmarkStart w:id="32" w:name="_Toc239580140"/>
      <w:r w:rsidRPr="00F80D02">
        <w:rPr>
          <w:b/>
          <w:bCs/>
          <w:lang w:val="pt-PT"/>
        </w:rPr>
        <w:t>5.3 Margem de segurança</w:t>
      </w:r>
      <w:bookmarkEnd w:id="32"/>
    </w:p>
    <w:p w:rsidR="00B72C53" w:rsidRPr="00F80D02" w:rsidRDefault="00A61A1E">
      <w:pPr>
        <w:spacing w:after="160" w:line="276" w:lineRule="auto"/>
        <w:rPr>
          <w:lang w:val="pt-PT"/>
        </w:rPr>
      </w:pPr>
      <w:r w:rsidRPr="00F80D02">
        <w:rPr>
          <w:lang w:val="pt-PT"/>
        </w:rPr>
        <w:t>Protege a seguradora contra volatilidade de sinistralidade e insuficiência de</w:t>
      </w:r>
      <w:r w:rsidRPr="00F80D02">
        <w:rPr>
          <w:lang w:val="pt-PT"/>
        </w:rPr>
        <w:t xml:space="preserve"> credibilidade estatística, sobretudo em carteiras pequenas ou com histórico curto. Deve ser calibrada em articulação com a metodologia de credibilidade adoptada (Secção 7.3) e com o cálculo de provisões técnicas (Secção 4.4).</w:t>
      </w:r>
    </w:p>
    <w:p w:rsidR="00B72C53" w:rsidRPr="00F80D02" w:rsidRDefault="00A61A1E">
      <w:pPr>
        <w:pStyle w:val="Cabealho2"/>
        <w:spacing w:before="360" w:after="160"/>
        <w:rPr>
          <w:lang w:val="pt-PT"/>
        </w:rPr>
      </w:pPr>
      <w:bookmarkStart w:id="33" w:name="_Toc239580141"/>
      <w:r w:rsidRPr="00F80D02">
        <w:rPr>
          <w:b/>
          <w:bCs/>
          <w:lang w:val="pt-PT"/>
        </w:rPr>
        <w:t>5.4 Custo de capital / solvên</w:t>
      </w:r>
      <w:r w:rsidRPr="00F80D02">
        <w:rPr>
          <w:b/>
          <w:bCs/>
          <w:lang w:val="pt-PT"/>
        </w:rPr>
        <w:t>cia</w:t>
      </w:r>
      <w:bookmarkEnd w:id="33"/>
    </w:p>
    <w:p w:rsidR="00B72C53" w:rsidRPr="00F80D02" w:rsidRDefault="00A61A1E">
      <w:pPr>
        <w:spacing w:after="160" w:line="276" w:lineRule="auto"/>
        <w:rPr>
          <w:lang w:val="pt-PT"/>
        </w:rPr>
      </w:pPr>
      <w:r w:rsidRPr="00F80D02">
        <w:rPr>
          <w:lang w:val="pt-PT"/>
        </w:rPr>
        <w:t>Reflecte o custo de imobilização de capital regulatório e o retorno mínimo exigido pelos acionistas para suportar o risco do produto. Deve ser coerente com o regime de solvência aplicável e com o capital económico efectivamente alocado à linha de saúde</w:t>
      </w:r>
      <w:r w:rsidRPr="00F80D02">
        <w:rPr>
          <w:lang w:val="pt-PT"/>
        </w:rPr>
        <w:t>.</w:t>
      </w:r>
    </w:p>
    <w:p w:rsidR="00B72C53" w:rsidRPr="00F80D02" w:rsidRDefault="00A61A1E">
      <w:pPr>
        <w:pStyle w:val="Cabealho2"/>
        <w:spacing w:before="360" w:after="160"/>
        <w:rPr>
          <w:lang w:val="pt-PT"/>
        </w:rPr>
      </w:pPr>
      <w:bookmarkStart w:id="34" w:name="_Toc239580142"/>
      <w:r w:rsidRPr="00F80D02">
        <w:rPr>
          <w:b/>
          <w:bCs/>
          <w:lang w:val="pt-PT"/>
        </w:rPr>
        <w:t>5.5 Resseguro / stop-loss</w:t>
      </w:r>
      <w:bookmarkEnd w:id="34"/>
    </w:p>
    <w:p w:rsidR="00B72C53" w:rsidRPr="00F80D02" w:rsidRDefault="00A61A1E">
      <w:pPr>
        <w:spacing w:after="160" w:line="276" w:lineRule="auto"/>
        <w:rPr>
          <w:lang w:val="pt-PT"/>
        </w:rPr>
      </w:pPr>
      <w:r w:rsidRPr="00F80D02">
        <w:rPr>
          <w:lang w:val="pt-PT"/>
        </w:rPr>
        <w:lastRenderedPageBreak/>
        <w:t>Cobre o custo de protecção de resseguro, tipicamente estruturado como stop-loss (protecção acima de um limiar agregado por grupo ou carteira) e/ou protecção por sinistro individual acima de um limiar de grande sinistro (ver Secç</w:t>
      </w:r>
      <w:r w:rsidRPr="00F80D02">
        <w:rPr>
          <w:lang w:val="pt-PT"/>
        </w:rPr>
        <w:t>ão 4.3). Deve ser validado se este loading é uniforme ou varia por plano/grupo em função da exposição efectivamente cedida.</w:t>
      </w:r>
    </w:p>
    <w:p w:rsidR="00B72C53" w:rsidRPr="00F80D02" w:rsidRDefault="00A61A1E">
      <w:pPr>
        <w:pStyle w:val="Cabealho2"/>
        <w:spacing w:before="360" w:after="160"/>
        <w:rPr>
          <w:lang w:val="pt-PT"/>
        </w:rPr>
      </w:pPr>
      <w:bookmarkStart w:id="35" w:name="_Toc239580143"/>
      <w:r w:rsidRPr="00F80D02">
        <w:rPr>
          <w:b/>
          <w:bCs/>
          <w:lang w:val="pt-PT"/>
        </w:rPr>
        <w:t>5.6 Margem técnica</w:t>
      </w:r>
      <w:bookmarkEnd w:id="35"/>
    </w:p>
    <w:p w:rsidR="00B72C53" w:rsidRPr="00F80D02" w:rsidRDefault="00A61A1E">
      <w:pPr>
        <w:spacing w:after="160" w:line="276" w:lineRule="auto"/>
        <w:rPr>
          <w:lang w:val="pt-PT"/>
        </w:rPr>
      </w:pPr>
      <w:r w:rsidRPr="00F80D02">
        <w:rPr>
          <w:lang w:val="pt-PT"/>
        </w:rPr>
        <w:t>Representa o resultado técnico-alvo do produto, antes de custos de capital e volatilidade — a margem que remunera</w:t>
      </w:r>
      <w:r w:rsidRPr="00F80D02">
        <w:rPr>
          <w:lang w:val="pt-PT"/>
        </w:rPr>
        <w:t xml:space="preserve"> o risco de subscrição assumido pela seguradora. Deve ser definida como target aprovado pelos órgãos de gestão e revista nos ciclos de planeamento técnico.</w:t>
      </w:r>
    </w:p>
    <w:p w:rsidR="00B72C53" w:rsidRPr="00F80D02" w:rsidRDefault="00A61A1E">
      <w:pPr>
        <w:rPr>
          <w:lang w:val="pt-PT"/>
        </w:rPr>
      </w:pPr>
      <w:r w:rsidRPr="00F80D02">
        <w:rPr>
          <w:lang w:val="pt-PT"/>
        </w:rPr>
        <w:br w:type="page"/>
      </w:r>
    </w:p>
    <w:p w:rsidR="00B72C53" w:rsidRPr="00F80D02" w:rsidRDefault="00A61A1E">
      <w:pPr>
        <w:pStyle w:val="Cabealho1"/>
        <w:pBdr>
          <w:bottom w:val="single" w:sz="12" w:space="4" w:color="1F3864"/>
        </w:pBdr>
        <w:spacing w:before="480" w:after="240"/>
        <w:rPr>
          <w:lang w:val="pt-PT"/>
        </w:rPr>
      </w:pPr>
      <w:bookmarkStart w:id="36" w:name="_Toc239580144"/>
      <w:r w:rsidRPr="00F80D02">
        <w:rPr>
          <w:b/>
          <w:bCs/>
          <w:color w:val="1F3864"/>
          <w:lang w:val="pt-PT"/>
        </w:rPr>
        <w:lastRenderedPageBreak/>
        <w:t>6. Ajustes por Segmento</w:t>
      </w:r>
      <w:bookmarkEnd w:id="36"/>
    </w:p>
    <w:p w:rsidR="00B72C53" w:rsidRPr="00F80D02" w:rsidRDefault="00A61A1E">
      <w:pPr>
        <w:pStyle w:val="Cabealho2"/>
        <w:spacing w:before="360" w:after="160"/>
        <w:rPr>
          <w:lang w:val="pt-PT"/>
        </w:rPr>
      </w:pPr>
      <w:bookmarkStart w:id="37" w:name="_Toc239580145"/>
      <w:r w:rsidRPr="00F80D02">
        <w:rPr>
          <w:b/>
          <w:bCs/>
          <w:lang w:val="pt-PT"/>
        </w:rPr>
        <w:t>6.1 Empresas (dimensão do grupo)</w:t>
      </w:r>
      <w:bookmarkEnd w:id="37"/>
    </w:p>
    <w:p w:rsidR="00B72C53" w:rsidRPr="00F80D02" w:rsidRDefault="00A61A1E">
      <w:pPr>
        <w:spacing w:after="160" w:line="276" w:lineRule="auto"/>
        <w:rPr>
          <w:lang w:val="pt-PT"/>
        </w:rPr>
      </w:pPr>
      <w:r w:rsidRPr="00F80D02">
        <w:rPr>
          <w:lang w:val="pt-PT"/>
        </w:rPr>
        <w:t>Grupos empresariais são ajustados pelo factor de dimensão (Secção 3.2.4), reflectindo economias de escala administrativas e maior credibilidade estatística da experiência observada em grupos maiores. Adicionalmente, recomenda-se que grupos acima de um limi</w:t>
      </w:r>
      <w:r w:rsidRPr="00F80D02">
        <w:rPr>
          <w:lang w:val="pt-PT"/>
        </w:rPr>
        <w:t>ar de dimensão (por exemplo, 200+ vidas) e com histórico de sinistralidade próprio suficiente sejam tarifados com peso crescente na sua própria experiência (experience rating), reduzindo o peso do factor de grupo genérico — ver credibilidade de Bühlmann na</w:t>
      </w:r>
      <w:r w:rsidRPr="00F80D02">
        <w:rPr>
          <w:lang w:val="pt-PT"/>
        </w:rPr>
        <w:t xml:space="preserve"> Secção 7.3.</w:t>
      </w:r>
    </w:p>
    <w:p w:rsidR="00B72C53" w:rsidRPr="00F80D02" w:rsidRDefault="00A61A1E">
      <w:pPr>
        <w:pStyle w:val="Cabealho2"/>
        <w:spacing w:before="360" w:after="160"/>
        <w:rPr>
          <w:lang w:val="pt-PT"/>
        </w:rPr>
      </w:pPr>
      <w:bookmarkStart w:id="38" w:name="_Toc239580146"/>
      <w:r w:rsidRPr="00F80D02">
        <w:rPr>
          <w:b/>
          <w:bCs/>
          <w:lang w:val="pt-PT"/>
        </w:rPr>
        <w:t>6.2 Particulares (composição familiar)</w:t>
      </w:r>
      <w:bookmarkEnd w:id="38"/>
    </w:p>
    <w:p w:rsidR="00B72C53" w:rsidRPr="00F80D02" w:rsidRDefault="00A61A1E">
      <w:pPr>
        <w:spacing w:after="160" w:line="276" w:lineRule="auto"/>
        <w:rPr>
          <w:lang w:val="pt-PT"/>
        </w:rPr>
      </w:pPr>
      <w:r w:rsidRPr="00F80D02">
        <w:rPr>
          <w:lang w:val="pt-PT"/>
        </w:rPr>
        <w:t>Para negócio individual e familiar, o ajuste combina o factor etário de cada membro do agregado com o factor de relação familiar (Secção 3.2.3). O actuário deve decidir e documentar se mantém a dupla cama</w:t>
      </w:r>
      <w:r w:rsidRPr="00F80D02">
        <w:rPr>
          <w:lang w:val="pt-PT"/>
        </w:rPr>
        <w:t>da (idade + papel familiar) ou migra para age-rating puro, e definir regras de elegibilidade para dependentes (por exemplo, idade-limite de filhos estudantes, prova de dependência económica).</w:t>
      </w:r>
    </w:p>
    <w:p w:rsidR="00B72C53" w:rsidRPr="00F80D02" w:rsidRDefault="00A61A1E">
      <w:pPr>
        <w:pStyle w:val="Cabealho2"/>
        <w:spacing w:before="360" w:after="160"/>
        <w:rPr>
          <w:lang w:val="pt-PT"/>
        </w:rPr>
      </w:pPr>
      <w:bookmarkStart w:id="39" w:name="_Toc239580147"/>
      <w:r w:rsidRPr="00F80D02">
        <w:rPr>
          <w:b/>
          <w:bCs/>
          <w:lang w:val="pt-PT"/>
        </w:rPr>
        <w:t>6.3 Cobertura territorial</w:t>
      </w:r>
      <w:bookmarkEnd w:id="39"/>
    </w:p>
    <w:p w:rsidR="00B72C53" w:rsidRPr="00F80D02" w:rsidRDefault="00A61A1E">
      <w:pPr>
        <w:spacing w:after="160" w:line="276" w:lineRule="auto"/>
        <w:rPr>
          <w:lang w:val="pt-PT"/>
        </w:rPr>
      </w:pPr>
      <w:r w:rsidRPr="00F80D02">
        <w:rPr>
          <w:lang w:val="pt-PT"/>
        </w:rPr>
        <w:t>O factor geográfico (Secção 3.2.5) dif</w:t>
      </w:r>
      <w:r w:rsidRPr="00F80D02">
        <w:rPr>
          <w:lang w:val="pt-PT"/>
        </w:rPr>
        <w:t>erencia entre âmbito nacional, regional (África Austral) e internacional. Recomenda-se decompor este factor, na calibração final, em componentes separados e explícitos: (i) diferencial de custo de prestadores de saúde na região de destino, (ii) exposição c</w:t>
      </w:r>
      <w:r w:rsidRPr="00F80D02">
        <w:rPr>
          <w:lang w:val="pt-PT"/>
        </w:rPr>
        <w:t xml:space="preserve">ambial (custos denominados em moeda estrangeira face a prémios cobrados em AOA), e (iii) custo esperado de evacuação médica, que é tipicamente um evento de baixa frequência e alta severidade e pode justificar tratamento via resseguro específico em vez de, </w:t>
      </w:r>
      <w:r w:rsidRPr="00F80D02">
        <w:rPr>
          <w:lang w:val="pt-PT"/>
        </w:rPr>
        <w:t>exclusivamente, via factor multiplicativo.</w:t>
      </w:r>
    </w:p>
    <w:p w:rsidR="00B72C53" w:rsidRPr="00F80D02" w:rsidRDefault="00A61A1E">
      <w:pPr>
        <w:rPr>
          <w:lang w:val="pt-PT"/>
        </w:rPr>
      </w:pPr>
      <w:r w:rsidRPr="00F80D02">
        <w:rPr>
          <w:lang w:val="pt-PT"/>
        </w:rPr>
        <w:br w:type="page"/>
      </w:r>
    </w:p>
    <w:p w:rsidR="00B72C53" w:rsidRPr="00F80D02" w:rsidRDefault="00A61A1E">
      <w:pPr>
        <w:pStyle w:val="Cabealho1"/>
        <w:pBdr>
          <w:bottom w:val="single" w:sz="12" w:space="4" w:color="1F3864"/>
        </w:pBdr>
        <w:spacing w:before="480" w:after="240"/>
        <w:rPr>
          <w:lang w:val="pt-PT"/>
        </w:rPr>
      </w:pPr>
      <w:bookmarkStart w:id="40" w:name="_Toc239580148"/>
      <w:r w:rsidRPr="00F80D02">
        <w:rPr>
          <w:b/>
          <w:bCs/>
          <w:color w:val="1F3864"/>
          <w:lang w:val="pt-PT"/>
        </w:rPr>
        <w:lastRenderedPageBreak/>
        <w:t>7. Validação e Calibração</w:t>
      </w:r>
      <w:bookmarkEnd w:id="40"/>
    </w:p>
    <w:p w:rsidR="00B72C53" w:rsidRPr="00F80D02" w:rsidRDefault="00A61A1E">
      <w:pPr>
        <w:pStyle w:val="Cabealho2"/>
        <w:spacing w:before="360" w:after="160"/>
        <w:rPr>
          <w:lang w:val="pt-PT"/>
        </w:rPr>
      </w:pPr>
      <w:bookmarkStart w:id="41" w:name="_Toc239580149"/>
      <w:r w:rsidRPr="00F80D02">
        <w:rPr>
          <w:b/>
          <w:bCs/>
          <w:lang w:val="pt-PT"/>
        </w:rPr>
        <w:t>7.1 Testes de sensibilidade</w:t>
      </w:r>
      <w:bookmarkEnd w:id="41"/>
    </w:p>
    <w:p w:rsidR="00B72C53" w:rsidRDefault="00A61A1E">
      <w:pPr>
        <w:spacing w:after="160" w:line="276" w:lineRule="auto"/>
      </w:pPr>
      <w:r w:rsidRPr="00F80D02">
        <w:rPr>
          <w:lang w:val="pt-PT"/>
        </w:rPr>
        <w:t xml:space="preserve">Antes da aprovação de qualquer versão da tarifa, deve ser conduzido um conjunto de testes de sensibilidade que meça o impacto, no prémio final, de variações </w:t>
      </w:r>
      <w:r w:rsidRPr="00F80D02">
        <w:rPr>
          <w:lang w:val="pt-PT"/>
        </w:rPr>
        <w:t xml:space="preserve">razoáveis em cada factor e loading — isoladamente e em combinação. </w:t>
      </w:r>
      <w:r>
        <w:t>Recomenda-se, no mínimo:</w:t>
      </w:r>
    </w:p>
    <w:p w:rsidR="00B72C53" w:rsidRPr="00F80D02" w:rsidRDefault="00A61A1E">
      <w:pPr>
        <w:pStyle w:val="PargrafodaLista"/>
        <w:numPr>
          <w:ilvl w:val="0"/>
          <w:numId w:val="2"/>
        </w:numPr>
        <w:spacing w:after="80"/>
        <w:rPr>
          <w:lang w:val="pt-PT"/>
        </w:rPr>
      </w:pPr>
      <w:r w:rsidRPr="00F80D02">
        <w:rPr>
          <w:lang w:val="pt-PT"/>
        </w:rPr>
        <w:t>Sensibilidade do prémio a variações de ±10% no factor etário de cada banda, identificando quais bandas mais concentram o risco de erro de calibração;</w:t>
      </w:r>
    </w:p>
    <w:p w:rsidR="00B72C53" w:rsidRPr="00F80D02" w:rsidRDefault="00A61A1E">
      <w:pPr>
        <w:pStyle w:val="PargrafodaLista"/>
        <w:numPr>
          <w:ilvl w:val="0"/>
          <w:numId w:val="2"/>
        </w:numPr>
        <w:spacing w:after="80"/>
        <w:rPr>
          <w:lang w:val="pt-PT"/>
        </w:rPr>
      </w:pPr>
      <w:r w:rsidRPr="00F80D02">
        <w:rPr>
          <w:lang w:val="pt-PT"/>
        </w:rPr>
        <w:t xml:space="preserve">Sensibilidade </w:t>
      </w:r>
      <w:r w:rsidRPr="00F80D02">
        <w:rPr>
          <w:lang w:val="pt-PT"/>
        </w:rPr>
        <w:t>do prémio agregado da carteira a variações na taxa de tendência médica assumida (Secção 4.5);</w:t>
      </w:r>
    </w:p>
    <w:p w:rsidR="00B72C53" w:rsidRPr="00F80D02" w:rsidRDefault="00A61A1E">
      <w:pPr>
        <w:pStyle w:val="PargrafodaLista"/>
        <w:numPr>
          <w:ilvl w:val="0"/>
          <w:numId w:val="2"/>
        </w:numPr>
        <w:spacing w:after="80"/>
        <w:rPr>
          <w:lang w:val="pt-PT"/>
        </w:rPr>
      </w:pPr>
      <w:r w:rsidRPr="00F80D02">
        <w:rPr>
          <w:lang w:val="pt-PT"/>
        </w:rPr>
        <w:t>Simulação do impacto de diferentes níveis de loss ratio de experiência sobre a distribuição de prémios de renovação, para grupos de diferentes dimensões;</w:t>
      </w:r>
    </w:p>
    <w:p w:rsidR="00B72C53" w:rsidRPr="00F80D02" w:rsidRDefault="00A61A1E">
      <w:pPr>
        <w:pStyle w:val="PargrafodaLista"/>
        <w:numPr>
          <w:ilvl w:val="0"/>
          <w:numId w:val="2"/>
        </w:numPr>
        <w:spacing w:after="80"/>
        <w:rPr>
          <w:lang w:val="pt-PT"/>
        </w:rPr>
      </w:pPr>
      <w:r w:rsidRPr="00F80D02">
        <w:rPr>
          <w:lang w:val="pt-PT"/>
        </w:rPr>
        <w:t xml:space="preserve">Análise </w:t>
      </w:r>
      <w:r w:rsidRPr="00F80D02">
        <w:rPr>
          <w:lang w:val="pt-PT"/>
        </w:rPr>
        <w:t>de duração/concentração: identificar planos ou segmentos onde uma pequena alteração de pressuposto tem efeito desproporcionado no resultado técnico agregado.</w:t>
      </w:r>
    </w:p>
    <w:p w:rsidR="00B72C53" w:rsidRPr="00F80D02" w:rsidRDefault="00A61A1E">
      <w:pPr>
        <w:pStyle w:val="Cabealho2"/>
        <w:spacing w:before="360" w:after="160"/>
        <w:rPr>
          <w:lang w:val="pt-PT"/>
        </w:rPr>
      </w:pPr>
      <w:bookmarkStart w:id="42" w:name="_Toc239580150"/>
      <w:r w:rsidRPr="00F80D02">
        <w:rPr>
          <w:b/>
          <w:bCs/>
          <w:lang w:val="pt-PT"/>
        </w:rPr>
        <w:t>7.2 Comparação com referências de mercado</w:t>
      </w:r>
      <w:bookmarkEnd w:id="42"/>
    </w:p>
    <w:p w:rsidR="00B72C53" w:rsidRPr="00F80D02" w:rsidRDefault="00A61A1E">
      <w:pPr>
        <w:spacing w:after="160" w:line="276" w:lineRule="auto"/>
        <w:rPr>
          <w:lang w:val="pt-PT"/>
        </w:rPr>
      </w:pPr>
      <w:r w:rsidRPr="00F80D02">
        <w:rPr>
          <w:lang w:val="pt-PT"/>
        </w:rPr>
        <w:t>A tarifa deve ser comparada, em termos de estrutura (não</w:t>
      </w:r>
      <w:r w:rsidRPr="00F80D02">
        <w:rPr>
          <w:lang w:val="pt-PT"/>
        </w:rPr>
        <w:t xml:space="preserve"> de valor absoluto), com referências de mercado disponíveis em Angola e na África do Sul, nomeadamente: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100"/>
      </w:tblGrid>
      <w:tr w:rsidR="00B72C53">
        <w:tblPrEx>
          <w:tblCellMar>
            <w:top w:w="0" w:type="dxa"/>
            <w:bottom w:w="0" w:type="dxa"/>
          </w:tblCellMar>
        </w:tblPrEx>
        <w:trPr>
          <w:tblHeader/>
        </w:trPr>
        <w:tc>
          <w:tcPr>
            <w:tcW w:w="3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Fonte</w:t>
            </w:r>
          </w:p>
        </w:tc>
        <w:tc>
          <w:tcPr>
            <w:tcW w:w="61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Uso na validação</w:t>
            </w:r>
          </w:p>
        </w:tc>
      </w:tr>
      <w:tr w:rsidR="00B72C53" w:rsidRPr="00F80D02">
        <w:tblPrEx>
          <w:tblCellMar>
            <w:top w:w="0" w:type="dxa"/>
            <w:bottom w:w="0" w:type="dxa"/>
          </w:tblCellMar>
        </w:tblPrEx>
        <w:tc>
          <w:tcPr>
            <w:tcW w:w="3600" w:type="dxa"/>
            <w:tcMar>
              <w:top w:w="60" w:type="dxa"/>
              <w:left w:w="100" w:type="dxa"/>
              <w:bottom w:w="60" w:type="dxa"/>
              <w:right w:w="100" w:type="dxa"/>
            </w:tcMar>
            <w:vAlign w:val="center"/>
          </w:tcPr>
          <w:p w:rsidR="00B72C53" w:rsidRDefault="00A61A1E">
            <w:r>
              <w:rPr>
                <w:sz w:val="19"/>
                <w:szCs w:val="19"/>
              </w:rPr>
              <w:t>Council for Medical Schemes — Industry Report (África do Sul)</w:t>
            </w:r>
          </w:p>
        </w:tc>
        <w:tc>
          <w:tcPr>
            <w:tcW w:w="61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Validação de estrutura demográfica e sustentabilidade de longo prazo</w:t>
            </w:r>
          </w:p>
        </w:tc>
      </w:tr>
      <w:tr w:rsidR="00B72C53" w:rsidRPr="00F80D02">
        <w:tblPrEx>
          <w:tblCellMar>
            <w:top w:w="0" w:type="dxa"/>
            <w:bottom w:w="0" w:type="dxa"/>
          </w:tblCellMar>
        </w:tblPrEx>
        <w:tc>
          <w:tcPr>
            <w:tcW w:w="36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International Actuarial Association — variação regional</w:t>
            </w:r>
          </w:p>
        </w:tc>
        <w:tc>
          <w:tcPr>
            <w:tcW w:w="61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Contexto de variação de custos privados por idade/região e inflação médica</w:t>
            </w:r>
          </w:p>
        </w:tc>
      </w:tr>
      <w:tr w:rsidR="00B72C53" w:rsidRPr="00F80D02">
        <w:tblPrEx>
          <w:tblCellMar>
            <w:top w:w="0" w:type="dxa"/>
            <w:bottom w:w="0" w:type="dxa"/>
          </w:tblCellMar>
        </w:tblPrEx>
        <w:tc>
          <w:tcPr>
            <w:tcW w:w="3600" w:type="dxa"/>
            <w:tcMar>
              <w:top w:w="60" w:type="dxa"/>
              <w:left w:w="100" w:type="dxa"/>
              <w:bottom w:w="60" w:type="dxa"/>
              <w:right w:w="100" w:type="dxa"/>
            </w:tcMar>
            <w:vAlign w:val="center"/>
          </w:tcPr>
          <w:p w:rsidR="00B72C53" w:rsidRDefault="00A61A1E">
            <w:r>
              <w:rPr>
                <w:sz w:val="19"/>
                <w:szCs w:val="19"/>
              </w:rPr>
              <w:t>MultiChoice Medical Aid Scheme — guia de benefícios</w:t>
            </w:r>
          </w:p>
        </w:tc>
        <w:tc>
          <w:tcPr>
            <w:tcW w:w="61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Referência de desenho de bandas titular/adulto/criança</w:t>
            </w:r>
          </w:p>
        </w:tc>
      </w:tr>
      <w:tr w:rsidR="00B72C53" w:rsidRPr="00F80D02">
        <w:tblPrEx>
          <w:tblCellMar>
            <w:top w:w="0" w:type="dxa"/>
            <w:bottom w:w="0" w:type="dxa"/>
          </w:tblCellMar>
        </w:tblPrEx>
        <w:tc>
          <w:tcPr>
            <w:tcW w:w="36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Genesis Medical Scheme — tabela de contribuições</w:t>
            </w:r>
          </w:p>
        </w:tc>
        <w:tc>
          <w:tcPr>
            <w:tcW w:w="61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Referência de estrutura de contribuição por papel familiar e por plano</w:t>
            </w:r>
          </w:p>
        </w:tc>
      </w:tr>
      <w:tr w:rsidR="00B72C53" w:rsidRPr="00F80D02">
        <w:tblPrEx>
          <w:tblCellMar>
            <w:top w:w="0" w:type="dxa"/>
            <w:bottom w:w="0" w:type="dxa"/>
          </w:tblCellMar>
        </w:tblPrEx>
        <w:tc>
          <w:tcPr>
            <w:tcW w:w="36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Cotações públicas do mercado angolano (seguradoras locais)</w:t>
            </w:r>
          </w:p>
        </w:tc>
        <w:tc>
          <w:tcPr>
            <w:tcW w:w="61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Contexto de ordem de grandeza de prémio em AOA e de estrutura de rede/reembolso</w:t>
            </w:r>
          </w:p>
        </w:tc>
      </w:tr>
    </w:tbl>
    <w:p w:rsidR="00B72C53" w:rsidRPr="00F80D02" w:rsidRDefault="00B72C53">
      <w:pPr>
        <w:spacing w:after="120"/>
        <w:rPr>
          <w:lang w:val="pt-PT"/>
        </w:rPr>
      </w:pPr>
    </w:p>
    <w:p w:rsidR="00B72C53" w:rsidRPr="00F80D02" w:rsidRDefault="00A61A1E">
      <w:pPr>
        <w:pBdr>
          <w:left w:val="single" w:sz="24" w:space="8" w:color="2E74B5"/>
        </w:pBdr>
        <w:shd w:val="clear" w:color="auto" w:fill="F2F2F2"/>
        <w:spacing w:before="80" w:after="200"/>
        <w:ind w:left="100"/>
        <w:rPr>
          <w:lang w:val="pt-PT"/>
        </w:rPr>
      </w:pPr>
      <w:r w:rsidRPr="00F80D02">
        <w:rPr>
          <w:i/>
          <w:iCs/>
          <w:color w:val="404040"/>
          <w:sz w:val="20"/>
          <w:szCs w:val="20"/>
          <w:lang w:val="pt-PT"/>
        </w:rPr>
        <w:t>Estas fontes validam a lógica estrutural do modelo (existência e ordem de grandeza relativa das bandas, categorias e factores). Não devem, em caso algum, ser usadas como tarifa por cópia directa, dada a ausência de conversão cambial fiável, diferenças regu</w:t>
      </w:r>
      <w:r w:rsidRPr="00F80D02">
        <w:rPr>
          <w:i/>
          <w:iCs/>
          <w:color w:val="404040"/>
          <w:sz w:val="20"/>
          <w:szCs w:val="20"/>
          <w:lang w:val="pt-PT"/>
        </w:rPr>
        <w:t>latórias e diferenças de perfil de risco entre carteiras.</w:t>
      </w:r>
    </w:p>
    <w:p w:rsidR="00B72C53" w:rsidRPr="00F80D02" w:rsidRDefault="00A61A1E">
      <w:pPr>
        <w:pStyle w:val="Cabealho2"/>
        <w:spacing w:before="360" w:after="160"/>
        <w:rPr>
          <w:lang w:val="pt-PT"/>
        </w:rPr>
      </w:pPr>
      <w:bookmarkStart w:id="43" w:name="_Toc239580151"/>
      <w:r w:rsidRPr="00F80D02">
        <w:rPr>
          <w:b/>
          <w:bCs/>
          <w:lang w:val="pt-PT"/>
        </w:rPr>
        <w:t>7.3 Critérios de credibilidade</w:t>
      </w:r>
      <w:bookmarkEnd w:id="43"/>
    </w:p>
    <w:p w:rsidR="00B72C53" w:rsidRDefault="00A61A1E">
      <w:pPr>
        <w:spacing w:after="160" w:line="276" w:lineRule="auto"/>
      </w:pPr>
      <w:r w:rsidRPr="00F80D02">
        <w:rPr>
          <w:lang w:val="pt-PT"/>
        </w:rPr>
        <w:t>Para que o factor de experiência (Secção 3.2.6) seja aplicado de forma tecnicamente sólida, deve ser ponderado por um critério de credibilidade estatística, que reconh</w:t>
      </w:r>
      <w:r w:rsidRPr="00F80D02">
        <w:rPr>
          <w:lang w:val="pt-PT"/>
        </w:rPr>
        <w:t xml:space="preserve">ece que a experiência observada num grupo pequeno é menos fiável (mais sujeita ao acaso) do que num grupo grande. </w:t>
      </w:r>
      <w:r>
        <w:t>Duas abordagens padrão são recomendadas para avaliação pelo actuário:</w:t>
      </w:r>
    </w:p>
    <w:p w:rsidR="00B72C53" w:rsidRPr="00F80D02" w:rsidRDefault="00A61A1E">
      <w:pPr>
        <w:pStyle w:val="PargrafodaLista"/>
        <w:numPr>
          <w:ilvl w:val="0"/>
          <w:numId w:val="2"/>
        </w:numPr>
        <w:spacing w:after="80"/>
        <w:rPr>
          <w:lang w:val="pt-PT"/>
        </w:rPr>
      </w:pPr>
      <w:r w:rsidRPr="00F80D02">
        <w:rPr>
          <w:lang w:val="pt-PT"/>
        </w:rPr>
        <w:t>Credibilidade de Bühlmann — pondera a experiência própria do grupo (Z) e</w:t>
      </w:r>
      <w:r w:rsidRPr="00F80D02">
        <w:rPr>
          <w:lang w:val="pt-PT"/>
        </w:rPr>
        <w:t xml:space="preserve"> a experiência média da carteira/manual (1−Z) de acordo com a variância relativa entre grupos e dentro de grupos; adequada quando existe volume suficiente de dados históricos para estimar estes parâmetros;</w:t>
      </w:r>
    </w:p>
    <w:p w:rsidR="00B72C53" w:rsidRPr="00F80D02" w:rsidRDefault="00A61A1E">
      <w:pPr>
        <w:pStyle w:val="PargrafodaLista"/>
        <w:numPr>
          <w:ilvl w:val="0"/>
          <w:numId w:val="2"/>
        </w:numPr>
        <w:spacing w:after="80"/>
        <w:rPr>
          <w:lang w:val="pt-PT"/>
        </w:rPr>
      </w:pPr>
      <w:r w:rsidRPr="00F80D02">
        <w:rPr>
          <w:lang w:val="pt-PT"/>
        </w:rPr>
        <w:lastRenderedPageBreak/>
        <w:t>Flutuação limitada (limited fluctuation credibilit</w:t>
      </w:r>
      <w:r w:rsidRPr="00F80D02">
        <w:rPr>
          <w:lang w:val="pt-PT"/>
        </w:rPr>
        <w:t>y) — define um número mínimo de sinistros ou de vidas-ano expostas a partir do qual a experiência do grupo é considerada totalmente credível (Z=1), com interpolação linear ou por raiz quadrada abaixo desse limiar; abordagem mais simples de comunicar e impl</w:t>
      </w:r>
      <w:r w:rsidRPr="00F80D02">
        <w:rPr>
          <w:lang w:val="pt-PT"/>
        </w:rPr>
        <w:t>ementar operacionalmente.</w:t>
      </w:r>
    </w:p>
    <w:p w:rsidR="00B72C53" w:rsidRPr="00F80D02" w:rsidRDefault="00A61A1E">
      <w:pPr>
        <w:spacing w:after="160" w:line="276" w:lineRule="auto"/>
        <w:rPr>
          <w:lang w:val="pt-PT"/>
        </w:rPr>
      </w:pPr>
      <w:r w:rsidRPr="00F80D02">
        <w:rPr>
          <w:lang w:val="pt-PT"/>
        </w:rPr>
        <w:t>O prémio final de experiência deve resultar de: Prémio Ajustado = Z × Experiência Própria + (1−Z) × Experiência de Referência (manual), e não da aplicação directa do factor de loss ratio bruto a grupos de reduzida dimensão.</w:t>
      </w:r>
    </w:p>
    <w:p w:rsidR="00B72C53" w:rsidRPr="00F80D02" w:rsidRDefault="00A61A1E">
      <w:pPr>
        <w:pStyle w:val="Cabealho2"/>
        <w:spacing w:before="360" w:after="160"/>
        <w:rPr>
          <w:lang w:val="pt-PT"/>
        </w:rPr>
      </w:pPr>
      <w:bookmarkStart w:id="44" w:name="_Toc239580152"/>
      <w:r w:rsidRPr="00F80D02">
        <w:rPr>
          <w:b/>
          <w:bCs/>
          <w:lang w:val="pt-PT"/>
        </w:rPr>
        <w:t>7.4 Tr</w:t>
      </w:r>
      <w:r w:rsidRPr="00F80D02">
        <w:rPr>
          <w:b/>
          <w:bCs/>
          <w:lang w:val="pt-PT"/>
        </w:rPr>
        <w:t>iggers para revisão tarifária</w:t>
      </w:r>
      <w:bookmarkEnd w:id="44"/>
    </w:p>
    <w:p w:rsidR="00B72C53" w:rsidRPr="00F80D02" w:rsidRDefault="00A61A1E">
      <w:pPr>
        <w:spacing w:after="160" w:line="276" w:lineRule="auto"/>
        <w:rPr>
          <w:lang w:val="pt-PT"/>
        </w:rPr>
      </w:pPr>
      <w:r w:rsidRPr="00F80D02">
        <w:rPr>
          <w:lang w:val="pt-PT"/>
        </w:rPr>
        <w:t>Devem ser definidos, previamente, gatilhos objectivos que despoletem revisão da tarifa fora do ciclo periódico normal, entre os quais:</w:t>
      </w:r>
    </w:p>
    <w:p w:rsidR="00B72C53" w:rsidRPr="00F80D02" w:rsidRDefault="00A61A1E">
      <w:pPr>
        <w:pStyle w:val="PargrafodaLista"/>
        <w:numPr>
          <w:ilvl w:val="0"/>
          <w:numId w:val="2"/>
        </w:numPr>
        <w:spacing w:after="80"/>
        <w:rPr>
          <w:lang w:val="pt-PT"/>
        </w:rPr>
      </w:pPr>
      <w:r w:rsidRPr="00F80D02">
        <w:rPr>
          <w:lang w:val="pt-PT"/>
        </w:rPr>
        <w:t>Loss ratio agregado da carteira acima de um limiar pré-definido (por exemplo, sistematicamente acima de 100% durante dois trimestres consecutivos);</w:t>
      </w:r>
    </w:p>
    <w:p w:rsidR="00B72C53" w:rsidRPr="00F80D02" w:rsidRDefault="00A61A1E">
      <w:pPr>
        <w:pStyle w:val="PargrafodaLista"/>
        <w:numPr>
          <w:ilvl w:val="0"/>
          <w:numId w:val="2"/>
        </w:numPr>
        <w:spacing w:after="80"/>
        <w:rPr>
          <w:lang w:val="pt-PT"/>
        </w:rPr>
      </w:pPr>
      <w:r w:rsidRPr="00F80D02">
        <w:rPr>
          <w:lang w:val="pt-PT"/>
        </w:rPr>
        <w:t>Desvio material entre a tendência médica assumida na tarifa e a tendência efectivamente observada;</w:t>
      </w:r>
    </w:p>
    <w:p w:rsidR="00B72C53" w:rsidRPr="00F80D02" w:rsidRDefault="00A61A1E">
      <w:pPr>
        <w:pStyle w:val="PargrafodaLista"/>
        <w:numPr>
          <w:ilvl w:val="0"/>
          <w:numId w:val="2"/>
        </w:numPr>
        <w:spacing w:after="80"/>
        <w:rPr>
          <w:lang w:val="pt-PT"/>
        </w:rPr>
      </w:pPr>
      <w:r w:rsidRPr="00F80D02">
        <w:rPr>
          <w:lang w:val="pt-PT"/>
        </w:rPr>
        <w:t>Alteração</w:t>
      </w:r>
      <w:r w:rsidRPr="00F80D02">
        <w:rPr>
          <w:lang w:val="pt-PT"/>
        </w:rPr>
        <w:t xml:space="preserve"> regulatória relevante (por exemplo, novos requisitos de capital, alterações a regras de portabilidade ou elegibilidade);</w:t>
      </w:r>
    </w:p>
    <w:p w:rsidR="00B72C53" w:rsidRPr="00F80D02" w:rsidRDefault="00A61A1E">
      <w:pPr>
        <w:pStyle w:val="PargrafodaLista"/>
        <w:numPr>
          <w:ilvl w:val="0"/>
          <w:numId w:val="2"/>
        </w:numPr>
        <w:spacing w:after="80"/>
        <w:rPr>
          <w:lang w:val="pt-PT"/>
        </w:rPr>
      </w:pPr>
      <w:r w:rsidRPr="00F80D02">
        <w:rPr>
          <w:lang w:val="pt-PT"/>
        </w:rPr>
        <w:t>Alteração material no perfil de risco da carteira (por exemplo, crescimento acelerado em bandas etárias de maior risco, ou concentraçã</w:t>
      </w:r>
      <w:r w:rsidRPr="00F80D02">
        <w:rPr>
          <w:lang w:val="pt-PT"/>
        </w:rPr>
        <w:t>o geográfica anómala).</w:t>
      </w:r>
    </w:p>
    <w:p w:rsidR="00B72C53" w:rsidRPr="00F80D02" w:rsidRDefault="00A61A1E">
      <w:pPr>
        <w:rPr>
          <w:lang w:val="pt-PT"/>
        </w:rPr>
      </w:pPr>
      <w:r w:rsidRPr="00F80D02">
        <w:rPr>
          <w:lang w:val="pt-PT"/>
        </w:rPr>
        <w:br w:type="page"/>
      </w:r>
    </w:p>
    <w:p w:rsidR="00B72C53" w:rsidRPr="00F80D02" w:rsidRDefault="00A61A1E">
      <w:pPr>
        <w:pStyle w:val="Cabealho1"/>
        <w:pBdr>
          <w:bottom w:val="single" w:sz="12" w:space="4" w:color="1F3864"/>
        </w:pBdr>
        <w:spacing w:before="480" w:after="240"/>
        <w:rPr>
          <w:lang w:val="pt-PT"/>
        </w:rPr>
      </w:pPr>
      <w:bookmarkStart w:id="45" w:name="_Toc239580153"/>
      <w:r w:rsidRPr="00F80D02">
        <w:rPr>
          <w:b/>
          <w:bCs/>
          <w:color w:val="1F3864"/>
          <w:lang w:val="pt-PT"/>
        </w:rPr>
        <w:lastRenderedPageBreak/>
        <w:t>8. Governança e Actualização</w:t>
      </w:r>
      <w:bookmarkEnd w:id="45"/>
    </w:p>
    <w:p w:rsidR="00B72C53" w:rsidRPr="00F80D02" w:rsidRDefault="00A61A1E">
      <w:pPr>
        <w:pStyle w:val="Cabealho2"/>
        <w:spacing w:before="360" w:after="160"/>
        <w:rPr>
          <w:lang w:val="pt-PT"/>
        </w:rPr>
      </w:pPr>
      <w:bookmarkStart w:id="46" w:name="_Toc239580154"/>
      <w:r w:rsidRPr="00F80D02">
        <w:rPr>
          <w:b/>
          <w:bCs/>
          <w:lang w:val="pt-PT"/>
        </w:rPr>
        <w:t>8.1 Periodicidade de revisão</w:t>
      </w:r>
      <w:bookmarkEnd w:id="46"/>
    </w:p>
    <w:p w:rsidR="00B72C53" w:rsidRPr="00F80D02" w:rsidRDefault="00A61A1E">
      <w:pPr>
        <w:spacing w:after="160" w:line="276" w:lineRule="auto"/>
        <w:rPr>
          <w:lang w:val="pt-PT"/>
        </w:rPr>
      </w:pPr>
      <w:r w:rsidRPr="00F80D02">
        <w:rPr>
          <w:lang w:val="pt-PT"/>
        </w:rPr>
        <w:t>Recomenda-se um ciclo de revisão técnica anual da tarifa (incorporando tendência médica e actualização de factores de experiência ao nível de carteira), complementado por re</w:t>
      </w:r>
      <w:r w:rsidRPr="00F80D02">
        <w:rPr>
          <w:lang w:val="pt-PT"/>
        </w:rPr>
        <w:t>visões pontuais sempre que um dos triggers da Secção 7.4 for accionado. Cada versão da tarifa deve ter um período de validade explícito (effective_from / effective_to).</w:t>
      </w:r>
    </w:p>
    <w:p w:rsidR="00B72C53" w:rsidRDefault="00A61A1E">
      <w:pPr>
        <w:pStyle w:val="Cabealho2"/>
        <w:spacing w:before="360" w:after="160"/>
      </w:pPr>
      <w:bookmarkStart w:id="47" w:name="_Toc239580155"/>
      <w:r>
        <w:rPr>
          <w:b/>
          <w:bCs/>
        </w:rPr>
        <w:t>8.2 Responsabilidades</w:t>
      </w:r>
      <w:bookmarkEnd w:id="47"/>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00"/>
      </w:tblGrid>
      <w:tr w:rsidR="00B72C53">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Função</w:t>
            </w:r>
          </w:p>
        </w:tc>
        <w:tc>
          <w:tcPr>
            <w:tcW w:w="71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Responsabilidade principal</w:t>
            </w:r>
          </w:p>
        </w:tc>
      </w:tr>
      <w:tr w:rsidR="00B72C53" w:rsidRPr="00F80D02">
        <w:tblPrEx>
          <w:tblCellMar>
            <w:top w:w="0" w:type="dxa"/>
            <w:bottom w:w="0" w:type="dxa"/>
          </w:tblCellMar>
        </w:tblPrEx>
        <w:tc>
          <w:tcPr>
            <w:tcW w:w="2600" w:type="dxa"/>
            <w:tcMar>
              <w:top w:w="60" w:type="dxa"/>
              <w:left w:w="100" w:type="dxa"/>
              <w:bottom w:w="60" w:type="dxa"/>
              <w:right w:w="100" w:type="dxa"/>
            </w:tcMar>
            <w:vAlign w:val="center"/>
          </w:tcPr>
          <w:p w:rsidR="00B72C53" w:rsidRDefault="00A61A1E">
            <w:r>
              <w:rPr>
                <w:sz w:val="19"/>
                <w:szCs w:val="19"/>
              </w:rPr>
              <w:t>Actuário Responsável</w:t>
            </w:r>
          </w:p>
        </w:tc>
        <w:tc>
          <w:tcPr>
            <w:tcW w:w="71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Calibração técnica de factores e loadings; validação estatística; parecer de suficiência e sustentabilidade da tarifa; assinatura da versão aprovada</w:t>
            </w:r>
          </w:p>
        </w:tc>
      </w:tr>
      <w:tr w:rsidR="00B72C53" w:rsidRPr="00F80D02">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B72C53" w:rsidRDefault="00A61A1E">
            <w:r>
              <w:rPr>
                <w:sz w:val="19"/>
                <w:szCs w:val="19"/>
              </w:rPr>
              <w:t>Subscrição</w:t>
            </w:r>
          </w:p>
        </w:tc>
        <w:tc>
          <w:tcPr>
            <w:tcW w:w="71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Aplicação correcta dos factores de underwriting e das regras de elegibilidade; comunicação de a</w:t>
            </w:r>
            <w:r w:rsidRPr="00F80D02">
              <w:rPr>
                <w:sz w:val="19"/>
                <w:szCs w:val="19"/>
                <w:lang w:val="pt-PT"/>
              </w:rPr>
              <w:t>gravamentos individuais ao actuário</w:t>
            </w:r>
          </w:p>
        </w:tc>
      </w:tr>
      <w:tr w:rsidR="00B72C53" w:rsidRPr="00F80D02">
        <w:tblPrEx>
          <w:tblCellMar>
            <w:top w:w="0" w:type="dxa"/>
            <w:bottom w:w="0" w:type="dxa"/>
          </w:tblCellMar>
        </w:tblPrEx>
        <w:tc>
          <w:tcPr>
            <w:tcW w:w="2600" w:type="dxa"/>
            <w:tcMar>
              <w:top w:w="60" w:type="dxa"/>
              <w:left w:w="100" w:type="dxa"/>
              <w:bottom w:w="60" w:type="dxa"/>
              <w:right w:w="100" w:type="dxa"/>
            </w:tcMar>
            <w:vAlign w:val="center"/>
          </w:tcPr>
          <w:p w:rsidR="00B72C53" w:rsidRDefault="00A61A1E">
            <w:r>
              <w:rPr>
                <w:sz w:val="19"/>
                <w:szCs w:val="19"/>
              </w:rPr>
              <w:t>Produto</w:t>
            </w:r>
          </w:p>
        </w:tc>
        <w:tc>
          <w:tcPr>
            <w:tcW w:w="71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Definição de planos e coberturas; posicionamento comercial; proposta de alterações de desenho a validar tecnicamente</w:t>
            </w:r>
          </w:p>
        </w:tc>
      </w:tr>
      <w:tr w:rsidR="00B72C53" w:rsidRPr="00F80D02">
        <w:tblPrEx>
          <w:tblCellMar>
            <w:top w:w="0" w:type="dxa"/>
            <w:bottom w:w="0" w:type="dxa"/>
          </w:tblCellMar>
        </w:tblPrEx>
        <w:tc>
          <w:tcPr>
            <w:tcW w:w="2600" w:type="dxa"/>
            <w:shd w:val="clear" w:color="auto" w:fill="F2F2F2"/>
            <w:tcMar>
              <w:top w:w="60" w:type="dxa"/>
              <w:left w:w="100" w:type="dxa"/>
              <w:bottom w:w="60" w:type="dxa"/>
              <w:right w:w="100" w:type="dxa"/>
            </w:tcMar>
            <w:vAlign w:val="center"/>
          </w:tcPr>
          <w:p w:rsidR="00B72C53" w:rsidRDefault="00A61A1E">
            <w:r>
              <w:rPr>
                <w:sz w:val="19"/>
                <w:szCs w:val="19"/>
              </w:rPr>
              <w:t>Resseguro</w:t>
            </w:r>
          </w:p>
        </w:tc>
        <w:tc>
          <w:tcPr>
            <w:tcW w:w="71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Definição e custo dos treaties de resseguro/stop-loss; validação do tratamento de grandes sinistros e eventos catastróficos</w:t>
            </w:r>
          </w:p>
        </w:tc>
      </w:tr>
    </w:tbl>
    <w:p w:rsidR="00B72C53" w:rsidRPr="00F80D02" w:rsidRDefault="00B72C53">
      <w:pPr>
        <w:spacing w:after="120"/>
        <w:rPr>
          <w:lang w:val="pt-PT"/>
        </w:rPr>
      </w:pPr>
    </w:p>
    <w:p w:rsidR="00B72C53" w:rsidRPr="00F80D02" w:rsidRDefault="00A61A1E">
      <w:pPr>
        <w:pStyle w:val="Cabealho2"/>
        <w:spacing w:before="360" w:after="160"/>
        <w:rPr>
          <w:lang w:val="pt-PT"/>
        </w:rPr>
      </w:pPr>
      <w:bookmarkStart w:id="48" w:name="_Toc239580156"/>
      <w:r w:rsidRPr="00F80D02">
        <w:rPr>
          <w:b/>
          <w:bCs/>
          <w:lang w:val="pt-PT"/>
        </w:rPr>
        <w:t>8.3 Controlo de versões e aprovações</w:t>
      </w:r>
      <w:bookmarkEnd w:id="48"/>
    </w:p>
    <w:p w:rsidR="00B72C53" w:rsidRPr="00F80D02" w:rsidRDefault="00A61A1E">
      <w:pPr>
        <w:spacing w:after="160" w:line="276" w:lineRule="auto"/>
        <w:rPr>
          <w:lang w:val="pt-PT"/>
        </w:rPr>
      </w:pPr>
      <w:r w:rsidRPr="00F80D02">
        <w:rPr>
          <w:lang w:val="pt-PT"/>
        </w:rPr>
        <w:t>Cada versão da tarifa deve ser identificada de forma inequívoca (por exemplo, número de versão, data de calibração, autor) e acompanhada de um registo de aprovação que documente: quem propôs, quem validou tecnicamente, quem aprovou formalmente (comité técn</w:t>
      </w:r>
      <w:r w:rsidRPr="00F80D02">
        <w:rPr>
          <w:lang w:val="pt-PT"/>
        </w:rPr>
        <w:t>ico/direcção) e, quando aplicável, a data de comunicação ao regulador. O modelo de referência exemplifica este princípio no separador "00_Control", que identifica versão, finalidade, mercado, moeda e estado do modelo (fictício vs. oficial). Recomenda-se ma</w:t>
      </w:r>
      <w:r w:rsidRPr="00F80D02">
        <w:rPr>
          <w:lang w:val="pt-PT"/>
        </w:rPr>
        <w:t>nter um repositório histórico de todas as versões aprovadas, para suportar auditoria e reconstrução de qualquer prémio cotado no passado.</w:t>
      </w:r>
    </w:p>
    <w:p w:rsidR="00B72C53" w:rsidRPr="00F80D02" w:rsidRDefault="00A61A1E">
      <w:pPr>
        <w:rPr>
          <w:lang w:val="pt-PT"/>
        </w:rPr>
      </w:pPr>
      <w:r w:rsidRPr="00F80D02">
        <w:rPr>
          <w:lang w:val="pt-PT"/>
        </w:rPr>
        <w:br w:type="page"/>
      </w:r>
    </w:p>
    <w:p w:rsidR="00B72C53" w:rsidRPr="00F80D02" w:rsidRDefault="00A61A1E">
      <w:pPr>
        <w:pStyle w:val="Cabealho1"/>
        <w:pBdr>
          <w:bottom w:val="single" w:sz="12" w:space="4" w:color="1F3864"/>
        </w:pBdr>
        <w:spacing w:before="480" w:after="240"/>
        <w:rPr>
          <w:lang w:val="pt-PT"/>
        </w:rPr>
      </w:pPr>
      <w:bookmarkStart w:id="49" w:name="_Toc239580157"/>
      <w:r w:rsidRPr="00F80D02">
        <w:rPr>
          <w:b/>
          <w:bCs/>
          <w:color w:val="1F3864"/>
          <w:lang w:val="pt-PT"/>
        </w:rPr>
        <w:lastRenderedPageBreak/>
        <w:t>9. Anexos</w:t>
      </w:r>
      <w:bookmarkEnd w:id="49"/>
    </w:p>
    <w:p w:rsidR="00B72C53" w:rsidRPr="00F80D02" w:rsidRDefault="00A61A1E">
      <w:pPr>
        <w:pStyle w:val="Cabealho2"/>
        <w:spacing w:before="360" w:after="160"/>
        <w:rPr>
          <w:lang w:val="pt-PT"/>
        </w:rPr>
      </w:pPr>
      <w:bookmarkStart w:id="50" w:name="_Toc239580158"/>
      <w:r w:rsidRPr="00F80D02">
        <w:rPr>
          <w:b/>
          <w:bCs/>
          <w:lang w:val="pt-PT"/>
        </w:rPr>
        <w:t>9.1 Tabelas de factores</w:t>
      </w:r>
      <w:bookmarkEnd w:id="50"/>
    </w:p>
    <w:p w:rsidR="00B72C53" w:rsidRPr="00F80D02" w:rsidRDefault="00A61A1E">
      <w:pPr>
        <w:spacing w:after="160" w:line="276" w:lineRule="auto"/>
        <w:rPr>
          <w:lang w:val="pt-PT"/>
        </w:rPr>
      </w:pPr>
      <w:r w:rsidRPr="00F80D02">
        <w:rPr>
          <w:lang w:val="pt-PT"/>
        </w:rPr>
        <w:t>As tabelas completas de factores etários, familiares, de grupo, geográficos e de e</w:t>
      </w:r>
      <w:r w:rsidRPr="00F80D02">
        <w:rPr>
          <w:lang w:val="pt-PT"/>
        </w:rPr>
        <w:t>xperiência estão reproduzidas nas Secções 3.2.2 a 3.2.6 deste manual e correspondem, na versão actual, aos separadores "03_Factores_Idade" e "04_Factores_Comerciais" do ficheiro de referência. Após calibração pelo actuário, estas tabelas devem ser actualiz</w:t>
      </w:r>
      <w:r w:rsidRPr="00F80D02">
        <w:rPr>
          <w:lang w:val="pt-PT"/>
        </w:rPr>
        <w:t>adas e a versão do manual incrementada em conformidade.</w:t>
      </w:r>
    </w:p>
    <w:p w:rsidR="00B72C53" w:rsidRPr="00F80D02" w:rsidRDefault="00A61A1E">
      <w:pPr>
        <w:pStyle w:val="Cabealho2"/>
        <w:spacing w:before="360" w:after="160"/>
        <w:rPr>
          <w:lang w:val="pt-PT"/>
        </w:rPr>
      </w:pPr>
      <w:bookmarkStart w:id="51" w:name="_Toc239580159"/>
      <w:r w:rsidRPr="00F80D02">
        <w:rPr>
          <w:b/>
          <w:bCs/>
          <w:lang w:val="pt-PT"/>
        </w:rPr>
        <w:t>9.2 Simulador de prémio — exemplo prático</w:t>
      </w:r>
      <w:bookmarkEnd w:id="51"/>
    </w:p>
    <w:p w:rsidR="00B72C53" w:rsidRPr="00F80D02" w:rsidRDefault="00A61A1E">
      <w:pPr>
        <w:spacing w:after="160" w:line="276" w:lineRule="auto"/>
        <w:rPr>
          <w:lang w:val="pt-PT"/>
        </w:rPr>
      </w:pPr>
      <w:r w:rsidRPr="00F80D02">
        <w:rPr>
          <w:lang w:val="pt-PT"/>
        </w:rPr>
        <w:t>O separador "06_Calculadora" do ficheiro de referência disponibiliza um simulador determinístico de prémio individual, que aplica a fórmula da Secção 3.1 a um</w:t>
      </w:r>
      <w:r w:rsidRPr="00F80D02">
        <w:rPr>
          <w:lang w:val="pt-PT"/>
        </w:rPr>
        <w:t xml:space="preserve"> conjunto de inputs (plano, idade, relação, número de vidas do grupo, área, loss ratio histórico e factor de underwriting). O caso ilustrativo incluído no modelo é reproduzido na Secção 3.3 deste manual. Recomenda-se que este simulador seja mantido como fe</w:t>
      </w:r>
      <w:r w:rsidRPr="00F80D02">
        <w:rPr>
          <w:lang w:val="pt-PT"/>
        </w:rPr>
        <w:t>rramenta de trabalho viva, actualizada em paralelo com cada nova versão aprovada da tarifa, e usado como referência de reconciliação sempre que uma cotação comercial for questionada ou auditada.</w:t>
      </w:r>
    </w:p>
    <w:p w:rsidR="00B72C53" w:rsidRPr="00F80D02" w:rsidRDefault="00A61A1E">
      <w:pPr>
        <w:pStyle w:val="Cabealho2"/>
        <w:spacing w:before="360" w:after="160"/>
        <w:rPr>
          <w:lang w:val="pt-PT"/>
        </w:rPr>
      </w:pPr>
      <w:bookmarkStart w:id="52" w:name="_Toc239580160"/>
      <w:r w:rsidRPr="00F80D02">
        <w:rPr>
          <w:b/>
          <w:bCs/>
          <w:lang w:val="pt-PT"/>
        </w:rPr>
        <w:t>9.3 Fontes de dados e referências externas</w:t>
      </w:r>
      <w:bookmarkEnd w:id="52"/>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2500"/>
      </w:tblGrid>
      <w:tr w:rsidR="00B72C53">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Fonte</w:t>
            </w:r>
          </w:p>
        </w:tc>
        <w:tc>
          <w:tcPr>
            <w:tcW w:w="42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Referência estrutural</w:t>
            </w:r>
          </w:p>
        </w:tc>
        <w:tc>
          <w:tcPr>
            <w:tcW w:w="25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Nota</w:t>
            </w:r>
          </w:p>
        </w:tc>
      </w:tr>
      <w:tr w:rsidR="00B72C53" w:rsidRPr="00F80D02">
        <w:tblPrEx>
          <w:tblCellMar>
            <w:top w:w="0" w:type="dxa"/>
            <w:bottom w:w="0" w:type="dxa"/>
          </w:tblCellMar>
        </w:tblPrEx>
        <w:tc>
          <w:tcPr>
            <w:tcW w:w="3000" w:type="dxa"/>
            <w:tcMar>
              <w:top w:w="60" w:type="dxa"/>
              <w:left w:w="100" w:type="dxa"/>
              <w:bottom w:w="60" w:type="dxa"/>
              <w:right w:w="100" w:type="dxa"/>
            </w:tcMar>
            <w:vAlign w:val="center"/>
          </w:tcPr>
          <w:p w:rsidR="00B72C53" w:rsidRDefault="00A61A1E">
            <w:r>
              <w:rPr>
                <w:sz w:val="19"/>
                <w:szCs w:val="19"/>
              </w:rPr>
              <w:t>Council for Medical Schemes — Industry Report 2024</w:t>
            </w:r>
          </w:p>
        </w:tc>
        <w:tc>
          <w:tcPr>
            <w:tcW w:w="42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Demografia/idade média e sustentabilidade</w:t>
            </w:r>
          </w:p>
        </w:tc>
        <w:tc>
          <w:tcPr>
            <w:tcW w:w="25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Referência sul-africana; não usada como tarifa Angola</w:t>
            </w:r>
          </w:p>
        </w:tc>
      </w:tr>
      <w:tr w:rsidR="00B72C53" w:rsidRPr="00F80D02">
        <w:tblPrEx>
          <w:tblCellMar>
            <w:top w:w="0" w:type="dxa"/>
            <w:bottom w:w="0" w:type="dxa"/>
          </w:tblCellMar>
        </w:tblPrEx>
        <w:tc>
          <w:tcPr>
            <w:tcW w:w="3000" w:type="dxa"/>
            <w:shd w:val="clear" w:color="auto" w:fill="F2F2F2"/>
            <w:tcMar>
              <w:top w:w="60" w:type="dxa"/>
              <w:left w:w="100" w:type="dxa"/>
              <w:bottom w:w="60" w:type="dxa"/>
              <w:right w:w="100" w:type="dxa"/>
            </w:tcMar>
            <w:vAlign w:val="center"/>
          </w:tcPr>
          <w:p w:rsidR="00B72C53" w:rsidRDefault="00A61A1E">
            <w:r>
              <w:rPr>
                <w:sz w:val="19"/>
                <w:szCs w:val="19"/>
              </w:rPr>
              <w:t>International Actuarial Association — Regional variation</w:t>
            </w:r>
          </w:p>
        </w:tc>
        <w:tc>
          <w:tcPr>
            <w:tcW w:w="42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Variação regional de custos privados e inflação médica</w:t>
            </w:r>
          </w:p>
        </w:tc>
        <w:tc>
          <w:tcPr>
            <w:tcW w:w="25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Justifica a estrutura, não os factores simulados</w:t>
            </w:r>
          </w:p>
        </w:tc>
      </w:tr>
      <w:tr w:rsidR="00B72C53">
        <w:tblPrEx>
          <w:tblCellMar>
            <w:top w:w="0" w:type="dxa"/>
            <w:bottom w:w="0" w:type="dxa"/>
          </w:tblCellMar>
        </w:tblPrEx>
        <w:tc>
          <w:tcPr>
            <w:tcW w:w="3000" w:type="dxa"/>
            <w:tcMar>
              <w:top w:w="60" w:type="dxa"/>
              <w:left w:w="100" w:type="dxa"/>
              <w:bottom w:w="60" w:type="dxa"/>
              <w:right w:w="100" w:type="dxa"/>
            </w:tcMar>
            <w:vAlign w:val="center"/>
          </w:tcPr>
          <w:p w:rsidR="00B72C53" w:rsidRDefault="00A61A1E">
            <w:r>
              <w:rPr>
                <w:sz w:val="19"/>
                <w:szCs w:val="19"/>
              </w:rPr>
              <w:t>MultiChoice Medical Aid Scheme — Member Guide 2025</w:t>
            </w:r>
          </w:p>
        </w:tc>
        <w:tc>
          <w:tcPr>
            <w:tcW w:w="42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Estrutura principal/adulto/criança e bandas</w:t>
            </w:r>
          </w:p>
        </w:tc>
        <w:tc>
          <w:tcPr>
            <w:tcW w:w="2500" w:type="dxa"/>
            <w:tcMar>
              <w:top w:w="60" w:type="dxa"/>
              <w:left w:w="100" w:type="dxa"/>
              <w:bottom w:w="60" w:type="dxa"/>
              <w:right w:w="100" w:type="dxa"/>
            </w:tcMar>
            <w:vAlign w:val="center"/>
          </w:tcPr>
          <w:p w:rsidR="00B72C53" w:rsidRDefault="00A61A1E">
            <w:r>
              <w:rPr>
                <w:sz w:val="19"/>
                <w:szCs w:val="19"/>
              </w:rPr>
              <w:t>Referência de desenho</w:t>
            </w:r>
          </w:p>
        </w:tc>
      </w:tr>
      <w:tr w:rsidR="00B72C53">
        <w:tblPrEx>
          <w:tblCellMar>
            <w:top w:w="0" w:type="dxa"/>
            <w:bottom w:w="0" w:type="dxa"/>
          </w:tblCellMar>
        </w:tblPrEx>
        <w:tc>
          <w:tcPr>
            <w:tcW w:w="3000" w:type="dxa"/>
            <w:shd w:val="clear" w:color="auto" w:fill="F2F2F2"/>
            <w:tcMar>
              <w:top w:w="60" w:type="dxa"/>
              <w:left w:w="100" w:type="dxa"/>
              <w:bottom w:w="60" w:type="dxa"/>
              <w:right w:w="100" w:type="dxa"/>
            </w:tcMar>
            <w:vAlign w:val="center"/>
          </w:tcPr>
          <w:p w:rsidR="00B72C53" w:rsidRDefault="00A61A1E">
            <w:r>
              <w:rPr>
                <w:sz w:val="19"/>
                <w:szCs w:val="19"/>
              </w:rPr>
              <w:t>Genesis Medical Scheme — contribuições</w:t>
            </w:r>
          </w:p>
        </w:tc>
        <w:tc>
          <w:tcPr>
            <w:tcW w:w="42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Contribuições por principal/adulto/criança e por plano</w:t>
            </w:r>
          </w:p>
        </w:tc>
        <w:tc>
          <w:tcPr>
            <w:tcW w:w="2500" w:type="dxa"/>
            <w:shd w:val="clear" w:color="auto" w:fill="F2F2F2"/>
            <w:tcMar>
              <w:top w:w="60" w:type="dxa"/>
              <w:left w:w="100" w:type="dxa"/>
              <w:bottom w:w="60" w:type="dxa"/>
              <w:right w:w="100" w:type="dxa"/>
            </w:tcMar>
            <w:vAlign w:val="center"/>
          </w:tcPr>
          <w:p w:rsidR="00B72C53" w:rsidRDefault="00A61A1E">
            <w:r>
              <w:rPr>
                <w:sz w:val="19"/>
                <w:szCs w:val="19"/>
              </w:rPr>
              <w:t>Sem conversão ZAR→AOA</w:t>
            </w:r>
          </w:p>
        </w:tc>
      </w:tr>
      <w:tr w:rsidR="00B72C53" w:rsidRPr="00F80D02">
        <w:tblPrEx>
          <w:tblCellMar>
            <w:top w:w="0" w:type="dxa"/>
            <w:bottom w:w="0" w:type="dxa"/>
          </w:tblCellMar>
        </w:tblPrEx>
        <w:tc>
          <w:tcPr>
            <w:tcW w:w="3000" w:type="dxa"/>
            <w:tcMar>
              <w:top w:w="60" w:type="dxa"/>
              <w:left w:w="100" w:type="dxa"/>
              <w:bottom w:w="60" w:type="dxa"/>
              <w:right w:w="100" w:type="dxa"/>
            </w:tcMar>
            <w:vAlign w:val="center"/>
          </w:tcPr>
          <w:p w:rsidR="00B72C53" w:rsidRDefault="00A61A1E">
            <w:r>
              <w:rPr>
                <w:sz w:val="19"/>
                <w:szCs w:val="19"/>
              </w:rPr>
              <w:t>Cotação pública — mercado angolano (2026)</w:t>
            </w:r>
          </w:p>
        </w:tc>
        <w:tc>
          <w:tcPr>
            <w:tcW w:w="42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Exemplo de estrutura Corporate Premium, rede exterior, hospitalização e reembolso</w:t>
            </w:r>
          </w:p>
        </w:tc>
        <w:tc>
          <w:tcPr>
            <w:tcW w:w="25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Contextual; não copiada como tarifa</w:t>
            </w:r>
          </w:p>
        </w:tc>
      </w:tr>
      <w:tr w:rsidR="00B72C53" w:rsidRPr="00F80D02">
        <w:tblPrEx>
          <w:tblCellMar>
            <w:top w:w="0" w:type="dxa"/>
            <w:bottom w:w="0" w:type="dxa"/>
          </w:tblCellMar>
        </w:tblPrEx>
        <w:tc>
          <w:tcPr>
            <w:tcW w:w="3000" w:type="dxa"/>
            <w:shd w:val="clear" w:color="auto" w:fill="F2F2F2"/>
            <w:tcMar>
              <w:top w:w="60" w:type="dxa"/>
              <w:left w:w="100" w:type="dxa"/>
              <w:bottom w:w="60" w:type="dxa"/>
              <w:right w:w="100" w:type="dxa"/>
            </w:tcMar>
            <w:vAlign w:val="center"/>
          </w:tcPr>
          <w:p w:rsidR="00B72C53" w:rsidRDefault="00A61A1E">
            <w:r>
              <w:rPr>
                <w:sz w:val="19"/>
                <w:szCs w:val="19"/>
              </w:rPr>
              <w:t>Simulação pública — mercado angolano (2024)</w:t>
            </w:r>
          </w:p>
        </w:tc>
        <w:tc>
          <w:tcPr>
            <w:tcW w:w="42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Exemplo de prémio anual em AOA e validade de cotação</w:t>
            </w:r>
          </w:p>
        </w:tc>
        <w:tc>
          <w:tcPr>
            <w:tcW w:w="2500" w:type="dxa"/>
            <w:shd w:val="clear" w:color="auto" w:fill="F2F2F2"/>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Contextual; não copiada como tarifa</w:t>
            </w:r>
          </w:p>
        </w:tc>
      </w:tr>
    </w:tbl>
    <w:p w:rsidR="00B72C53" w:rsidRPr="00F80D02" w:rsidRDefault="00B72C53">
      <w:pPr>
        <w:spacing w:after="120"/>
        <w:rPr>
          <w:lang w:val="pt-PT"/>
        </w:rPr>
      </w:pPr>
    </w:p>
    <w:p w:rsidR="00B72C53" w:rsidRPr="00F80D02" w:rsidRDefault="00A61A1E">
      <w:pPr>
        <w:pStyle w:val="Cabealho2"/>
        <w:spacing w:before="360" w:after="160"/>
        <w:rPr>
          <w:lang w:val="pt-PT"/>
        </w:rPr>
      </w:pPr>
      <w:bookmarkStart w:id="53" w:name="_Toc239580161"/>
      <w:r w:rsidRPr="00F80D02">
        <w:rPr>
          <w:b/>
          <w:bCs/>
          <w:lang w:val="pt-PT"/>
        </w:rPr>
        <w:t>9.4 Registo de decisões pendentes do actuário</w:t>
      </w:r>
      <w:bookmarkEnd w:id="53"/>
    </w:p>
    <w:p w:rsidR="00B72C53" w:rsidRPr="00F80D02" w:rsidRDefault="00A61A1E">
      <w:pPr>
        <w:spacing w:after="160" w:line="276" w:lineRule="auto"/>
        <w:rPr>
          <w:lang w:val="pt-PT"/>
        </w:rPr>
      </w:pPr>
      <w:r w:rsidRPr="00F80D02">
        <w:rPr>
          <w:lang w:val="pt-PT"/>
        </w:rPr>
        <w:t>A tabela seguinte consolida, a partir do separador "07_Input_Actuario" do ficheiro de referência, os pontos que requerem decisão ou validação explícita antes da aprovação da tarifa oficial: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900"/>
      </w:tblGrid>
      <w:tr w:rsidR="00B72C53">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Bloco</w:t>
            </w:r>
          </w:p>
        </w:tc>
        <w:tc>
          <w:tcPr>
            <w:tcW w:w="42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Campo a preencher/validar</w:t>
            </w:r>
          </w:p>
        </w:tc>
        <w:tc>
          <w:tcPr>
            <w:tcW w:w="3900" w:type="dxa"/>
            <w:shd w:val="clear" w:color="auto" w:fill="1F3864"/>
            <w:tcMar>
              <w:top w:w="60" w:type="dxa"/>
              <w:left w:w="100" w:type="dxa"/>
              <w:bottom w:w="60" w:type="dxa"/>
              <w:right w:w="100" w:type="dxa"/>
            </w:tcMar>
            <w:vAlign w:val="center"/>
          </w:tcPr>
          <w:p w:rsidR="00B72C53" w:rsidRDefault="00A61A1E">
            <w:pPr>
              <w:jc w:val="center"/>
            </w:pPr>
            <w:r>
              <w:rPr>
                <w:b/>
                <w:bCs/>
                <w:color w:val="FFFFFF"/>
                <w:sz w:val="19"/>
                <w:szCs w:val="19"/>
              </w:rPr>
              <w:t>Valor simulado actual</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Tarifa</w:t>
            </w:r>
          </w:p>
        </w:tc>
        <w:tc>
          <w:tcPr>
            <w:tcW w:w="4200" w:type="dxa"/>
            <w:tcMar>
              <w:top w:w="60" w:type="dxa"/>
              <w:left w:w="100" w:type="dxa"/>
              <w:bottom w:w="60" w:type="dxa"/>
              <w:right w:w="100" w:type="dxa"/>
            </w:tcMar>
            <w:vAlign w:val="center"/>
          </w:tcPr>
          <w:p w:rsidR="00B72C53" w:rsidRDefault="00A61A1E">
            <w:r>
              <w:rPr>
                <w:sz w:val="19"/>
                <w:szCs w:val="19"/>
              </w:rPr>
              <w:t>Prémio base por plano</w:t>
            </w:r>
          </w:p>
        </w:tc>
        <w:tc>
          <w:tcPr>
            <w:tcW w:w="3900" w:type="dxa"/>
            <w:tcMar>
              <w:top w:w="60" w:type="dxa"/>
              <w:left w:w="100" w:type="dxa"/>
              <w:bottom w:w="60" w:type="dxa"/>
              <w:right w:w="100" w:type="dxa"/>
            </w:tcMar>
            <w:vAlign w:val="center"/>
          </w:tcPr>
          <w:p w:rsidR="00B72C53" w:rsidRDefault="00A61A1E">
            <w:r>
              <w:rPr>
                <w:sz w:val="19"/>
                <w:szCs w:val="19"/>
              </w:rPr>
              <w:t>360k / 660k / 1,05M / 1,74M AOA</w:t>
            </w:r>
          </w:p>
        </w:tc>
      </w:tr>
      <w:tr w:rsidR="00B72C53">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t>Demografia</w:t>
            </w:r>
          </w:p>
        </w:tc>
        <w:tc>
          <w:tcPr>
            <w:tcW w:w="4200" w:type="dxa"/>
            <w:shd w:val="clear" w:color="auto" w:fill="F2F2F2"/>
            <w:tcMar>
              <w:top w:w="60" w:type="dxa"/>
              <w:left w:w="100" w:type="dxa"/>
              <w:bottom w:w="60" w:type="dxa"/>
              <w:right w:w="100" w:type="dxa"/>
            </w:tcMar>
            <w:vAlign w:val="center"/>
          </w:tcPr>
          <w:p w:rsidR="00B72C53" w:rsidRDefault="00A61A1E">
            <w:r>
              <w:rPr>
                <w:sz w:val="19"/>
                <w:szCs w:val="19"/>
              </w:rPr>
              <w:t>Bandas etárias</w:t>
            </w:r>
          </w:p>
        </w:tc>
        <w:tc>
          <w:tcPr>
            <w:tcW w:w="3900" w:type="dxa"/>
            <w:shd w:val="clear" w:color="auto" w:fill="F2F2F2"/>
            <w:tcMar>
              <w:top w:w="60" w:type="dxa"/>
              <w:left w:w="100" w:type="dxa"/>
              <w:bottom w:w="60" w:type="dxa"/>
              <w:right w:w="100" w:type="dxa"/>
            </w:tcMar>
            <w:vAlign w:val="center"/>
          </w:tcPr>
          <w:p w:rsidR="00B72C53" w:rsidRDefault="00A61A1E">
            <w:r>
              <w:rPr>
                <w:sz w:val="19"/>
                <w:szCs w:val="19"/>
              </w:rPr>
              <w:t>0–5 até 70+ (10 bandas)</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Demografia</w:t>
            </w:r>
          </w:p>
        </w:tc>
        <w:tc>
          <w:tcPr>
            <w:tcW w:w="4200" w:type="dxa"/>
            <w:tcMar>
              <w:top w:w="60" w:type="dxa"/>
              <w:left w:w="100" w:type="dxa"/>
              <w:bottom w:w="60" w:type="dxa"/>
              <w:right w:w="100" w:type="dxa"/>
            </w:tcMar>
            <w:vAlign w:val="center"/>
          </w:tcPr>
          <w:p w:rsidR="00B72C53" w:rsidRDefault="00A61A1E">
            <w:r>
              <w:rPr>
                <w:sz w:val="19"/>
                <w:szCs w:val="19"/>
              </w:rPr>
              <w:t>Factores etários</w:t>
            </w:r>
          </w:p>
        </w:tc>
        <w:tc>
          <w:tcPr>
            <w:tcW w:w="3900" w:type="dxa"/>
            <w:tcMar>
              <w:top w:w="60" w:type="dxa"/>
              <w:left w:w="100" w:type="dxa"/>
              <w:bottom w:w="60" w:type="dxa"/>
              <w:right w:w="100" w:type="dxa"/>
            </w:tcMar>
            <w:vAlign w:val="center"/>
          </w:tcPr>
          <w:p w:rsidR="00B72C53" w:rsidRDefault="00A61A1E">
            <w:r>
              <w:rPr>
                <w:sz w:val="19"/>
                <w:szCs w:val="19"/>
              </w:rPr>
              <w:t>0,62 – 3,80</w:t>
            </w:r>
          </w:p>
        </w:tc>
      </w:tr>
      <w:tr w:rsidR="00B72C53">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t>Família</w:t>
            </w:r>
          </w:p>
        </w:tc>
        <w:tc>
          <w:tcPr>
            <w:tcW w:w="4200" w:type="dxa"/>
            <w:shd w:val="clear" w:color="auto" w:fill="F2F2F2"/>
            <w:tcMar>
              <w:top w:w="60" w:type="dxa"/>
              <w:left w:w="100" w:type="dxa"/>
              <w:bottom w:w="60" w:type="dxa"/>
              <w:right w:w="100" w:type="dxa"/>
            </w:tcMar>
            <w:vAlign w:val="center"/>
          </w:tcPr>
          <w:p w:rsidR="00B72C53" w:rsidRDefault="00A61A1E">
            <w:r>
              <w:rPr>
                <w:sz w:val="19"/>
                <w:szCs w:val="19"/>
              </w:rPr>
              <w:t>Factor titular/adulto/filho</w:t>
            </w:r>
          </w:p>
        </w:tc>
        <w:tc>
          <w:tcPr>
            <w:tcW w:w="3900" w:type="dxa"/>
            <w:shd w:val="clear" w:color="auto" w:fill="F2F2F2"/>
            <w:tcMar>
              <w:top w:w="60" w:type="dxa"/>
              <w:left w:w="100" w:type="dxa"/>
              <w:bottom w:w="60" w:type="dxa"/>
              <w:right w:w="100" w:type="dxa"/>
            </w:tcMar>
            <w:vAlign w:val="center"/>
          </w:tcPr>
          <w:p w:rsidR="00B72C53" w:rsidRDefault="00A61A1E">
            <w:r>
              <w:rPr>
                <w:sz w:val="19"/>
                <w:szCs w:val="19"/>
              </w:rPr>
              <w:t>1,00 / 0,95 / 0,55–0,70</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Grupo</w:t>
            </w:r>
          </w:p>
        </w:tc>
        <w:tc>
          <w:tcPr>
            <w:tcW w:w="4200" w:type="dxa"/>
            <w:tcMar>
              <w:top w:w="60" w:type="dxa"/>
              <w:left w:w="100" w:type="dxa"/>
              <w:bottom w:w="60" w:type="dxa"/>
              <w:right w:w="100" w:type="dxa"/>
            </w:tcMar>
            <w:vAlign w:val="center"/>
          </w:tcPr>
          <w:p w:rsidR="00B72C53" w:rsidRDefault="00A61A1E">
            <w:r>
              <w:rPr>
                <w:sz w:val="19"/>
                <w:szCs w:val="19"/>
              </w:rPr>
              <w:t>Factores por dimensão</w:t>
            </w:r>
          </w:p>
        </w:tc>
        <w:tc>
          <w:tcPr>
            <w:tcW w:w="3900" w:type="dxa"/>
            <w:tcMar>
              <w:top w:w="60" w:type="dxa"/>
              <w:left w:w="100" w:type="dxa"/>
              <w:bottom w:w="60" w:type="dxa"/>
              <w:right w:w="100" w:type="dxa"/>
            </w:tcMar>
            <w:vAlign w:val="center"/>
          </w:tcPr>
          <w:p w:rsidR="00B72C53" w:rsidRDefault="00A61A1E">
            <w:r>
              <w:rPr>
                <w:sz w:val="19"/>
                <w:szCs w:val="19"/>
              </w:rPr>
              <w:t>1,15 a 0,90</w:t>
            </w:r>
          </w:p>
        </w:tc>
      </w:tr>
      <w:tr w:rsidR="00B72C53">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lastRenderedPageBreak/>
              <w:t>Geografia</w:t>
            </w:r>
          </w:p>
        </w:tc>
        <w:tc>
          <w:tcPr>
            <w:tcW w:w="4200" w:type="dxa"/>
            <w:shd w:val="clear" w:color="auto" w:fill="F2F2F2"/>
            <w:tcMar>
              <w:top w:w="60" w:type="dxa"/>
              <w:left w:w="100" w:type="dxa"/>
              <w:bottom w:w="60" w:type="dxa"/>
              <w:right w:w="100" w:type="dxa"/>
            </w:tcMar>
            <w:vAlign w:val="center"/>
          </w:tcPr>
          <w:p w:rsidR="00B72C53" w:rsidRDefault="00A61A1E">
            <w:r>
              <w:rPr>
                <w:sz w:val="19"/>
                <w:szCs w:val="19"/>
              </w:rPr>
              <w:t>Factor África Austral / internacional</w:t>
            </w:r>
          </w:p>
        </w:tc>
        <w:tc>
          <w:tcPr>
            <w:tcW w:w="3900" w:type="dxa"/>
            <w:shd w:val="clear" w:color="auto" w:fill="F2F2F2"/>
            <w:tcMar>
              <w:top w:w="60" w:type="dxa"/>
              <w:left w:w="100" w:type="dxa"/>
              <w:bottom w:w="60" w:type="dxa"/>
              <w:right w:w="100" w:type="dxa"/>
            </w:tcMar>
            <w:vAlign w:val="center"/>
          </w:tcPr>
          <w:p w:rsidR="00B72C53" w:rsidRDefault="00A61A1E">
            <w:r>
              <w:rPr>
                <w:sz w:val="19"/>
                <w:szCs w:val="19"/>
              </w:rPr>
              <w:t>1,35 / 1,70 / 2,20</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Experiência</w:t>
            </w:r>
          </w:p>
        </w:tc>
        <w:tc>
          <w:tcPr>
            <w:tcW w:w="4200" w:type="dxa"/>
            <w:tcMar>
              <w:top w:w="60" w:type="dxa"/>
              <w:left w:w="100" w:type="dxa"/>
              <w:bottom w:w="60" w:type="dxa"/>
              <w:right w:w="100" w:type="dxa"/>
            </w:tcMar>
            <w:vAlign w:val="center"/>
          </w:tcPr>
          <w:p w:rsidR="00B72C53" w:rsidRDefault="00A61A1E">
            <w:r>
              <w:rPr>
                <w:sz w:val="19"/>
                <w:szCs w:val="19"/>
              </w:rPr>
              <w:t>Bandas de loss ratio</w:t>
            </w:r>
          </w:p>
        </w:tc>
        <w:tc>
          <w:tcPr>
            <w:tcW w:w="3900" w:type="dxa"/>
            <w:tcMar>
              <w:top w:w="60" w:type="dxa"/>
              <w:left w:w="100" w:type="dxa"/>
              <w:bottom w:w="60" w:type="dxa"/>
              <w:right w:w="100" w:type="dxa"/>
            </w:tcMar>
            <w:vAlign w:val="center"/>
          </w:tcPr>
          <w:p w:rsidR="00B72C53" w:rsidRDefault="00A61A1E">
            <w:r>
              <w:rPr>
                <w:sz w:val="19"/>
                <w:szCs w:val="19"/>
              </w:rPr>
              <w:t>0,92 a 1,35</w:t>
            </w:r>
          </w:p>
        </w:tc>
      </w:tr>
      <w:tr w:rsidR="00B72C53">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t>Underwriting</w:t>
            </w:r>
          </w:p>
        </w:tc>
        <w:tc>
          <w:tcPr>
            <w:tcW w:w="4200" w:type="dxa"/>
            <w:shd w:val="clear" w:color="auto" w:fill="F2F2F2"/>
            <w:tcMar>
              <w:top w:w="60" w:type="dxa"/>
              <w:left w:w="100" w:type="dxa"/>
              <w:bottom w:w="60" w:type="dxa"/>
              <w:right w:w="100" w:type="dxa"/>
            </w:tcMar>
            <w:vAlign w:val="center"/>
          </w:tcPr>
          <w:p w:rsidR="00B72C53" w:rsidRDefault="00A61A1E">
            <w:r>
              <w:rPr>
                <w:sz w:val="19"/>
                <w:szCs w:val="19"/>
              </w:rPr>
              <w:t>Factor médico</w:t>
            </w:r>
          </w:p>
        </w:tc>
        <w:tc>
          <w:tcPr>
            <w:tcW w:w="3900" w:type="dxa"/>
            <w:shd w:val="clear" w:color="auto" w:fill="F2F2F2"/>
            <w:tcMar>
              <w:top w:w="60" w:type="dxa"/>
              <w:left w:w="100" w:type="dxa"/>
              <w:bottom w:w="60" w:type="dxa"/>
              <w:right w:w="100" w:type="dxa"/>
            </w:tcMar>
            <w:vAlign w:val="center"/>
          </w:tcPr>
          <w:p w:rsidR="00B72C53" w:rsidRDefault="00A61A1E">
            <w:r>
              <w:rPr>
                <w:sz w:val="19"/>
                <w:szCs w:val="19"/>
              </w:rPr>
              <w:t>1,00 por omissão</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Loadings</w:t>
            </w:r>
          </w:p>
        </w:tc>
        <w:tc>
          <w:tcPr>
            <w:tcW w:w="42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Administração/TPA, comissão, margem, capital, resseguro, margem técnica</w:t>
            </w:r>
          </w:p>
        </w:tc>
        <w:tc>
          <w:tcPr>
            <w:tcW w:w="3900" w:type="dxa"/>
            <w:tcMar>
              <w:top w:w="60" w:type="dxa"/>
              <w:left w:w="100" w:type="dxa"/>
              <w:bottom w:w="60" w:type="dxa"/>
              <w:right w:w="100" w:type="dxa"/>
            </w:tcMar>
            <w:vAlign w:val="center"/>
          </w:tcPr>
          <w:p w:rsidR="00B72C53" w:rsidRDefault="00A61A1E">
            <w:r>
              <w:rPr>
                <w:sz w:val="19"/>
                <w:szCs w:val="19"/>
              </w:rPr>
              <w:t>8% / 10% / 7% / 4% / 3% / 5%</w:t>
            </w:r>
          </w:p>
        </w:tc>
      </w:tr>
      <w:tr w:rsidR="00B72C53">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t>Inflação</w:t>
            </w:r>
          </w:p>
        </w:tc>
        <w:tc>
          <w:tcPr>
            <w:tcW w:w="4200" w:type="dxa"/>
            <w:shd w:val="clear" w:color="auto" w:fill="F2F2F2"/>
            <w:tcMar>
              <w:top w:w="60" w:type="dxa"/>
              <w:left w:w="100" w:type="dxa"/>
              <w:bottom w:w="60" w:type="dxa"/>
              <w:right w:w="100" w:type="dxa"/>
            </w:tcMar>
            <w:vAlign w:val="center"/>
          </w:tcPr>
          <w:p w:rsidR="00B72C53" w:rsidRDefault="00A61A1E">
            <w:r>
              <w:rPr>
                <w:sz w:val="19"/>
                <w:szCs w:val="19"/>
              </w:rPr>
              <w:t>Tendência médica</w:t>
            </w:r>
          </w:p>
        </w:tc>
        <w:tc>
          <w:tcPr>
            <w:tcW w:w="3900" w:type="dxa"/>
            <w:shd w:val="clear" w:color="auto" w:fill="F2F2F2"/>
            <w:tcMar>
              <w:top w:w="60" w:type="dxa"/>
              <w:left w:w="100" w:type="dxa"/>
              <w:bottom w:w="60" w:type="dxa"/>
              <w:right w:w="100" w:type="dxa"/>
            </w:tcMar>
            <w:vAlign w:val="center"/>
          </w:tcPr>
          <w:p w:rsidR="00B72C53" w:rsidRDefault="00A61A1E">
            <w:r>
              <w:rPr>
                <w:sz w:val="19"/>
                <w:szCs w:val="19"/>
              </w:rPr>
              <w:t>Não incorporada automaticamente</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Credibilidade</w:t>
            </w:r>
          </w:p>
        </w:tc>
        <w:tc>
          <w:tcPr>
            <w:tcW w:w="4200" w:type="dxa"/>
            <w:tcMar>
              <w:top w:w="60" w:type="dxa"/>
              <w:left w:w="100" w:type="dxa"/>
              <w:bottom w:w="60" w:type="dxa"/>
              <w:right w:w="100" w:type="dxa"/>
            </w:tcMar>
            <w:vAlign w:val="center"/>
          </w:tcPr>
          <w:p w:rsidR="00B72C53" w:rsidRDefault="00A61A1E">
            <w:r>
              <w:rPr>
                <w:sz w:val="19"/>
                <w:szCs w:val="19"/>
              </w:rPr>
              <w:t>Método (Bühlmann / flutuação limitada)</w:t>
            </w:r>
          </w:p>
        </w:tc>
        <w:tc>
          <w:tcPr>
            <w:tcW w:w="3900" w:type="dxa"/>
            <w:tcMar>
              <w:top w:w="60" w:type="dxa"/>
              <w:left w:w="100" w:type="dxa"/>
              <w:bottom w:w="60" w:type="dxa"/>
              <w:right w:w="100" w:type="dxa"/>
            </w:tcMar>
            <w:vAlign w:val="center"/>
          </w:tcPr>
          <w:p w:rsidR="00B72C53" w:rsidRDefault="00A61A1E">
            <w:r>
              <w:rPr>
                <w:sz w:val="19"/>
                <w:szCs w:val="19"/>
              </w:rPr>
              <w:t>Não definido</w:t>
            </w:r>
          </w:p>
        </w:tc>
      </w:tr>
      <w:tr w:rsidR="00B72C53">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t>Grandes sinistros</w:t>
            </w:r>
          </w:p>
        </w:tc>
        <w:tc>
          <w:tcPr>
            <w:tcW w:w="4200" w:type="dxa"/>
            <w:shd w:val="clear" w:color="auto" w:fill="F2F2F2"/>
            <w:tcMar>
              <w:top w:w="60" w:type="dxa"/>
              <w:left w:w="100" w:type="dxa"/>
              <w:bottom w:w="60" w:type="dxa"/>
              <w:right w:w="100" w:type="dxa"/>
            </w:tcMar>
            <w:vAlign w:val="center"/>
          </w:tcPr>
          <w:p w:rsidR="00B72C53" w:rsidRDefault="00A61A1E">
            <w:r>
              <w:rPr>
                <w:sz w:val="19"/>
                <w:szCs w:val="19"/>
              </w:rPr>
              <w:t>Threshold / capping</w:t>
            </w:r>
          </w:p>
        </w:tc>
        <w:tc>
          <w:tcPr>
            <w:tcW w:w="3900" w:type="dxa"/>
            <w:shd w:val="clear" w:color="auto" w:fill="F2F2F2"/>
            <w:tcMar>
              <w:top w:w="60" w:type="dxa"/>
              <w:left w:w="100" w:type="dxa"/>
              <w:bottom w:w="60" w:type="dxa"/>
              <w:right w:w="100" w:type="dxa"/>
            </w:tcMar>
            <w:vAlign w:val="center"/>
          </w:tcPr>
          <w:p w:rsidR="00B72C53" w:rsidRDefault="00A61A1E">
            <w:r>
              <w:rPr>
                <w:sz w:val="19"/>
                <w:szCs w:val="19"/>
              </w:rPr>
              <w:t>Não definido</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Maternidade</w:t>
            </w:r>
          </w:p>
        </w:tc>
        <w:tc>
          <w:tcPr>
            <w:tcW w:w="4200" w:type="dxa"/>
            <w:tcMar>
              <w:top w:w="60" w:type="dxa"/>
              <w:left w:w="100" w:type="dxa"/>
              <w:bottom w:w="60" w:type="dxa"/>
              <w:right w:w="100" w:type="dxa"/>
            </w:tcMar>
            <w:vAlign w:val="center"/>
          </w:tcPr>
          <w:p w:rsidR="00B72C53" w:rsidRDefault="00A61A1E">
            <w:r>
              <w:rPr>
                <w:sz w:val="19"/>
                <w:szCs w:val="19"/>
              </w:rPr>
              <w:t>Carência / sub-limite</w:t>
            </w:r>
          </w:p>
        </w:tc>
        <w:tc>
          <w:tcPr>
            <w:tcW w:w="3900" w:type="dxa"/>
            <w:tcMar>
              <w:top w:w="60" w:type="dxa"/>
              <w:left w:w="100" w:type="dxa"/>
              <w:bottom w:w="60" w:type="dxa"/>
              <w:right w:w="100" w:type="dxa"/>
            </w:tcMar>
            <w:vAlign w:val="center"/>
          </w:tcPr>
          <w:p w:rsidR="00B72C53" w:rsidRDefault="00A61A1E">
            <w:r>
              <w:rPr>
                <w:sz w:val="19"/>
                <w:szCs w:val="19"/>
              </w:rPr>
              <w:t>Dependente do plano</w:t>
            </w:r>
          </w:p>
        </w:tc>
      </w:tr>
      <w:tr w:rsidR="00B72C53">
        <w:tblPrEx>
          <w:tblCellMar>
            <w:top w:w="0" w:type="dxa"/>
            <w:bottom w:w="0" w:type="dxa"/>
          </w:tblCellMar>
        </w:tblPrEx>
        <w:tc>
          <w:tcPr>
            <w:tcW w:w="1600" w:type="dxa"/>
            <w:shd w:val="clear" w:color="auto" w:fill="F2F2F2"/>
            <w:tcMar>
              <w:top w:w="60" w:type="dxa"/>
              <w:left w:w="100" w:type="dxa"/>
              <w:bottom w:w="60" w:type="dxa"/>
              <w:right w:w="100" w:type="dxa"/>
            </w:tcMar>
            <w:vAlign w:val="center"/>
          </w:tcPr>
          <w:p w:rsidR="00B72C53" w:rsidRDefault="00A61A1E">
            <w:r>
              <w:rPr>
                <w:sz w:val="19"/>
                <w:szCs w:val="19"/>
              </w:rPr>
              <w:t>Crónicos</w:t>
            </w:r>
          </w:p>
        </w:tc>
        <w:tc>
          <w:tcPr>
            <w:tcW w:w="4200" w:type="dxa"/>
            <w:shd w:val="clear" w:color="auto" w:fill="F2F2F2"/>
            <w:tcMar>
              <w:top w:w="60" w:type="dxa"/>
              <w:left w:w="100" w:type="dxa"/>
              <w:bottom w:w="60" w:type="dxa"/>
              <w:right w:w="100" w:type="dxa"/>
            </w:tcMar>
            <w:vAlign w:val="center"/>
          </w:tcPr>
          <w:p w:rsidR="00B72C53" w:rsidRDefault="00A61A1E">
            <w:r>
              <w:rPr>
                <w:sz w:val="19"/>
                <w:szCs w:val="19"/>
              </w:rPr>
              <w:t>Gestão / carregamento</w:t>
            </w:r>
          </w:p>
        </w:tc>
        <w:tc>
          <w:tcPr>
            <w:tcW w:w="3900" w:type="dxa"/>
            <w:shd w:val="clear" w:color="auto" w:fill="F2F2F2"/>
            <w:tcMar>
              <w:top w:w="60" w:type="dxa"/>
              <w:left w:w="100" w:type="dxa"/>
              <w:bottom w:w="60" w:type="dxa"/>
              <w:right w:w="100" w:type="dxa"/>
            </w:tcMar>
            <w:vAlign w:val="center"/>
          </w:tcPr>
          <w:p w:rsidR="00B72C53" w:rsidRDefault="00A61A1E">
            <w:r>
              <w:rPr>
                <w:sz w:val="19"/>
                <w:szCs w:val="19"/>
              </w:rPr>
              <w:t>Não definido</w:t>
            </w:r>
          </w:p>
        </w:tc>
      </w:tr>
      <w:tr w:rsidR="00B72C53">
        <w:tblPrEx>
          <w:tblCellMar>
            <w:top w:w="0" w:type="dxa"/>
            <w:bottom w:w="0" w:type="dxa"/>
          </w:tblCellMar>
        </w:tblPrEx>
        <w:tc>
          <w:tcPr>
            <w:tcW w:w="1600" w:type="dxa"/>
            <w:tcMar>
              <w:top w:w="60" w:type="dxa"/>
              <w:left w:w="100" w:type="dxa"/>
              <w:bottom w:w="60" w:type="dxa"/>
              <w:right w:w="100" w:type="dxa"/>
            </w:tcMar>
            <w:vAlign w:val="center"/>
          </w:tcPr>
          <w:p w:rsidR="00B72C53" w:rsidRDefault="00A61A1E">
            <w:r>
              <w:rPr>
                <w:sz w:val="19"/>
                <w:szCs w:val="19"/>
              </w:rPr>
              <w:t>Validade</w:t>
            </w:r>
          </w:p>
        </w:tc>
        <w:tc>
          <w:tcPr>
            <w:tcW w:w="4200" w:type="dxa"/>
            <w:tcMar>
              <w:top w:w="60" w:type="dxa"/>
              <w:left w:w="100" w:type="dxa"/>
              <w:bottom w:w="60" w:type="dxa"/>
              <w:right w:w="100" w:type="dxa"/>
            </w:tcMar>
            <w:vAlign w:val="center"/>
          </w:tcPr>
          <w:p w:rsidR="00B72C53" w:rsidRPr="00F80D02" w:rsidRDefault="00A61A1E">
            <w:pPr>
              <w:rPr>
                <w:lang w:val="pt-PT"/>
              </w:rPr>
            </w:pPr>
            <w:r w:rsidRPr="00F80D02">
              <w:rPr>
                <w:sz w:val="19"/>
                <w:szCs w:val="19"/>
                <w:lang w:val="pt-PT"/>
              </w:rPr>
              <w:t>Período da tarifa (effective_from/to)</w:t>
            </w:r>
          </w:p>
        </w:tc>
        <w:tc>
          <w:tcPr>
            <w:tcW w:w="3900" w:type="dxa"/>
            <w:tcMar>
              <w:top w:w="60" w:type="dxa"/>
              <w:left w:w="100" w:type="dxa"/>
              <w:bottom w:w="60" w:type="dxa"/>
              <w:right w:w="100" w:type="dxa"/>
            </w:tcMar>
            <w:vAlign w:val="center"/>
          </w:tcPr>
          <w:p w:rsidR="00B72C53" w:rsidRDefault="00A61A1E">
            <w:r>
              <w:rPr>
                <w:sz w:val="19"/>
                <w:szCs w:val="19"/>
              </w:rPr>
              <w:t>A definir</w:t>
            </w:r>
          </w:p>
        </w:tc>
      </w:tr>
    </w:tbl>
    <w:p w:rsidR="00B72C53" w:rsidRDefault="00B72C53">
      <w:pPr>
        <w:spacing w:after="120"/>
      </w:pPr>
    </w:p>
    <w:p w:rsidR="00B72C53" w:rsidRPr="00F80D02" w:rsidRDefault="00A61A1E">
      <w:pPr>
        <w:pBdr>
          <w:left w:val="single" w:sz="24" w:space="8" w:color="2E74B5"/>
        </w:pBdr>
        <w:shd w:val="clear" w:color="auto" w:fill="F2F2F2"/>
        <w:spacing w:before="80" w:after="200"/>
        <w:ind w:left="100"/>
        <w:rPr>
          <w:lang w:val="pt-PT"/>
        </w:rPr>
      </w:pPr>
      <w:r w:rsidRPr="00F80D02">
        <w:rPr>
          <w:i/>
          <w:iCs/>
          <w:color w:val="404040"/>
          <w:sz w:val="20"/>
          <w:szCs w:val="20"/>
          <w:lang w:val="pt-PT"/>
        </w:rPr>
        <w:t>Este manual deve ser tratado como documento vivo. Cada vez que um dos pontos da tabela 9.4 for decidido pelo actuário, o manual e o ficheiro de referência devem ser actualizados em conjunto, e a nova versão submetida ao processo de aprovação descrito na Se</w:t>
      </w:r>
      <w:r w:rsidRPr="00F80D02">
        <w:rPr>
          <w:i/>
          <w:iCs/>
          <w:color w:val="404040"/>
          <w:sz w:val="20"/>
          <w:szCs w:val="20"/>
          <w:lang w:val="pt-PT"/>
        </w:rPr>
        <w:t>cção 8.3.</w:t>
      </w:r>
    </w:p>
    <w:sectPr w:rsidR="00B72C53" w:rsidRPr="00F80D02">
      <w:headerReference w:type="default" r:id="rId7"/>
      <w:footerReference w:type="default" r:id="rId8"/>
      <w:pgSz w:w="11906" w:h="16838"/>
      <w:pgMar w:top="13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1A1E" w:rsidRDefault="00A61A1E">
      <w:r>
        <w:separator/>
      </w:r>
    </w:p>
  </w:endnote>
  <w:endnote w:type="continuationSeparator" w:id="0">
    <w:p w:rsidR="00A61A1E" w:rsidRDefault="00A6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2C53" w:rsidRDefault="00A61A1E">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sidR="00F80D02">
      <w:rPr>
        <w:color w:val="808080"/>
        <w:sz w:val="16"/>
        <w:szCs w:val="16"/>
      </w:rPr>
      <w:fldChar w:fldCharType="separate"/>
    </w:r>
    <w:r w:rsidR="00F80D02">
      <w:rPr>
        <w:noProof/>
        <w:color w:val="808080"/>
        <w:sz w:val="16"/>
        <w:szCs w:val="16"/>
      </w:rPr>
      <w:t>4</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sidR="00F80D02">
      <w:rPr>
        <w:color w:val="808080"/>
        <w:sz w:val="16"/>
        <w:szCs w:val="16"/>
      </w:rPr>
      <w:fldChar w:fldCharType="separate"/>
    </w:r>
    <w:r w:rsidR="00F80D02">
      <w:rPr>
        <w:noProof/>
        <w:color w:val="808080"/>
        <w:sz w:val="16"/>
        <w:szCs w:val="16"/>
      </w:rPr>
      <w:t>21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1A1E" w:rsidRDefault="00A61A1E">
      <w:r>
        <w:separator/>
      </w:r>
    </w:p>
  </w:footnote>
  <w:footnote w:type="continuationSeparator" w:id="0">
    <w:p w:rsidR="00A61A1E" w:rsidRDefault="00A61A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2C53" w:rsidRPr="00F80D02" w:rsidRDefault="00A61A1E">
    <w:pPr>
      <w:pBdr>
        <w:bottom w:val="single" w:sz="4" w:space="4" w:color="BFBFBF"/>
      </w:pBdr>
      <w:tabs>
        <w:tab w:val="right" w:pos="9026"/>
      </w:tabs>
      <w:rPr>
        <w:lang w:val="pt-PT"/>
      </w:rPr>
    </w:pPr>
    <w:r w:rsidRPr="00F80D02">
      <w:rPr>
        <w:color w:val="808080"/>
        <w:sz w:val="16"/>
        <w:szCs w:val="16"/>
        <w:lang w:val="pt-PT"/>
      </w:rPr>
      <w:t>Manual Técnico-Operacional — Tarifa de Seguro de Saúde (Q360)</w:t>
    </w:r>
    <w:r w:rsidRPr="00F80D02">
      <w:rPr>
        <w:color w:val="808080"/>
        <w:sz w:val="16"/>
        <w:szCs w:val="16"/>
        <w:lang w:val="pt-PT"/>
      </w:rPr>
      <w:tab/>
      <w:t>Versão 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CB6D75"/>
    <w:multiLevelType w:val="hybridMultilevel"/>
    <w:tmpl w:val="01B27EFE"/>
    <w:lvl w:ilvl="0" w:tplc="5846F284">
      <w:start w:val="1"/>
      <w:numFmt w:val="bullet"/>
      <w:lvlText w:val="•"/>
      <w:lvlJc w:val="left"/>
      <w:pPr>
        <w:ind w:left="504" w:hanging="288"/>
      </w:pPr>
    </w:lvl>
    <w:lvl w:ilvl="1" w:tplc="3F9C9686">
      <w:start w:val="1"/>
      <w:numFmt w:val="bullet"/>
      <w:lvlText w:val="◦"/>
      <w:lvlJc w:val="left"/>
      <w:pPr>
        <w:ind w:left="1008" w:hanging="288"/>
      </w:pPr>
    </w:lvl>
    <w:lvl w:ilvl="2" w:tplc="147C5BA4">
      <w:numFmt w:val="decimal"/>
      <w:lvlText w:val=""/>
      <w:lvlJc w:val="left"/>
    </w:lvl>
    <w:lvl w:ilvl="3" w:tplc="F5402E3E">
      <w:numFmt w:val="decimal"/>
      <w:lvlText w:val=""/>
      <w:lvlJc w:val="left"/>
    </w:lvl>
    <w:lvl w:ilvl="4" w:tplc="65DE7364">
      <w:numFmt w:val="decimal"/>
      <w:lvlText w:val=""/>
      <w:lvlJc w:val="left"/>
    </w:lvl>
    <w:lvl w:ilvl="5" w:tplc="2BE08AFC">
      <w:numFmt w:val="decimal"/>
      <w:lvlText w:val=""/>
      <w:lvlJc w:val="left"/>
    </w:lvl>
    <w:lvl w:ilvl="6" w:tplc="91C4B5BA">
      <w:numFmt w:val="decimal"/>
      <w:lvlText w:val=""/>
      <w:lvlJc w:val="left"/>
    </w:lvl>
    <w:lvl w:ilvl="7" w:tplc="1F06AC68">
      <w:numFmt w:val="decimal"/>
      <w:lvlText w:val=""/>
      <w:lvlJc w:val="left"/>
    </w:lvl>
    <w:lvl w:ilvl="8" w:tplc="B5FCF30C">
      <w:numFmt w:val="decimal"/>
      <w:lvlText w:val=""/>
      <w:lvlJc w:val="left"/>
    </w:lvl>
  </w:abstractNum>
  <w:abstractNum w:abstractNumId="1" w15:restartNumberingAfterBreak="0">
    <w:nsid w:val="70A52B02"/>
    <w:multiLevelType w:val="hybridMultilevel"/>
    <w:tmpl w:val="6E066356"/>
    <w:lvl w:ilvl="0" w:tplc="45FE70A8">
      <w:start w:val="1"/>
      <w:numFmt w:val="bullet"/>
      <w:lvlText w:val="●"/>
      <w:lvlJc w:val="left"/>
      <w:pPr>
        <w:ind w:left="720" w:hanging="360"/>
      </w:pPr>
    </w:lvl>
    <w:lvl w:ilvl="1" w:tplc="56F8CF5C">
      <w:start w:val="1"/>
      <w:numFmt w:val="bullet"/>
      <w:lvlText w:val="○"/>
      <w:lvlJc w:val="left"/>
      <w:pPr>
        <w:ind w:left="1440" w:hanging="360"/>
      </w:pPr>
    </w:lvl>
    <w:lvl w:ilvl="2" w:tplc="B420E310">
      <w:start w:val="1"/>
      <w:numFmt w:val="bullet"/>
      <w:lvlText w:val="■"/>
      <w:lvlJc w:val="left"/>
      <w:pPr>
        <w:ind w:left="2160" w:hanging="360"/>
      </w:pPr>
    </w:lvl>
    <w:lvl w:ilvl="3" w:tplc="602AB64A">
      <w:start w:val="1"/>
      <w:numFmt w:val="bullet"/>
      <w:lvlText w:val="●"/>
      <w:lvlJc w:val="left"/>
      <w:pPr>
        <w:ind w:left="2880" w:hanging="360"/>
      </w:pPr>
    </w:lvl>
    <w:lvl w:ilvl="4" w:tplc="E2B85F8C">
      <w:start w:val="1"/>
      <w:numFmt w:val="bullet"/>
      <w:lvlText w:val="○"/>
      <w:lvlJc w:val="left"/>
      <w:pPr>
        <w:ind w:left="3600" w:hanging="360"/>
      </w:pPr>
    </w:lvl>
    <w:lvl w:ilvl="5" w:tplc="F3AEDF5A">
      <w:start w:val="1"/>
      <w:numFmt w:val="bullet"/>
      <w:lvlText w:val="■"/>
      <w:lvlJc w:val="left"/>
      <w:pPr>
        <w:ind w:left="4320" w:hanging="360"/>
      </w:pPr>
    </w:lvl>
    <w:lvl w:ilvl="6" w:tplc="450649C4">
      <w:start w:val="1"/>
      <w:numFmt w:val="bullet"/>
      <w:lvlText w:val="●"/>
      <w:lvlJc w:val="left"/>
      <w:pPr>
        <w:ind w:left="5040" w:hanging="360"/>
      </w:pPr>
    </w:lvl>
    <w:lvl w:ilvl="7" w:tplc="31561596">
      <w:start w:val="1"/>
      <w:numFmt w:val="bullet"/>
      <w:lvlText w:val="●"/>
      <w:lvlJc w:val="left"/>
      <w:pPr>
        <w:ind w:left="5760" w:hanging="360"/>
      </w:pPr>
    </w:lvl>
    <w:lvl w:ilvl="8" w:tplc="736A2CF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C53"/>
    <w:rsid w:val="00A61A1E"/>
    <w:rsid w:val="00B72C53"/>
    <w:rsid w:val="00F8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239283-B2E4-4EDF-B9FD-0204B2149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Cabealho1">
    <w:name w:val="heading 1"/>
    <w:qFormat/>
    <w:pPr>
      <w:outlineLvl w:val="0"/>
    </w:pPr>
    <w:rPr>
      <w:color w:val="2E74B5"/>
      <w:sz w:val="32"/>
      <w:szCs w:val="32"/>
    </w:rPr>
  </w:style>
  <w:style w:type="paragraph" w:styleId="Cabealho2">
    <w:name w:val="heading 2"/>
    <w:qFormat/>
    <w:pPr>
      <w:outlineLvl w:val="1"/>
    </w:pPr>
    <w:rPr>
      <w:color w:val="2E74B5"/>
      <w:sz w:val="26"/>
      <w:szCs w:val="26"/>
    </w:rPr>
  </w:style>
  <w:style w:type="paragraph" w:styleId="Cabealho3">
    <w:name w:val="heading 3"/>
    <w:qFormat/>
    <w:pPr>
      <w:outlineLvl w:val="2"/>
    </w:pPr>
    <w:rPr>
      <w:color w:val="1F4D78"/>
      <w:sz w:val="24"/>
      <w:szCs w:val="24"/>
    </w:rPr>
  </w:style>
  <w:style w:type="paragraph" w:styleId="Cabealho4">
    <w:name w:val="heading 4"/>
    <w:qFormat/>
    <w:pPr>
      <w:outlineLvl w:val="3"/>
    </w:pPr>
    <w:rPr>
      <w:i/>
      <w:iCs/>
      <w:color w:val="2E74B5"/>
    </w:rPr>
  </w:style>
  <w:style w:type="paragraph" w:styleId="Cabealho5">
    <w:name w:val="heading 5"/>
    <w:qFormat/>
    <w:pPr>
      <w:outlineLvl w:val="4"/>
    </w:pPr>
    <w:rPr>
      <w:color w:val="2E74B5"/>
    </w:rPr>
  </w:style>
  <w:style w:type="paragraph" w:styleId="Cabealho6">
    <w:name w:val="heading 6"/>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F80D02"/>
    <w:pPr>
      <w:spacing w:after="100"/>
    </w:pPr>
  </w:style>
  <w:style w:type="paragraph" w:styleId="ndice2">
    <w:name w:val="toc 2"/>
    <w:basedOn w:val="Normal"/>
    <w:next w:val="Normal"/>
    <w:autoRedefine/>
    <w:uiPriority w:val="39"/>
    <w:unhideWhenUsed/>
    <w:rsid w:val="00F80D02"/>
    <w:pPr>
      <w:spacing w:after="100"/>
      <w:ind w:left="210"/>
    </w:pPr>
  </w:style>
  <w:style w:type="paragraph" w:styleId="ndice3">
    <w:name w:val="toc 3"/>
    <w:basedOn w:val="Normal"/>
    <w:next w:val="Normal"/>
    <w:autoRedefine/>
    <w:uiPriority w:val="39"/>
    <w:unhideWhenUsed/>
    <w:rsid w:val="00F80D02"/>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5461</Words>
  <Characters>31131</Characters>
  <Application>Microsoft Office Word</Application>
  <DocSecurity>0</DocSecurity>
  <Lines>259</Lines>
  <Paragraphs>73</Paragraphs>
  <ScaleCrop>false</ScaleCrop>
  <Company/>
  <LinksUpToDate>false</LinksUpToDate>
  <CharactersWithSpaces>36519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Técnico-Operacional — Tarifa de Seguro de Saúde</dc:title>
  <dc:creator>Manual Técnico-Operacional — Q360 Saúde</dc:creator>
  <cp:lastModifiedBy>HP</cp:lastModifiedBy>
  <cp:revision>2</cp:revision>
  <dcterms:created xsi:type="dcterms:W3CDTF">2026-09-06T08:27:00Z</dcterms:created>
  <dcterms:modified xsi:type="dcterms:W3CDTF">2026-09-06T08:58:00Z</dcterms:modified>
</cp:coreProperties>
</file>