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Questionário de Validação com a Área de Negócio</w:t>
      </w:r>
    </w:p>
    <w:p>
      <w:pPr>
        <w:jc w:val="center"/>
      </w:pPr>
      <w:r>
        <w:rPr>
          <w:sz w:val="26"/>
        </w:rPr>
        <w:t>Simulador de Cotações e Análises Técnicas de Saúde (GTE)</w:t>
      </w:r>
    </w:p>
    <w:p>
      <w:pPr>
        <w:jc w:val="center"/>
      </w:pPr>
      <w:r>
        <w:rPr>
          <w:sz w:val="20"/>
        </w:rPr>
        <w:t>Versão 1.0  |  1 de outubro de 2026</w:t>
      </w:r>
    </w:p>
    <w:p>
      <w:pPr>
        <w:pStyle w:val="Heading1"/>
      </w:pPr>
      <w:r>
        <w:t>1. Objetivo</w:t>
      </w:r>
    </w:p>
    <w:p>
      <w:r>
        <w:t>O simulador de saúde encontra-se construído em todas as suas funcionalidades principais: cotações de novos negócios e de renovações, projeção de sinistralidade, agravamentos e ajustes, parametrização de capitais, coberturas e participações, cenários e comparação, biblioteca de coberturas, alteração de parâmetros pelo GTE e geração de propostas. Para que possa ser utilizado com clientes reais, é necessário que a área de negócio confirme os valores e as regras identificados neste documento e decida as questões que se encontram em aberto.</w:t>
      </w:r>
    </w:p>
    <w:p>
      <w:r>
        <w:t>Cada questão indica o contexto, o valor ou comportamento provisório atualmente em uso e a consequência de a decisão não ser tomada. Os valores provisórios são de teste ou indicativos, e nenhum deles deve ser considerado definitivo até confirmação escrita.</w:t>
      </w:r>
    </w:p>
    <w:p>
      <w:pPr>
        <w:pStyle w:val="Heading1"/>
      </w:pPr>
      <w:r>
        <w:t>2. Como responder</w:t>
      </w:r>
    </w:p>
    <w:p>
      <w:pPr>
        <w:pStyle w:val="ListBullet"/>
      </w:pPr>
      <w:r>
        <w:t>Preencher a coluna Decisão da área de negócio de cada questão, indicando a regra ou o valor definitivo.</w:t>
      </w:r>
    </w:p>
    <w:p>
      <w:pPr>
        <w:pStyle w:val="ListBullet"/>
      </w:pPr>
      <w:r>
        <w:t>Quando a questão exigir documentos (tarifas, condições gerais, tabela de benefícios, modelo de proposta), anexá-los e indicar a referência na coluna Decisão.</w:t>
      </w:r>
    </w:p>
    <w:p>
      <w:pPr>
        <w:pStyle w:val="ListBullet"/>
      </w:pPr>
      <w:r>
        <w:t>Preencher a coluna Responsável e a data da decisão.</w:t>
      </w:r>
    </w:p>
    <w:p>
      <w:pPr>
        <w:pStyle w:val="ListBullet"/>
      </w:pPr>
      <w:r>
        <w:t>Quando o valor provisório estiver correto, indicar Confirmado.</w:t>
      </w:r>
    </w:p>
    <w:p>
      <w:pPr>
        <w:pStyle w:val="ListBullet"/>
      </w:pPr>
      <w:r>
        <w:t>As questões com prioridade Alta bloqueiam a utilização do simulador com clientes reais; as de prioridade Média e Baixa podem ser decididas após o arranque.</w:t>
      </w:r>
    </w:p>
    <w:p>
      <w:pPr>
        <w:pStyle w:val="Heading1"/>
      </w:pPr>
      <w:r>
        <w:t>3. Questões para decisão</w:t>
      </w:r>
    </w:p>
    <w:p>
      <w:pPr>
        <w:pStyle w:val="Heading2"/>
      </w:pPr>
      <w:r>
        <w:t>1. Cálculo do prémio e tarifa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Valor ou comportamento provisório em uso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Consequência se não for decidido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8"/>
              </w:rPr>
              <w:t>Decisão da área de negócio / Responsável / 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Fórmula tarifária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a estrutura de cálculo do prémio e fornecer as tarifas reais: prémio base e fatores por idade, escalão do plano, capital, sistema de acesso (rede, reembolso, misto) e opção de participação.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O sistema calcula: prémio base multiplicado pelos fatores aplicáveis, mais ajustes aditivos, arredondado a cada passo. Os valores em uso são de teste e não são tarifas reais.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Sem tarifas reais, nenhuma cotação pode ser emitida a clientes.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Variáveis que determinam o prémio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Quais as variáveis tarifárias oficiais: idade, sexo, escalão, capital contratado, sistema de acesso, região da rede, categoria profissional, dimensão do grupo, outras?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Estão disponíveis: idade, escalão, categoria, sistema de acesso, opção de participação e capital de cada cobertura. O sexo e a região não entram no cálculo.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Variáveis em falta não podem ser tarifadas pelo GTE sem apoio do fornecedor.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Custo das coberturas opcionais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Como se calcula o custo de uma cobertura opcional escolhida pelo cliente: percentagem do prémio base, valor fixo por pessoa, ou função do capital?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Percentagem do prémio base, definida por cobertura em parâmetros editáveis pelo GTE. Sem parâmetro definido, a cobertura é aceite sem custo adicional e o sistema emite um aviso.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Coberturas opcionais podem ficar sem custo nas propostas.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Opções de participação A a 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Os ajustes ao prémio indicados no documento de referência (A +15%, B 0%, C -7%, D -12%, E entre -35% e -45%) são regra da seguradora ou apenas exemplo? Podem variar por plano?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Usados como valores de partida editáveis. O sistema exige que mais participação corresponda a menor prémio.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Os descontos e agravamentos oferecidos aos clientes podem não corresponder à política comercial.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Moeda, câmbio e arredondamento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o Kwanza como moeda oficial e a regra de arredondamento (atualmente duas casas decimais, arredondamento ao valor superior a partir de cinco). A evacuação no estrangeiro admite capital em dólares: aceitar? Qual a taxa de câmbio e quem a define?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Kwanza como moeda; dólares apenas como moeda do capital da evacuação, sem conversão.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Risco de valores arredondados de forma diferente do exigido e de capitais em dólares sem regra de conversão.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1.6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Impostos, taxas e encargos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prémio apresentado ao cliente inclui imposto de selo, taxas ou comissões? Se sim, quais e com que percentagem?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O sistema calcula apenas o prémio técnico. Não existe cálculo de impostos nem comissões.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O valor apresentado pode diferir do valor a cobrar.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Prémio por experiência (grupos)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 partir de que dimensão de grupo se usa o prémio por experiência de sinistralidade, com que fórmula e com que critério de credibilidade?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O tipo de prémio do grupo pode ser registado (taxa fixa, por escalão etário, por experiência), mas o cálculo por experiência não está implementado.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Grupos grandes ficam sem tarifação por experiência.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2. Ajustes, subscrição e elegibilidade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Valor ou comportamento provisório em uso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Consequência se não for decidido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8"/>
              </w:rPr>
              <w:t>Decisão da área de negócio / Responsável / 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Agravamentos e descontos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Os agravamentos e descontos aplicam-se em percentagem, em valor fixo ou ambos? Existe ordem de aplicação e limite máximo de agravamento ou desconto?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Suportados os quatro tipos (percentagem ou valor, agravamento ou desconto), aplicados pela ordem de registo, sem limite máximo.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Possibilidade de descontos ou agravamentos fora da política.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Matriz de autoridade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Quem pode aplicar ajustes acima de que limite e quem pode aprovar cotações até que valor? Quais os limites por perfil?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Sem política publicada, não há limite. Existe suporte para limite de percentagem e de valor de ajuste, a configurar.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Qualquer subscritor pode aplicar qualquer ajuste.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Dupla aprovação de configurações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 publicação de tarifas, regras e parâmetros deve exigir aprovação de uma segunda pessoa, diferente da que a criou?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Um administrador pode publicar sozinho. Todas as alterações ficam registadas com motivo.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Uma única pessoa pode alterar tarifas em produção.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Doenças preexistentes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Confirmar, por produto e segmento, qual dos seis tratamentos se aplica por omissão (exclusão total, exclusão específica, aceitação com carência, com sobreprémio, com sublimite, integral) e os valores: duração da carência (12 a 24 meses), percentagem de sobreprémio, valor do sublimite.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Aplicação conforme o documento de referência: individual com exclusão total por omissão; aceitação integral apenas em grupos com adesão obrigatória. Valores definidos caso a caso pelo subscritor.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Decisões de subscrição sem critério uniforme.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Critérios médicos de elegibilidade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Quais as idades limite e as condições que impedem a aceitação, exigem aviso ou análise médica adicional?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Nenhum critério médico real configurado. O sistema não bloqueia nem avisa por critério médico.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Aceitação de riscos sem triagem médica.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2.6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Questionário clínico e exames médicos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questionário clínico é preenchido neste sistema ou noutro? Qual o conteúdo? Os exames médicos são exigidos acima de que idade e de que capital?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O sistema indica quando o questionário e os exames são exigidos (individual: sempre; exames a partir dos 55 anos ou de um capital configurável), mas não recolhe o questionário.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O processo clínico fica fora do sistema.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2.7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Pré-autorização e controlo de sinistros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 pré-autorização de internamentos, exames de alto custo e cirurgias programadas é gerida neste sistema ou por outro processo?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Apenas registada como condição e apresentada na proposta.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Sem gestão da pré-autorização no sistema.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2.8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Relações familiares e dependentes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Qual o catálogo oficial de relações familiares e as regras de comprovativo (união de facto, filhos estudantes até aos 25 anos, ascendentes)?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Catálogo de demonstração: titular, cônjuge ou equiparado, filho, ascendente, outro. Limite de idade de filhos e aceitação de cônjuge configuráveis por plano.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Catálogo e comprovativos podem não corresponder à regulação.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3. Produtos e coberturas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Valor ou comportamento provisório em uso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Consequência se não for decidido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8"/>
              </w:rPr>
              <w:t>Decisão da área de negócio / Responsável / 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Escalões e matriz de coberturas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Os escalões Base, Médio e Superior e a matriz de coberturas incluídas, opcionais e indisponíveis do documento de referência são os da seguradora? Em caso negativo, fornecer a matriz oficial.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Carregados como modelo editável. Apenas Hospitalização, Cirurgia de ambulatório e Urgências são obrigatórias em todos os planos.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Planos carregados podem não corresponder à oferta comercial.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Capitais e sublimites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os capitais anuais, sublimites, limites por ato e por dia, e limites de quantidade de cada plano e de cada categoria de grupo.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Valores indicativos do documento de referência. Há duas divergências no próprio documento: Medicamentos no plano Base (150.000 Kz numa tabela e indisponível noutra) e Parto (capital por evento numa tabela e valores distintos para parto normal e cesariana noutra). Seguiu-se a matriz comparativa.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Capitais incorretos nas propostas.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Participação do segurado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Confirmar, por cobertura, os copagamentos fixos, percentagens de comparticipação, franquias anuais e por evento e tetos anuais, na rede convencionada e no reembolso.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Valores indicativos escolhidos dentro dos intervalos do documento de referência.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Participações apresentadas ao cliente podem estar incorretas.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Períodos de carência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os períodos de carência por cobertura para individual e grupo, incluindo cirurgias programadas, parto e estomatologia, e a regra de dispensa em caso de acidente.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Valores indicativos. Aplicados na verificação de cobertura da apólice e no portal do cliente.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Carências incorretas na verificação de cobertura.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Catálogo de coberturas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catálogo de coberturas é fechado ou o GTE pode criar novas? Mantém-se a Assistência em Viagem, que não consta do documento de referência?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O GTE pode criar, editar e desativar coberturas complementares. As três obrigatórias não podem ser desativadas.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Coberturas criadas sem controlo de negócio.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Rede convencionada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simulador deve modelar prestadores, regiões (Luanda e províncias) e tabelas de preços acordadas, ou apenas aplicar percentagens de participação?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Apenas regista as regiões cobertas e emite aviso quando não estão definidas.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Sem validação de cobertura geográfica por prestador.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Evacuação e tratamento no estrangeiro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destinos autorizados, moeda do capital, processo de aprovação prévia e tratamento do risco cambial.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Destinos de exemplo: Portugal, África do Sul, Brasil e Namíbia. Aprovação prévia obrigatória. Capital em kwanzas ou dólares.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Condições de evacuação incorretas.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Idades de entrada e de permanência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a idade máxima de entrada (60 a 65 anos) e de renovação (70 a 75 anos) por plano.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Entrada até 60 ou 65 anos e renovação até 70 ou 75 anos, conforme o plano. Pessoas acima do limite não são renovadas.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Pessoas renovadas ou excluídas contra a política.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Exclusões e doenças com tratamento especial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a lista oficial de exclusões e, por produto, se o VIH/SIDA, a hemodiálise crónica, os transplantes e as epidemias oficialmente declaradas são excluídos ou têm sublimite.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Lista de treze exclusões habituais incluída nas propostas; os casos dependentes do produto estão assinalados.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Propostas com exclusões diferentes das condições gerais.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3.10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Doenças graves e subsídio de internamento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a lista fechada de doenças graves e o número máximo de dias por ano do subsídio de internamento (30 ou 60) e a franquia temporal (2 ou 3 dias).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Lista: cancro, AVC, enfarte, insuficiência renal e transplante. Dias e franquia a definir pelo GTE.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Condições destas coberturas por definir.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4. Seguro de grupo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Valor ou comportamento provisório em uso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Consequência se não for decidido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8"/>
              </w:rPr>
              <w:t>Decisão da área de negócio / Responsável / 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Dimensão mínima do grupo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Qual a dimensão mínima de pessoas seguras para um contrato de grupo (5 a 10)? Abaixo disso aplica-se o produto individual?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Configurável por plano. Cotações abaixo do mínimo ficam impedidas de seguir para revisão.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Grupos pequenos aceites como grupo.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4.2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Categorias profissionais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 proposta de um grupo com duas ou três categorias deve ser uma única proposta consolidada ou uma proposta por categoria?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Cada categoria é uma cotação própria, com o seu plano. A proposta consolidada não está implementada.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Mais trabalho manual para grupos com várias categorias.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4.3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Adesão e questionário clínico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as regras de adesão obrigatória e facultativa e o limiar de pessoas (cerca de 20) acima do qual não se exige questionário clínico em adesão obrigatória.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Limiar configurável, por omissão 20 pessoas.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Questionário exigido ou dispensado indevidamente.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4.4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Participação nos resultados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Qual o limite de sinistralidade acordado (o documento indica 65% como exemplo), a quota devolvida, a fórmula e a periodicidade?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Fórmula indicativa: prémio ganho multiplicado pela diferença entre o limite e a sinistralidade, multiplicada pela quota.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Valores de devolução não fiáveis.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Movimentos mensais e acerto de prémio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As inclusões e exclusões mensais e o acerto de prémio no fim da anuidade fazem parte deste sistema?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Apenas registado como condição do contrato.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Gestão de movimentos fora do sistema.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4.6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Continuidade e familiares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Confirmar as regras de continuidade após saída da empresa, inclusão de reformados e copagamento do prémio dos familiares pelo trabalhador.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Registadas como condições do plano e apresentadas na proposta.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Condições de grupo por confirmar.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5. Sinistralidade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Valor ou comportamento provisório em uso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Consequência se não for decidido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8"/>
              </w:rPr>
              <w:t>Decisão da área de negócio / Responsável / 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5.1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Dados históricos existentes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Que dados de sinistralidade e de prémios existem, em que formato e com que periodicidade? Enviar uma amostra anonimizada.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Aceita ficheiros CSV ou Excel com colunas definidas: data, cobertura, valor pago, provisão e referência da pessoa; para prémios: período, valor e número de pessoas.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Importação sujeita a adaptação ao formato real.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5.2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Fórmulas atuariais de projeção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Quais as fórmulas, premissas e metodologia de projeção de sinistralidade (inflação médica, tendência de frequência, mix de vidas, sazonalidade)?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Método simples de tendência em três cenários (otimista, base, pessimista), com premissas introduzidas pelo utilizador e sem valores por omissão.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Projeções não atuarialmente validadas.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5.3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Indicadores prioritários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Que indicadores de sinistralidade são prioritários para a decisão (rácio de sinistralidade, frequência, custo médio, outros)?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Disponíveis: rácio de sinistralidade, frequência, custo médio, distribuição por cobertura e por mês.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Indicadores relevantes em falta.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5.4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Histórico na transferência de outra seguradora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Em que formato e com que garantias se recebe a sinistralidade dos últimos três anos de outra seguradora?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Importável como origem outra seguradora; o sistema indica se há pelo menos 36 meses de histórico.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Histórico incompleto na subscrição de transferências.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5.5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Proteção de dados de saúde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Quais os requisitos legais angolanos de proteção de dados, retenção, acesso e consentimento aplicáveis aos dados de sinistros?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Apenas agregados são devolvidos; as pessoas são identificadas por referência pseudonimizada; as leituras ficam em auditoria; o acesso exige permissão de revisão.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Risco de incumprimento regulatório.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6. Renovação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Valor ou comportamento provisório em uso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Consequência se não for decidido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8"/>
              </w:rPr>
              <w:t>Decisão da área de negócio / Responsável / 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6.1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Regras de renovação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Que regras se aplicam na renovação: agravamento por sinistralidade, atualização de capitais, revisão de tabelas? Quem define a percentagem de inflação médica?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 indexação de capitais usa a percentagem do plano ou o parâmetro global, com simulação prévia do impacto.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Renovações sem política de atualização.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6.2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Fecho da apólice anterior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Ao emitir a apólice renovada, a apólice anterior deve passar automaticamente a estado renovado? Em que momento?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Não implementado: a apólice anterior mantém o seu estado.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Duplicação de apólices ativas para o mesmo risco.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6.3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Prazos de renovação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Com que antecedência se prepara a proposta de renovação e qual o prazo para a aceitar?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 renovação pode ser criada em qualquer momento a partir do fim do período da apólice; validade da cotação configurável.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Prazos não alinhados com a prática comercial.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7. Propostas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Valor ou comportamento provisório em uso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Consequência se não for decidido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8"/>
              </w:rPr>
              <w:t>Decisão da área de negócio / Responsável / 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7.1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Modelo oficial da proposta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Fornecer o modelo oficial de proposta: identidade visual, textos legais, estrutura e cláusulas obrigatórias.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Existe um modelo por omissão, editável pelo GTE em título, textos e secções. Não é o modelo oficial.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As propostas geradas não são oficiais.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7.2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Formatos e assinatura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Quais os formatos obrigatórios (PDF, Word) e o método de assinatura aceite (presencial, digital qualificada)?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PDF, Word e HTML. Assinatura presencial; a assinatura digital qualificada não está integrada.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Processo de aceitação incompleto.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7.3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Numeração oficial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Qual o formato oficial de numeração de cotações, apólices e documentos, e se reinicia por ano?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Numeração sequencial contínua (COT-1, APO-1), sem reinício anual.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Números sem valor regulamentar.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7.4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Validade das cotações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Qual a validade padrão de uma cotação?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30 dias, alterável pelo GTE sem intervenção do fornecedor.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Validade diferente da política comercial.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7.5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Aviso de valores indicativos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Aprovar o texto do aviso exigido nas propostas que usem valores indicativos.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Texto do documento de referência: os valores são indicativos e devem ser confirmados nas Condições Gerais, Especiais e na Tabela de Benefícios.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Texto jurídico por validar.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8. Perfis, autonomia, segurança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18"/>
              </w:rPr>
              <w:t>Assunto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Valor ou comportamento provisório em uso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Consequência se não for decidido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8"/>
              </w:rPr>
              <w:t>Decisão da área de negócio / Responsável / 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Perfis e permissões do GTE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Quem, dentro do GTE, pode alterar parâmetros técnicos e tarifários e que níveis de permissão são necessários? Os perfis devem ser editáveis pelo GTE?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Perfis fixos: administrador, configurador de produto, subscritor, aprovador e auditor.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Permissões podem não refletir a organização do GTE.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Limite da autonomia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Que alterações o GTE pode fazer sozinho (parâmetros operacionais) e quais continuam a exigir o fornecedor (alterações estruturais)?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Operacionais: tarifas, capitais, participação, carências, coberturas, ajustes, modelos de documento, parâmetros globais. Estruturais: fórmulas do motor e política de arredondamento.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Expectativas desalinhadas sobre o suporte do fornecedor.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Sistema de autenticação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Qual o fornecedor de autenticação definitivo da empresa (por exemplo, serviço corporativo de login único)?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Contas internas com autenticação própria.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Autenticação não alinhada com a política de segurança da empresa.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Requisitos regulatórios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Existem requisitos específicos da ARSEG ou da AGT para propostas, apólices, reporte ou conservação de documentos?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Não configurados.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Possível incumprimento regulatório.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8.5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Integrações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Que sistemas existentes devem ser integrados (cadastro, sinistros, cobranças, contabilidade) e com que formato?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Sem integrações externas; importação por ficheiro.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Duplicação de dados e trabalho manual.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8.6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Validação do NIF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 NIF deve ser validado junto da AGT?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Apenas validação de formato (dez dígitos para empresas; formato 999999999AA999 para cidadãos).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NIF inexistente aceite.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8.7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Volume e utilizadores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Qual o volume esperado de cotações, cenários e utilizadores simultâneos?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Dimensionado para uso interno do GTE; sem teste de carga.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Desempenho não validado para o volume real.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8.8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Conservação e auditoria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Qual o período de conservação dos registos de auditoria, versões e documentos gerados?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Conservados sem limite.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Política de retenção por definir.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4. Resumo</w:t>
      </w:r>
    </w:p>
    <w:p>
      <w:r>
        <w:t>O presente questionário contém 52 questões, das quais 26 têm prioridade Alta. As decisões tomadas serão registadas no ficheiro de decisões do projeto e aplicadas pelo GTE através dos parâmetros do simulador, sem necessidade de intervenção do fornecedor, exceto nas questões que impliquem alterações estruturais ao motor de cálculo.</w:t>
      </w:r>
    </w:p>
    <w:p>
      <w:pPr>
        <w:pStyle w:val="Heading1"/>
      </w:pPr>
      <w:r>
        <w:t>5. Aprovação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/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4933"/>
            <w:shd w:val="clear" w:color="auto" w:fill="D9D9D9"/>
          </w:tcPr>
          <w:p>
            <w:r/>
            <w:r>
              <w:rPr>
                <w:b/>
                <w:sz w:val="18"/>
              </w:rPr>
              <w:t>Nome</w:t>
            </w:r>
          </w:p>
        </w:tc>
        <w:tc>
          <w:tcPr>
            <w:tcW w:type="dxa" w:w="4933"/>
            <w:shd w:val="clear" w:color="auto" w:fill="D9D9D9"/>
          </w:tcPr>
          <w:p>
            <w:r/>
            <w:r>
              <w:rPr>
                <w:b/>
                <w:sz w:val="18"/>
              </w:rPr>
              <w:t>Assinatura e data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 w:val="0"/>
                <w:sz w:val="18"/>
              </w:rPr>
              <w:t>Responsável da área de negócio</w:t>
            </w:r>
          </w:p>
        </w:tc>
        <w:tc>
          <w:tcPr>
            <w:tcW w:type="dxa" w:w="4933"/>
          </w:tcPr>
          <w:p/>
        </w:tc>
        <w:tc>
          <w:tcPr>
            <w:tcW w:type="dxa" w:w="4933"/>
          </w:tcPr>
          <w:p/>
        </w:tc>
      </w:tr>
      <w:tr>
        <w:tc>
          <w:tcPr>
            <w:tcW w:type="dxa" w:w="4933"/>
          </w:tcPr>
          <w:p>
            <w:r/>
            <w:r>
              <w:rPr>
                <w:b w:val="0"/>
                <w:sz w:val="18"/>
              </w:rPr>
              <w:t>Responsável técnico-atuarial</w:t>
            </w:r>
          </w:p>
        </w:tc>
        <w:tc>
          <w:tcPr>
            <w:tcW w:type="dxa" w:w="4933"/>
          </w:tcPr>
          <w:p/>
        </w:tc>
        <w:tc>
          <w:tcPr>
            <w:tcW w:type="dxa" w:w="4933"/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Questionário de Validação com a Área de Negócio — Simulador de Saúde GTE —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