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 of Creation Accounts found in the Bible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(1) Proverbs 8 The birth of Wisdom and her co-creative role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(2) Psalm 33 The Creative Word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(3) Psalm 104 Dynamic Creation – fruitfulness at the boundaries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(4) Jeremiah 10 True (the world) and false (idols) creation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(5) Jeremiah 4 An ‘anti-creation’ story: rolling it all back when humans disobey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(6) Isaiah 28  Creation and the husbandry of agriculture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(7) Isaiah 40 Numbering the structures of the cosmos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(8) Isaiah 45 Creation is the backdrop to history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(9) Isaiah 11 The hope of a New Creation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(10) Hosea 2 A New Covenant with Creation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(11) Genesis 1 The Cosmos is God’s real Temple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(12) Genesis 2 Creation as ordering and forming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(13) Psalm 89 Creation is God’s dominion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(14) Psalm 8 Humankind’s glory in creation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(15) Psalm 19 Creation re-echoes God’s creative Word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(16) Psalm 102v25 Foundations of the earth and heavens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(17) Job 26 Spreading out the skies and suspending the earth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(18) Job 28 Wisdom is the perception and measure of creation with God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(19) Job 38 Measuring out the foundations of the earth and heavens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(20) John 1 Logos as the creative form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80" w:lineRule="auto"/>
              <w:jc w:val="both"/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19"/>
                <w:szCs w:val="19"/>
                <w:rtl w:val="0"/>
              </w:rPr>
              <w:t xml:space="preserve">(21) Revelation 21 The New Creation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