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សន្តិសុខនិងការអនុវត្ត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NF-DOC-003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សន្តិសុខ  •  Auth  •  OTP  •  ការពារទិន្នន័យ  •  Audit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ស្ថាបត្យកម្មការផ្ទៀងផ្ទាត់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សន្តិសុខពាក្យសម្ងាត់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ប្រព័ន្ធផ្ទៀងផ្ទាត់ OTP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ការគ្រប់គ្រងសម័យនិង Token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ការគ្រប់គ្រងតួនាទី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Audit Logging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សន្តិសុខ API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8.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ការពារទិន្នន័យ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9.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សន្តិសុខការទូទាត់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ស្ថាបត្យកម្មការផ្ទៀងផ្ទាត់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NexusFinance ប្រើប្រព័ន្ធផ្ទៀងផ្ទាត់ពហុស្រទាប់ដែលរួមបញ្ចូល អ៊ីមែល/ពាក្យសម្ងាត់ជាមួយ OTP។ លំហូរទាំងអស់ដំណើរការដោយ Express backend។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សន្តិសុខពាក្យសម្ងាត់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ពាក្យសម្ងាត់ hash ដោយ bcrypt ជាមួយ salt rounds = 10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ពាក្យសម្ងាត់អត្ថបទមិនរក្សាទុក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ការប្រៀបធៀបប្រើ bcrypt.compare()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រយៈពេលអប្បបរមា: ៦ តួអក្សរ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ប្រព័ន្ធផ្ទៀងផ្ទាត់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លក្ខណៈ</w:t>
            </w:r>
          </w:p>
        </w:tc>
        <w:tc>
          <w:tcPr>
            <w:tcW w:type="dxa" w:w="633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តម្លៃ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ប្រវែងកូដ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៦ ខ្ទង់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វិធីសាស្ត្រ Hash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bcrypt (10 rounds)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ការផុតកំណត់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១០ នាទី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ការផ្ទៀងផ្ទាត់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Brevo transactional email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ការគ្រប់គ្រងសម័យនិង Token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JWT tokens ចេញនៅពេលចូលជោគជ័យ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មាតិកា token: id, email, name, role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Tokens រក្សាទុកក្នុង browser localStorage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ការគ្រប់គ្រងតួនាទី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តួនាទី</w:t>
            </w:r>
          </w:p>
        </w:tc>
        <w:tc>
          <w:tcPr>
            <w:tcW w:type="dxa" w:w="691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សិទ្ធិ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customer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សុំកម្ចី មើលប្រតិបត្តិការ គ្រប់គ្រងប្រ៉ូហ្វាល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loan-officer</w:t>
            </w:r>
          </w:p>
        </w:tc>
        <w:tc>
          <w:tcPr>
            <w:tcW w:type="dxa" w:w="691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ពិនិត្យសំណុំបែបបទ អនុម័ត/បដិសេធ មើល stats និង tasks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super-admin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សិទ្ធិពេញលេញ: វិភាគ គ្រប់គ្រងអ្នកប្រើប្រាស់ config audit log</w:t>
            </w:r>
          </w:p>
        </w:tc>
      </w:tr>
    </w:tbl>
    <w:p>
      <w:pPr>
        <w:spacing w:after="40"/>
      </w:pP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រាល់ API endpoints អនុវត្តការត្រួតពិនិត្យតួនាទីខាងសែវិរ។ ការអនុម័ត/បដិសេធ/ក្សឹត កម្ចី និង endpoint stats និង tasks តម្រូវឱ្យមានតួនាទី loan-officer ឬ super-admin។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Audit Logging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រាល់សកម្មភាពសំខាន់ទាំងអស់ត្រូវបានកត់ត្រា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Audit logs append-only និងមើលឃើញដោយអ្នកគ្រប់គ្រង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សន្តិសុខ API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Rate limiting នៅលើ endpoint ផ្ទៀងផ្ទាត់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CORS កំណត់ត្រឹមត្រូវ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HTTPS តម្រូវសម្រាប់ endpoint ទាំងអស់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៨. ការពារទិន្នន័យ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ទិន្នន័យអ្នកប្រើប្រាស់រក្សាទុកក្នុង Supabase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Service role key សម្រាប់ server-side operations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គ្មានព័ត៌មានផ្ទាល់ខ្លួនក្នុង logs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៩. សន្តិសុខការទូទាត់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កូដ KHQR បង្កើតខាងសែវិ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ការផ្ទៀងផ្ទាត់តម្រូវឱ្យមាន API call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សំណើ ABA PayWay purchase ចុះហត្ថលេខាជាមួយ HMAC-SHA512 (24-field fixed hash order)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Webhook callback ផ្ទៀងផ្ទាត់ជាមួយ HMAC signature ដូចគ្នាមុនដំណើរការ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Hosted checkout រក្សាទិន្នន័យប័ណ្ណលើទំព័រ PCI-compliant របស់ ABA — មិនមែនលើ server របស់យើង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 xml:space="preserve"> Sandbox mode សកម្ម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សន្តិសុខនិងការអនុវត្ត  •  NF-DOC-003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