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0D9488"/>
          <w:sz w:val="20"/>
          <w:szCs w:val="20"/>
        </w:rPr>
        <w:t xml:space="preserve">N E X U S   F I N A N C E</w:t>
      </w:r>
    </w:p>
    <w:p>
      <w:pPr>
        <w:spacing w:before="400"/>
      </w:pPr>
    </w:p>
    <w:p>
      <w:pPr>
        <w:jc w:val="center"/>
      </w:pPr>
      <w:r>
        <w:rPr>
          <w:b/>
          <w:bCs/>
          <w:color w:val="1E293B"/>
          <w:sz w:val="40"/>
          <w:szCs w:val="40"/>
        </w:rPr>
        <w:t xml:space="preserve">Communications Technical Specification</w:t>
      </w:r>
    </w:p>
    <w:p>
      <w:pPr>
        <w:jc w:val="center"/>
      </w:pPr>
      <w:r>
        <w:rPr>
          <w:b/>
          <w:bCs/>
          <w:color w:val="475569"/>
          <w:sz w:val="30"/>
          <w:szCs w:val="30"/>
        </w:rPr>
        <w:t xml:space="preserve">&amp; Systems Integration Manual</w:t>
      </w:r>
    </w:p>
    <w:p>
      <w:pPr>
        <w:spacing w:after="800"/>
        <w:jc w:val="center"/>
      </w:pPr>
      <w:r>
        <w:rPr>
          <w:color w:val="64748B"/>
          <w:sz w:val="22"/>
          <w:szCs w:val="22"/>
        </w:rPr>
        <w:t xml:space="preserve">A Deep-Dive Technical Blueprint detailing the node-cron daemon, direct broadcast patterns, webhook events, dynamic SQL schemas, and the API integration stack.</w:t>
      </w:r>
    </w:p>
    <w:tbl>
      <w:tblPr>
        <w:tblW w:type="pct" w:w="100%"/>
        <w:tblBorders>
          <w:top w:val="none"/>
          <w:left w:val="none"/>
          <w:bottom w:val="single" w:color="0D9488" w:sz="16"/>
          <w:right w:val="none"/>
          <w:insideH w:val="single" w:color="auto" w:sz="4"/>
          <w:insideV w:val="single" w:color="auto" w:sz="4"/>
        </w:tblBorders>
      </w:tblPr>
      <w:tblGrid>
        <w:gridCol w:w="100"/>
      </w:tblGrid>
      <w:tr>
        <w:tc>
          <w:p/>
        </w:tc>
      </w:tr>
    </w:tbl>
    <w:p>
      <w:pPr>
        <w:spacing w:before="800"/>
      </w:pPr>
    </w:p>
    <w:p>
      <w:pPr>
        <w:jc w:val="center"/>
      </w:pPr>
      <w:r>
        <w:rPr>
          <w:b/>
          <w:bCs/>
          <w:color w:val="1E293B"/>
          <w:sz w:val="18"/>
          <w:szCs w:val="18"/>
        </w:rPr>
        <w:t xml:space="preserve">Specification Specifications</w:t>
      </w:r>
    </w:p>
    <w:tbl>
      <w:tblPr>
        <w:tblW w:type="pct" w:w="100%"/>
        <w:tblBorders>
          <w:top w:val="single" w:color="94A3B8" w:sz="4"/>
          <w:left w:val="single" w:color="94A3B8" w:sz="4"/>
          <w:bottom w:val="single" w:color="94A3B8" w:sz="4"/>
          <w:right w:val="single" w:color="94A3B8" w:sz="4"/>
          <w:insideH w:val="single" w:color="E2E8F0" w:sz="4"/>
          <w:insideV w:val="single" w:color="E2E8F0" w:sz="4"/>
        </w:tblBorders>
      </w:tblPr>
      <w:tblGrid>
        <w:gridCol w:w="100"/>
        <w:gridCol w:w="100"/>
        <w:gridCol w:w="100"/>
        <w:gridCol w:w="100"/>
      </w:tblGrid>
      <w:tr>
        <w:tc>
          <w:tcPr>
            <w:shd w:fill="F8FAFC"/>
          </w:tcPr>
          <w:p>
            <w:r>
              <w:rPr>
                <w:b/>
                <w:bCs/>
              </w:rPr>
              <w:t xml:space="preserve">Author Team</w:t>
            </w:r>
          </w:p>
        </w:tc>
        <w:tc>
          <w:p>
            <w:r>
              <w:t xml:space="preserve">Core Architecture Group</w:t>
            </w:r>
          </w:p>
        </w:tc>
        <w:tc>
          <w:tcPr>
            <w:shd w:fill="F8FAFC"/>
          </w:tcPr>
          <w:p>
            <w:r>
              <w:rPr>
                <w:b/>
                <w:bCs/>
              </w:rPr>
              <w:t xml:space="preserve">Review Status</w:t>
            </w:r>
          </w:p>
        </w:tc>
        <w:tc>
          <w:p>
            <w:r>
              <w:t xml:space="preserve">Technical Sign-Off</w:t>
            </w:r>
          </w:p>
        </w:tc>
      </w:tr>
      <w:tr>
        <w:tc>
          <w:tcPr>
            <w:shd w:fill="F8FAFC"/>
          </w:tcPr>
          <w:p>
            <w:r>
              <w:rPr>
                <w:b/>
                <w:bCs/>
              </w:rPr>
              <w:t xml:space="preserve">Target Environment</w:t>
            </w:r>
          </w:p>
        </w:tc>
        <w:tc>
          <w:p>
            <w:r>
              <w:t xml:space="preserve">Production Server Stack</w:t>
            </w:r>
          </w:p>
        </w:tc>
        <w:tc>
          <w:tcPr>
            <w:shd w:fill="F8FAFC"/>
          </w:tcPr>
          <w:p>
            <w:r>
              <w:rPr>
                <w:b/>
                <w:bCs/>
              </w:rPr>
              <w:t xml:space="preserve">Document Ref</w:t>
            </w:r>
          </w:p>
        </w:tc>
        <w:tc>
          <w:p>
            <w:r>
              <w:t xml:space="preserve">TECH-SPEC-COMM-V2.1</w:t>
            </w:r>
          </w:p>
        </w:tc>
      </w:tr>
    </w:tbl>
    <w:p>
      <w:r>
        <w:br w:type="page"/>
      </w:r>
    </w:p>
    <w:p>
      <w:pPr>
        <w:pStyle w:val="Heading1"/>
        <w:spacing w:after="150" w:before="200"/>
      </w:pPr>
      <w:r>
        <w:rPr>
          <w:b/>
          <w:bCs/>
          <w:color w:val="0F766E"/>
          <w:sz w:val="26"/>
          <w:szCs w:val="26"/>
        </w:rPr>
        <w:t xml:space="preserve">1. Core Technology Stack</w:t>
      </w:r>
    </w:p>
    <w:p>
      <w:r>
        <w:t xml:space="preserve">The communications stack is built for high reliability and low latency, combining scheduled system sweeps with event-driven dispatches. Below is the list of frameworks, engines, and APIs driving this engine:</w:t>
      </w:r>
    </w:p>
    <w:p>
      <w:pPr>
        <w:spacing w:after="100" w:before="200"/>
      </w:pPr>
      <w:r>
        <w:rPr>
          <w:b/>
          <w:bCs/>
          <w:color w:val="1E293B"/>
          <w:sz w:val="16"/>
          <w:szCs w:val="16"/>
        </w:rPr>
        <w:t xml:space="preserve">Table 1.1: Communications Stack Technology Inventory</w:t>
      </w:r>
    </w:p>
    <w:tbl>
      <w:tblPr>
        <w:tblW w:type="pct" w:w="100%"/>
        <w:tblBorders>
          <w:top w:val="single" w:color="94A3B8" w:sz="4"/>
          <w:left w:val="single" w:color="94A3B8" w:sz="4"/>
          <w:bottom w:val="single" w:color="94A3B8" w:sz="4"/>
          <w:right w:val="single" w:color="94A3B8" w:sz="4"/>
          <w:insideH w:val="single" w:color="E2E8F0" w:sz="4"/>
          <w:insideV w:val="single" w:color="E2E8F0" w:sz="4"/>
        </w:tblBorders>
      </w:tblPr>
      <w:tblGrid>
        <w:gridCol w:w="100"/>
        <w:gridCol w:w="100"/>
        <w:gridCol w:w="100"/>
      </w:tblGrid>
      <w:tr>
        <w:tc>
          <w:tcPr>
            <w:shd w:fill="0D9488"/>
          </w:tcPr>
          <w:p>
            <w:r>
              <w:rPr>
                <w:b/>
                <w:bCs/>
                <w:color w:val="FFFFFF"/>
              </w:rPr>
              <w:t xml:space="preserve">Layer</w:t>
            </w:r>
          </w:p>
        </w:tc>
        <w:tc>
          <w:tcPr>
            <w:shd w:fill="0D9488"/>
          </w:tcPr>
          <w:p>
            <w:r>
              <w:rPr>
                <w:b/>
                <w:bCs/>
                <w:color w:val="FFFFFF"/>
              </w:rPr>
              <w:t xml:space="preserve">Technology Selection</w:t>
            </w:r>
          </w:p>
        </w:tc>
        <w:tc>
          <w:tcPr>
            <w:shd w:fill="0D9488"/>
          </w:tcPr>
          <w:p>
            <w:r>
              <w:rPr>
                <w:b/>
                <w:bCs/>
                <w:color w:val="FFFFFF"/>
              </w:rPr>
              <w:t xml:space="preserve">Operational Purpose</w:t>
            </w:r>
          </w:p>
        </w:tc>
      </w:tr>
      <w:tr>
        <w:tc>
          <w:tcPr>
            <w:shd w:fill="F8FAFC"/>
          </w:tcPr>
          <w:p>
            <w:r>
              <w:t xml:space="preserve">Backend Server</w:t>
            </w:r>
          </w:p>
        </w:tc>
        <w:tc>
          <w:tcPr>
            <w:shd w:fill="F8FAFC"/>
          </w:tcPr>
          <w:p>
            <w:r>
              <w:t xml:space="preserve">Node.js &amp; Express (TypeScript / TSX)</w:t>
            </w:r>
          </w:p>
        </w:tc>
        <w:tc>
          <w:tcPr>
            <w:shd w:fill="F8FAFC"/>
          </w:tcPr>
          <w:p>
            <w:r>
              <w:t xml:space="preserve">Handles REST routing, auth middleware, and API responses.</w:t>
            </w:r>
          </w:p>
        </w:tc>
      </w:tr>
      <w:tr>
        <w:tc>
          <w:p>
            <w:r>
              <w:t xml:space="preserve">Database Engine</w:t>
            </w:r>
          </w:p>
        </w:tc>
        <w:tc>
          <w:p>
            <w:r>
              <w:t xml:space="preserve">Supabase (PostgreSQL Database Client)</w:t>
            </w:r>
          </w:p>
        </w:tc>
        <w:tc>
          <w:p>
            <w:r>
              <w:t xml:space="preserve">Stores loan transactions, audit logs, configuration parameters, and reminder rules.</w:t>
            </w:r>
          </w:p>
        </w:tc>
      </w:tr>
      <w:tr>
        <w:tc>
          <w:tcPr>
            <w:shd w:fill="F8FAFC"/>
          </w:tcPr>
          <w:p>
            <w:r>
              <w:t xml:space="preserve">Scheduler Daemon</w:t>
            </w:r>
          </w:p>
        </w:tc>
        <w:tc>
          <w:tcPr>
            <w:shd w:fill="F8FAFC"/>
          </w:tcPr>
          <w:p>
            <w:r>
              <w:t xml:space="preserve">node-cron Scheduler Library</w:t>
            </w:r>
          </w:p>
        </w:tc>
        <w:tc>
          <w:tcPr>
            <w:shd w:fill="F8FAFC"/>
          </w:tcPr>
          <w:p>
            <w:r>
              <w:t xml:space="preserve">Manages background execution loops and cron patterns.</w:t>
            </w:r>
          </w:p>
        </w:tc>
      </w:tr>
      <w:tr>
        <w:tc>
          <w:p>
            <w:r>
              <w:t xml:space="preserve">Telegram Gateway</w:t>
            </w:r>
          </w:p>
        </w:tc>
        <w:tc>
          <w:p>
            <w:r>
              <w:t xml:space="preserve">node-telegram-bot-api Package</w:t>
            </w:r>
          </w:p>
        </w:tc>
        <w:tc>
          <w:p>
            <w:r>
              <w:t xml:space="preserve">Dispatches instant chat messages to verified customer accounts.</w:t>
            </w:r>
          </w:p>
        </w:tc>
      </w:tr>
      <w:tr>
        <w:tc>
          <w:tcPr>
            <w:shd w:fill="F8FAFC"/>
          </w:tcPr>
          <w:p>
            <w:r>
              <w:t xml:space="preserve">Mail Dispatcher</w:t>
            </w:r>
          </w:p>
        </w:tc>
        <w:tc>
          <w:tcPr>
            <w:shd w:fill="F8FAFC"/>
          </w:tcPr>
          <w:p>
            <w:r>
              <w:t xml:space="preserve">Nodemailer SMTP Client / SendGrid</w:t>
            </w:r>
          </w:p>
        </w:tc>
        <w:tc>
          <w:tcPr>
            <w:shd w:fill="F8FAFC"/>
          </w:tcPr>
          <w:p>
            <w:r>
              <w:t xml:space="preserve">Sends HTML email confirmations for approved or disbursed loans.</w:t>
            </w:r>
          </w:p>
        </w:tc>
      </w:tr>
    </w:tbl>
    <w:p>
      <w:pPr>
        <w:spacing w:after="100" w:before="200"/>
      </w:pPr>
    </w:p>
    <w:tbl>
      <w:tblPr>
        <w:tblW w:type="pct" w:w="100%"/>
        <w:tblBorders>
          <w:top w:val="none"/>
          <w:left w:val="single" w:color="0D9488" w:sz="24"/>
          <w:bottom w:val="none"/>
          <w:right w:val="none"/>
          <w:insideH w:val="single" w:color="auto" w:sz="4"/>
          <w:insideV w:val="single" w:color="auto" w:sz="4"/>
        </w:tblBorders>
      </w:tblPr>
      <w:tblGrid>
        <w:gridCol w:w="100"/>
      </w:tblGrid>
      <w:tr>
        <w:tc>
          <w:tcPr>
            <w:shd w:fill="F0FDFA"/>
            <w:tcMar>
              <w:top w:type="dxa" w:w="160"/>
              <w:left w:type="dxa" w:w="240"/>
              <w:bottom w:type="dxa" w:w="160"/>
              <w:right w:type="dxa" w:w="240"/>
            </w:tcMar>
          </w:tcPr>
          <w:p>
            <w:pPr>
              <w:spacing w:after="0" w:before="0"/>
            </w:pPr>
            <w:r>
              <w:rPr>
                <w:b/>
                <w:bCs/>
                <w:color w:val="0F766E"/>
              </w:rPr>
              <w:t xml:space="preserve">Did You Know? </w:t>
            </w:r>
            <w:r>
              <w:t xml:space="preserve">The cron scheduler is fully dynamic. When an admin updates the reminder sweep time through the frontend dashboard settings, the backend automatically halts the running daemon and reschedules the new cron string on the fly without rebooting the server.</w:t>
            </w:r>
          </w:p>
        </w:tc>
      </w:tr>
    </w:tbl>
    <w:p>
      <w:r>
        <w:br w:type="page"/>
      </w:r>
    </w:p>
    <w:p>
      <w:pPr>
        <w:pStyle w:val="Heading1"/>
        <w:spacing w:after="150" w:before="200"/>
      </w:pPr>
      <w:r>
        <w:rPr>
          <w:b/>
          <w:bCs/>
          <w:color w:val="0F766E"/>
          <w:sz w:val="26"/>
          <w:szCs w:val="26"/>
        </w:rPr>
        <w:t xml:space="preserve">2. Operational Logic &amp; Data Flows</w:t>
      </w:r>
    </w:p>
    <w:p>
      <w:r>
        <w:t xml:space="preserve">The flows below describe the exact step-by-step sequential operations executed by the backend communications dispatcher.</w:t>
      </w:r>
    </w:p>
    <w:p>
      <w:pPr>
        <w:pStyle w:val="Heading2"/>
        <w:spacing w:after="100" w:before="200"/>
      </w:pPr>
      <w:r>
        <w:rPr>
          <w:b/>
          <w:bCs/>
          <w:color w:val="1E293B"/>
          <w:sz w:val="20"/>
          <w:szCs w:val="20"/>
        </w:rPr>
        <w:t xml:space="preserve">2.1 Automated Reminder Run Flow</w:t>
      </w:r>
    </w:p>
    <w:p>
      <w:pPr>
        <w:pStyle w:val="ListParagraph"/>
        <w:numPr>
          <w:ilvl w:val="0"/>
          <w:numId w:val="1"/>
        </w:numPr>
        <w:spacing w:after="80" w:before="80"/>
      </w:pPr>
      <w:r>
        <w:rPr>
          <w:b/>
          <w:bCs/>
          <w:color w:val="0F766E"/>
        </w:rPr>
        <w:t xml:space="preserve">1. Cron Activation: </w:t>
      </w:r>
      <w:r>
        <w:t xml:space="preserve">The daemon triggers the job according to the configured sweep time.</w:t>
      </w:r>
    </w:p>
    <w:p>
      <w:pPr>
        <w:pStyle w:val="ListParagraph"/>
        <w:numPr>
          <w:ilvl w:val="0"/>
          <w:numId w:val="1"/>
        </w:numPr>
        <w:spacing w:after="80" w:before="80"/>
      </w:pPr>
      <w:r>
        <w:rPr>
          <w:b/>
          <w:bCs/>
          <w:color w:val="0F766E"/>
        </w:rPr>
        <w:t xml:space="preserve">2. Database Query: </w:t>
      </w:r>
      <w:r>
        <w:t xml:space="preserve">Queries all active loans and reminder rules configurations.</w:t>
      </w:r>
    </w:p>
    <w:p>
      <w:pPr>
        <w:pStyle w:val="ListParagraph"/>
        <w:numPr>
          <w:ilvl w:val="0"/>
          <w:numId w:val="1"/>
        </w:numPr>
        <w:spacing w:after="80" w:before="80"/>
      </w:pPr>
      <w:r>
        <w:rPr>
          <w:b/>
          <w:bCs/>
          <w:color w:val="0F766E"/>
        </w:rPr>
        <w:t xml:space="preserve">3. Day Difference Calculation: </w:t>
      </w:r>
      <w:r>
        <w:t xml:space="preserve">Computes the days remaining until the next payment due date.</w:t>
      </w:r>
    </w:p>
    <w:p>
      <w:pPr>
        <w:pStyle w:val="ListParagraph"/>
        <w:numPr>
          <w:ilvl w:val="0"/>
          <w:numId w:val="1"/>
        </w:numPr>
        <w:spacing w:after="80" w:before="80"/>
      </w:pPr>
      <w:r>
        <w:rPr>
          <w:b/>
          <w:bCs/>
          <w:color w:val="0F766E"/>
        </w:rPr>
        <w:t xml:space="preserve">4. Template Compile: </w:t>
      </w:r>
      <w:r>
        <w:t xml:space="preserve">Compiles rules templates by substituting tags like {customer_name} with customer record values.</w:t>
      </w:r>
    </w:p>
    <w:p>
      <w:pPr>
        <w:pStyle w:val="ListParagraph"/>
        <w:numPr>
          <w:ilvl w:val="0"/>
          <w:numId w:val="1"/>
        </w:numPr>
        <w:spacing w:after="80" w:before="80"/>
      </w:pPr>
      <w:r>
        <w:rPr>
          <w:b/>
          <w:bCs/>
          <w:color w:val="0F766E"/>
        </w:rPr>
        <w:t xml:space="preserve">5. Dispatch Dispatching: </w:t>
      </w:r>
      <w:r>
        <w:t xml:space="preserve">Appends the in-app notification first. Then, checks if user has linked Telegram and sends message.</w:t>
      </w:r>
    </w:p>
    <w:p>
      <w:pPr>
        <w:pStyle w:val="ListParagraph"/>
        <w:numPr>
          <w:ilvl w:val="0"/>
          <w:numId w:val="1"/>
        </w:numPr>
        <w:spacing w:after="80" w:before="80"/>
      </w:pPr>
      <w:r>
        <w:rPr>
          <w:b/>
          <w:bCs/>
          <w:color w:val="0F766E"/>
        </w:rPr>
        <w:t xml:space="preserve">6. Outcome Auditing: </w:t>
      </w:r>
      <w:r>
        <w:t xml:space="preserve">Writes success or fail logs with details to the database.</w:t>
      </w:r>
    </w:p>
    <w:p>
      <w:pPr>
        <w:pStyle w:val="Heading2"/>
        <w:spacing w:after="100" w:before="300"/>
      </w:pPr>
      <w:r>
        <w:rPr>
          <w:b/>
          <w:bCs/>
          <w:color w:val="1E293B"/>
          <w:sz w:val="20"/>
          <w:szCs w:val="20"/>
        </w:rPr>
        <w:t xml:space="preserve">2.2 targeted Direct Broadcast Flow</w:t>
      </w:r>
    </w:p>
    <w:p>
      <w:pPr>
        <w:pStyle w:val="ListParagraph"/>
        <w:numPr>
          <w:ilvl w:val="0"/>
          <w:numId w:val="1"/>
        </w:numPr>
        <w:spacing w:after="80" w:before="80"/>
      </w:pPr>
      <w:r>
        <w:rPr>
          <w:b/>
          <w:bCs/>
          <w:color w:val="3B82F6"/>
        </w:rPr>
        <w:t xml:space="preserve">1. Admin Composition: </w:t>
      </w:r>
      <w:r>
        <w:t xml:space="preserve">Admin sets target groups and channel variables, then composes message in panel.</w:t>
      </w:r>
    </w:p>
    <w:p>
      <w:pPr>
        <w:pStyle w:val="ListParagraph"/>
        <w:numPr>
          <w:ilvl w:val="0"/>
          <w:numId w:val="1"/>
        </w:numPr>
        <w:spacing w:after="80" w:before="80"/>
      </w:pPr>
      <w:r>
        <w:rPr>
          <w:b/>
          <w:bCs/>
          <w:color w:val="3B82F6"/>
        </w:rPr>
        <w:t xml:space="preserve">2. Recipient Resolution: </w:t>
      </w:r>
      <w:r>
        <w:t xml:space="preserve">The backend queries registered accounts matching the criteria.</w:t>
      </w:r>
    </w:p>
    <w:p>
      <w:pPr>
        <w:pStyle w:val="ListParagraph"/>
        <w:numPr>
          <w:ilvl w:val="0"/>
          <w:numId w:val="1"/>
        </w:numPr>
        <w:spacing w:after="80" w:before="80"/>
      </w:pPr>
      <w:r>
        <w:rPr>
          <w:b/>
          <w:bCs/>
          <w:color w:val="3B82F6"/>
        </w:rPr>
        <w:t xml:space="preserve">3. Direct Dispatch: </w:t>
      </w:r>
      <w:r>
        <w:t xml:space="preserve">Sends messages in parallel. For in-app alerts, inserts notifications. For Telegram, dispatches bot api calls.</w:t>
      </w:r>
    </w:p>
    <w:p>
      <w:pPr>
        <w:pStyle w:val="ListParagraph"/>
        <w:numPr>
          <w:ilvl w:val="0"/>
          <w:numId w:val="1"/>
        </w:numPr>
        <w:spacing w:after="80" w:before="80"/>
      </w:pPr>
      <w:r>
        <w:rPr>
          <w:b/>
          <w:bCs/>
          <w:color w:val="3B82F6"/>
        </w:rPr>
        <w:t xml:space="preserve">4. Summary Logging: </w:t>
      </w:r>
      <w:r>
        <w:t xml:space="preserve">Saves total success and fail counts inside the platform database.</w:t>
      </w:r>
    </w:p>
    <w:p>
      <w:r>
        <w:br w:type="page"/>
      </w:r>
    </w:p>
    <w:p>
      <w:pPr>
        <w:pStyle w:val="Heading1"/>
        <w:spacing w:after="150" w:before="200"/>
      </w:pPr>
      <w:r>
        <w:rPr>
          <w:b/>
          <w:bCs/>
          <w:color w:val="0F766E"/>
          <w:sz w:val="26"/>
          <w:szCs w:val="26"/>
        </w:rPr>
        <w:t xml:space="preserve">3. Schema Architecture Specs</w:t>
      </w:r>
    </w:p>
    <w:p>
      <w:r>
        <w:t xml:space="preserve">The communications engine database structure is designed to hold operational parameters and log tracking entries.</w:t>
      </w:r>
    </w:p>
    <w:p>
      <w:pPr>
        <w:spacing w:after="100" w:before="200"/>
      </w:pPr>
      <w:r>
        <w:rPr>
          <w:b/>
          <w:bCs/>
          <w:color w:val="1E293B"/>
          <w:sz w:val="16"/>
          <w:szCs w:val="16"/>
        </w:rPr>
        <w:t xml:space="preserve">Table 3.1: public.nexus_config Table Structure</w:t>
      </w:r>
    </w:p>
    <w:tbl>
      <w:tblPr>
        <w:tblW w:type="pct" w:w="100%"/>
        <w:tblBorders>
          <w:top w:val="single" w:color="94A3B8" w:sz="4"/>
          <w:left w:val="single" w:color="94A3B8" w:sz="4"/>
          <w:bottom w:val="single" w:color="94A3B8" w:sz="4"/>
          <w:right w:val="single" w:color="94A3B8" w:sz="4"/>
          <w:insideH w:val="single" w:color="E2E8F0" w:sz="4"/>
          <w:insideV w:val="single" w:color="E2E8F0" w:sz="4"/>
        </w:tblBorders>
      </w:tblPr>
      <w:tblGrid>
        <w:gridCol w:w="100"/>
        <w:gridCol w:w="100"/>
        <w:gridCol w:w="100"/>
      </w:tblGrid>
      <w:tr>
        <w:tc>
          <w:tcPr>
            <w:shd w:fill="0D9488"/>
          </w:tcPr>
          <w:p>
            <w:r>
              <w:rPr>
                <w:b/>
                <w:bCs/>
                <w:color w:val="FFFFFF"/>
              </w:rPr>
              <w:t xml:space="preserve">Column Name</w:t>
            </w:r>
          </w:p>
        </w:tc>
        <w:tc>
          <w:tcPr>
            <w:shd w:fill="0D9488"/>
          </w:tcPr>
          <w:p>
            <w:r>
              <w:rPr>
                <w:b/>
                <w:bCs/>
                <w:color w:val="FFFFFF"/>
              </w:rPr>
              <w:t xml:space="preserve">Type</w:t>
            </w:r>
          </w:p>
        </w:tc>
        <w:tc>
          <w:tcPr>
            <w:shd w:fill="0D9488"/>
          </w:tcPr>
          <w:p>
            <w:r>
              <w:rPr>
                <w:b/>
                <w:bCs/>
                <w:color w:val="FFFFFF"/>
              </w:rPr>
              <w:t xml:space="preserve">Purpose Description</w:t>
            </w:r>
          </w:p>
        </w:tc>
      </w:tr>
      <w:tr>
        <w:tc>
          <w:tcPr>
            <w:shd w:fill="F8FAFC"/>
          </w:tcPr>
          <w:p>
            <w:r>
              <w:t xml:space="preserve">baseInterestRate</w:t>
            </w:r>
          </w:p>
        </w:tc>
        <w:tc>
          <w:tcPr>
            <w:shd w:fill="F8FAFC"/>
          </w:tcPr>
          <w:p>
            <w:r>
              <w:t xml:space="preserve">NUMERIC</w:t>
            </w:r>
          </w:p>
        </w:tc>
        <w:tc>
          <w:tcPr>
            <w:shd w:fill="F8FAFC"/>
          </w:tcPr>
          <w:p>
            <w:r>
              <w:t xml:space="preserve">Base APR percentage (e.g. 8%) used for yield calculations.</w:t>
            </w:r>
          </w:p>
        </w:tc>
      </w:tr>
      <w:tr>
        <w:tc>
          <w:p>
            <w:r>
              <w:t xml:space="preserve">maxLoanAmount</w:t>
            </w:r>
          </w:p>
        </w:tc>
        <w:tc>
          <w:p>
            <w:r>
              <w:t xml:space="preserve">NUMERIC</w:t>
            </w:r>
          </w:p>
        </w:tc>
        <w:tc>
          <w:p>
            <w:r>
              <w:t xml:space="preserve">Maximum loan threshold allowed for customer application submission.</w:t>
            </w:r>
          </w:p>
        </w:tc>
      </w:tr>
      <w:tr>
        <w:tc>
          <w:tcPr>
            <w:shd w:fill="F8FAFC"/>
          </w:tcPr>
          <w:p>
            <w:r>
              <w:t xml:space="preserve">kycRequired</w:t>
            </w:r>
          </w:p>
        </w:tc>
        <w:tc>
          <w:tcPr>
            <w:shd w:fill="F8FAFC"/>
          </w:tcPr>
          <w:p>
            <w:r>
              <w:t xml:space="preserve">BOOLEAN</w:t>
            </w:r>
          </w:p>
        </w:tc>
        <w:tc>
          <w:tcPr>
            <w:shd w:fill="F8FAFC"/>
          </w:tcPr>
          <w:p>
            <w:r>
              <w:t xml:space="preserve">Determines if video KYC check is mandatory.</w:t>
            </w:r>
          </w:p>
        </w:tc>
      </w:tr>
      <w:tr>
        <w:tc>
          <w:p>
            <w:r>
              <w:t xml:space="preserve">autoApproveLimit</w:t>
            </w:r>
          </w:p>
        </w:tc>
        <w:tc>
          <w:p>
            <w:r>
              <w:t xml:space="preserve">NUMERIC</w:t>
            </w:r>
          </w:p>
        </w:tc>
        <w:tc>
          <w:p>
            <w:r>
              <w:t xml:space="preserve">Loans with amounts below this threshold can be auto-approved.</w:t>
            </w:r>
          </w:p>
        </w:tc>
      </w:tr>
      <w:tr>
        <w:tc>
          <w:tcPr>
            <w:shd w:fill="F8FAFC"/>
          </w:tcPr>
          <w:p>
            <w:r>
              <w:t xml:space="preserve">reminder_time</w:t>
            </w:r>
          </w:p>
        </w:tc>
        <w:tc>
          <w:tcPr>
            <w:shd w:fill="F8FAFC"/>
          </w:tcPr>
          <w:p>
            <w:r>
              <w:t xml:space="preserve">TEXT</w:t>
            </w:r>
          </w:p>
        </w:tc>
        <w:tc>
          <w:tcPr>
            <w:shd w:fill="F8FAFC"/>
          </w:tcPr>
          <w:p>
            <w:r>
              <w:t xml:space="preserve">Daily time schedule for trigger scans (e.g. '07:00').</w:t>
            </w:r>
          </w:p>
        </w:tc>
      </w:tr>
      <w:tr>
        <w:tc>
          <w:p>
            <w:r>
              <w:t xml:space="preserve">telegram_admin_id</w:t>
            </w:r>
          </w:p>
        </w:tc>
        <w:tc>
          <w:p>
            <w:r>
              <w:t xml:space="preserve">TEXT</w:t>
            </w:r>
          </w:p>
        </w:tc>
        <w:tc>
          <w:p>
            <w:r>
              <w:t xml:space="preserve">Destination chat ID for direct administrative report messages.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22"/>
        <w:szCs w:val="22"/>
      </w:rPr>
    </w:rPrDefault>
    <w:pPrDefault>
      <w:pPr>
        <w:spacing w:after="120" w:before="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2026-08-20T02:44:44.957Z</dcterms:created>
  <dcterms:modified xsi:type="dcterms:W3CDTF">2026-08-20T02:44:44.958Z</dcterms:modified>
</cp:coreProperties>
</file>

<file path=docProps/custom.xml><?xml version="1.0" encoding="utf-8"?>
<Properties xmlns="http://schemas.openxmlformats.org/officeDocument/2006/custom-properties" xmlns:vt="http://schemas.openxmlformats.org/officeDocument/2006/docPropsVTypes"/>
</file>