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shd w:val="clear" w:fill="0B1F2E"/>
            <w:tcMar>
              <w:top w:w="180" w:type="dxa"/>
              <w:start w:w="240" w:type="dxa"/>
              <w:bottom w:w="180" w:type="dxa"/>
              <w:end w:w="24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0BDAA"/>
                <w:sz w:val="26"/>
              </w:rPr>
              <w:t>NEXUSFINANCE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9FB4C4"/>
                <w:sz w:val="18"/>
              </w:rPr>
              <w:t>Secure • Modern • Cutting-edge  |  Lending Platform for Cambodia</w:t>
            </w:r>
          </w:p>
        </w:tc>
      </w:tr>
    </w:tbl>
    <w:p>
      <w:pPr>
        <w:spacing w:after="40"/>
      </w:pPr>
    </w:p>
    <w:p>
      <w:pPr>
        <w:spacing w:after="600"/>
      </w:pPr>
    </w:p>
    <w:p>
      <w:pPr>
        <w:spacing w:after="120"/>
        <w:jc w:val="left"/>
      </w:pPr>
      <w:r>
        <w:rPr>
          <w:rFonts w:ascii="Segoe UI" w:hAnsi="Segoe UI" w:cs="Segoe UI"/>
          <w:b/>
          <w:i w:val="0"/>
          <w:color w:val="0B1F2E"/>
          <w:sz w:val="68"/>
        </w:rPr>
        <w:t>NexusFinance — Executive Overview</w:t>
      </w:r>
    </w:p>
    <w:p>
      <w:pPr>
        <w:pBdr>
          <w:bottom w:val="single" w:sz="24" w:space="4" w:color="00BDAA"/>
        </w:pBdr>
        <w:spacing w:after="240"/>
      </w:pPr>
    </w:p>
    <w:p>
      <w:pPr>
        <w:spacing w:after="80"/>
      </w:pPr>
      <w:r>
        <w:rPr>
          <w:rFonts w:ascii="Segoe UI" w:hAnsi="Segoe UI" w:cs="Segoe UI"/>
          <w:b w:val="0"/>
          <w:i w:val="0"/>
          <w:color w:val="475A6B"/>
          <w:sz w:val="26"/>
        </w:rPr>
        <w:t>Digital Lending Platform for Cambodia</w:t>
      </w:r>
    </w:p>
    <w:p>
      <w:pPr>
        <w:spacing w:after="0"/>
      </w:pPr>
      <w:r>
        <w:rPr>
          <w:rFonts w:ascii="Segoe UI" w:hAnsi="Segoe UI" w:cs="Segoe UI"/>
          <w:b/>
          <w:i w:val="0"/>
          <w:color w:val="008A7C"/>
          <w:sz w:val="20"/>
        </w:rPr>
        <w:t>EN</w:t>
      </w:r>
    </w:p>
    <w:p>
      <w:pPr>
        <w:spacing w:after="6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Document Number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NF-DOC-001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Version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1.0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Date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August 2026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Prepared By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NDX Digital Support</w:t>
            </w:r>
          </w:p>
        </w:tc>
      </w:tr>
      <w:tr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/>
                <w:i w:val="0"/>
                <w:color w:val="0B1F2E"/>
                <w:sz w:val="20"/>
              </w:rPr>
              <w:t>Classification</w:t>
            </w:r>
          </w:p>
        </w:tc>
        <w:tc>
          <w:tcPr>
            <w:tcW w:type="dxa" w:w="604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Segoe UI" w:hAnsi="Segoe UI" w:cs="Segoe UI"/>
                <w:b w:val="0"/>
                <w:i w:val="0"/>
                <w:color w:val="475A6B"/>
                <w:sz w:val="20"/>
              </w:rPr>
              <w:t>Internal &amp; Confidential</w:t>
            </w:r>
          </w:p>
        </w:tc>
      </w:tr>
    </w:tbl>
    <w:p>
      <w:pPr>
        <w:spacing w:after="280"/>
      </w:pPr>
    </w:p>
    <w:p>
      <w:r>
        <w:rPr>
          <w:rFonts w:ascii="Segoe UI" w:hAnsi="Segoe UI" w:cs="Segoe UI"/>
          <w:b w:val="0"/>
          <w:i w:val="0"/>
          <w:color w:val="6B7A89"/>
          <w:sz w:val="18"/>
        </w:rPr>
        <w:t>Loan Management  •  KHQR Payments  •  Telegram Bot  •  Android App</w:t>
      </w:r>
    </w:p>
    <w:p>
      <w:r>
        <w:br w:type="page"/>
      </w:r>
    </w:p>
    <w:p>
      <w:pPr>
        <w:spacing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Table of Contents</w:t>
      </w:r>
    </w:p>
    <w:p>
      <w:pPr>
        <w:spacing w:after="160"/>
      </w:pP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1.  </w:t>
      </w:r>
      <w:r>
        <w:rPr>
          <w:rFonts w:ascii="Segoe UI" w:hAnsi="Segoe UI" w:cs="Segoe UI"/>
          <w:b w:val="0"/>
          <w:i w:val="0"/>
          <w:color w:val="0B1F2E"/>
          <w:sz w:val="22"/>
        </w:rPr>
        <w:t>Executive Summary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2.  </w:t>
      </w:r>
      <w:r>
        <w:rPr>
          <w:rFonts w:ascii="Segoe UI" w:hAnsi="Segoe UI" w:cs="Segoe UI"/>
          <w:b w:val="0"/>
          <w:i w:val="0"/>
          <w:color w:val="0B1F2E"/>
          <w:sz w:val="22"/>
        </w:rPr>
        <w:t>What We Delivered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3.  </w:t>
      </w:r>
      <w:r>
        <w:rPr>
          <w:rFonts w:ascii="Segoe UI" w:hAnsi="Segoe UI" w:cs="Segoe UI"/>
          <w:b w:val="0"/>
          <w:i w:val="0"/>
          <w:color w:val="0B1F2E"/>
          <w:sz w:val="22"/>
        </w:rPr>
        <w:t>Demo Accounts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4.  </w:t>
      </w:r>
      <w:r>
        <w:rPr>
          <w:rFonts w:ascii="Segoe UI" w:hAnsi="Segoe UI" w:cs="Segoe UI"/>
          <w:b w:val="0"/>
          <w:i w:val="0"/>
          <w:color w:val="0B1F2E"/>
          <w:sz w:val="22"/>
        </w:rPr>
        <w:t>Technology Stack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5.  </w:t>
      </w:r>
      <w:r>
        <w:rPr>
          <w:rFonts w:ascii="Segoe UI" w:hAnsi="Segoe UI" w:cs="Segoe UI"/>
          <w:b w:val="0"/>
          <w:i w:val="0"/>
          <w:color w:val="0B1F2E"/>
          <w:sz w:val="22"/>
        </w:rPr>
        <w:t>Security &amp; Compliance Highlights</w:t>
      </w:r>
    </w:p>
    <w:p>
      <w:pPr>
        <w:tabs>
          <w:tab w:pos="9360" w:val="right" w:leader="hyphen"/>
        </w:tabs>
        <w:spacing w:after="80"/>
      </w:pPr>
      <w:r>
        <w:rPr>
          <w:rFonts w:ascii="Segoe UI" w:hAnsi="Segoe UI" w:cs="Segoe UI"/>
          <w:b/>
          <w:i w:val="0"/>
          <w:color w:val="008A7C"/>
          <w:sz w:val="22"/>
        </w:rPr>
        <w:t xml:space="preserve">6.  </w:t>
      </w:r>
      <w:r>
        <w:rPr>
          <w:rFonts w:ascii="Segoe UI" w:hAnsi="Segoe UI" w:cs="Segoe UI"/>
          <w:b w:val="0"/>
          <w:i w:val="0"/>
          <w:color w:val="0B1F2E"/>
          <w:sz w:val="22"/>
        </w:rPr>
        <w:t>Roadmap</w:t>
      </w:r>
    </w:p>
    <w:p>
      <w:r>
        <w:br w:type="page"/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1. Executive Summary</w:t>
      </w:r>
    </w:p>
    <w:p>
      <w:r>
        <w:rPr>
          <w:rFonts w:ascii="Segoe UI" w:hAnsi="Segoe UI" w:cs="Segoe UI"/>
          <w:b w:val="0"/>
          <w:i w:val="0"/>
          <w:color w:val="0B1F2E"/>
          <w:sz w:val="21"/>
        </w:rPr>
        <w:t>NexusFinance is a full-stack digital lending platform built for microfinance operations in Cambodia. It covers the complete lending lifecycle — from customer loan applications, through officer review and KYC verification, to repayment collection via KHQR payments — with real-time oversight through a secure web dashboard and a Telegram bot.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2E7D32"/>
            </w:tcBorders>
            <w:shd w:val="clear" w:fill="E8F5E9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Why this matters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NexusFinance replaces manual, paper-based lending workflows with a secure, auditable, and bilingual (English / Khmer) digital system.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2. What We Delivered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Capability</w:t>
            </w:r>
          </w:p>
        </w:tc>
        <w:tc>
          <w:tcPr>
            <w:tcW w:type="dxa" w:w="66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Web App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React SPA with three portals — Customer, Loan Officer, Super Admin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Backend API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Node.js/Express REST API with JWT authentication and audit logging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Auth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Email + password with Brevo OTP verification — login blocked until the email is verified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Payments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KHQR (Bakong) integration and ABA PayWay webhooks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Bot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Payment notifications, reminders, admin commands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Android App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Expo WebView shell — installable APK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Deployment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Vercel (frontend) + Render (backend) + Supabase (database)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3. Demo Accounts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06"/>
        <w:gridCol w:w="3106"/>
        <w:gridCol w:w="3106"/>
      </w:tblGrid>
      <w:tr>
        <w:tc>
          <w:tcPr>
            <w:tcW w:type="dxa" w:w="230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374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Email</w:t>
            </w:r>
          </w:p>
        </w:tc>
        <w:tc>
          <w:tcPr>
            <w:tcW w:type="dxa" w:w="3168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Password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Customer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customer@nexus.com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password123</w:t>
            </w:r>
          </w:p>
        </w:tc>
      </w:tr>
      <w:tr>
        <w:tc>
          <w:tcPr>
            <w:tcW w:type="dxa" w:w="230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Loan Officer</w:t>
            </w:r>
          </w:p>
        </w:tc>
        <w:tc>
          <w:tcPr>
            <w:tcW w:type="dxa" w:w="374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officer@nexus.com</w:t>
            </w:r>
          </w:p>
        </w:tc>
        <w:tc>
          <w:tcPr>
            <w:tcW w:type="dxa" w:w="3168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password123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Super Admin</w:t>
            </w:r>
          </w:p>
        </w:tc>
        <w:tc>
          <w:tcPr>
            <w:tcW w:type="dxa" w:w="37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admin@nexus.com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password123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17"/>
      </w:tblGrid>
      <w:tr>
        <w:tc>
          <w:tcPr>
            <w:tcW w:type="dxa" w:w="9317"/>
            <w:tcBorders>
              <w:left w:val="single" w:sz="28" w:space="0" w:color="00BDAA"/>
            </w:tcBorders>
            <w:shd w:val="clear" w:fill="E0F7F4"/>
            <w:tcMar>
              <w:top w:w="140" w:type="dxa"/>
              <w:start w:w="200" w:type="dxa"/>
              <w:bottom w:w="1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Segoe UI" w:hAnsi="Segoe UI" w:cs="Segoe UI"/>
                <w:b/>
                <w:i w:val="0"/>
                <w:color w:val="0B1F2E"/>
                <w:sz w:val="21"/>
              </w:rPr>
              <w:t>Security note</w:t>
            </w:r>
          </w:p>
          <w:p>
            <w:pPr>
              <w:spacing w:after="0"/>
            </w:pPr>
            <w:r>
              <w:rPr>
                <w:rFonts w:ascii="Segoe UI" w:hAnsi="Segoe UI" w:cs="Segoe UI"/>
                <w:b w:val="0"/>
                <w:i w:val="0"/>
                <w:color w:val="0B1F2E"/>
                <w:sz w:val="20"/>
              </w:rPr>
              <w:t>All passwords are stored as bcrypt hashes. OTP codes are hashed and expire after 10 minutes. All admin actions are written to an immutable audit log.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4.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58"/>
        <w:gridCol w:w="4658"/>
      </w:tblGrid>
      <w:tr>
        <w:tc>
          <w:tcPr>
            <w:tcW w:type="dxa" w:w="2592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6624"/>
            <w:shd w:val="clear" w:fill="0B1F2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Segoe UI" w:hAnsi="Segoe UI" w:cs="Segoe UI"/>
                <w:b/>
                <w:i w:val="0"/>
                <w:color w:val="FFFFFF"/>
                <w:sz w:val="19"/>
              </w:rPr>
              <w:t>Technology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Frontend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React 18, TypeScript, Vite, Tailwind CSS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Backend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Node.js, Express, TypeScript (tsx)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Database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Supabase (PostgreSQL)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Auth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JWT + bcrypt + Brevo OTP email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Hosting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Vercel (frontend) + Render (backend)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Payments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KHQR / EMVCo QR, ABA PayWay (sandbox)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Notifications</w:t>
            </w:r>
          </w:p>
        </w:tc>
        <w:tc>
          <w:tcPr>
            <w:tcW w:type="dxa" w:w="6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Telegram Bot API, Brevo transactional email</w:t>
            </w:r>
          </w:p>
        </w:tc>
      </w:tr>
      <w:tr>
        <w:tc>
          <w:tcPr>
            <w:tcW w:type="dxa" w:w="2592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Mobile</w:t>
            </w:r>
          </w:p>
        </w:tc>
        <w:tc>
          <w:tcPr>
            <w:tcW w:type="dxa" w:w="6624"/>
            <w:shd w:val="clear" w:fill="F4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20"/>
            </w:pPr>
            <w:r/>
            <w:r>
              <w:rPr>
                <w:rFonts w:ascii="Segoe UI" w:hAnsi="Segoe UI" w:cs="Segoe UI"/>
                <w:b w:val="0"/>
                <w:i w:val="0"/>
                <w:color w:val="0B1F2E"/>
                <w:sz w:val="19"/>
              </w:rPr>
              <w:t>Expo SDK 57, React Native WebView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5. Security &amp; Compliance Highlights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JWT sessions with server-side role enforcement (customer / loan-officer / super-admin)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Bcrypt password hashing — no plain-text credentials stored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Email OTP verification required before first login (new accounts are locked until verified)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Full audit log with timestamps for every sensitive action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Rate limiting on auth endpoints to prevent brute force</w:t>
      </w:r>
    </w:p>
    <w:p>
      <w:pPr>
        <w:pStyle w:val="ListBullet"/>
        <w:spacing w:after="60"/>
        <w:ind w:left="432"/>
      </w:pPr>
      <w:r>
        <w:rPr>
          <w:rFonts w:ascii="Segoe UI" w:hAnsi="Segoe UI" w:cs="Segoe UI"/>
          <w:b w:val="0"/>
          <w:i w:val="0"/>
          <w:color w:val="0B1F2E"/>
          <w:sz w:val="21"/>
        </w:rPr>
        <w:t>Environment variables keep all secrets out of the codebase</w:t>
      </w:r>
    </w:p>
    <w:p>
      <w:pPr>
        <w:pStyle w:val="Heading1"/>
        <w:spacing w:before="360" w:after="120"/>
        <w:pBdr>
          <w:bottom w:val="single" w:sz="12" w:space="4" w:color="00BDAA"/>
        </w:pBdr>
      </w:pPr>
      <w:r>
        <w:rPr>
          <w:rFonts w:ascii="Segoe UI" w:hAnsi="Segoe UI" w:cs="Segoe UI"/>
          <w:b/>
          <w:i w:val="0"/>
          <w:color w:val="0B1F2E"/>
          <w:sz w:val="32"/>
        </w:rPr>
        <w:t>6. Roadmap</w:t>
      </w:r>
    </w:p>
    <w:p>
      <w:pPr>
        <w:spacing w:after="80"/>
        <w:ind w:left="216"/>
      </w:pPr>
      <w:r>
        <w:rPr>
          <w:rFonts w:ascii="Segoe UI" w:hAnsi="Segoe UI" w:cs="Segoe UI"/>
          <w:b/>
          <w:i w:val="0"/>
          <w:color w:val="008A7C"/>
          <w:sz w:val="21"/>
        </w:rPr>
        <w:t xml:space="preserve">☑  </w:t>
      </w:r>
      <w:r>
        <w:rPr>
          <w:rFonts w:ascii="Segoe UI" w:hAnsi="Segoe UI" w:cs="Segoe UI"/>
          <w:b w:val="0"/>
          <w:i w:val="0"/>
          <w:color w:val="0B1F2E"/>
          <w:sz w:val="21"/>
        </w:rPr>
        <w:t>Go live with ABA PayWay production webhooks</w:t>
      </w:r>
    </w:p>
    <w:p>
      <w:pPr>
        <w:spacing w:after="80"/>
        <w:ind w:left="216"/>
      </w:pPr>
      <w:r>
        <w:rPr>
          <w:rFonts w:ascii="Segoe UI" w:hAnsi="Segoe UI" w:cs="Segoe UI"/>
          <w:b/>
          <w:i w:val="0"/>
          <w:color w:val="008A7C"/>
          <w:sz w:val="21"/>
        </w:rPr>
        <w:t xml:space="preserve">☑  </w:t>
      </w:r>
      <w:r>
        <w:rPr>
          <w:rFonts w:ascii="Segoe UI" w:hAnsi="Segoe UI" w:cs="Segoe UI"/>
          <w:b w:val="0"/>
          <w:i w:val="0"/>
          <w:color w:val="0B1F2E"/>
          <w:sz w:val="21"/>
        </w:rPr>
        <w:t>Add ACLEDA bank integration for payment notifications</w:t>
      </w:r>
    </w:p>
    <w:p>
      <w:pPr>
        <w:spacing w:after="80"/>
        <w:ind w:left="216"/>
      </w:pPr>
      <w:r>
        <w:rPr>
          <w:rFonts w:ascii="Segoe UI" w:hAnsi="Segoe UI" w:cs="Segoe UI"/>
          <w:b/>
          <w:i w:val="0"/>
          <w:color w:val="008A7C"/>
          <w:sz w:val="21"/>
        </w:rPr>
        <w:t xml:space="preserve">☑  </w:t>
      </w:r>
      <w:r>
        <w:rPr>
          <w:rFonts w:ascii="Segoe UI" w:hAnsi="Segoe UI" w:cs="Segoe UI"/>
          <w:b w:val="0"/>
          <w:i w:val="0"/>
          <w:color w:val="0B1F2E"/>
          <w:sz w:val="21"/>
        </w:rPr>
        <w:t>Connect Vercel auto-deploys (already connected)</w:t>
      </w:r>
    </w:p>
    <w:p>
      <w:pPr>
        <w:spacing w:after="80"/>
        <w:ind w:left="216"/>
      </w:pPr>
      <w:r>
        <w:rPr>
          <w:rFonts w:ascii="Segoe UI" w:hAnsi="Segoe UI" w:cs="Segoe UI"/>
          <w:b/>
          <w:i w:val="0"/>
          <w:color w:val="008A7C"/>
          <w:sz w:val="21"/>
        </w:rPr>
        <w:t xml:space="preserve">☑  </w:t>
      </w:r>
      <w:r>
        <w:rPr>
          <w:rFonts w:ascii="Segoe UI" w:hAnsi="Segoe UI" w:cs="Segoe UI"/>
          <w:b w:val="0"/>
          <w:i w:val="0"/>
          <w:color w:val="0B1F2E"/>
          <w:sz w:val="21"/>
        </w:rPr>
        <w:t>Add Google OAuth sign-in (deferred)</w:t>
      </w:r>
    </w:p>
    <w:p>
      <w:pPr>
        <w:spacing w:after="80"/>
        <w:ind w:left="216"/>
      </w:pPr>
      <w:r>
        <w:rPr>
          <w:rFonts w:ascii="Segoe UI" w:hAnsi="Segoe UI" w:cs="Segoe UI"/>
          <w:b/>
          <w:i w:val="0"/>
          <w:color w:val="008A7C"/>
          <w:sz w:val="21"/>
        </w:rPr>
        <w:t xml:space="preserve">☑  </w:t>
      </w:r>
      <w:r>
        <w:rPr>
          <w:rFonts w:ascii="Segoe UI" w:hAnsi="Segoe UI" w:cs="Segoe UI"/>
          <w:b w:val="0"/>
          <w:i w:val="0"/>
          <w:color w:val="0B1F2E"/>
          <w:sz w:val="21"/>
        </w:rPr>
        <w:t>Launch customer mobile app to app stores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Segoe UI" w:hAnsi="Segoe UI" w:cs="Segoe UI"/>
        <w:b w:val="0"/>
        <w:i w:val="0"/>
        <w:color w:val="6B7A89"/>
        <w:sz w:val="16"/>
      </w:rPr>
      <w:t>NexusFinance — Executive Overview  •  NF-DOC-001  •  Internal &amp; Confidential</w:t>
    </w:r>
    <w:r>
      <w:rPr>
        <w:rFonts w:ascii="Segoe UI" w:hAnsi="Segoe UI" w:cs="Segoe UI"/>
        <w:b w:val="0"/>
        <w:i w:val="0"/>
        <w:color w:val="6B7A89"/>
        <w:sz w:val="16"/>
      </w:rPr>
      <w:t xml:space="preserve">  •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24" w:lineRule="auto"/>
    </w:pPr>
    <w:rPr>
      <w:rFonts w:ascii="Segoe UI" w:hAnsi="Segoe UI" w:cs="Segoe UI"/>
      <w:color w:val="0B1F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