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541" w:rsidRPr="006C3D81" w:rsidRDefault="006C3D81" w:rsidP="006C3D81">
      <w:pPr>
        <w:spacing w:line="480" w:lineRule="auto"/>
        <w:rPr>
          <w:b/>
          <w:i/>
        </w:rPr>
      </w:pPr>
      <w:r>
        <w:rPr>
          <w:b/>
          <w:i/>
        </w:rPr>
        <w:t>Introduction</w:t>
      </w:r>
    </w:p>
    <w:p w:rsidR="006C3D81" w:rsidRDefault="006C3D81" w:rsidP="006C3D81">
      <w:pPr>
        <w:spacing w:line="480" w:lineRule="auto"/>
        <w:ind w:firstLine="720"/>
      </w:pPr>
      <w:r>
        <w:t>The impact of a powerful mentor on a youth during the period of adolescence cannot be trivialized. A positive mentorship creates a paramount opportunity to create an everlasting change in an adolescent with negative risk factors as they transitions into adulthood. Therefore, programs such as Campus Connections supply these at-risk adolescents with a positive mentor in order to promote positive outcomes as the adolescents make this adulthood transition. However, many of these adolescents have negative risk factors such as: Coming from a low income family, participating in substance use, and having troubles with academics or home-life.  These risk factors have the consequence of making adolescents more at risk for dropping out of the Campus Connections program before its appropriate end – thus minimizing an adolescent participant’s ability to obtain the full positive mentorship experience.</w:t>
      </w:r>
      <w:r w:rsidRPr="00EA3EDF">
        <w:t xml:space="preserve"> </w:t>
      </w:r>
      <w:r>
        <w:t>Even more concerning is that these adolescents with higher risk factors are likely the most in need of a positive mentor relationship during their life during this critical time period.</w:t>
      </w:r>
      <w:r w:rsidRPr="006E4ACC">
        <w:t xml:space="preserve"> </w:t>
      </w:r>
      <w:r>
        <w:t xml:space="preserve">An unfortunate reality is that identifying the adolescent participants most likely to contribute to program attrition has its challenges.  Therefore, the focus of this study is to reduce that challenge by applying an already validated and reliable measure to identify risk factors that are associated with adolescent program dropout. The validated measure utilized for this study was the </w:t>
      </w:r>
      <w:r w:rsidRPr="00A53F49">
        <w:rPr>
          <w:i/>
        </w:rPr>
        <w:t xml:space="preserve">Risk Assessment </w:t>
      </w:r>
      <w:r>
        <w:t xml:space="preserve">measure developed by Herrera, Dubois, &amp; Grossman (2013) which is taken by adolescent caretakers prior to the Campus Connection program start. This validated measure assesses and quantifies risk factors that adolescents are experiencing, at home and in life into a more understandable single composite score. A higher score on this assessment indicates more risk factors associated with the adolescent participant. Using this measure, we built a predictive model to assess the association between the </w:t>
      </w:r>
      <w:r>
        <w:rPr>
          <w:i/>
        </w:rPr>
        <w:t xml:space="preserve">Risk Assessment </w:t>
      </w:r>
      <w:r>
        <w:t xml:space="preserve">composite score and likelihood of participant dropout. </w:t>
      </w:r>
    </w:p>
    <w:p w:rsidR="00424541" w:rsidRDefault="00424541" w:rsidP="006C3D81">
      <w:pPr>
        <w:pStyle w:val="ListParagraph"/>
        <w:spacing w:line="480" w:lineRule="auto"/>
      </w:pPr>
    </w:p>
    <w:p w:rsidR="00424541" w:rsidRDefault="00424541" w:rsidP="00011FB6">
      <w:pPr>
        <w:spacing w:line="480" w:lineRule="auto"/>
      </w:pPr>
      <w:r>
        <w:lastRenderedPageBreak/>
        <w:t xml:space="preserve">Absentee Outline: </w:t>
      </w:r>
    </w:p>
    <w:p w:rsidR="00424541" w:rsidRDefault="00424541" w:rsidP="00424541">
      <w:pPr>
        <w:pStyle w:val="ListParagraph"/>
        <w:numPr>
          <w:ilvl w:val="0"/>
          <w:numId w:val="2"/>
        </w:numPr>
        <w:spacing w:line="480" w:lineRule="auto"/>
      </w:pPr>
      <w:r>
        <w:t>Importance of mentorship programs</w:t>
      </w:r>
    </w:p>
    <w:p w:rsidR="00424541" w:rsidRDefault="00424541" w:rsidP="00424541">
      <w:pPr>
        <w:pStyle w:val="ListParagraph"/>
        <w:numPr>
          <w:ilvl w:val="0"/>
          <w:numId w:val="2"/>
        </w:numPr>
        <w:spacing w:line="480" w:lineRule="auto"/>
      </w:pPr>
      <w:r>
        <w:t>Absenteeism and dropout</w:t>
      </w:r>
    </w:p>
    <w:p w:rsidR="00424541" w:rsidRDefault="00424541" w:rsidP="00424541">
      <w:pPr>
        <w:pStyle w:val="ListParagraph"/>
        <w:numPr>
          <w:ilvl w:val="0"/>
          <w:numId w:val="2"/>
        </w:numPr>
        <w:spacing w:line="480" w:lineRule="auto"/>
      </w:pPr>
      <w:r>
        <w:t xml:space="preserve">Importance of social programs in the community </w:t>
      </w:r>
    </w:p>
    <w:p w:rsidR="00424541" w:rsidRDefault="00424541" w:rsidP="000060EB">
      <w:pPr>
        <w:spacing w:line="480" w:lineRule="auto"/>
      </w:pPr>
    </w:p>
    <w:p w:rsidR="00005129" w:rsidRDefault="00005129" w:rsidP="00011FB6">
      <w:pPr>
        <w:spacing w:line="480" w:lineRule="auto"/>
      </w:pPr>
    </w:p>
    <w:p w:rsidR="00005129" w:rsidRDefault="00005129" w:rsidP="00011FB6">
      <w:pPr>
        <w:spacing w:line="480" w:lineRule="auto"/>
        <w:rPr>
          <w:b/>
        </w:rPr>
      </w:pPr>
      <w:r>
        <w:rPr>
          <w:b/>
        </w:rPr>
        <w:t>Methods</w:t>
      </w:r>
    </w:p>
    <w:p w:rsidR="005E218A" w:rsidRPr="005E218A" w:rsidRDefault="005E218A" w:rsidP="00011FB6">
      <w:pPr>
        <w:spacing w:line="480" w:lineRule="auto"/>
        <w:rPr>
          <w:i/>
        </w:rPr>
      </w:pPr>
      <w:r w:rsidRPr="005E218A">
        <w:rPr>
          <w:i/>
        </w:rPr>
        <w:t>Data Collection</w:t>
      </w:r>
    </w:p>
    <w:p w:rsidR="00E63E18" w:rsidRDefault="006F3D34" w:rsidP="00011FB6">
      <w:pPr>
        <w:spacing w:line="480" w:lineRule="auto"/>
      </w:pPr>
      <w:r>
        <w:rPr>
          <w:b/>
        </w:rPr>
        <w:tab/>
      </w:r>
      <w:r>
        <w:t>Data from this study were taken from f</w:t>
      </w:r>
      <w:r w:rsidR="00864A31">
        <w:t>our semesters of CC. Within each semester of CC there is one session during four nights of the week (Monday, Tuesday, Wednesday and Thursday).</w:t>
      </w:r>
      <w:r w:rsidR="005E218A">
        <w:t xml:space="preserve"> A total of </w:t>
      </w:r>
      <w:r w:rsidR="00C00DD4">
        <w:t xml:space="preserve">609 mentee participants were recruited for participation of the Campus Connections Program from the </w:t>
      </w:r>
      <w:proofErr w:type="gramStart"/>
      <w:r w:rsidR="00C00DD4">
        <w:t>Fall</w:t>
      </w:r>
      <w:proofErr w:type="gramEnd"/>
      <w:r w:rsidR="00C00DD4">
        <w:t xml:space="preserve"> of 2015 to Spring of 2017. Of the 609 individuals, a total of 458</w:t>
      </w:r>
      <w:r w:rsidR="00E63E18">
        <w:t xml:space="preserve"> individuals did not start the Campus Connections program by the start of the program (25% attrition). Of the 458 mentees that started the CC program, a total of 45 dropped out and did not progress throughout the course of the entire program (10% attrition). </w:t>
      </w:r>
    </w:p>
    <w:p w:rsidR="000060EB" w:rsidRDefault="00F0278B" w:rsidP="00011FB6">
      <w:pPr>
        <w:spacing w:line="480" w:lineRule="auto"/>
      </w:pPr>
      <w:r>
        <w:tab/>
        <w:t xml:space="preserve">Additionally, </w:t>
      </w:r>
      <w:r w:rsidR="00E63E18">
        <w:t xml:space="preserve">program attendance data was collected throughout the mentees 12 weeks. </w:t>
      </w:r>
      <w:r w:rsidR="000060EB">
        <w:t xml:space="preserve">Data was recorded from CC program staff on night of expected attendance. </w:t>
      </w:r>
      <w:r>
        <w:t>The average attendance of mentees attending the program was 9 days. However, the program attendance ranges from 1 day of attendance to the completed total 12 days of attendance</w:t>
      </w:r>
      <w:r w:rsidR="000060EB">
        <w:t xml:space="preserve">. </w:t>
      </w:r>
    </w:p>
    <w:p w:rsidR="000060EB" w:rsidRDefault="000060EB" w:rsidP="00011FB6">
      <w:pPr>
        <w:spacing w:line="480" w:lineRule="auto"/>
      </w:pPr>
      <w:r>
        <w:tab/>
      </w:r>
    </w:p>
    <w:p w:rsidR="00864A31" w:rsidRDefault="00864A31" w:rsidP="00011FB6">
      <w:pPr>
        <w:spacing w:line="480" w:lineRule="auto"/>
      </w:pPr>
    </w:p>
    <w:p w:rsidR="00864A31" w:rsidRDefault="00864A31" w:rsidP="00011FB6">
      <w:pPr>
        <w:spacing w:line="480" w:lineRule="auto"/>
      </w:pPr>
    </w:p>
    <w:p w:rsidR="006F3D34" w:rsidRDefault="006F3D34" w:rsidP="00011FB6">
      <w:pPr>
        <w:spacing w:line="480" w:lineRule="auto"/>
        <w:rPr>
          <w:b/>
        </w:rPr>
      </w:pPr>
      <w:r>
        <w:rPr>
          <w:b/>
        </w:rPr>
        <w:t>Table 1: Descriptive Statistics of Campus Connections Youth Participants</w:t>
      </w:r>
    </w:p>
    <w:tbl>
      <w:tblPr>
        <w:tblW w:w="0" w:type="auto"/>
        <w:jc w:val="center"/>
        <w:tblLayout w:type="fixed"/>
        <w:tblCellMar>
          <w:left w:w="0" w:type="dxa"/>
          <w:right w:w="0" w:type="dxa"/>
        </w:tblCellMar>
        <w:tblLook w:val="0000" w:firstRow="0" w:lastRow="0" w:firstColumn="0" w:lastColumn="0" w:noHBand="0" w:noVBand="0"/>
      </w:tblPr>
      <w:tblGrid>
        <w:gridCol w:w="1777"/>
        <w:gridCol w:w="1203"/>
        <w:gridCol w:w="867"/>
      </w:tblGrid>
      <w:tr w:rsidR="00BD7B8D" w:rsidTr="006F3D34">
        <w:trPr>
          <w:cantSplit/>
          <w:tblHeader/>
          <w:jc w:val="center"/>
        </w:trPr>
        <w:tc>
          <w:tcPr>
            <w:tcW w:w="1777" w:type="dxa"/>
            <w:tcBorders>
              <w:top w:val="single" w:sz="4" w:space="0" w:color="auto"/>
              <w:left w:val="single" w:sz="4" w:space="0" w:color="auto"/>
              <w:bottom w:val="single" w:sz="4" w:space="0" w:color="000000"/>
              <w:right w:val="nil"/>
            </w:tcBorders>
            <w:shd w:val="clear" w:color="auto" w:fill="FFFFFF"/>
            <w:tcMar>
              <w:left w:w="67" w:type="dxa"/>
              <w:right w:w="67" w:type="dxa"/>
            </w:tcMar>
            <w:vAlign w:val="bottom"/>
          </w:tcPr>
          <w:p w:rsidR="00BD7B8D" w:rsidRPr="00934151" w:rsidRDefault="006F3D34" w:rsidP="00934151">
            <w:pPr>
              <w:keepNext/>
              <w:adjustRightInd w:val="0"/>
              <w:spacing w:before="67" w:after="67"/>
              <w:jc w:val="center"/>
              <w:rPr>
                <w:rFonts w:ascii="Arial" w:hAnsi="Arial" w:cs="Arial"/>
                <w:b/>
                <w:i/>
                <w:iCs/>
                <w:color w:val="000000"/>
                <w:sz w:val="19"/>
                <w:szCs w:val="19"/>
              </w:rPr>
            </w:pPr>
            <w:r>
              <w:rPr>
                <w:rFonts w:ascii="Arial" w:hAnsi="Arial" w:cs="Arial"/>
                <w:b/>
                <w:i/>
                <w:iCs/>
                <w:color w:val="000000"/>
                <w:sz w:val="19"/>
                <w:szCs w:val="19"/>
              </w:rPr>
              <w:t xml:space="preserve">Parental </w:t>
            </w:r>
            <w:r w:rsidR="00BD7B8D" w:rsidRPr="00934151">
              <w:rPr>
                <w:rFonts w:ascii="Arial" w:hAnsi="Arial" w:cs="Arial"/>
                <w:b/>
                <w:i/>
                <w:iCs/>
                <w:color w:val="000000"/>
                <w:sz w:val="19"/>
                <w:szCs w:val="19"/>
              </w:rPr>
              <w:t>Income</w:t>
            </w:r>
          </w:p>
        </w:tc>
        <w:tc>
          <w:tcPr>
            <w:tcW w:w="1203" w:type="dxa"/>
            <w:tcBorders>
              <w:top w:val="single" w:sz="4" w:space="0" w:color="auto"/>
              <w:left w:val="nil"/>
              <w:bottom w:val="single" w:sz="4" w:space="0" w:color="000000"/>
              <w:right w:val="nil"/>
            </w:tcBorders>
            <w:shd w:val="clear" w:color="auto" w:fill="FFFFFF"/>
            <w:tcMar>
              <w:left w:w="67" w:type="dxa"/>
              <w:right w:w="67" w:type="dxa"/>
            </w:tcMar>
            <w:vAlign w:val="bottom"/>
          </w:tcPr>
          <w:p w:rsidR="00BD7B8D" w:rsidRDefault="00BD7B8D"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Frequency</w:t>
            </w:r>
          </w:p>
        </w:tc>
        <w:tc>
          <w:tcPr>
            <w:tcW w:w="867" w:type="dxa"/>
            <w:tcBorders>
              <w:top w:val="single" w:sz="4" w:space="0" w:color="auto"/>
              <w:left w:val="nil"/>
              <w:bottom w:val="single" w:sz="4" w:space="0" w:color="000000"/>
              <w:right w:val="single" w:sz="4" w:space="0" w:color="auto"/>
            </w:tcBorders>
            <w:shd w:val="clear" w:color="auto" w:fill="FFFFFF"/>
            <w:tcMar>
              <w:left w:w="67" w:type="dxa"/>
              <w:right w:w="67" w:type="dxa"/>
            </w:tcMar>
            <w:vAlign w:val="bottom"/>
          </w:tcPr>
          <w:p w:rsidR="00BD7B8D" w:rsidRDefault="00BD7B8D"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Percent</w:t>
            </w:r>
          </w:p>
        </w:tc>
      </w:tr>
      <w:tr w:rsidR="00BD7B8D" w:rsidTr="00934151">
        <w:trPr>
          <w:cantSplit/>
          <w:jc w:val="center"/>
        </w:trPr>
        <w:tc>
          <w:tcPr>
            <w:tcW w:w="1777" w:type="dxa"/>
            <w:tcBorders>
              <w:top w:val="single" w:sz="4" w:space="0" w:color="000000"/>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&lt;$20,000</w:t>
            </w:r>
          </w:p>
        </w:tc>
        <w:tc>
          <w:tcPr>
            <w:tcW w:w="1203" w:type="dxa"/>
            <w:tcBorders>
              <w:top w:val="single" w:sz="4" w:space="0" w:color="000000"/>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98</w:t>
            </w:r>
          </w:p>
        </w:tc>
        <w:tc>
          <w:tcPr>
            <w:tcW w:w="867" w:type="dxa"/>
            <w:tcBorders>
              <w:top w:val="single" w:sz="4" w:space="0" w:color="000000"/>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21.88</w:t>
            </w:r>
          </w:p>
        </w:tc>
      </w:tr>
      <w:tr w:rsidR="00BD7B8D" w:rsidTr="00934151">
        <w:trPr>
          <w:cantSplit/>
          <w:jc w:val="center"/>
        </w:trPr>
        <w:tc>
          <w:tcPr>
            <w:tcW w:w="1777"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$20,000 to $39,999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145</w:t>
            </w:r>
          </w:p>
        </w:tc>
        <w:tc>
          <w:tcPr>
            <w:tcW w:w="867"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32.37</w:t>
            </w:r>
          </w:p>
        </w:tc>
      </w:tr>
      <w:tr w:rsidR="00BD7B8D" w:rsidTr="00934151">
        <w:trPr>
          <w:cantSplit/>
          <w:jc w:val="center"/>
        </w:trPr>
        <w:tc>
          <w:tcPr>
            <w:tcW w:w="1777"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i/>
                <w:iCs/>
                <w:color w:val="000000"/>
                <w:sz w:val="19"/>
                <w:szCs w:val="19"/>
              </w:rPr>
            </w:pPr>
            <w:r w:rsidRPr="005D67B5">
              <w:rPr>
                <w:rFonts w:ascii="Arial" w:hAnsi="Arial" w:cs="Arial"/>
                <w:i/>
                <w:iCs/>
                <w:color w:val="000000"/>
                <w:sz w:val="19"/>
                <w:szCs w:val="19"/>
              </w:rPr>
              <w:t>$40,000 to $59,999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81</w:t>
            </w:r>
          </w:p>
        </w:tc>
        <w:tc>
          <w:tcPr>
            <w:tcW w:w="867" w:type="dxa"/>
            <w:tcBorders>
              <w:top w:val="nil"/>
              <w:left w:val="single" w:sz="4" w:space="0" w:color="auto"/>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18.08</w:t>
            </w:r>
          </w:p>
        </w:tc>
      </w:tr>
      <w:tr w:rsidR="00BD7B8D" w:rsidTr="00934151">
        <w:trPr>
          <w:cantSplit/>
          <w:jc w:val="center"/>
        </w:trPr>
        <w:tc>
          <w:tcPr>
            <w:tcW w:w="1777"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i/>
                <w:iCs/>
                <w:color w:val="000000"/>
                <w:sz w:val="19"/>
                <w:szCs w:val="19"/>
              </w:rPr>
            </w:pPr>
            <w:r w:rsidRPr="005D67B5">
              <w:rPr>
                <w:rFonts w:ascii="Arial" w:hAnsi="Arial" w:cs="Arial"/>
                <w:i/>
                <w:iCs/>
                <w:color w:val="000000"/>
                <w:sz w:val="19"/>
                <w:szCs w:val="19"/>
              </w:rPr>
              <w:t>$60,000 to $79,999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51</w:t>
            </w:r>
          </w:p>
        </w:tc>
        <w:tc>
          <w:tcPr>
            <w:tcW w:w="867"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11.38</w:t>
            </w:r>
          </w:p>
        </w:tc>
        <w:bookmarkStart w:id="0" w:name="_GoBack"/>
        <w:bookmarkEnd w:id="0"/>
      </w:tr>
      <w:tr w:rsidR="00BD7B8D" w:rsidTr="00934151">
        <w:trPr>
          <w:cantSplit/>
          <w:jc w:val="center"/>
        </w:trPr>
        <w:tc>
          <w:tcPr>
            <w:tcW w:w="1777"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i/>
                <w:iCs/>
                <w:color w:val="000000"/>
                <w:sz w:val="19"/>
                <w:szCs w:val="19"/>
              </w:rPr>
            </w:pPr>
            <w:r w:rsidRPr="005D67B5">
              <w:rPr>
                <w:rFonts w:ascii="Arial" w:hAnsi="Arial" w:cs="Arial"/>
                <w:i/>
                <w:iCs/>
                <w:color w:val="000000"/>
                <w:sz w:val="19"/>
                <w:szCs w:val="19"/>
              </w:rPr>
              <w:t>$80,000 to $99,999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23</w:t>
            </w:r>
          </w:p>
        </w:tc>
        <w:tc>
          <w:tcPr>
            <w:tcW w:w="867" w:type="dxa"/>
            <w:tcBorders>
              <w:top w:val="nil"/>
              <w:left w:val="single" w:sz="4" w:space="0" w:color="auto"/>
              <w:bottom w:val="nil"/>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5.13</w:t>
            </w:r>
          </w:p>
        </w:tc>
      </w:tr>
      <w:tr w:rsidR="00BD7B8D" w:rsidTr="00934151">
        <w:trPr>
          <w:cantSplit/>
          <w:jc w:val="center"/>
        </w:trPr>
        <w:tc>
          <w:tcPr>
            <w:tcW w:w="1777" w:type="dxa"/>
            <w:tcBorders>
              <w:top w:val="nil"/>
              <w:left w:val="single" w:sz="4" w:space="0" w:color="auto"/>
              <w:bottom w:val="single" w:sz="4" w:space="0" w:color="auto"/>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i/>
                <w:iCs/>
                <w:color w:val="000000"/>
                <w:sz w:val="19"/>
                <w:szCs w:val="19"/>
              </w:rPr>
            </w:pPr>
            <w:r w:rsidRPr="005D67B5">
              <w:rPr>
                <w:rFonts w:ascii="Arial" w:hAnsi="Arial" w:cs="Arial"/>
                <w:i/>
                <w:iCs/>
                <w:color w:val="000000"/>
                <w:sz w:val="19"/>
                <w:szCs w:val="19"/>
              </w:rPr>
              <w:t>$100,000 or more</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50</w:t>
            </w:r>
          </w:p>
        </w:tc>
        <w:tc>
          <w:tcPr>
            <w:tcW w:w="867" w:type="dxa"/>
            <w:tcBorders>
              <w:top w:val="nil"/>
              <w:left w:val="single" w:sz="4" w:space="0" w:color="auto"/>
              <w:bottom w:val="single" w:sz="4" w:space="0" w:color="auto"/>
              <w:right w:val="single" w:sz="4" w:space="0" w:color="auto"/>
            </w:tcBorders>
            <w:shd w:val="clear" w:color="auto" w:fill="FFFFFF"/>
            <w:tcMar>
              <w:left w:w="67" w:type="dxa"/>
              <w:right w:w="67" w:type="dxa"/>
            </w:tcMar>
          </w:tcPr>
          <w:p w:rsidR="00BD7B8D" w:rsidRDefault="00BD7B8D"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11.16</w:t>
            </w:r>
          </w:p>
        </w:tc>
      </w:tr>
      <w:tr w:rsidR="00934151" w:rsidTr="00934151">
        <w:trPr>
          <w:cantSplit/>
          <w:jc w:val="center"/>
        </w:trPr>
        <w:tc>
          <w:tcPr>
            <w:tcW w:w="1777" w:type="dxa"/>
            <w:tcBorders>
              <w:top w:val="single" w:sz="4" w:space="0" w:color="auto"/>
              <w:left w:val="single" w:sz="4" w:space="0" w:color="auto"/>
              <w:bottom w:val="single" w:sz="4" w:space="0" w:color="auto"/>
              <w:right w:val="nil"/>
            </w:tcBorders>
            <w:shd w:val="clear" w:color="auto" w:fill="FFFFFF"/>
            <w:tcMar>
              <w:left w:w="67" w:type="dxa"/>
              <w:right w:w="67" w:type="dxa"/>
            </w:tcMar>
          </w:tcPr>
          <w:p w:rsidR="00934151" w:rsidRPr="00934151" w:rsidRDefault="00934151" w:rsidP="00934151">
            <w:pPr>
              <w:keepNext/>
              <w:adjustRightInd w:val="0"/>
              <w:spacing w:before="67" w:after="67"/>
              <w:jc w:val="center"/>
              <w:rPr>
                <w:rFonts w:ascii="Arial" w:hAnsi="Arial" w:cs="Arial"/>
                <w:b/>
                <w:i/>
                <w:iCs/>
                <w:color w:val="000000"/>
                <w:sz w:val="19"/>
                <w:szCs w:val="19"/>
              </w:rPr>
            </w:pPr>
            <w:r w:rsidRPr="00934151">
              <w:rPr>
                <w:rFonts w:ascii="Arial" w:hAnsi="Arial" w:cs="Arial"/>
                <w:b/>
                <w:i/>
                <w:iCs/>
                <w:color w:val="000000"/>
                <w:sz w:val="19"/>
                <w:szCs w:val="19"/>
              </w:rPr>
              <w:t>Ethnicity</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rsidR="00934151"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Frequency</w:t>
            </w:r>
          </w:p>
        </w:tc>
        <w:tc>
          <w:tcPr>
            <w:tcW w:w="867"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rsidR="00934151"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Percent</w:t>
            </w:r>
          </w:p>
        </w:tc>
      </w:tr>
      <w:tr w:rsidR="00934151" w:rsidTr="00934151">
        <w:trPr>
          <w:cantSplit/>
          <w:jc w:val="center"/>
        </w:trPr>
        <w:tc>
          <w:tcPr>
            <w:tcW w:w="1777" w:type="dxa"/>
            <w:tcBorders>
              <w:top w:val="single" w:sz="4" w:space="0" w:color="auto"/>
              <w:left w:val="single" w:sz="4" w:space="0" w:color="auto"/>
              <w:right w:val="single" w:sz="4" w:space="0" w:color="auto"/>
            </w:tcBorders>
            <w:shd w:val="clear" w:color="auto" w:fill="FFFFFF"/>
            <w:tcMar>
              <w:left w:w="67" w:type="dxa"/>
              <w:right w:w="67" w:type="dxa"/>
            </w:tcMar>
          </w:tcPr>
          <w:p w:rsidR="00934151" w:rsidRPr="005D67B5"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White</w:t>
            </w:r>
          </w:p>
        </w:tc>
        <w:tc>
          <w:tcPr>
            <w:tcW w:w="1203" w:type="dxa"/>
            <w:tcBorders>
              <w:top w:val="single" w:sz="4" w:space="0" w:color="auto"/>
              <w:left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261</w:t>
            </w:r>
          </w:p>
        </w:tc>
        <w:tc>
          <w:tcPr>
            <w:tcW w:w="867" w:type="dxa"/>
            <w:tcBorders>
              <w:top w:val="single" w:sz="4" w:space="0" w:color="auto"/>
              <w:left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58.26</w:t>
            </w:r>
          </w:p>
        </w:tc>
      </w:tr>
      <w:tr w:rsidR="00934151" w:rsidTr="00934151">
        <w:trPr>
          <w:cantSplit/>
          <w:jc w:val="center"/>
        </w:trPr>
        <w:tc>
          <w:tcPr>
            <w:tcW w:w="1777" w:type="dxa"/>
            <w:tcBorders>
              <w:left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Hispanic</w:t>
            </w:r>
          </w:p>
        </w:tc>
        <w:tc>
          <w:tcPr>
            <w:tcW w:w="1203" w:type="dxa"/>
            <w:tcBorders>
              <w:left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121</w:t>
            </w:r>
          </w:p>
        </w:tc>
        <w:tc>
          <w:tcPr>
            <w:tcW w:w="867" w:type="dxa"/>
            <w:tcBorders>
              <w:left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27.01</w:t>
            </w:r>
          </w:p>
        </w:tc>
      </w:tr>
      <w:tr w:rsidR="00934151" w:rsidTr="00934151">
        <w:trPr>
          <w:cantSplit/>
          <w:jc w:val="center"/>
        </w:trPr>
        <w:tc>
          <w:tcPr>
            <w:tcW w:w="1777" w:type="dxa"/>
            <w:tcBorders>
              <w:left w:val="single" w:sz="4" w:space="0" w:color="auto"/>
              <w:bottom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Other</w:t>
            </w:r>
          </w:p>
        </w:tc>
        <w:tc>
          <w:tcPr>
            <w:tcW w:w="1203" w:type="dxa"/>
            <w:tcBorders>
              <w:left w:val="single" w:sz="4" w:space="0" w:color="auto"/>
              <w:bottom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66</w:t>
            </w:r>
          </w:p>
        </w:tc>
        <w:tc>
          <w:tcPr>
            <w:tcW w:w="867" w:type="dxa"/>
            <w:tcBorders>
              <w:left w:val="single" w:sz="4" w:space="0" w:color="auto"/>
              <w:bottom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14.73</w:t>
            </w:r>
          </w:p>
        </w:tc>
      </w:tr>
      <w:tr w:rsidR="00934151" w:rsidTr="00934151">
        <w:trPr>
          <w:cantSplit/>
          <w:jc w:val="center"/>
        </w:trPr>
        <w:tc>
          <w:tcPr>
            <w:tcW w:w="1777" w:type="dxa"/>
            <w:tcBorders>
              <w:top w:val="single" w:sz="4" w:space="0" w:color="auto"/>
              <w:left w:val="single" w:sz="4" w:space="0" w:color="auto"/>
              <w:bottom w:val="single" w:sz="4" w:space="0" w:color="auto"/>
              <w:right w:val="nil"/>
            </w:tcBorders>
            <w:shd w:val="clear" w:color="auto" w:fill="FFFFFF"/>
            <w:tcMar>
              <w:left w:w="67" w:type="dxa"/>
              <w:right w:w="67" w:type="dxa"/>
            </w:tcMar>
          </w:tcPr>
          <w:p w:rsidR="00934151" w:rsidRPr="00934151" w:rsidRDefault="00934151" w:rsidP="00934151">
            <w:pPr>
              <w:keepNext/>
              <w:adjustRightInd w:val="0"/>
              <w:spacing w:before="67" w:after="67"/>
              <w:jc w:val="center"/>
              <w:rPr>
                <w:rFonts w:ascii="Arial" w:hAnsi="Arial" w:cs="Arial"/>
                <w:b/>
                <w:i/>
                <w:iCs/>
                <w:color w:val="000000"/>
                <w:sz w:val="19"/>
                <w:szCs w:val="19"/>
              </w:rPr>
            </w:pPr>
            <w:r w:rsidRPr="00934151">
              <w:rPr>
                <w:rFonts w:ascii="Arial" w:hAnsi="Arial" w:cs="Arial"/>
                <w:b/>
                <w:i/>
                <w:iCs/>
                <w:color w:val="000000"/>
                <w:sz w:val="19"/>
                <w:szCs w:val="19"/>
              </w:rPr>
              <w:t>Gender</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rsidR="00934151"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Frequency</w:t>
            </w:r>
          </w:p>
        </w:tc>
        <w:tc>
          <w:tcPr>
            <w:tcW w:w="867"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rsidR="00934151"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Percent</w:t>
            </w:r>
          </w:p>
        </w:tc>
      </w:tr>
      <w:tr w:rsidR="00934151" w:rsidTr="00934151">
        <w:trPr>
          <w:cantSplit/>
          <w:jc w:val="center"/>
        </w:trPr>
        <w:tc>
          <w:tcPr>
            <w:tcW w:w="1777" w:type="dxa"/>
            <w:tcBorders>
              <w:top w:val="single" w:sz="4" w:space="0" w:color="auto"/>
              <w:left w:val="single" w:sz="4" w:space="0" w:color="auto"/>
              <w:bottom w:val="nil"/>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Male</w:t>
            </w:r>
          </w:p>
        </w:tc>
        <w:tc>
          <w:tcPr>
            <w:tcW w:w="1203" w:type="dxa"/>
            <w:tcBorders>
              <w:top w:val="single" w:sz="4" w:space="0" w:color="auto"/>
              <w:left w:val="single" w:sz="4" w:space="0" w:color="auto"/>
              <w:bottom w:val="nil"/>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255</w:t>
            </w:r>
          </w:p>
        </w:tc>
        <w:tc>
          <w:tcPr>
            <w:tcW w:w="867" w:type="dxa"/>
            <w:tcBorders>
              <w:top w:val="single" w:sz="4" w:space="0" w:color="auto"/>
              <w:left w:val="single" w:sz="4" w:space="0" w:color="auto"/>
              <w:bottom w:val="nil"/>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56.92</w:t>
            </w:r>
          </w:p>
        </w:tc>
      </w:tr>
      <w:tr w:rsidR="00934151" w:rsidTr="00934151">
        <w:trPr>
          <w:cantSplit/>
          <w:jc w:val="center"/>
        </w:trPr>
        <w:tc>
          <w:tcPr>
            <w:tcW w:w="1777" w:type="dxa"/>
            <w:tcBorders>
              <w:top w:val="nil"/>
              <w:left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Female</w:t>
            </w:r>
          </w:p>
        </w:tc>
        <w:tc>
          <w:tcPr>
            <w:tcW w:w="1203" w:type="dxa"/>
            <w:tcBorders>
              <w:top w:val="nil"/>
              <w:left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192</w:t>
            </w:r>
          </w:p>
        </w:tc>
        <w:tc>
          <w:tcPr>
            <w:tcW w:w="867" w:type="dxa"/>
            <w:tcBorders>
              <w:top w:val="nil"/>
              <w:left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42.86</w:t>
            </w:r>
          </w:p>
        </w:tc>
      </w:tr>
      <w:tr w:rsidR="00934151" w:rsidTr="00934151">
        <w:trPr>
          <w:cantSplit/>
          <w:jc w:val="center"/>
        </w:trPr>
        <w:tc>
          <w:tcPr>
            <w:tcW w:w="1777" w:type="dxa"/>
            <w:tcBorders>
              <w:top w:val="nil"/>
              <w:left w:val="single" w:sz="4" w:space="0" w:color="auto"/>
              <w:bottom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Other</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1</w:t>
            </w:r>
          </w:p>
        </w:tc>
        <w:tc>
          <w:tcPr>
            <w:tcW w:w="867" w:type="dxa"/>
            <w:tcBorders>
              <w:top w:val="nil"/>
              <w:left w:val="single" w:sz="4" w:space="0" w:color="auto"/>
              <w:bottom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0.22</w:t>
            </w:r>
          </w:p>
        </w:tc>
      </w:tr>
      <w:tr w:rsidR="00934151" w:rsidTr="00691E9F">
        <w:trPr>
          <w:cantSplit/>
          <w:jc w:val="center"/>
        </w:trPr>
        <w:tc>
          <w:tcPr>
            <w:tcW w:w="1777" w:type="dxa"/>
            <w:tcBorders>
              <w:top w:val="single" w:sz="4" w:space="0" w:color="auto"/>
              <w:left w:val="single" w:sz="4" w:space="0" w:color="auto"/>
              <w:bottom w:val="single" w:sz="4" w:space="0" w:color="auto"/>
              <w:right w:val="nil"/>
            </w:tcBorders>
            <w:shd w:val="clear" w:color="auto" w:fill="FFFFFF"/>
            <w:tcMar>
              <w:left w:w="67" w:type="dxa"/>
              <w:right w:w="67" w:type="dxa"/>
            </w:tcMar>
            <w:vAlign w:val="center"/>
          </w:tcPr>
          <w:p w:rsidR="00934151" w:rsidRPr="00934151" w:rsidRDefault="00934151" w:rsidP="00934151">
            <w:pPr>
              <w:keepNext/>
              <w:adjustRightInd w:val="0"/>
              <w:spacing w:before="67" w:after="67"/>
              <w:jc w:val="center"/>
              <w:rPr>
                <w:rFonts w:ascii="Arial" w:hAnsi="Arial" w:cs="Arial"/>
                <w:b/>
                <w:i/>
                <w:iCs/>
                <w:color w:val="000000"/>
                <w:sz w:val="19"/>
                <w:szCs w:val="19"/>
              </w:rPr>
            </w:pPr>
            <w:r w:rsidRPr="00934151">
              <w:rPr>
                <w:rFonts w:ascii="Arial" w:hAnsi="Arial" w:cs="Arial"/>
                <w:b/>
                <w:i/>
                <w:iCs/>
                <w:color w:val="000000"/>
                <w:sz w:val="19"/>
                <w:szCs w:val="19"/>
              </w:rPr>
              <w:t>Age</w:t>
            </w:r>
          </w:p>
        </w:tc>
        <w:tc>
          <w:tcPr>
            <w:tcW w:w="1203" w:type="dxa"/>
            <w:tcBorders>
              <w:top w:val="single" w:sz="4" w:space="0" w:color="auto"/>
              <w:left w:val="nil"/>
              <w:bottom w:val="single" w:sz="4" w:space="0" w:color="auto"/>
              <w:right w:val="nil"/>
            </w:tcBorders>
            <w:shd w:val="clear" w:color="auto" w:fill="FFFFFF"/>
            <w:tcMar>
              <w:left w:w="67" w:type="dxa"/>
              <w:right w:w="67" w:type="dxa"/>
            </w:tcMar>
            <w:vAlign w:val="cente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Mean</w:t>
            </w:r>
          </w:p>
        </w:tc>
        <w:tc>
          <w:tcPr>
            <w:tcW w:w="867" w:type="dxa"/>
            <w:tcBorders>
              <w:top w:val="single" w:sz="4" w:space="0" w:color="auto"/>
              <w:left w:val="nil"/>
              <w:bottom w:val="single" w:sz="4" w:space="0" w:color="auto"/>
              <w:right w:val="single" w:sz="4" w:space="0" w:color="auto"/>
            </w:tcBorders>
            <w:shd w:val="clear" w:color="auto" w:fill="FFFFFF"/>
            <w:tcMar>
              <w:left w:w="67" w:type="dxa"/>
              <w:right w:w="67" w:type="dxa"/>
            </w:tcMar>
            <w:vAlign w:val="center"/>
          </w:tcPr>
          <w:p w:rsidR="00934151" w:rsidRDefault="00934151" w:rsidP="00934151">
            <w:pPr>
              <w:keepNext/>
              <w:adjustRightInd w:val="0"/>
              <w:spacing w:before="67" w:after="67"/>
              <w:jc w:val="center"/>
              <w:rPr>
                <w:rFonts w:ascii="Arial" w:hAnsi="Arial" w:cs="Arial"/>
                <w:color w:val="000000"/>
                <w:sz w:val="19"/>
                <w:szCs w:val="19"/>
              </w:rPr>
            </w:pPr>
            <w:r>
              <w:rPr>
                <w:rFonts w:ascii="Arial" w:hAnsi="Arial" w:cs="Arial"/>
                <w:color w:val="000000"/>
                <w:sz w:val="19"/>
                <w:szCs w:val="19"/>
              </w:rPr>
              <w:t>SD</w:t>
            </w:r>
          </w:p>
        </w:tc>
      </w:tr>
      <w:tr w:rsidR="00934151" w:rsidTr="00691E9F">
        <w:trPr>
          <w:cantSplit/>
          <w:jc w:val="center"/>
        </w:trPr>
        <w:tc>
          <w:tcPr>
            <w:tcW w:w="1777"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rsidR="00934151" w:rsidRDefault="00934151" w:rsidP="00934151">
            <w:pPr>
              <w:keepNext/>
              <w:adjustRightInd w:val="0"/>
              <w:spacing w:before="67" w:after="67"/>
              <w:rPr>
                <w:rFonts w:ascii="Arial" w:hAnsi="Arial" w:cs="Arial"/>
                <w:i/>
                <w:iCs/>
                <w:color w:val="000000"/>
                <w:sz w:val="19"/>
                <w:szCs w:val="19"/>
              </w:rPr>
            </w:pPr>
          </w:p>
        </w:tc>
        <w:tc>
          <w:tcPr>
            <w:tcW w:w="1203"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rsidR="00934151" w:rsidRDefault="00934151" w:rsidP="00691E9F">
            <w:pPr>
              <w:keepNext/>
              <w:adjustRightInd w:val="0"/>
              <w:spacing w:before="67" w:after="67"/>
              <w:jc w:val="center"/>
              <w:rPr>
                <w:rFonts w:ascii="Arial" w:hAnsi="Arial" w:cs="Arial"/>
                <w:color w:val="000000"/>
                <w:sz w:val="19"/>
                <w:szCs w:val="19"/>
              </w:rPr>
            </w:pPr>
            <w:r>
              <w:rPr>
                <w:rFonts w:ascii="Arial" w:hAnsi="Arial" w:cs="Arial"/>
                <w:color w:val="000000"/>
                <w:sz w:val="19"/>
                <w:szCs w:val="19"/>
              </w:rPr>
              <w:t>14.33</w:t>
            </w:r>
          </w:p>
        </w:tc>
        <w:tc>
          <w:tcPr>
            <w:tcW w:w="867"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rsidR="00934151" w:rsidRDefault="00691E9F" w:rsidP="00691E9F">
            <w:pPr>
              <w:keepNext/>
              <w:adjustRightInd w:val="0"/>
              <w:spacing w:before="67" w:after="67"/>
              <w:jc w:val="center"/>
              <w:rPr>
                <w:rFonts w:ascii="Arial" w:hAnsi="Arial" w:cs="Arial"/>
                <w:color w:val="000000"/>
                <w:sz w:val="19"/>
                <w:szCs w:val="19"/>
              </w:rPr>
            </w:pPr>
            <w:r>
              <w:rPr>
                <w:rFonts w:ascii="Arial" w:hAnsi="Arial" w:cs="Arial"/>
                <w:color w:val="000000"/>
                <w:sz w:val="19"/>
                <w:szCs w:val="19"/>
              </w:rPr>
              <w:t>1.80</w:t>
            </w:r>
          </w:p>
        </w:tc>
      </w:tr>
    </w:tbl>
    <w:p w:rsidR="00BD7B8D" w:rsidRDefault="00BD7B8D" w:rsidP="00BD7B8D">
      <w:pPr>
        <w:adjustRightInd w:val="0"/>
        <w:rPr>
          <w:rFonts w:ascii="Arial" w:hAnsi="Arial" w:cs="Arial"/>
          <w:color w:val="000000"/>
          <w:sz w:val="19"/>
          <w:szCs w:val="19"/>
        </w:rPr>
      </w:pPr>
    </w:p>
    <w:p w:rsidR="00BD7B8D" w:rsidRDefault="00BD7B8D" w:rsidP="00BD7B8D">
      <w:pPr>
        <w:adjustRightInd w:val="0"/>
        <w:rPr>
          <w:rFonts w:ascii="Arial" w:hAnsi="Arial" w:cs="Arial"/>
          <w:color w:val="000000"/>
          <w:sz w:val="19"/>
          <w:szCs w:val="19"/>
        </w:rPr>
      </w:pPr>
    </w:p>
    <w:p w:rsidR="006F3D34" w:rsidRDefault="006F3D34" w:rsidP="006F3D34">
      <w:pPr>
        <w:spacing w:line="480" w:lineRule="auto"/>
      </w:pPr>
      <w:bookmarkStart w:id="1" w:name="IDX1"/>
      <w:bookmarkEnd w:id="1"/>
      <w:r>
        <w:tab/>
      </w:r>
    </w:p>
    <w:p w:rsidR="006F3D34" w:rsidRPr="00876B29" w:rsidRDefault="006F3D34" w:rsidP="006F3D34">
      <w:pPr>
        <w:spacing w:line="480" w:lineRule="auto"/>
      </w:pPr>
      <w:r>
        <w:rPr>
          <w:i/>
        </w:rPr>
        <w:t>Statistical Procedures</w:t>
      </w:r>
    </w:p>
    <w:p w:rsidR="006F3D34" w:rsidRDefault="006F3D34" w:rsidP="006F3D34">
      <w:pPr>
        <w:spacing w:line="480" w:lineRule="auto"/>
        <w:ind w:firstLine="720"/>
      </w:pPr>
      <w:r>
        <w:t xml:space="preserve">A multiple variable logistic regression model was performed to assess program the outcome of program dropout. This research study controlled for many important variables including, mentee gender, mentee age, parental income, mentee ethnicity Demographic descriptive statistics are available in Table 1. Additionally, Semester of attendance (Fall 2015, Spring </w:t>
      </w:r>
      <w:r w:rsidR="005E218A">
        <w:t>2016, Fall 2016, and Spring 2017</w:t>
      </w:r>
      <w:r>
        <w:t xml:space="preserve">) night of attendance (Monday, Tuesday, Wednesday, and Thursday) and class room of weekly attendance (two possible rooms) were controlled for to account for cohort and group differences. </w:t>
      </w:r>
    </w:p>
    <w:p w:rsidR="00BD7B8D" w:rsidRDefault="00BD7B8D" w:rsidP="00011FB6">
      <w:pPr>
        <w:spacing w:line="480" w:lineRule="auto"/>
        <w:rPr>
          <w:b/>
        </w:rPr>
      </w:pPr>
    </w:p>
    <w:p w:rsidR="0098075E" w:rsidRDefault="0098075E" w:rsidP="00011FB6">
      <w:pPr>
        <w:spacing w:line="480" w:lineRule="auto"/>
        <w:rPr>
          <w:i/>
        </w:rPr>
      </w:pPr>
      <w:r w:rsidRPr="0098075E">
        <w:rPr>
          <w:i/>
        </w:rPr>
        <w:t>Risk Measure</w:t>
      </w:r>
    </w:p>
    <w:p w:rsidR="0098075E" w:rsidRPr="007B549B" w:rsidRDefault="0098075E" w:rsidP="00011FB6">
      <w:pPr>
        <w:spacing w:line="480" w:lineRule="auto"/>
      </w:pPr>
      <w:r>
        <w:rPr>
          <w:i/>
        </w:rPr>
        <w:tab/>
      </w:r>
      <w:r w:rsidR="00A37209">
        <w:t xml:space="preserve">To assess mentee risk, the </w:t>
      </w:r>
      <w:r w:rsidR="007B549B">
        <w:rPr>
          <w:i/>
        </w:rPr>
        <w:t xml:space="preserve">Risk Screening Tool </w:t>
      </w:r>
      <w:r w:rsidR="007B549B">
        <w:t xml:space="preserve">(RST) </w:t>
      </w:r>
      <w:r w:rsidR="007B549B" w:rsidRPr="007B549B">
        <w:t>developed by Herrera, Dubois, &amp; Grossman</w:t>
      </w:r>
      <w:r w:rsidR="007B549B">
        <w:rPr>
          <w:i/>
        </w:rPr>
        <w:t xml:space="preserve"> </w:t>
      </w:r>
      <w:r w:rsidR="007B549B">
        <w:t>(2013) was used to understand youth risk. The RST is a 32 item questionnaire that youth mentee caretakers would fill out prior to the start of Campus Connections</w:t>
      </w:r>
      <w:r w:rsidR="00D5480C">
        <w:t xml:space="preserve"> (</w:t>
      </w:r>
      <w:r w:rsidR="00D5480C" w:rsidRPr="00D5480C">
        <w:t>α</w:t>
      </w:r>
      <w:r w:rsidR="00D5480C">
        <w:t xml:space="preserve"> = .70</w:t>
      </w:r>
      <w:r w:rsidR="00D5480C" w:rsidRPr="00D5480C">
        <w:t>)</w:t>
      </w:r>
      <w:r w:rsidR="00D5480C">
        <w:t xml:space="preserve">. </w:t>
      </w:r>
      <w:r w:rsidR="007B549B">
        <w:t>Items in the RST are answered as either “Yes” or “No” and ask questions referring to their child (</w:t>
      </w:r>
      <w:r w:rsidR="00D5480C">
        <w:t>I</w:t>
      </w:r>
      <w:r w:rsidR="007B549B">
        <w:t>.e.</w:t>
      </w:r>
      <w:r w:rsidR="007B549B">
        <w:rPr>
          <w:i/>
        </w:rPr>
        <w:t xml:space="preserve"> This child has experimented with drugs or alcohol</w:t>
      </w:r>
      <w:r w:rsidR="007B549B">
        <w:t xml:space="preserve">) or the child’s environment (I.e. </w:t>
      </w:r>
      <w:r w:rsidR="007B549B">
        <w:rPr>
          <w:i/>
        </w:rPr>
        <w:t>This child lives in a public housing development</w:t>
      </w:r>
      <w:r w:rsidR="007B549B">
        <w:t xml:space="preserve">). All </w:t>
      </w:r>
      <w:r w:rsidR="00D5480C">
        <w:t>items answered as “Yes” within the</w:t>
      </w:r>
      <w:r w:rsidR="00876B29">
        <w:t xml:space="preserve"> RST contribute to the youth’s R</w:t>
      </w:r>
      <w:r w:rsidR="00D5480C">
        <w:t xml:space="preserve">isk score, in which a higher score indicates a larger number of risk factors.  For the purpose of this study, Environmental and Individual risk factors were combined for an overall composite risk score. </w:t>
      </w:r>
    </w:p>
    <w:p w:rsidR="00005129" w:rsidRDefault="00474846" w:rsidP="00011FB6">
      <w:pPr>
        <w:spacing w:line="480" w:lineRule="auto"/>
      </w:pPr>
      <w:r>
        <w:rPr>
          <w:i/>
        </w:rPr>
        <w:t>Dropout</w:t>
      </w:r>
    </w:p>
    <w:p w:rsidR="00005129" w:rsidRDefault="00474846" w:rsidP="00011FB6">
      <w:pPr>
        <w:spacing w:line="480" w:lineRule="auto"/>
      </w:pPr>
      <w:r>
        <w:tab/>
      </w:r>
      <w:r w:rsidR="0098075E">
        <w:t xml:space="preserve"> Data from this study was collected over 2 years and 4 semesters of Campus Connections.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be dropped out of the program. Only youth mentees that dropped out of the program </w:t>
      </w:r>
      <w:r w:rsidR="0098075E" w:rsidRPr="0066445D">
        <w:rPr>
          <w:i/>
        </w:rPr>
        <w:t>after</w:t>
      </w:r>
      <w:r w:rsidR="0098075E">
        <w:t xml:space="preserve"> the program started are</w:t>
      </w:r>
      <w:r w:rsidR="00D5480C">
        <w:t xml:space="preserve"> included within this analyses.</w:t>
      </w:r>
    </w:p>
    <w:p w:rsidR="00C20691" w:rsidRDefault="00C20691" w:rsidP="00011FB6">
      <w:pPr>
        <w:spacing w:line="480" w:lineRule="auto"/>
        <w:rPr>
          <w:i/>
        </w:rPr>
      </w:pPr>
    </w:p>
    <w:p w:rsidR="00C20691" w:rsidRDefault="00C20691" w:rsidP="00011FB6">
      <w:pPr>
        <w:spacing w:line="480" w:lineRule="auto"/>
        <w:rPr>
          <w:i/>
        </w:rPr>
      </w:pPr>
    </w:p>
    <w:p w:rsidR="00C20691" w:rsidRDefault="00C20691" w:rsidP="00011FB6">
      <w:pPr>
        <w:spacing w:line="480" w:lineRule="auto"/>
        <w:rPr>
          <w:i/>
        </w:rPr>
      </w:pPr>
    </w:p>
    <w:p w:rsidR="00C20691" w:rsidRDefault="00C20691" w:rsidP="00011FB6">
      <w:pPr>
        <w:spacing w:line="480" w:lineRule="auto"/>
        <w:rPr>
          <w:i/>
        </w:rPr>
      </w:pPr>
    </w:p>
    <w:p w:rsidR="00C20691" w:rsidRDefault="00C20691" w:rsidP="00011FB6">
      <w:pPr>
        <w:spacing w:line="480" w:lineRule="auto"/>
        <w:rPr>
          <w:i/>
        </w:rPr>
      </w:pPr>
    </w:p>
    <w:p w:rsidR="00C20691" w:rsidRDefault="00C20691" w:rsidP="00011FB6">
      <w:pPr>
        <w:spacing w:line="480" w:lineRule="auto"/>
        <w:rPr>
          <w:i/>
        </w:rPr>
      </w:pPr>
    </w:p>
    <w:p w:rsidR="00C20691" w:rsidRDefault="00C20691" w:rsidP="00011FB6">
      <w:pPr>
        <w:spacing w:line="480" w:lineRule="auto"/>
        <w:rPr>
          <w:i/>
        </w:rPr>
      </w:pPr>
    </w:p>
    <w:p w:rsidR="00C20691" w:rsidRDefault="00C20691" w:rsidP="00011FB6">
      <w:pPr>
        <w:spacing w:line="480" w:lineRule="auto"/>
        <w:rPr>
          <w:i/>
        </w:rPr>
      </w:pPr>
    </w:p>
    <w:p w:rsidR="00C20691" w:rsidRDefault="00C20691" w:rsidP="00011FB6">
      <w:pPr>
        <w:spacing w:line="480" w:lineRule="auto"/>
        <w:rPr>
          <w:i/>
        </w:rPr>
      </w:pPr>
    </w:p>
    <w:p w:rsidR="0098075E" w:rsidRDefault="0098075E" w:rsidP="00011FB6">
      <w:pPr>
        <w:spacing w:line="480" w:lineRule="auto"/>
        <w:rPr>
          <w:i/>
        </w:rPr>
      </w:pPr>
      <w:r>
        <w:rPr>
          <w:i/>
        </w:rPr>
        <w:t>Attendance</w:t>
      </w:r>
    </w:p>
    <w:p w:rsidR="0098075E" w:rsidRDefault="0098075E" w:rsidP="00011FB6">
      <w:pPr>
        <w:spacing w:line="480" w:lineRule="auto"/>
      </w:pPr>
      <w:r>
        <w:rPr>
          <w:i/>
        </w:rPr>
        <w:tab/>
      </w:r>
      <w:r>
        <w:t xml:space="preserve">Campus Connections program staff tentatively took attendance records for each week of the 12 week Campus Connections program. Instances in which youth did not arrive to Campus Connections, then youth were marked as non-attendees. If youth arrived, but were late, they were having attended the program according to the use of this study. </w:t>
      </w:r>
    </w:p>
    <w:p w:rsidR="00D5480C" w:rsidRDefault="00B22A03" w:rsidP="00011FB6">
      <w:pPr>
        <w:spacing w:line="480" w:lineRule="auto"/>
        <w:rPr>
          <w:i/>
        </w:rPr>
      </w:pPr>
      <w:r>
        <w:rPr>
          <w:i/>
        </w:rPr>
        <w:t>Descriptive Statistics</w:t>
      </w:r>
    </w:p>
    <w:p w:rsidR="00B22A03" w:rsidRPr="00B22A03" w:rsidRDefault="00B22A03" w:rsidP="00011FB6">
      <w:pPr>
        <w:spacing w:line="480" w:lineRule="auto"/>
      </w:pPr>
      <w:r>
        <w:tab/>
      </w:r>
    </w:p>
    <w:p w:rsidR="00005129" w:rsidRDefault="00005129" w:rsidP="00011FB6">
      <w:pPr>
        <w:spacing w:line="480" w:lineRule="auto"/>
        <w:rPr>
          <w:b/>
        </w:rPr>
      </w:pPr>
      <w:r w:rsidRPr="00005129">
        <w:rPr>
          <w:b/>
        </w:rPr>
        <w:t>Results</w:t>
      </w:r>
    </w:p>
    <w:p w:rsidR="00B22A03" w:rsidRDefault="00B22A03" w:rsidP="00011FB6">
      <w:pPr>
        <w:spacing w:line="480" w:lineRule="auto"/>
      </w:pPr>
      <w:r>
        <w:rPr>
          <w:b/>
        </w:rPr>
        <w:tab/>
      </w:r>
      <w:r>
        <w:t xml:space="preserve">All descriptive statistics and analytic procedures were performed using </w:t>
      </w:r>
      <w:r w:rsidRPr="00B22A03">
        <w:rPr>
          <w:i/>
        </w:rPr>
        <w:t>SAS Version 9.4</w:t>
      </w:r>
      <w:r>
        <w:t xml:space="preserve">. </w:t>
      </w:r>
      <w:r w:rsidR="0066445D">
        <w:t xml:space="preserve">Logistic regression analysis were performed to assess program dropout (1 = dropped program, 0 = program completed). A </w:t>
      </w:r>
      <w:proofErr w:type="spellStart"/>
      <w:r w:rsidR="0066445D">
        <w:t>poisson</w:t>
      </w:r>
      <w:proofErr w:type="spellEnd"/>
      <w:r w:rsidR="0066445D">
        <w:t xml:space="preserve"> regression model was used to assess the association between risk and the rate of attendance throughout the course of the 12-week program.  </w:t>
      </w:r>
    </w:p>
    <w:p w:rsidR="00B22A03" w:rsidRPr="00B22A03" w:rsidRDefault="00B22A03" w:rsidP="00011FB6">
      <w:pPr>
        <w:spacing w:line="480" w:lineRule="auto"/>
        <w:rPr>
          <w:i/>
        </w:rPr>
      </w:pPr>
    </w:p>
    <w:p w:rsidR="00110FFA" w:rsidRDefault="00B22A03" w:rsidP="00011FB6">
      <w:pPr>
        <w:spacing w:line="480" w:lineRule="auto"/>
        <w:rPr>
          <w:i/>
        </w:rPr>
      </w:pPr>
      <w:r>
        <w:rPr>
          <w:i/>
        </w:rPr>
        <w:t>Dropout</w:t>
      </w:r>
    </w:p>
    <w:p w:rsidR="00BD7B8D" w:rsidRDefault="00B22A03" w:rsidP="00011FB6">
      <w:pPr>
        <w:spacing w:line="480" w:lineRule="auto"/>
      </w:pPr>
      <w:r>
        <w:lastRenderedPageBreak/>
        <w:tab/>
      </w:r>
      <w:r w:rsidR="0066445D">
        <w:t xml:space="preserve">Results from the </w:t>
      </w:r>
      <w:r w:rsidR="003E07C3">
        <w:t>logistic</w:t>
      </w:r>
      <w:r w:rsidR="0066445D">
        <w:t xml:space="preserve"> regression model indicate that higher scores on the Risk measure are highly predictive of </w:t>
      </w:r>
      <w:r w:rsidR="003E07C3">
        <w:t xml:space="preserve">program dropout (b=0.118, </w:t>
      </w:r>
      <w:r w:rsidR="00887F9C">
        <w:t>95%CI [0.034, 0.201], p = 0.0058). Additionally, the odds of an individual dropping out increase 12.5% per unit increase on the Risk scale (OR = .125, 95%CI [1.035, 1.223]</w:t>
      </w:r>
      <w:r w:rsidR="007F5D91">
        <w:t>)</w:t>
      </w:r>
      <w:r w:rsidR="00887F9C">
        <w:t xml:space="preserve">. </w:t>
      </w:r>
    </w:p>
    <w:p w:rsidR="00BD7B8D" w:rsidRDefault="00BD7B8D" w:rsidP="00BD7B8D">
      <w:pPr>
        <w:spacing w:line="480" w:lineRule="auto"/>
        <w:ind w:firstLine="720"/>
      </w:pPr>
      <w:r>
        <w:t>Model 1</w:t>
      </w:r>
      <w:r w:rsidR="003518CC">
        <w:t>: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911"/>
        <w:gridCol w:w="932"/>
        <w:gridCol w:w="782"/>
        <w:gridCol w:w="868"/>
        <w:gridCol w:w="847"/>
      </w:tblGrid>
      <w:tr w:rsidR="00E911F6" w:rsidTr="00E911F6">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Parameter</w:t>
            </w:r>
          </w:p>
        </w:tc>
        <w:tc>
          <w:tcPr>
            <w:tcW w:w="911"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Estimate</w:t>
            </w:r>
          </w:p>
        </w:tc>
        <w:tc>
          <w:tcPr>
            <w:tcW w:w="932"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Standard Error</w:t>
            </w:r>
          </w:p>
        </w:tc>
        <w:tc>
          <w:tcPr>
            <w:tcW w:w="782"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p-value</w:t>
            </w:r>
          </w:p>
        </w:tc>
        <w:tc>
          <w:tcPr>
            <w:tcW w:w="1715" w:type="dxa"/>
            <w:gridSpan w:val="2"/>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CI</w:t>
            </w:r>
          </w:p>
        </w:tc>
      </w:tr>
      <w:tr w:rsidR="00E911F6" w:rsidTr="00E911F6">
        <w:trPr>
          <w:cantSplit/>
          <w:jc w:val="center"/>
        </w:trPr>
        <w:tc>
          <w:tcPr>
            <w:tcW w:w="1306"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 Risk</w:t>
            </w:r>
          </w:p>
        </w:tc>
        <w:tc>
          <w:tcPr>
            <w:tcW w:w="911"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4.3880</w:t>
            </w:r>
          </w:p>
        </w:tc>
        <w:tc>
          <w:tcPr>
            <w:tcW w:w="932"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1.4512</w:t>
            </w:r>
          </w:p>
        </w:tc>
        <w:tc>
          <w:tcPr>
            <w:tcW w:w="782" w:type="dxa"/>
            <w:tcBorders>
              <w:top w:val="nil"/>
              <w:left w:val="nil"/>
              <w:bottom w:val="nil"/>
              <w:right w:val="nil"/>
            </w:tcBorders>
            <w:shd w:val="clear" w:color="auto" w:fill="FFFFFF"/>
            <w:tcMar>
              <w:left w:w="67" w:type="dxa"/>
              <w:right w:w="67" w:type="dxa"/>
            </w:tcMar>
            <w:vAlign w:val="center"/>
          </w:tcPr>
          <w:p w:rsidR="00E911F6" w:rsidRPr="00C9550B" w:rsidRDefault="00E911F6" w:rsidP="00E911F6">
            <w:pPr>
              <w:keepNext/>
              <w:adjustRightInd w:val="0"/>
              <w:spacing w:before="67" w:after="67"/>
              <w:jc w:val="center"/>
              <w:rPr>
                <w:rFonts w:ascii="Arial" w:hAnsi="Arial" w:cs="Arial"/>
                <w:b/>
                <w:color w:val="000000"/>
                <w:sz w:val="19"/>
                <w:szCs w:val="19"/>
              </w:rPr>
            </w:pPr>
            <w:r w:rsidRPr="00C9550B">
              <w:rPr>
                <w:rFonts w:ascii="Arial" w:hAnsi="Arial" w:cs="Arial"/>
                <w:b/>
                <w:color w:val="000000"/>
                <w:sz w:val="19"/>
                <w:szCs w:val="19"/>
              </w:rPr>
              <w:t>0.0026</w:t>
            </w:r>
          </w:p>
        </w:tc>
        <w:tc>
          <w:tcPr>
            <w:tcW w:w="868"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1.5356</w:t>
            </w:r>
          </w:p>
        </w:tc>
        <w:tc>
          <w:tcPr>
            <w:tcW w:w="847"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7.2405</w:t>
            </w:r>
          </w:p>
        </w:tc>
      </w:tr>
      <w:tr w:rsidR="00E911F6" w:rsidTr="00E911F6">
        <w:trPr>
          <w:cantSplit/>
          <w:jc w:val="center"/>
        </w:trPr>
        <w:tc>
          <w:tcPr>
            <w:tcW w:w="1306"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Gender</w:t>
            </w:r>
          </w:p>
        </w:tc>
        <w:tc>
          <w:tcPr>
            <w:tcW w:w="911"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-0.2815</w:t>
            </w:r>
          </w:p>
        </w:tc>
        <w:tc>
          <w:tcPr>
            <w:tcW w:w="932"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0.3588</w:t>
            </w:r>
          </w:p>
        </w:tc>
        <w:tc>
          <w:tcPr>
            <w:tcW w:w="782"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0.4331</w:t>
            </w:r>
          </w:p>
        </w:tc>
        <w:tc>
          <w:tcPr>
            <w:tcW w:w="868"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-0.9868</w:t>
            </w:r>
          </w:p>
        </w:tc>
        <w:tc>
          <w:tcPr>
            <w:tcW w:w="847"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0.4237</w:t>
            </w:r>
          </w:p>
        </w:tc>
      </w:tr>
      <w:tr w:rsidR="00E911F6" w:rsidTr="00E911F6">
        <w:trPr>
          <w:cantSplit/>
          <w:jc w:val="center"/>
        </w:trPr>
        <w:tc>
          <w:tcPr>
            <w:tcW w:w="1306"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Age</w:t>
            </w:r>
          </w:p>
        </w:tc>
        <w:tc>
          <w:tcPr>
            <w:tcW w:w="911"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0.3078</w:t>
            </w:r>
          </w:p>
        </w:tc>
        <w:tc>
          <w:tcPr>
            <w:tcW w:w="932"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0.1467</w:t>
            </w:r>
          </w:p>
        </w:tc>
        <w:tc>
          <w:tcPr>
            <w:tcW w:w="782" w:type="dxa"/>
            <w:tcBorders>
              <w:top w:val="nil"/>
              <w:left w:val="nil"/>
              <w:bottom w:val="nil"/>
              <w:right w:val="nil"/>
            </w:tcBorders>
            <w:shd w:val="clear" w:color="auto" w:fill="FFFFFF"/>
            <w:tcMar>
              <w:left w:w="67" w:type="dxa"/>
              <w:right w:w="67" w:type="dxa"/>
            </w:tcMar>
            <w:vAlign w:val="center"/>
          </w:tcPr>
          <w:p w:rsidR="00E911F6" w:rsidRPr="00C9550B" w:rsidRDefault="00E911F6" w:rsidP="00E911F6">
            <w:pPr>
              <w:adjustRightInd w:val="0"/>
              <w:spacing w:before="67" w:after="67"/>
              <w:jc w:val="center"/>
              <w:rPr>
                <w:rFonts w:ascii="Arial" w:hAnsi="Arial" w:cs="Arial"/>
                <w:b/>
                <w:color w:val="000000"/>
                <w:sz w:val="19"/>
                <w:szCs w:val="19"/>
              </w:rPr>
            </w:pPr>
            <w:r w:rsidRPr="00C9550B">
              <w:rPr>
                <w:rFonts w:ascii="Arial" w:hAnsi="Arial" w:cs="Arial"/>
                <w:b/>
                <w:color w:val="000000"/>
                <w:sz w:val="19"/>
                <w:szCs w:val="19"/>
              </w:rPr>
              <w:t>0.0365</w:t>
            </w:r>
          </w:p>
        </w:tc>
        <w:tc>
          <w:tcPr>
            <w:tcW w:w="868"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0.01946</w:t>
            </w:r>
          </w:p>
        </w:tc>
        <w:tc>
          <w:tcPr>
            <w:tcW w:w="847"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0.5960</w:t>
            </w:r>
          </w:p>
        </w:tc>
      </w:tr>
    </w:tbl>
    <w:p w:rsidR="00BD7B8D" w:rsidRDefault="00BD7B8D" w:rsidP="00BD7B8D">
      <w:pPr>
        <w:spacing w:line="480" w:lineRule="auto"/>
      </w:pPr>
    </w:p>
    <w:p w:rsidR="00BD7B8D" w:rsidRDefault="00BD7B8D" w:rsidP="00BD7B8D">
      <w:pPr>
        <w:spacing w:line="480" w:lineRule="auto"/>
        <w:ind w:firstLine="720"/>
      </w:pPr>
      <w:r>
        <w:t>Model 2</w:t>
      </w:r>
      <w:r w:rsidR="003518CC">
        <w:t>: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911"/>
        <w:gridCol w:w="932"/>
        <w:gridCol w:w="782"/>
        <w:gridCol w:w="900"/>
        <w:gridCol w:w="815"/>
      </w:tblGrid>
      <w:tr w:rsidR="00E911F6" w:rsidTr="00E911F6">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Parameter</w:t>
            </w:r>
          </w:p>
        </w:tc>
        <w:tc>
          <w:tcPr>
            <w:tcW w:w="911"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Estimate</w:t>
            </w:r>
          </w:p>
        </w:tc>
        <w:tc>
          <w:tcPr>
            <w:tcW w:w="932"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Standard Error</w:t>
            </w:r>
          </w:p>
        </w:tc>
        <w:tc>
          <w:tcPr>
            <w:tcW w:w="782"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p-value</w:t>
            </w:r>
          </w:p>
        </w:tc>
        <w:tc>
          <w:tcPr>
            <w:tcW w:w="1715" w:type="dxa"/>
            <w:gridSpan w:val="2"/>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CI</w:t>
            </w:r>
          </w:p>
        </w:tc>
      </w:tr>
      <w:tr w:rsidR="00E911F6" w:rsidTr="00E911F6">
        <w:trPr>
          <w:cantSplit/>
          <w:jc w:val="center"/>
        </w:trPr>
        <w:tc>
          <w:tcPr>
            <w:tcW w:w="1306"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Internal Risk</w:t>
            </w:r>
          </w:p>
        </w:tc>
        <w:tc>
          <w:tcPr>
            <w:tcW w:w="911"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2.9205</w:t>
            </w:r>
          </w:p>
        </w:tc>
        <w:tc>
          <w:tcPr>
            <w:tcW w:w="932"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0.9005</w:t>
            </w:r>
          </w:p>
        </w:tc>
        <w:tc>
          <w:tcPr>
            <w:tcW w:w="782" w:type="dxa"/>
            <w:tcBorders>
              <w:top w:val="nil"/>
              <w:left w:val="nil"/>
              <w:bottom w:val="nil"/>
              <w:right w:val="nil"/>
            </w:tcBorders>
            <w:shd w:val="clear" w:color="auto" w:fill="FFFFFF"/>
            <w:tcMar>
              <w:left w:w="67" w:type="dxa"/>
              <w:right w:w="67" w:type="dxa"/>
            </w:tcMar>
            <w:vAlign w:val="center"/>
          </w:tcPr>
          <w:p w:rsidR="00E911F6" w:rsidRPr="00C9550B" w:rsidRDefault="00E911F6" w:rsidP="00E911F6">
            <w:pPr>
              <w:keepNext/>
              <w:adjustRightInd w:val="0"/>
              <w:spacing w:before="67" w:after="67"/>
              <w:jc w:val="center"/>
              <w:rPr>
                <w:rFonts w:ascii="Arial" w:hAnsi="Arial" w:cs="Arial"/>
                <w:b/>
                <w:color w:val="000000"/>
                <w:sz w:val="19"/>
                <w:szCs w:val="19"/>
              </w:rPr>
            </w:pPr>
            <w:r w:rsidRPr="00C9550B">
              <w:rPr>
                <w:rFonts w:ascii="Arial" w:hAnsi="Arial" w:cs="Arial"/>
                <w:b/>
                <w:color w:val="000000"/>
                <w:sz w:val="19"/>
                <w:szCs w:val="19"/>
              </w:rPr>
              <w:t>0.0013</w:t>
            </w:r>
          </w:p>
        </w:tc>
        <w:tc>
          <w:tcPr>
            <w:tcW w:w="900"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1.1504</w:t>
            </w:r>
          </w:p>
        </w:tc>
        <w:tc>
          <w:tcPr>
            <w:tcW w:w="815"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4.6906</w:t>
            </w:r>
          </w:p>
        </w:tc>
      </w:tr>
      <w:tr w:rsidR="00E911F6" w:rsidTr="00E911F6">
        <w:trPr>
          <w:cantSplit/>
          <w:jc w:val="center"/>
        </w:trPr>
        <w:tc>
          <w:tcPr>
            <w:tcW w:w="1306"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Gender</w:t>
            </w:r>
          </w:p>
        </w:tc>
        <w:tc>
          <w:tcPr>
            <w:tcW w:w="911"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-0.3065</w:t>
            </w:r>
          </w:p>
        </w:tc>
        <w:tc>
          <w:tcPr>
            <w:tcW w:w="932"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0.3564</w:t>
            </w:r>
          </w:p>
        </w:tc>
        <w:tc>
          <w:tcPr>
            <w:tcW w:w="782"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0.3903</w:t>
            </w:r>
          </w:p>
        </w:tc>
        <w:tc>
          <w:tcPr>
            <w:tcW w:w="900"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-1.0071</w:t>
            </w:r>
          </w:p>
        </w:tc>
        <w:tc>
          <w:tcPr>
            <w:tcW w:w="815"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0.3941</w:t>
            </w:r>
          </w:p>
        </w:tc>
      </w:tr>
      <w:tr w:rsidR="00E911F6" w:rsidTr="00E911F6">
        <w:trPr>
          <w:cantSplit/>
          <w:jc w:val="center"/>
        </w:trPr>
        <w:tc>
          <w:tcPr>
            <w:tcW w:w="1306"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Age</w:t>
            </w:r>
          </w:p>
        </w:tc>
        <w:tc>
          <w:tcPr>
            <w:tcW w:w="911"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0.2796</w:t>
            </w:r>
          </w:p>
        </w:tc>
        <w:tc>
          <w:tcPr>
            <w:tcW w:w="932"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0.1475</w:t>
            </w:r>
          </w:p>
        </w:tc>
        <w:tc>
          <w:tcPr>
            <w:tcW w:w="782"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0.0586</w:t>
            </w:r>
          </w:p>
        </w:tc>
        <w:tc>
          <w:tcPr>
            <w:tcW w:w="900"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-0.01025</w:t>
            </w:r>
          </w:p>
        </w:tc>
        <w:tc>
          <w:tcPr>
            <w:tcW w:w="815"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0.5695</w:t>
            </w:r>
          </w:p>
        </w:tc>
      </w:tr>
    </w:tbl>
    <w:p w:rsidR="00BD7B8D" w:rsidRDefault="00BD7B8D" w:rsidP="00BD7B8D">
      <w:pPr>
        <w:spacing w:line="480" w:lineRule="auto"/>
      </w:pPr>
    </w:p>
    <w:p w:rsidR="00BD7B8D" w:rsidRDefault="00BD7B8D" w:rsidP="00BD7B8D">
      <w:pPr>
        <w:spacing w:line="480" w:lineRule="auto"/>
        <w:ind w:firstLine="720"/>
      </w:pPr>
      <w:r>
        <w:t>Model 3</w:t>
      </w:r>
      <w:r w:rsidR="003518CC">
        <w:t>: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911"/>
        <w:gridCol w:w="932"/>
        <w:gridCol w:w="764"/>
        <w:gridCol w:w="822"/>
        <w:gridCol w:w="739"/>
      </w:tblGrid>
      <w:tr w:rsidR="00E911F6" w:rsidTr="00E911F6">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Parameter</w:t>
            </w:r>
          </w:p>
        </w:tc>
        <w:tc>
          <w:tcPr>
            <w:tcW w:w="911"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Estimate</w:t>
            </w:r>
          </w:p>
        </w:tc>
        <w:tc>
          <w:tcPr>
            <w:tcW w:w="932"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Standard Error</w:t>
            </w:r>
          </w:p>
        </w:tc>
        <w:tc>
          <w:tcPr>
            <w:tcW w:w="764" w:type="dxa"/>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p-value</w:t>
            </w:r>
          </w:p>
        </w:tc>
        <w:tc>
          <w:tcPr>
            <w:tcW w:w="1561" w:type="dxa"/>
            <w:gridSpan w:val="2"/>
            <w:tcBorders>
              <w:top w:val="nil"/>
              <w:left w:val="nil"/>
              <w:bottom w:val="single" w:sz="4" w:space="0" w:color="000000"/>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CI</w:t>
            </w:r>
          </w:p>
        </w:tc>
      </w:tr>
      <w:tr w:rsidR="00E911F6" w:rsidTr="00E911F6">
        <w:trPr>
          <w:cantSplit/>
          <w:jc w:val="center"/>
        </w:trPr>
        <w:tc>
          <w:tcPr>
            <w:tcW w:w="1306"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External Risk</w:t>
            </w:r>
          </w:p>
        </w:tc>
        <w:tc>
          <w:tcPr>
            <w:tcW w:w="911"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2.3514</w:t>
            </w:r>
          </w:p>
        </w:tc>
        <w:tc>
          <w:tcPr>
            <w:tcW w:w="932"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1.3769</w:t>
            </w:r>
          </w:p>
        </w:tc>
        <w:tc>
          <w:tcPr>
            <w:tcW w:w="764"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0.0884</w:t>
            </w:r>
          </w:p>
        </w:tc>
        <w:tc>
          <w:tcPr>
            <w:tcW w:w="822"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-0.3551</w:t>
            </w:r>
          </w:p>
        </w:tc>
        <w:tc>
          <w:tcPr>
            <w:tcW w:w="739"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5.0579</w:t>
            </w:r>
          </w:p>
        </w:tc>
      </w:tr>
      <w:tr w:rsidR="00E911F6" w:rsidTr="00E911F6">
        <w:trPr>
          <w:cantSplit/>
          <w:jc w:val="center"/>
        </w:trPr>
        <w:tc>
          <w:tcPr>
            <w:tcW w:w="1306"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Gender</w:t>
            </w:r>
          </w:p>
        </w:tc>
        <w:tc>
          <w:tcPr>
            <w:tcW w:w="911"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-0.2901</w:t>
            </w:r>
          </w:p>
        </w:tc>
        <w:tc>
          <w:tcPr>
            <w:tcW w:w="932"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0.3531</w:t>
            </w:r>
          </w:p>
        </w:tc>
        <w:tc>
          <w:tcPr>
            <w:tcW w:w="764"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0.4117</w:t>
            </w:r>
          </w:p>
        </w:tc>
        <w:tc>
          <w:tcPr>
            <w:tcW w:w="822"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-0.9842</w:t>
            </w:r>
          </w:p>
        </w:tc>
        <w:tc>
          <w:tcPr>
            <w:tcW w:w="739" w:type="dxa"/>
            <w:tcBorders>
              <w:top w:val="nil"/>
              <w:left w:val="nil"/>
              <w:bottom w:val="nil"/>
              <w:right w:val="nil"/>
            </w:tcBorders>
            <w:shd w:val="clear" w:color="auto" w:fill="FFFFFF"/>
            <w:tcMar>
              <w:left w:w="67" w:type="dxa"/>
              <w:right w:w="67" w:type="dxa"/>
            </w:tcMar>
            <w:vAlign w:val="center"/>
          </w:tcPr>
          <w:p w:rsidR="00E911F6" w:rsidRDefault="00E911F6" w:rsidP="00E911F6">
            <w:pPr>
              <w:keepNext/>
              <w:adjustRightInd w:val="0"/>
              <w:spacing w:before="67" w:after="67"/>
              <w:jc w:val="center"/>
              <w:rPr>
                <w:rFonts w:ascii="Arial" w:hAnsi="Arial" w:cs="Arial"/>
                <w:color w:val="000000"/>
                <w:sz w:val="19"/>
                <w:szCs w:val="19"/>
              </w:rPr>
            </w:pPr>
            <w:r>
              <w:rPr>
                <w:rFonts w:ascii="Arial" w:hAnsi="Arial" w:cs="Arial"/>
                <w:color w:val="000000"/>
                <w:sz w:val="19"/>
                <w:szCs w:val="19"/>
              </w:rPr>
              <w:t>0.4039</w:t>
            </w:r>
          </w:p>
        </w:tc>
      </w:tr>
      <w:tr w:rsidR="00E911F6" w:rsidTr="00E911F6">
        <w:trPr>
          <w:cantSplit/>
          <w:jc w:val="center"/>
        </w:trPr>
        <w:tc>
          <w:tcPr>
            <w:tcW w:w="1306"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Age</w:t>
            </w:r>
          </w:p>
        </w:tc>
        <w:tc>
          <w:tcPr>
            <w:tcW w:w="911"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0.3183</w:t>
            </w:r>
          </w:p>
        </w:tc>
        <w:tc>
          <w:tcPr>
            <w:tcW w:w="932"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0.1422</w:t>
            </w:r>
          </w:p>
        </w:tc>
        <w:tc>
          <w:tcPr>
            <w:tcW w:w="764" w:type="dxa"/>
            <w:tcBorders>
              <w:top w:val="nil"/>
              <w:left w:val="nil"/>
              <w:bottom w:val="nil"/>
              <w:right w:val="nil"/>
            </w:tcBorders>
            <w:shd w:val="clear" w:color="auto" w:fill="FFFFFF"/>
            <w:tcMar>
              <w:left w:w="67" w:type="dxa"/>
              <w:right w:w="67" w:type="dxa"/>
            </w:tcMar>
            <w:vAlign w:val="center"/>
          </w:tcPr>
          <w:p w:rsidR="00E911F6" w:rsidRPr="00C9550B" w:rsidRDefault="00E911F6" w:rsidP="00E911F6">
            <w:pPr>
              <w:adjustRightInd w:val="0"/>
              <w:spacing w:before="67" w:after="67"/>
              <w:jc w:val="center"/>
              <w:rPr>
                <w:rFonts w:ascii="Arial" w:hAnsi="Arial" w:cs="Arial"/>
                <w:b/>
                <w:color w:val="000000"/>
                <w:sz w:val="19"/>
                <w:szCs w:val="19"/>
              </w:rPr>
            </w:pPr>
            <w:r w:rsidRPr="00C9550B">
              <w:rPr>
                <w:rFonts w:ascii="Arial" w:hAnsi="Arial" w:cs="Arial"/>
                <w:b/>
                <w:color w:val="000000"/>
                <w:sz w:val="19"/>
                <w:szCs w:val="19"/>
              </w:rPr>
              <w:t>0.0258</w:t>
            </w:r>
          </w:p>
        </w:tc>
        <w:tc>
          <w:tcPr>
            <w:tcW w:w="822"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0.03871</w:t>
            </w:r>
          </w:p>
        </w:tc>
        <w:tc>
          <w:tcPr>
            <w:tcW w:w="739" w:type="dxa"/>
            <w:tcBorders>
              <w:top w:val="nil"/>
              <w:left w:val="nil"/>
              <w:bottom w:val="nil"/>
              <w:right w:val="nil"/>
            </w:tcBorders>
            <w:shd w:val="clear" w:color="auto" w:fill="FFFFFF"/>
            <w:tcMar>
              <w:left w:w="67" w:type="dxa"/>
              <w:right w:w="67" w:type="dxa"/>
            </w:tcMar>
            <w:vAlign w:val="center"/>
          </w:tcPr>
          <w:p w:rsidR="00E911F6" w:rsidRDefault="00E911F6" w:rsidP="00E911F6">
            <w:pPr>
              <w:adjustRightInd w:val="0"/>
              <w:spacing w:before="67" w:after="67"/>
              <w:jc w:val="center"/>
              <w:rPr>
                <w:rFonts w:ascii="Arial" w:hAnsi="Arial" w:cs="Arial"/>
                <w:color w:val="000000"/>
                <w:sz w:val="19"/>
                <w:szCs w:val="19"/>
              </w:rPr>
            </w:pPr>
            <w:r>
              <w:rPr>
                <w:rFonts w:ascii="Arial" w:hAnsi="Arial" w:cs="Arial"/>
                <w:color w:val="000000"/>
                <w:sz w:val="19"/>
                <w:szCs w:val="19"/>
              </w:rPr>
              <w:t>0.5978</w:t>
            </w:r>
          </w:p>
        </w:tc>
      </w:tr>
    </w:tbl>
    <w:p w:rsidR="00BD7B8D" w:rsidRDefault="00BD7B8D" w:rsidP="00BD7B8D">
      <w:pPr>
        <w:spacing w:line="480" w:lineRule="auto"/>
        <w:rPr>
          <w:i/>
        </w:rPr>
      </w:pPr>
    </w:p>
    <w:p w:rsidR="00BD7B8D" w:rsidRDefault="00BD7B8D" w:rsidP="00011FB6">
      <w:pPr>
        <w:spacing w:line="480" w:lineRule="auto"/>
      </w:pPr>
    </w:p>
    <w:p w:rsidR="003E07C3" w:rsidRDefault="003E07C3" w:rsidP="00011FB6">
      <w:pPr>
        <w:spacing w:line="480" w:lineRule="auto"/>
      </w:pPr>
    </w:p>
    <w:p w:rsidR="00110FFA" w:rsidRDefault="00110FFA" w:rsidP="00011FB6">
      <w:pPr>
        <w:spacing w:line="480" w:lineRule="auto"/>
      </w:pPr>
    </w:p>
    <w:p w:rsidR="00110FFA" w:rsidRDefault="00110FFA" w:rsidP="00011FB6">
      <w:pPr>
        <w:spacing w:line="480" w:lineRule="auto"/>
      </w:pPr>
    </w:p>
    <w:p w:rsidR="00110FFA" w:rsidRDefault="00BD7B8D" w:rsidP="00011FB6">
      <w:pPr>
        <w:spacing w:line="480" w:lineRule="auto"/>
      </w:pPr>
      <w:r>
        <w:t>Attendance</w:t>
      </w:r>
    </w:p>
    <w:p w:rsidR="00C9550B" w:rsidRDefault="00CA0759" w:rsidP="00C9550B">
      <w:pPr>
        <w:spacing w:line="480" w:lineRule="auto"/>
      </w:pPr>
      <w:r>
        <w:t>Model 4</w:t>
      </w:r>
      <w:r w:rsidR="003518CC">
        <w:t>: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897"/>
        <w:gridCol w:w="932"/>
        <w:gridCol w:w="1650"/>
        <w:gridCol w:w="803"/>
        <w:gridCol w:w="847"/>
      </w:tblGrid>
      <w:tr w:rsidR="00C9550B" w:rsidTr="00C9550B">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rsidR="00C9550B" w:rsidRDefault="00C9550B" w:rsidP="00C9550B">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Parameter</w:t>
            </w:r>
          </w:p>
        </w:tc>
        <w:tc>
          <w:tcPr>
            <w:tcW w:w="897" w:type="dxa"/>
            <w:tcBorders>
              <w:top w:val="nil"/>
              <w:left w:val="nil"/>
              <w:bottom w:val="single" w:sz="4" w:space="0" w:color="000000"/>
              <w:right w:val="nil"/>
            </w:tcBorders>
            <w:shd w:val="clear" w:color="auto" w:fill="FFFFFF"/>
            <w:tcMar>
              <w:left w:w="67" w:type="dxa"/>
              <w:right w:w="67" w:type="dxa"/>
            </w:tcMar>
            <w:vAlign w:val="center"/>
          </w:tcPr>
          <w:p w:rsidR="00C9550B" w:rsidRDefault="00C9550B" w:rsidP="00C9550B">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Estimate</w:t>
            </w:r>
          </w:p>
        </w:tc>
        <w:tc>
          <w:tcPr>
            <w:tcW w:w="932" w:type="dxa"/>
            <w:tcBorders>
              <w:top w:val="nil"/>
              <w:left w:val="nil"/>
              <w:bottom w:val="single" w:sz="4" w:space="0" w:color="000000"/>
              <w:right w:val="nil"/>
            </w:tcBorders>
            <w:shd w:val="clear" w:color="auto" w:fill="FFFFFF"/>
            <w:tcMar>
              <w:left w:w="67" w:type="dxa"/>
              <w:right w:w="67" w:type="dxa"/>
            </w:tcMar>
            <w:vAlign w:val="center"/>
          </w:tcPr>
          <w:p w:rsidR="00C9550B" w:rsidRDefault="00C9550B" w:rsidP="00C9550B">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Standard Error</w:t>
            </w:r>
          </w:p>
        </w:tc>
        <w:tc>
          <w:tcPr>
            <w:tcW w:w="1650" w:type="dxa"/>
            <w:tcBorders>
              <w:top w:val="nil"/>
              <w:left w:val="nil"/>
              <w:bottom w:val="single" w:sz="4" w:space="0" w:color="000000"/>
              <w:right w:val="nil"/>
            </w:tcBorders>
            <w:shd w:val="clear" w:color="auto" w:fill="FFFFFF"/>
            <w:vAlign w:val="center"/>
          </w:tcPr>
          <w:p w:rsidR="00C9550B" w:rsidRDefault="00C9550B" w:rsidP="00C9550B">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P-value</w:t>
            </w:r>
          </w:p>
        </w:tc>
        <w:tc>
          <w:tcPr>
            <w:tcW w:w="1650" w:type="dxa"/>
            <w:gridSpan w:val="2"/>
            <w:tcBorders>
              <w:top w:val="nil"/>
              <w:left w:val="nil"/>
              <w:bottom w:val="single" w:sz="4" w:space="0" w:color="000000"/>
              <w:right w:val="nil"/>
            </w:tcBorders>
            <w:shd w:val="clear" w:color="auto" w:fill="FFFFFF"/>
            <w:tcMar>
              <w:left w:w="67" w:type="dxa"/>
              <w:right w:w="67" w:type="dxa"/>
            </w:tcMar>
            <w:vAlign w:val="center"/>
          </w:tcPr>
          <w:p w:rsidR="00C9550B" w:rsidRDefault="00C9550B" w:rsidP="00C9550B">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CI</w:t>
            </w:r>
          </w:p>
        </w:tc>
      </w:tr>
      <w:tr w:rsidR="00C9550B" w:rsidTr="00C9550B">
        <w:trPr>
          <w:cantSplit/>
          <w:jc w:val="center"/>
        </w:trPr>
        <w:tc>
          <w:tcPr>
            <w:tcW w:w="1306" w:type="dxa"/>
            <w:tcBorders>
              <w:top w:val="nil"/>
              <w:left w:val="nil"/>
              <w:bottom w:val="nil"/>
              <w:right w:val="nil"/>
            </w:tcBorders>
            <w:shd w:val="clear" w:color="auto" w:fill="FFFFFF"/>
            <w:tcMar>
              <w:left w:w="67" w:type="dxa"/>
              <w:right w:w="67" w:type="dxa"/>
            </w:tcMar>
            <w:vAlign w:val="center"/>
          </w:tcPr>
          <w:p w:rsidR="00C9550B" w:rsidRDefault="00C9550B" w:rsidP="00C9550B">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 Risk</w:t>
            </w:r>
          </w:p>
        </w:tc>
        <w:tc>
          <w:tcPr>
            <w:tcW w:w="897" w:type="dxa"/>
            <w:tcBorders>
              <w:top w:val="nil"/>
              <w:left w:val="nil"/>
              <w:bottom w:val="nil"/>
              <w:right w:val="nil"/>
            </w:tcBorders>
            <w:shd w:val="clear" w:color="auto" w:fill="FFFFFF"/>
            <w:tcMar>
              <w:left w:w="67" w:type="dxa"/>
              <w:right w:w="67" w:type="dxa"/>
            </w:tcMar>
            <w:vAlign w:val="center"/>
          </w:tcPr>
          <w:p w:rsidR="00C9550B" w:rsidRDefault="00CA0759" w:rsidP="00C9550B">
            <w:pPr>
              <w:keepNext/>
              <w:adjustRightInd w:val="0"/>
              <w:spacing w:before="67" w:after="67"/>
              <w:jc w:val="center"/>
              <w:rPr>
                <w:rFonts w:ascii="Arial" w:hAnsi="Arial" w:cs="Arial"/>
                <w:color w:val="000000"/>
                <w:sz w:val="19"/>
                <w:szCs w:val="19"/>
              </w:rPr>
            </w:pPr>
            <w:r>
              <w:rPr>
                <w:rFonts w:ascii="Arial" w:hAnsi="Arial" w:cs="Arial"/>
                <w:color w:val="000000"/>
                <w:sz w:val="19"/>
                <w:szCs w:val="19"/>
              </w:rPr>
              <w:t>-0.4509</w:t>
            </w:r>
          </w:p>
        </w:tc>
        <w:tc>
          <w:tcPr>
            <w:tcW w:w="932" w:type="dxa"/>
            <w:tcBorders>
              <w:top w:val="nil"/>
              <w:left w:val="nil"/>
              <w:bottom w:val="nil"/>
              <w:right w:val="nil"/>
            </w:tcBorders>
            <w:shd w:val="clear" w:color="auto" w:fill="FFFFFF"/>
            <w:tcMar>
              <w:left w:w="67" w:type="dxa"/>
              <w:right w:w="67" w:type="dxa"/>
            </w:tcMar>
            <w:vAlign w:val="center"/>
          </w:tcPr>
          <w:p w:rsidR="00C9550B" w:rsidRDefault="00CA0759" w:rsidP="00C9550B">
            <w:pPr>
              <w:keepNext/>
              <w:adjustRightInd w:val="0"/>
              <w:spacing w:before="67" w:after="67"/>
              <w:jc w:val="center"/>
              <w:rPr>
                <w:rFonts w:ascii="Arial" w:hAnsi="Arial" w:cs="Arial"/>
                <w:color w:val="000000"/>
                <w:sz w:val="19"/>
                <w:szCs w:val="19"/>
              </w:rPr>
            </w:pPr>
            <w:r>
              <w:rPr>
                <w:rFonts w:ascii="Arial" w:hAnsi="Arial" w:cs="Arial"/>
                <w:color w:val="000000"/>
                <w:sz w:val="19"/>
                <w:szCs w:val="19"/>
              </w:rPr>
              <w:t>0.1483</w:t>
            </w:r>
          </w:p>
        </w:tc>
        <w:tc>
          <w:tcPr>
            <w:tcW w:w="1650" w:type="dxa"/>
            <w:tcBorders>
              <w:top w:val="nil"/>
              <w:left w:val="nil"/>
              <w:bottom w:val="nil"/>
              <w:right w:val="nil"/>
            </w:tcBorders>
            <w:shd w:val="clear" w:color="auto" w:fill="FFFFFF"/>
            <w:vAlign w:val="center"/>
          </w:tcPr>
          <w:p w:rsidR="00C9550B" w:rsidRPr="00C9550B" w:rsidRDefault="00CA0759" w:rsidP="00C9550B">
            <w:pPr>
              <w:keepNext/>
              <w:adjustRightInd w:val="0"/>
              <w:spacing w:before="67" w:after="67"/>
              <w:jc w:val="center"/>
              <w:rPr>
                <w:rFonts w:ascii="Arial" w:hAnsi="Arial" w:cs="Arial"/>
                <w:b/>
                <w:color w:val="000000"/>
                <w:sz w:val="19"/>
                <w:szCs w:val="19"/>
              </w:rPr>
            </w:pPr>
            <w:r>
              <w:rPr>
                <w:rFonts w:ascii="Arial" w:hAnsi="Arial" w:cs="Arial"/>
                <w:b/>
                <w:color w:val="000000"/>
                <w:sz w:val="19"/>
                <w:szCs w:val="19"/>
              </w:rPr>
              <w:t>0.002</w:t>
            </w:r>
            <w:r w:rsidR="00C9550B" w:rsidRPr="00C9550B">
              <w:rPr>
                <w:rFonts w:ascii="Arial" w:hAnsi="Arial" w:cs="Arial"/>
                <w:b/>
                <w:color w:val="000000"/>
                <w:sz w:val="19"/>
                <w:szCs w:val="19"/>
              </w:rPr>
              <w:t>4</w:t>
            </w:r>
          </w:p>
        </w:tc>
        <w:tc>
          <w:tcPr>
            <w:tcW w:w="803" w:type="dxa"/>
            <w:tcBorders>
              <w:top w:val="nil"/>
              <w:left w:val="nil"/>
              <w:bottom w:val="nil"/>
              <w:right w:val="nil"/>
            </w:tcBorders>
            <w:shd w:val="clear" w:color="auto" w:fill="FFFFFF"/>
            <w:tcMar>
              <w:left w:w="67" w:type="dxa"/>
              <w:right w:w="67" w:type="dxa"/>
            </w:tcMar>
            <w:vAlign w:val="center"/>
          </w:tcPr>
          <w:p w:rsidR="00C9550B" w:rsidRDefault="00CA0759" w:rsidP="00C9550B">
            <w:pPr>
              <w:keepNext/>
              <w:adjustRightInd w:val="0"/>
              <w:spacing w:before="67" w:after="67"/>
              <w:jc w:val="center"/>
              <w:rPr>
                <w:rFonts w:ascii="Arial" w:hAnsi="Arial" w:cs="Arial"/>
                <w:color w:val="000000"/>
                <w:sz w:val="19"/>
                <w:szCs w:val="19"/>
              </w:rPr>
            </w:pPr>
            <w:r>
              <w:rPr>
                <w:rFonts w:ascii="Arial" w:hAnsi="Arial" w:cs="Arial"/>
                <w:color w:val="000000"/>
                <w:sz w:val="19"/>
                <w:szCs w:val="19"/>
              </w:rPr>
              <w:t>-0.7415</w:t>
            </w:r>
          </w:p>
        </w:tc>
        <w:tc>
          <w:tcPr>
            <w:tcW w:w="847" w:type="dxa"/>
            <w:tcBorders>
              <w:top w:val="nil"/>
              <w:left w:val="nil"/>
              <w:bottom w:val="nil"/>
              <w:right w:val="nil"/>
            </w:tcBorders>
            <w:shd w:val="clear" w:color="auto" w:fill="FFFFFF"/>
            <w:tcMar>
              <w:left w:w="67" w:type="dxa"/>
              <w:right w:w="67" w:type="dxa"/>
            </w:tcMar>
            <w:vAlign w:val="center"/>
          </w:tcPr>
          <w:p w:rsidR="00C9550B" w:rsidRDefault="00CA0759" w:rsidP="00C9550B">
            <w:pPr>
              <w:keepNext/>
              <w:adjustRightInd w:val="0"/>
              <w:spacing w:before="67" w:after="67"/>
              <w:jc w:val="center"/>
              <w:rPr>
                <w:rFonts w:ascii="Arial" w:hAnsi="Arial" w:cs="Arial"/>
                <w:color w:val="000000"/>
                <w:sz w:val="19"/>
                <w:szCs w:val="19"/>
              </w:rPr>
            </w:pPr>
            <w:r>
              <w:rPr>
                <w:rFonts w:ascii="Arial" w:hAnsi="Arial" w:cs="Arial"/>
                <w:color w:val="000000"/>
                <w:sz w:val="19"/>
                <w:szCs w:val="19"/>
              </w:rPr>
              <w:t>-0.1603</w:t>
            </w:r>
          </w:p>
        </w:tc>
      </w:tr>
      <w:tr w:rsidR="00C9550B" w:rsidTr="00C9550B">
        <w:trPr>
          <w:cantSplit/>
          <w:jc w:val="center"/>
        </w:trPr>
        <w:tc>
          <w:tcPr>
            <w:tcW w:w="1306" w:type="dxa"/>
            <w:tcBorders>
              <w:top w:val="nil"/>
              <w:left w:val="nil"/>
              <w:bottom w:val="nil"/>
              <w:right w:val="nil"/>
            </w:tcBorders>
            <w:shd w:val="clear" w:color="auto" w:fill="FFFFFF"/>
            <w:tcMar>
              <w:left w:w="67" w:type="dxa"/>
              <w:right w:w="67" w:type="dxa"/>
            </w:tcMar>
            <w:vAlign w:val="center"/>
          </w:tcPr>
          <w:p w:rsidR="00C9550B" w:rsidRDefault="00C9550B" w:rsidP="00C9550B">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Gender</w:t>
            </w:r>
          </w:p>
        </w:tc>
        <w:tc>
          <w:tcPr>
            <w:tcW w:w="897" w:type="dxa"/>
            <w:tcBorders>
              <w:top w:val="nil"/>
              <w:left w:val="nil"/>
              <w:bottom w:val="nil"/>
              <w:right w:val="nil"/>
            </w:tcBorders>
            <w:shd w:val="clear" w:color="auto" w:fill="FFFFFF"/>
            <w:tcMar>
              <w:left w:w="67" w:type="dxa"/>
              <w:right w:w="67" w:type="dxa"/>
            </w:tcMar>
            <w:vAlign w:val="center"/>
          </w:tcPr>
          <w:p w:rsidR="00C9550B" w:rsidRDefault="00CA0759" w:rsidP="00C9550B">
            <w:pPr>
              <w:keepNext/>
              <w:adjustRightInd w:val="0"/>
              <w:spacing w:before="67" w:after="67"/>
              <w:jc w:val="center"/>
              <w:rPr>
                <w:rFonts w:ascii="Arial" w:hAnsi="Arial" w:cs="Arial"/>
                <w:color w:val="000000"/>
                <w:sz w:val="19"/>
                <w:szCs w:val="19"/>
              </w:rPr>
            </w:pPr>
            <w:r>
              <w:rPr>
                <w:rFonts w:ascii="Arial" w:hAnsi="Arial" w:cs="Arial"/>
                <w:color w:val="000000"/>
                <w:sz w:val="19"/>
                <w:szCs w:val="19"/>
              </w:rPr>
              <w:t>0.0268</w:t>
            </w:r>
          </w:p>
        </w:tc>
        <w:tc>
          <w:tcPr>
            <w:tcW w:w="932" w:type="dxa"/>
            <w:tcBorders>
              <w:top w:val="nil"/>
              <w:left w:val="nil"/>
              <w:bottom w:val="nil"/>
              <w:right w:val="nil"/>
            </w:tcBorders>
            <w:shd w:val="clear" w:color="auto" w:fill="FFFFFF"/>
            <w:tcMar>
              <w:left w:w="67" w:type="dxa"/>
              <w:right w:w="67" w:type="dxa"/>
            </w:tcMar>
            <w:vAlign w:val="center"/>
          </w:tcPr>
          <w:p w:rsidR="00C9550B" w:rsidRDefault="00CA0759" w:rsidP="00C9550B">
            <w:pPr>
              <w:keepNext/>
              <w:adjustRightInd w:val="0"/>
              <w:spacing w:before="67" w:after="67"/>
              <w:jc w:val="center"/>
              <w:rPr>
                <w:rFonts w:ascii="Arial" w:hAnsi="Arial" w:cs="Arial"/>
                <w:color w:val="000000"/>
                <w:sz w:val="19"/>
                <w:szCs w:val="19"/>
              </w:rPr>
            </w:pPr>
            <w:r>
              <w:rPr>
                <w:rFonts w:ascii="Arial" w:hAnsi="Arial" w:cs="Arial"/>
                <w:color w:val="000000"/>
                <w:sz w:val="19"/>
                <w:szCs w:val="19"/>
              </w:rPr>
              <w:t>0.0332</w:t>
            </w:r>
          </w:p>
        </w:tc>
        <w:tc>
          <w:tcPr>
            <w:tcW w:w="1650" w:type="dxa"/>
            <w:tcBorders>
              <w:top w:val="nil"/>
              <w:left w:val="nil"/>
              <w:bottom w:val="nil"/>
              <w:right w:val="nil"/>
            </w:tcBorders>
            <w:shd w:val="clear" w:color="auto" w:fill="FFFFFF"/>
            <w:vAlign w:val="center"/>
          </w:tcPr>
          <w:p w:rsidR="00C9550B" w:rsidRDefault="00CA0759" w:rsidP="00C9550B">
            <w:pPr>
              <w:keepNext/>
              <w:adjustRightInd w:val="0"/>
              <w:spacing w:before="67" w:after="67"/>
              <w:jc w:val="center"/>
              <w:rPr>
                <w:rFonts w:ascii="Arial" w:hAnsi="Arial" w:cs="Arial"/>
                <w:color w:val="000000"/>
                <w:sz w:val="19"/>
                <w:szCs w:val="19"/>
              </w:rPr>
            </w:pPr>
            <w:r>
              <w:rPr>
                <w:rFonts w:ascii="Arial" w:hAnsi="Arial" w:cs="Arial"/>
                <w:color w:val="000000"/>
                <w:sz w:val="19"/>
                <w:szCs w:val="19"/>
              </w:rPr>
              <w:t>0.4201</w:t>
            </w:r>
          </w:p>
        </w:tc>
        <w:tc>
          <w:tcPr>
            <w:tcW w:w="803" w:type="dxa"/>
            <w:tcBorders>
              <w:top w:val="nil"/>
              <w:left w:val="nil"/>
              <w:bottom w:val="nil"/>
              <w:right w:val="nil"/>
            </w:tcBorders>
            <w:shd w:val="clear" w:color="auto" w:fill="FFFFFF"/>
            <w:tcMar>
              <w:left w:w="67" w:type="dxa"/>
              <w:right w:w="67" w:type="dxa"/>
            </w:tcMar>
            <w:vAlign w:val="center"/>
          </w:tcPr>
          <w:p w:rsidR="00C9550B" w:rsidRDefault="00CA0759" w:rsidP="00C9550B">
            <w:pPr>
              <w:keepNext/>
              <w:adjustRightInd w:val="0"/>
              <w:spacing w:before="67" w:after="67"/>
              <w:jc w:val="center"/>
              <w:rPr>
                <w:rFonts w:ascii="Arial" w:hAnsi="Arial" w:cs="Arial"/>
                <w:color w:val="000000"/>
                <w:sz w:val="19"/>
                <w:szCs w:val="19"/>
              </w:rPr>
            </w:pPr>
            <w:r>
              <w:rPr>
                <w:rFonts w:ascii="Arial" w:hAnsi="Arial" w:cs="Arial"/>
                <w:color w:val="000000"/>
                <w:sz w:val="19"/>
                <w:szCs w:val="19"/>
              </w:rPr>
              <w:t>-0.0383</w:t>
            </w:r>
          </w:p>
        </w:tc>
        <w:tc>
          <w:tcPr>
            <w:tcW w:w="847" w:type="dxa"/>
            <w:tcBorders>
              <w:top w:val="nil"/>
              <w:left w:val="nil"/>
              <w:bottom w:val="nil"/>
              <w:right w:val="nil"/>
            </w:tcBorders>
            <w:shd w:val="clear" w:color="auto" w:fill="FFFFFF"/>
            <w:tcMar>
              <w:left w:w="67" w:type="dxa"/>
              <w:right w:w="67" w:type="dxa"/>
            </w:tcMar>
            <w:vAlign w:val="center"/>
          </w:tcPr>
          <w:p w:rsidR="00C9550B" w:rsidRDefault="00CA0759" w:rsidP="00C9550B">
            <w:pPr>
              <w:keepNext/>
              <w:adjustRightInd w:val="0"/>
              <w:spacing w:before="67" w:after="67"/>
              <w:jc w:val="center"/>
              <w:rPr>
                <w:rFonts w:ascii="Arial" w:hAnsi="Arial" w:cs="Arial"/>
                <w:color w:val="000000"/>
                <w:sz w:val="19"/>
                <w:szCs w:val="19"/>
              </w:rPr>
            </w:pPr>
            <w:r>
              <w:rPr>
                <w:rFonts w:ascii="Arial" w:hAnsi="Arial" w:cs="Arial"/>
                <w:color w:val="000000"/>
                <w:sz w:val="19"/>
                <w:szCs w:val="19"/>
              </w:rPr>
              <w:t>0.0919</w:t>
            </w:r>
          </w:p>
        </w:tc>
      </w:tr>
      <w:tr w:rsidR="00C9550B" w:rsidTr="00C9550B">
        <w:trPr>
          <w:cantSplit/>
          <w:jc w:val="center"/>
        </w:trPr>
        <w:tc>
          <w:tcPr>
            <w:tcW w:w="1306" w:type="dxa"/>
            <w:tcBorders>
              <w:top w:val="nil"/>
              <w:left w:val="nil"/>
              <w:bottom w:val="nil"/>
              <w:right w:val="nil"/>
            </w:tcBorders>
            <w:shd w:val="clear" w:color="auto" w:fill="FFFFFF"/>
            <w:tcMar>
              <w:left w:w="67" w:type="dxa"/>
              <w:right w:w="67" w:type="dxa"/>
            </w:tcMar>
            <w:vAlign w:val="center"/>
          </w:tcPr>
          <w:p w:rsidR="00C9550B" w:rsidRDefault="00C9550B" w:rsidP="00C9550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Age</w:t>
            </w:r>
          </w:p>
        </w:tc>
        <w:tc>
          <w:tcPr>
            <w:tcW w:w="897" w:type="dxa"/>
            <w:tcBorders>
              <w:top w:val="nil"/>
              <w:left w:val="nil"/>
              <w:bottom w:val="nil"/>
              <w:right w:val="nil"/>
            </w:tcBorders>
            <w:shd w:val="clear" w:color="auto" w:fill="FFFFFF"/>
            <w:tcMar>
              <w:left w:w="67" w:type="dxa"/>
              <w:right w:w="67" w:type="dxa"/>
            </w:tcMar>
            <w:vAlign w:val="center"/>
          </w:tcPr>
          <w:p w:rsidR="00C9550B" w:rsidRDefault="00CA0759" w:rsidP="00C9550B">
            <w:pPr>
              <w:adjustRightInd w:val="0"/>
              <w:spacing w:before="67" w:after="67"/>
              <w:jc w:val="center"/>
              <w:rPr>
                <w:rFonts w:ascii="Arial" w:hAnsi="Arial" w:cs="Arial"/>
                <w:color w:val="000000"/>
                <w:sz w:val="19"/>
                <w:szCs w:val="19"/>
              </w:rPr>
            </w:pPr>
            <w:r>
              <w:rPr>
                <w:rFonts w:ascii="Arial" w:hAnsi="Arial" w:cs="Arial"/>
                <w:color w:val="000000"/>
                <w:sz w:val="19"/>
                <w:szCs w:val="19"/>
              </w:rPr>
              <w:t>-0.0331</w:t>
            </w:r>
          </w:p>
        </w:tc>
        <w:tc>
          <w:tcPr>
            <w:tcW w:w="932" w:type="dxa"/>
            <w:tcBorders>
              <w:top w:val="nil"/>
              <w:left w:val="nil"/>
              <w:bottom w:val="nil"/>
              <w:right w:val="nil"/>
            </w:tcBorders>
            <w:shd w:val="clear" w:color="auto" w:fill="FFFFFF"/>
            <w:tcMar>
              <w:left w:w="67" w:type="dxa"/>
              <w:right w:w="67" w:type="dxa"/>
            </w:tcMar>
            <w:vAlign w:val="center"/>
          </w:tcPr>
          <w:p w:rsidR="00C9550B" w:rsidRDefault="00C9550B" w:rsidP="00C9550B">
            <w:pPr>
              <w:adjustRightInd w:val="0"/>
              <w:spacing w:before="67" w:after="67"/>
              <w:jc w:val="center"/>
              <w:rPr>
                <w:rFonts w:ascii="Arial" w:hAnsi="Arial" w:cs="Arial"/>
                <w:color w:val="000000"/>
                <w:sz w:val="19"/>
                <w:szCs w:val="19"/>
              </w:rPr>
            </w:pPr>
            <w:r>
              <w:rPr>
                <w:rFonts w:ascii="Arial" w:hAnsi="Arial" w:cs="Arial"/>
                <w:color w:val="000000"/>
                <w:sz w:val="19"/>
                <w:szCs w:val="19"/>
              </w:rPr>
              <w:t>0.0107</w:t>
            </w:r>
          </w:p>
        </w:tc>
        <w:tc>
          <w:tcPr>
            <w:tcW w:w="1650" w:type="dxa"/>
            <w:tcBorders>
              <w:top w:val="nil"/>
              <w:left w:val="nil"/>
              <w:bottom w:val="nil"/>
              <w:right w:val="nil"/>
            </w:tcBorders>
            <w:shd w:val="clear" w:color="auto" w:fill="FFFFFF"/>
            <w:vAlign w:val="center"/>
          </w:tcPr>
          <w:p w:rsidR="00C9550B" w:rsidRPr="00C9550B" w:rsidRDefault="00CA0759" w:rsidP="00C9550B">
            <w:pPr>
              <w:adjustRightInd w:val="0"/>
              <w:spacing w:before="67" w:after="67"/>
              <w:jc w:val="center"/>
              <w:rPr>
                <w:rFonts w:ascii="Arial" w:hAnsi="Arial" w:cs="Arial"/>
                <w:b/>
                <w:color w:val="000000"/>
                <w:sz w:val="19"/>
                <w:szCs w:val="19"/>
              </w:rPr>
            </w:pPr>
            <w:r>
              <w:rPr>
                <w:rFonts w:ascii="Arial" w:hAnsi="Arial" w:cs="Arial"/>
                <w:b/>
                <w:color w:val="000000"/>
                <w:sz w:val="19"/>
                <w:szCs w:val="19"/>
              </w:rPr>
              <w:t>0.0020</w:t>
            </w:r>
          </w:p>
        </w:tc>
        <w:tc>
          <w:tcPr>
            <w:tcW w:w="803" w:type="dxa"/>
            <w:tcBorders>
              <w:top w:val="nil"/>
              <w:left w:val="nil"/>
              <w:bottom w:val="nil"/>
              <w:right w:val="nil"/>
            </w:tcBorders>
            <w:shd w:val="clear" w:color="auto" w:fill="FFFFFF"/>
            <w:tcMar>
              <w:left w:w="67" w:type="dxa"/>
              <w:right w:w="67" w:type="dxa"/>
            </w:tcMar>
            <w:vAlign w:val="center"/>
          </w:tcPr>
          <w:p w:rsidR="00C9550B" w:rsidRDefault="00CA0759" w:rsidP="00C9550B">
            <w:pPr>
              <w:adjustRightInd w:val="0"/>
              <w:spacing w:before="67" w:after="67"/>
              <w:jc w:val="center"/>
              <w:rPr>
                <w:rFonts w:ascii="Arial" w:hAnsi="Arial" w:cs="Arial"/>
                <w:color w:val="000000"/>
                <w:sz w:val="19"/>
                <w:szCs w:val="19"/>
              </w:rPr>
            </w:pPr>
            <w:r>
              <w:rPr>
                <w:rFonts w:ascii="Arial" w:hAnsi="Arial" w:cs="Arial"/>
                <w:color w:val="000000"/>
                <w:sz w:val="19"/>
                <w:szCs w:val="19"/>
              </w:rPr>
              <w:t>-0.0541</w:t>
            </w:r>
          </w:p>
        </w:tc>
        <w:tc>
          <w:tcPr>
            <w:tcW w:w="847" w:type="dxa"/>
            <w:tcBorders>
              <w:top w:val="nil"/>
              <w:left w:val="nil"/>
              <w:bottom w:val="nil"/>
              <w:right w:val="nil"/>
            </w:tcBorders>
            <w:shd w:val="clear" w:color="auto" w:fill="FFFFFF"/>
            <w:tcMar>
              <w:left w:w="67" w:type="dxa"/>
              <w:right w:w="67" w:type="dxa"/>
            </w:tcMar>
            <w:vAlign w:val="center"/>
          </w:tcPr>
          <w:p w:rsidR="00C9550B" w:rsidRDefault="00CA0759" w:rsidP="00C9550B">
            <w:pPr>
              <w:adjustRightInd w:val="0"/>
              <w:spacing w:before="67" w:after="67"/>
              <w:jc w:val="center"/>
              <w:rPr>
                <w:rFonts w:ascii="Arial" w:hAnsi="Arial" w:cs="Arial"/>
                <w:color w:val="000000"/>
                <w:sz w:val="19"/>
                <w:szCs w:val="19"/>
              </w:rPr>
            </w:pPr>
            <w:r>
              <w:rPr>
                <w:rFonts w:ascii="Arial" w:hAnsi="Arial" w:cs="Arial"/>
                <w:color w:val="000000"/>
                <w:sz w:val="19"/>
                <w:szCs w:val="19"/>
              </w:rPr>
              <w:t>-0.0121</w:t>
            </w:r>
          </w:p>
        </w:tc>
      </w:tr>
    </w:tbl>
    <w:p w:rsidR="00C9550B" w:rsidRDefault="00C9550B" w:rsidP="00C9550B">
      <w:pPr>
        <w:spacing w:line="480" w:lineRule="auto"/>
      </w:pPr>
    </w:p>
    <w:p w:rsidR="00C9550B" w:rsidRDefault="00C9550B" w:rsidP="00011FB6">
      <w:pPr>
        <w:spacing w:line="480" w:lineRule="auto"/>
      </w:pPr>
      <w:r>
        <w:t xml:space="preserve">Model </w:t>
      </w:r>
      <w:r w:rsidR="00CA0759">
        <w:t>5</w:t>
      </w:r>
      <w:r w:rsidR="003518CC">
        <w:t>: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897"/>
        <w:gridCol w:w="932"/>
        <w:gridCol w:w="1650"/>
        <w:gridCol w:w="803"/>
        <w:gridCol w:w="847"/>
      </w:tblGrid>
      <w:tr w:rsidR="003518CC" w:rsidTr="003518CC">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rsidR="003518CC" w:rsidRDefault="003518CC" w:rsidP="003518CC">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Parameter</w:t>
            </w:r>
          </w:p>
        </w:tc>
        <w:tc>
          <w:tcPr>
            <w:tcW w:w="897" w:type="dxa"/>
            <w:tcBorders>
              <w:top w:val="nil"/>
              <w:left w:val="nil"/>
              <w:bottom w:val="single" w:sz="4" w:space="0" w:color="000000"/>
              <w:right w:val="nil"/>
            </w:tcBorders>
            <w:shd w:val="clear" w:color="auto" w:fill="FFFFFF"/>
            <w:tcMar>
              <w:left w:w="67" w:type="dxa"/>
              <w:right w:w="67" w:type="dxa"/>
            </w:tcMar>
            <w:vAlign w:val="center"/>
          </w:tcPr>
          <w:p w:rsidR="003518CC" w:rsidRDefault="003518CC" w:rsidP="003518CC">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Estimate</w:t>
            </w:r>
          </w:p>
        </w:tc>
        <w:tc>
          <w:tcPr>
            <w:tcW w:w="932" w:type="dxa"/>
            <w:tcBorders>
              <w:top w:val="nil"/>
              <w:left w:val="nil"/>
              <w:bottom w:val="single" w:sz="4" w:space="0" w:color="000000"/>
              <w:right w:val="nil"/>
            </w:tcBorders>
            <w:shd w:val="clear" w:color="auto" w:fill="FFFFFF"/>
            <w:tcMar>
              <w:left w:w="67" w:type="dxa"/>
              <w:right w:w="67" w:type="dxa"/>
            </w:tcMar>
            <w:vAlign w:val="center"/>
          </w:tcPr>
          <w:p w:rsidR="003518CC" w:rsidRDefault="003518CC" w:rsidP="003518CC">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Standard Error</w:t>
            </w:r>
          </w:p>
        </w:tc>
        <w:tc>
          <w:tcPr>
            <w:tcW w:w="1650" w:type="dxa"/>
            <w:tcBorders>
              <w:top w:val="nil"/>
              <w:left w:val="nil"/>
              <w:bottom w:val="single" w:sz="4" w:space="0" w:color="000000"/>
              <w:right w:val="nil"/>
            </w:tcBorders>
            <w:shd w:val="clear" w:color="auto" w:fill="FFFFFF"/>
            <w:vAlign w:val="center"/>
          </w:tcPr>
          <w:p w:rsidR="003518CC" w:rsidRDefault="003518CC" w:rsidP="003518CC">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P-Value</w:t>
            </w:r>
          </w:p>
        </w:tc>
        <w:tc>
          <w:tcPr>
            <w:tcW w:w="1650" w:type="dxa"/>
            <w:gridSpan w:val="2"/>
            <w:tcBorders>
              <w:top w:val="nil"/>
              <w:left w:val="nil"/>
              <w:bottom w:val="single" w:sz="4" w:space="0" w:color="000000"/>
              <w:right w:val="nil"/>
            </w:tcBorders>
            <w:shd w:val="clear" w:color="auto" w:fill="FFFFFF"/>
            <w:tcMar>
              <w:left w:w="67" w:type="dxa"/>
              <w:right w:w="67" w:type="dxa"/>
            </w:tcMar>
            <w:vAlign w:val="center"/>
          </w:tcPr>
          <w:p w:rsidR="003518CC" w:rsidRDefault="003518CC" w:rsidP="003518CC">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CI</w:t>
            </w:r>
          </w:p>
        </w:tc>
      </w:tr>
      <w:tr w:rsidR="003518CC" w:rsidTr="003518CC">
        <w:trPr>
          <w:cantSplit/>
          <w:jc w:val="center"/>
        </w:trPr>
        <w:tc>
          <w:tcPr>
            <w:tcW w:w="1306" w:type="dxa"/>
            <w:tcBorders>
              <w:top w:val="nil"/>
              <w:left w:val="nil"/>
              <w:bottom w:val="nil"/>
              <w:right w:val="nil"/>
            </w:tcBorders>
            <w:shd w:val="clear" w:color="auto" w:fill="FFFFFF"/>
            <w:tcMar>
              <w:left w:w="67" w:type="dxa"/>
              <w:right w:w="67" w:type="dxa"/>
            </w:tcMar>
            <w:vAlign w:val="center"/>
          </w:tcPr>
          <w:p w:rsidR="003518CC" w:rsidRDefault="003518CC" w:rsidP="003518CC">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Internal Risk</w:t>
            </w:r>
          </w:p>
        </w:tc>
        <w:tc>
          <w:tcPr>
            <w:tcW w:w="897" w:type="dxa"/>
            <w:tcBorders>
              <w:top w:val="nil"/>
              <w:left w:val="nil"/>
              <w:bottom w:val="nil"/>
              <w:right w:val="nil"/>
            </w:tcBorders>
            <w:shd w:val="clear" w:color="auto" w:fill="FFFFFF"/>
            <w:tcMar>
              <w:left w:w="67" w:type="dxa"/>
              <w:right w:w="67" w:type="dxa"/>
            </w:tcMar>
            <w:vAlign w:val="center"/>
          </w:tcPr>
          <w:p w:rsidR="003518CC" w:rsidRDefault="00CA0759" w:rsidP="003518CC">
            <w:pPr>
              <w:keepNext/>
              <w:adjustRightInd w:val="0"/>
              <w:spacing w:before="67" w:after="67"/>
              <w:jc w:val="center"/>
              <w:rPr>
                <w:rFonts w:ascii="Arial" w:hAnsi="Arial" w:cs="Arial"/>
                <w:color w:val="000000"/>
                <w:sz w:val="19"/>
                <w:szCs w:val="19"/>
              </w:rPr>
            </w:pPr>
            <w:r>
              <w:rPr>
                <w:rFonts w:ascii="Arial" w:hAnsi="Arial" w:cs="Arial"/>
                <w:color w:val="000000"/>
                <w:sz w:val="19"/>
                <w:szCs w:val="19"/>
              </w:rPr>
              <w:t>-0.3526</w:t>
            </w:r>
          </w:p>
        </w:tc>
        <w:tc>
          <w:tcPr>
            <w:tcW w:w="932" w:type="dxa"/>
            <w:tcBorders>
              <w:top w:val="nil"/>
              <w:left w:val="nil"/>
              <w:bottom w:val="nil"/>
              <w:right w:val="nil"/>
            </w:tcBorders>
            <w:shd w:val="clear" w:color="auto" w:fill="FFFFFF"/>
            <w:tcMar>
              <w:left w:w="67" w:type="dxa"/>
              <w:right w:w="67" w:type="dxa"/>
            </w:tcMar>
            <w:vAlign w:val="center"/>
          </w:tcPr>
          <w:p w:rsidR="003518CC" w:rsidRDefault="00CA0759" w:rsidP="00CA0759">
            <w:pPr>
              <w:keepNext/>
              <w:adjustRightInd w:val="0"/>
              <w:spacing w:before="67" w:after="67"/>
              <w:jc w:val="center"/>
              <w:rPr>
                <w:rFonts w:ascii="Arial" w:hAnsi="Arial" w:cs="Arial"/>
                <w:color w:val="000000"/>
                <w:sz w:val="19"/>
                <w:szCs w:val="19"/>
              </w:rPr>
            </w:pPr>
            <w:r>
              <w:rPr>
                <w:rFonts w:ascii="Arial" w:hAnsi="Arial" w:cs="Arial"/>
                <w:color w:val="000000"/>
                <w:sz w:val="19"/>
                <w:szCs w:val="19"/>
              </w:rPr>
              <w:t>0.0980</w:t>
            </w:r>
          </w:p>
        </w:tc>
        <w:tc>
          <w:tcPr>
            <w:tcW w:w="1650" w:type="dxa"/>
            <w:tcBorders>
              <w:top w:val="nil"/>
              <w:left w:val="nil"/>
              <w:bottom w:val="nil"/>
              <w:right w:val="nil"/>
            </w:tcBorders>
            <w:shd w:val="clear" w:color="auto" w:fill="FFFFFF"/>
            <w:vAlign w:val="center"/>
          </w:tcPr>
          <w:p w:rsidR="003518CC" w:rsidRPr="00CA0759" w:rsidRDefault="003518CC" w:rsidP="003518CC">
            <w:pPr>
              <w:keepNext/>
              <w:adjustRightInd w:val="0"/>
              <w:spacing w:before="67" w:after="67"/>
              <w:jc w:val="center"/>
              <w:rPr>
                <w:rFonts w:ascii="Arial" w:hAnsi="Arial" w:cs="Arial"/>
                <w:b/>
                <w:color w:val="000000"/>
                <w:sz w:val="19"/>
                <w:szCs w:val="19"/>
              </w:rPr>
            </w:pPr>
            <w:r w:rsidRPr="00CA0759">
              <w:rPr>
                <w:rFonts w:ascii="Arial" w:hAnsi="Arial" w:cs="Arial"/>
                <w:b/>
                <w:color w:val="000000"/>
                <w:sz w:val="19"/>
                <w:szCs w:val="19"/>
              </w:rPr>
              <w:t>0</w:t>
            </w:r>
            <w:r w:rsidR="00CA0759" w:rsidRPr="00CA0759">
              <w:rPr>
                <w:rFonts w:ascii="Arial" w:hAnsi="Arial" w:cs="Arial"/>
                <w:b/>
                <w:color w:val="000000"/>
                <w:sz w:val="19"/>
                <w:szCs w:val="19"/>
              </w:rPr>
              <w:t>.0003</w:t>
            </w:r>
          </w:p>
        </w:tc>
        <w:tc>
          <w:tcPr>
            <w:tcW w:w="803" w:type="dxa"/>
            <w:tcBorders>
              <w:top w:val="nil"/>
              <w:left w:val="nil"/>
              <w:bottom w:val="nil"/>
              <w:right w:val="nil"/>
            </w:tcBorders>
            <w:shd w:val="clear" w:color="auto" w:fill="FFFFFF"/>
            <w:tcMar>
              <w:left w:w="67" w:type="dxa"/>
              <w:right w:w="67" w:type="dxa"/>
            </w:tcMar>
            <w:vAlign w:val="center"/>
          </w:tcPr>
          <w:p w:rsidR="003518CC" w:rsidRDefault="003518CC" w:rsidP="00CA0759">
            <w:pPr>
              <w:keepNext/>
              <w:adjustRightInd w:val="0"/>
              <w:spacing w:before="67" w:after="67"/>
              <w:jc w:val="center"/>
              <w:rPr>
                <w:rFonts w:ascii="Arial" w:hAnsi="Arial" w:cs="Arial"/>
                <w:color w:val="000000"/>
                <w:sz w:val="19"/>
                <w:szCs w:val="19"/>
              </w:rPr>
            </w:pPr>
            <w:r>
              <w:rPr>
                <w:rFonts w:ascii="Arial" w:hAnsi="Arial" w:cs="Arial"/>
                <w:color w:val="000000"/>
                <w:sz w:val="19"/>
                <w:szCs w:val="19"/>
              </w:rPr>
              <w:t>-0.5</w:t>
            </w:r>
            <w:r w:rsidR="00CA0759">
              <w:rPr>
                <w:rFonts w:ascii="Arial" w:hAnsi="Arial" w:cs="Arial"/>
                <w:color w:val="000000"/>
                <w:sz w:val="19"/>
                <w:szCs w:val="19"/>
              </w:rPr>
              <w:t>447</w:t>
            </w:r>
          </w:p>
        </w:tc>
        <w:tc>
          <w:tcPr>
            <w:tcW w:w="847" w:type="dxa"/>
            <w:tcBorders>
              <w:top w:val="nil"/>
              <w:left w:val="nil"/>
              <w:bottom w:val="nil"/>
              <w:right w:val="nil"/>
            </w:tcBorders>
            <w:shd w:val="clear" w:color="auto" w:fill="FFFFFF"/>
            <w:tcMar>
              <w:left w:w="67" w:type="dxa"/>
              <w:right w:w="67" w:type="dxa"/>
            </w:tcMar>
            <w:vAlign w:val="center"/>
          </w:tcPr>
          <w:p w:rsidR="003518CC" w:rsidRDefault="003518CC" w:rsidP="00CA0759">
            <w:pPr>
              <w:keepNext/>
              <w:adjustRightInd w:val="0"/>
              <w:spacing w:before="67" w:after="67"/>
              <w:jc w:val="center"/>
              <w:rPr>
                <w:rFonts w:ascii="Arial" w:hAnsi="Arial" w:cs="Arial"/>
                <w:color w:val="000000"/>
                <w:sz w:val="19"/>
                <w:szCs w:val="19"/>
              </w:rPr>
            </w:pPr>
            <w:r>
              <w:rPr>
                <w:rFonts w:ascii="Arial" w:hAnsi="Arial" w:cs="Arial"/>
                <w:color w:val="000000"/>
                <w:sz w:val="19"/>
                <w:szCs w:val="19"/>
              </w:rPr>
              <w:t>-0.1</w:t>
            </w:r>
            <w:r w:rsidR="00CA0759">
              <w:rPr>
                <w:rFonts w:ascii="Arial" w:hAnsi="Arial" w:cs="Arial"/>
                <w:color w:val="000000"/>
                <w:sz w:val="19"/>
                <w:szCs w:val="19"/>
              </w:rPr>
              <w:t>604</w:t>
            </w:r>
          </w:p>
        </w:tc>
      </w:tr>
      <w:tr w:rsidR="003518CC" w:rsidTr="003518CC">
        <w:trPr>
          <w:cantSplit/>
          <w:jc w:val="center"/>
        </w:trPr>
        <w:tc>
          <w:tcPr>
            <w:tcW w:w="1306" w:type="dxa"/>
            <w:tcBorders>
              <w:top w:val="nil"/>
              <w:left w:val="nil"/>
              <w:bottom w:val="nil"/>
              <w:right w:val="nil"/>
            </w:tcBorders>
            <w:shd w:val="clear" w:color="auto" w:fill="FFFFFF"/>
            <w:tcMar>
              <w:left w:w="67" w:type="dxa"/>
              <w:right w:w="67" w:type="dxa"/>
            </w:tcMar>
            <w:vAlign w:val="center"/>
          </w:tcPr>
          <w:p w:rsidR="003518CC" w:rsidRDefault="003518CC" w:rsidP="003518CC">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Gender</w:t>
            </w:r>
          </w:p>
        </w:tc>
        <w:tc>
          <w:tcPr>
            <w:tcW w:w="897" w:type="dxa"/>
            <w:tcBorders>
              <w:top w:val="nil"/>
              <w:left w:val="nil"/>
              <w:bottom w:val="nil"/>
              <w:right w:val="nil"/>
            </w:tcBorders>
            <w:shd w:val="clear" w:color="auto" w:fill="FFFFFF"/>
            <w:tcMar>
              <w:left w:w="67" w:type="dxa"/>
              <w:right w:w="67" w:type="dxa"/>
            </w:tcMar>
            <w:vAlign w:val="center"/>
          </w:tcPr>
          <w:p w:rsidR="003518CC" w:rsidRDefault="00CA0759" w:rsidP="003518CC">
            <w:pPr>
              <w:adjustRightInd w:val="0"/>
              <w:spacing w:before="67" w:after="67"/>
              <w:jc w:val="center"/>
              <w:rPr>
                <w:rFonts w:ascii="Arial" w:hAnsi="Arial" w:cs="Arial"/>
                <w:color w:val="000000"/>
                <w:sz w:val="19"/>
                <w:szCs w:val="19"/>
              </w:rPr>
            </w:pPr>
            <w:r>
              <w:rPr>
                <w:rFonts w:ascii="Arial" w:hAnsi="Arial" w:cs="Arial"/>
                <w:color w:val="000000"/>
                <w:sz w:val="19"/>
                <w:szCs w:val="19"/>
              </w:rPr>
              <w:t>0.0307</w:t>
            </w:r>
          </w:p>
        </w:tc>
        <w:tc>
          <w:tcPr>
            <w:tcW w:w="932" w:type="dxa"/>
            <w:tcBorders>
              <w:top w:val="nil"/>
              <w:left w:val="nil"/>
              <w:bottom w:val="nil"/>
              <w:right w:val="nil"/>
            </w:tcBorders>
            <w:shd w:val="clear" w:color="auto" w:fill="FFFFFF"/>
            <w:tcMar>
              <w:left w:w="67" w:type="dxa"/>
              <w:right w:w="67" w:type="dxa"/>
            </w:tcMar>
            <w:vAlign w:val="center"/>
          </w:tcPr>
          <w:p w:rsidR="003518CC" w:rsidRDefault="00CA0759" w:rsidP="003518CC">
            <w:pPr>
              <w:adjustRightInd w:val="0"/>
              <w:spacing w:before="67" w:after="67"/>
              <w:jc w:val="center"/>
              <w:rPr>
                <w:rFonts w:ascii="Arial" w:hAnsi="Arial" w:cs="Arial"/>
                <w:color w:val="000000"/>
                <w:sz w:val="19"/>
                <w:szCs w:val="19"/>
              </w:rPr>
            </w:pPr>
            <w:r>
              <w:rPr>
                <w:rFonts w:ascii="Arial" w:hAnsi="Arial" w:cs="Arial"/>
                <w:color w:val="000000"/>
                <w:sz w:val="19"/>
                <w:szCs w:val="19"/>
              </w:rPr>
              <w:t>0.0333</w:t>
            </w:r>
          </w:p>
        </w:tc>
        <w:tc>
          <w:tcPr>
            <w:tcW w:w="1650" w:type="dxa"/>
            <w:tcBorders>
              <w:top w:val="nil"/>
              <w:left w:val="nil"/>
              <w:bottom w:val="nil"/>
              <w:right w:val="nil"/>
            </w:tcBorders>
            <w:shd w:val="clear" w:color="auto" w:fill="FFFFFF"/>
            <w:vAlign w:val="center"/>
          </w:tcPr>
          <w:p w:rsidR="003518CC" w:rsidRDefault="003518CC" w:rsidP="00CA0759">
            <w:pPr>
              <w:adjustRightInd w:val="0"/>
              <w:spacing w:before="67" w:after="67"/>
              <w:jc w:val="center"/>
              <w:rPr>
                <w:rFonts w:ascii="Arial" w:hAnsi="Arial" w:cs="Arial"/>
                <w:color w:val="000000"/>
                <w:sz w:val="19"/>
                <w:szCs w:val="19"/>
              </w:rPr>
            </w:pPr>
            <w:r>
              <w:rPr>
                <w:rFonts w:ascii="Arial" w:hAnsi="Arial" w:cs="Arial"/>
                <w:color w:val="000000"/>
                <w:sz w:val="19"/>
                <w:szCs w:val="19"/>
              </w:rPr>
              <w:t>0.3</w:t>
            </w:r>
            <w:r w:rsidR="00CA0759">
              <w:rPr>
                <w:rFonts w:ascii="Arial" w:hAnsi="Arial" w:cs="Arial"/>
                <w:color w:val="000000"/>
                <w:sz w:val="19"/>
                <w:szCs w:val="19"/>
              </w:rPr>
              <w:t>569</w:t>
            </w:r>
          </w:p>
        </w:tc>
        <w:tc>
          <w:tcPr>
            <w:tcW w:w="803" w:type="dxa"/>
            <w:tcBorders>
              <w:top w:val="nil"/>
              <w:left w:val="nil"/>
              <w:bottom w:val="nil"/>
              <w:right w:val="nil"/>
            </w:tcBorders>
            <w:shd w:val="clear" w:color="auto" w:fill="FFFFFF"/>
            <w:tcMar>
              <w:left w:w="67" w:type="dxa"/>
              <w:right w:w="67" w:type="dxa"/>
            </w:tcMar>
            <w:vAlign w:val="center"/>
          </w:tcPr>
          <w:p w:rsidR="003518CC" w:rsidRDefault="003518CC" w:rsidP="003518CC">
            <w:pPr>
              <w:adjustRightInd w:val="0"/>
              <w:spacing w:before="67" w:after="67"/>
              <w:jc w:val="center"/>
              <w:rPr>
                <w:rFonts w:ascii="Arial" w:hAnsi="Arial" w:cs="Arial"/>
                <w:color w:val="000000"/>
                <w:sz w:val="19"/>
                <w:szCs w:val="19"/>
              </w:rPr>
            </w:pPr>
            <w:r>
              <w:rPr>
                <w:rFonts w:ascii="Arial" w:hAnsi="Arial" w:cs="Arial"/>
                <w:color w:val="000000"/>
                <w:sz w:val="19"/>
                <w:szCs w:val="19"/>
              </w:rPr>
              <w:t>-</w:t>
            </w:r>
            <w:r w:rsidR="00CA0759">
              <w:rPr>
                <w:rFonts w:ascii="Arial" w:hAnsi="Arial" w:cs="Arial"/>
                <w:color w:val="000000"/>
                <w:sz w:val="19"/>
                <w:szCs w:val="19"/>
              </w:rPr>
              <w:t>0.0346</w:t>
            </w:r>
          </w:p>
        </w:tc>
        <w:tc>
          <w:tcPr>
            <w:tcW w:w="847" w:type="dxa"/>
            <w:tcBorders>
              <w:top w:val="nil"/>
              <w:left w:val="nil"/>
              <w:bottom w:val="nil"/>
              <w:right w:val="nil"/>
            </w:tcBorders>
            <w:shd w:val="clear" w:color="auto" w:fill="FFFFFF"/>
            <w:tcMar>
              <w:left w:w="67" w:type="dxa"/>
              <w:right w:w="67" w:type="dxa"/>
            </w:tcMar>
            <w:vAlign w:val="center"/>
          </w:tcPr>
          <w:p w:rsidR="003518CC" w:rsidRDefault="00CA0759" w:rsidP="003518CC">
            <w:pPr>
              <w:adjustRightInd w:val="0"/>
              <w:spacing w:before="67" w:after="67"/>
              <w:jc w:val="center"/>
              <w:rPr>
                <w:rFonts w:ascii="Arial" w:hAnsi="Arial" w:cs="Arial"/>
                <w:color w:val="000000"/>
                <w:sz w:val="19"/>
                <w:szCs w:val="19"/>
              </w:rPr>
            </w:pPr>
            <w:r>
              <w:rPr>
                <w:rFonts w:ascii="Arial" w:hAnsi="Arial" w:cs="Arial"/>
                <w:color w:val="000000"/>
                <w:sz w:val="19"/>
                <w:szCs w:val="19"/>
              </w:rPr>
              <w:t>0.0959</w:t>
            </w:r>
          </w:p>
        </w:tc>
      </w:tr>
      <w:tr w:rsidR="003518CC" w:rsidTr="003518CC">
        <w:trPr>
          <w:cantSplit/>
          <w:jc w:val="center"/>
        </w:trPr>
        <w:tc>
          <w:tcPr>
            <w:tcW w:w="1306" w:type="dxa"/>
            <w:tcBorders>
              <w:top w:val="nil"/>
              <w:left w:val="nil"/>
              <w:bottom w:val="nil"/>
              <w:right w:val="nil"/>
            </w:tcBorders>
            <w:shd w:val="clear" w:color="auto" w:fill="FFFFFF"/>
            <w:tcMar>
              <w:left w:w="67" w:type="dxa"/>
              <w:right w:w="67" w:type="dxa"/>
            </w:tcMar>
            <w:vAlign w:val="center"/>
          </w:tcPr>
          <w:p w:rsidR="003518CC" w:rsidRDefault="003518CC" w:rsidP="003518CC">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Age</w:t>
            </w:r>
          </w:p>
        </w:tc>
        <w:tc>
          <w:tcPr>
            <w:tcW w:w="897" w:type="dxa"/>
            <w:tcBorders>
              <w:top w:val="nil"/>
              <w:left w:val="nil"/>
              <w:bottom w:val="nil"/>
              <w:right w:val="nil"/>
            </w:tcBorders>
            <w:shd w:val="clear" w:color="auto" w:fill="FFFFFF"/>
            <w:tcMar>
              <w:left w:w="67" w:type="dxa"/>
              <w:right w:w="67" w:type="dxa"/>
            </w:tcMar>
            <w:vAlign w:val="center"/>
          </w:tcPr>
          <w:p w:rsidR="003518CC" w:rsidRDefault="00CA0759" w:rsidP="003518CC">
            <w:pPr>
              <w:adjustRightInd w:val="0"/>
              <w:spacing w:before="67" w:after="67"/>
              <w:jc w:val="center"/>
              <w:rPr>
                <w:rFonts w:ascii="Arial" w:hAnsi="Arial" w:cs="Arial"/>
                <w:color w:val="000000"/>
                <w:sz w:val="19"/>
                <w:szCs w:val="19"/>
              </w:rPr>
            </w:pPr>
            <w:r>
              <w:rPr>
                <w:rFonts w:ascii="Arial" w:hAnsi="Arial" w:cs="Arial"/>
                <w:color w:val="000000"/>
                <w:sz w:val="19"/>
                <w:szCs w:val="19"/>
              </w:rPr>
              <w:t>-0.0287</w:t>
            </w:r>
          </w:p>
        </w:tc>
        <w:tc>
          <w:tcPr>
            <w:tcW w:w="932" w:type="dxa"/>
            <w:tcBorders>
              <w:top w:val="nil"/>
              <w:left w:val="nil"/>
              <w:bottom w:val="nil"/>
              <w:right w:val="nil"/>
            </w:tcBorders>
            <w:shd w:val="clear" w:color="auto" w:fill="FFFFFF"/>
            <w:tcMar>
              <w:left w:w="67" w:type="dxa"/>
              <w:right w:w="67" w:type="dxa"/>
            </w:tcMar>
            <w:vAlign w:val="center"/>
          </w:tcPr>
          <w:p w:rsidR="003518CC" w:rsidRDefault="00CA0759" w:rsidP="003518CC">
            <w:pPr>
              <w:adjustRightInd w:val="0"/>
              <w:spacing w:before="67" w:after="67"/>
              <w:jc w:val="center"/>
              <w:rPr>
                <w:rFonts w:ascii="Arial" w:hAnsi="Arial" w:cs="Arial"/>
                <w:color w:val="000000"/>
                <w:sz w:val="19"/>
                <w:szCs w:val="19"/>
              </w:rPr>
            </w:pPr>
            <w:r>
              <w:rPr>
                <w:rFonts w:ascii="Arial" w:hAnsi="Arial" w:cs="Arial"/>
                <w:color w:val="000000"/>
                <w:sz w:val="19"/>
                <w:szCs w:val="19"/>
              </w:rPr>
              <w:t>0.0108</w:t>
            </w:r>
          </w:p>
        </w:tc>
        <w:tc>
          <w:tcPr>
            <w:tcW w:w="1650" w:type="dxa"/>
            <w:tcBorders>
              <w:top w:val="nil"/>
              <w:left w:val="nil"/>
              <w:bottom w:val="nil"/>
              <w:right w:val="nil"/>
            </w:tcBorders>
            <w:shd w:val="clear" w:color="auto" w:fill="FFFFFF"/>
            <w:vAlign w:val="center"/>
          </w:tcPr>
          <w:p w:rsidR="003518CC" w:rsidRPr="00CA0759" w:rsidRDefault="00CA0759" w:rsidP="003518CC">
            <w:pPr>
              <w:adjustRightInd w:val="0"/>
              <w:spacing w:before="67" w:after="67"/>
              <w:jc w:val="center"/>
              <w:rPr>
                <w:rFonts w:ascii="Arial" w:hAnsi="Arial" w:cs="Arial"/>
                <w:b/>
                <w:color w:val="000000"/>
                <w:sz w:val="19"/>
                <w:szCs w:val="19"/>
              </w:rPr>
            </w:pPr>
            <w:r w:rsidRPr="00CA0759">
              <w:rPr>
                <w:rFonts w:ascii="Arial" w:hAnsi="Arial" w:cs="Arial"/>
                <w:b/>
                <w:color w:val="000000"/>
                <w:sz w:val="19"/>
                <w:szCs w:val="19"/>
              </w:rPr>
              <w:t>0.0080</w:t>
            </w:r>
          </w:p>
        </w:tc>
        <w:tc>
          <w:tcPr>
            <w:tcW w:w="803" w:type="dxa"/>
            <w:tcBorders>
              <w:top w:val="nil"/>
              <w:left w:val="nil"/>
              <w:bottom w:val="nil"/>
              <w:right w:val="nil"/>
            </w:tcBorders>
            <w:shd w:val="clear" w:color="auto" w:fill="FFFFFF"/>
            <w:tcMar>
              <w:left w:w="67" w:type="dxa"/>
              <w:right w:w="67" w:type="dxa"/>
            </w:tcMar>
            <w:vAlign w:val="center"/>
          </w:tcPr>
          <w:p w:rsidR="003518CC" w:rsidRDefault="00CA0759" w:rsidP="003518CC">
            <w:pPr>
              <w:adjustRightInd w:val="0"/>
              <w:spacing w:before="67" w:after="67"/>
              <w:jc w:val="center"/>
              <w:rPr>
                <w:rFonts w:ascii="Arial" w:hAnsi="Arial" w:cs="Arial"/>
                <w:color w:val="000000"/>
                <w:sz w:val="19"/>
                <w:szCs w:val="19"/>
              </w:rPr>
            </w:pPr>
            <w:r>
              <w:rPr>
                <w:rFonts w:ascii="Arial" w:hAnsi="Arial" w:cs="Arial"/>
                <w:color w:val="000000"/>
                <w:sz w:val="19"/>
                <w:szCs w:val="19"/>
              </w:rPr>
              <w:t>-0.0500</w:t>
            </w:r>
          </w:p>
        </w:tc>
        <w:tc>
          <w:tcPr>
            <w:tcW w:w="847" w:type="dxa"/>
            <w:tcBorders>
              <w:top w:val="nil"/>
              <w:left w:val="nil"/>
              <w:bottom w:val="nil"/>
              <w:right w:val="nil"/>
            </w:tcBorders>
            <w:shd w:val="clear" w:color="auto" w:fill="FFFFFF"/>
            <w:tcMar>
              <w:left w:w="67" w:type="dxa"/>
              <w:right w:w="67" w:type="dxa"/>
            </w:tcMar>
            <w:vAlign w:val="center"/>
          </w:tcPr>
          <w:p w:rsidR="003518CC" w:rsidRDefault="00CA0759" w:rsidP="003518CC">
            <w:pPr>
              <w:adjustRightInd w:val="0"/>
              <w:spacing w:before="67" w:after="67"/>
              <w:jc w:val="center"/>
              <w:rPr>
                <w:rFonts w:ascii="Arial" w:hAnsi="Arial" w:cs="Arial"/>
                <w:color w:val="000000"/>
                <w:sz w:val="19"/>
                <w:szCs w:val="19"/>
              </w:rPr>
            </w:pPr>
            <w:r>
              <w:rPr>
                <w:rFonts w:ascii="Arial" w:hAnsi="Arial" w:cs="Arial"/>
                <w:color w:val="000000"/>
                <w:sz w:val="19"/>
                <w:szCs w:val="19"/>
              </w:rPr>
              <w:t>-0.0075</w:t>
            </w:r>
          </w:p>
        </w:tc>
      </w:tr>
    </w:tbl>
    <w:p w:rsidR="00C9550B" w:rsidRDefault="00C9550B" w:rsidP="00011FB6">
      <w:pPr>
        <w:spacing w:line="480" w:lineRule="auto"/>
      </w:pPr>
    </w:p>
    <w:p w:rsidR="00C9550B" w:rsidRDefault="00CA0759" w:rsidP="00011FB6">
      <w:pPr>
        <w:spacing w:line="480" w:lineRule="auto"/>
      </w:pPr>
      <w:r>
        <w:t>Model 6</w:t>
      </w:r>
      <w:r w:rsidR="003518CC">
        <w:t>: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897"/>
        <w:gridCol w:w="932"/>
        <w:gridCol w:w="1650"/>
        <w:gridCol w:w="803"/>
        <w:gridCol w:w="847"/>
      </w:tblGrid>
      <w:tr w:rsidR="00763039" w:rsidTr="00763039">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rsidR="00763039" w:rsidRDefault="00763039" w:rsidP="00763039">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Parameter</w:t>
            </w:r>
          </w:p>
        </w:tc>
        <w:tc>
          <w:tcPr>
            <w:tcW w:w="897"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rsidR="00763039" w:rsidRDefault="00763039" w:rsidP="00763039">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Estimate</w:t>
            </w:r>
          </w:p>
        </w:tc>
        <w:tc>
          <w:tcPr>
            <w:tcW w:w="932"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rsidR="00763039" w:rsidRDefault="00763039" w:rsidP="00763039">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Standard Error</w:t>
            </w:r>
          </w:p>
        </w:tc>
        <w:tc>
          <w:tcPr>
            <w:tcW w:w="1650" w:type="dxa"/>
            <w:tcBorders>
              <w:top w:val="nil"/>
              <w:left w:val="nil"/>
              <w:bottom w:val="single" w:sz="4" w:space="0" w:color="000000"/>
              <w:right w:val="nil"/>
            </w:tcBorders>
            <w:shd w:val="clear" w:color="auto" w:fill="FFFFFF"/>
            <w:vAlign w:val="center"/>
          </w:tcPr>
          <w:p w:rsidR="00763039" w:rsidRDefault="00763039" w:rsidP="00763039">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P-Value</w:t>
            </w:r>
          </w:p>
        </w:tc>
        <w:tc>
          <w:tcPr>
            <w:tcW w:w="1650"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rsidR="00763039" w:rsidRDefault="00763039" w:rsidP="00763039">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95% CI</w:t>
            </w:r>
          </w:p>
        </w:tc>
      </w:tr>
      <w:tr w:rsidR="00763039" w:rsidTr="00763039">
        <w:trPr>
          <w:cantSplit/>
          <w:jc w:val="center"/>
        </w:trPr>
        <w:tc>
          <w:tcPr>
            <w:tcW w:w="1306" w:type="dxa"/>
            <w:shd w:val="clear" w:color="auto" w:fill="FFFFFF"/>
            <w:tcMar>
              <w:top w:w="0" w:type="dxa"/>
              <w:left w:w="67" w:type="dxa"/>
              <w:bottom w:w="0" w:type="dxa"/>
              <w:right w:w="67" w:type="dxa"/>
            </w:tcMar>
            <w:vAlign w:val="center"/>
            <w:hideMark/>
          </w:tcPr>
          <w:p w:rsidR="00763039" w:rsidRDefault="00E911F6" w:rsidP="00763039">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External Ri</w:t>
            </w:r>
            <w:r w:rsidR="00763039">
              <w:rPr>
                <w:rFonts w:ascii="Arial" w:hAnsi="Arial" w:cs="Arial"/>
                <w:i/>
                <w:iCs/>
                <w:color w:val="000000"/>
                <w:sz w:val="19"/>
                <w:szCs w:val="19"/>
              </w:rPr>
              <w:t>sk</w:t>
            </w:r>
          </w:p>
        </w:tc>
        <w:tc>
          <w:tcPr>
            <w:tcW w:w="897" w:type="dxa"/>
            <w:shd w:val="clear" w:color="auto" w:fill="FFFFFF"/>
            <w:tcMar>
              <w:top w:w="0" w:type="dxa"/>
              <w:left w:w="67" w:type="dxa"/>
              <w:bottom w:w="0" w:type="dxa"/>
              <w:right w:w="67" w:type="dxa"/>
            </w:tcMar>
            <w:vAlign w:val="center"/>
            <w:hideMark/>
          </w:tcPr>
          <w:p w:rsidR="00763039" w:rsidRDefault="00763039" w:rsidP="00763039">
            <w:pPr>
              <w:keepNext/>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-0.1917</w:t>
            </w:r>
          </w:p>
        </w:tc>
        <w:tc>
          <w:tcPr>
            <w:tcW w:w="932" w:type="dxa"/>
            <w:shd w:val="clear" w:color="auto" w:fill="FFFFFF"/>
            <w:tcMar>
              <w:top w:w="0" w:type="dxa"/>
              <w:left w:w="67" w:type="dxa"/>
              <w:bottom w:w="0" w:type="dxa"/>
              <w:right w:w="67" w:type="dxa"/>
            </w:tcMar>
            <w:vAlign w:val="center"/>
            <w:hideMark/>
          </w:tcPr>
          <w:p w:rsidR="00763039" w:rsidRDefault="00763039" w:rsidP="00763039">
            <w:pPr>
              <w:keepNext/>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0.1330</w:t>
            </w:r>
          </w:p>
        </w:tc>
        <w:tc>
          <w:tcPr>
            <w:tcW w:w="1650" w:type="dxa"/>
            <w:shd w:val="clear" w:color="auto" w:fill="FFFFFF"/>
            <w:vAlign w:val="center"/>
          </w:tcPr>
          <w:p w:rsidR="00763039" w:rsidRPr="00763039" w:rsidRDefault="00763039" w:rsidP="00763039">
            <w:pPr>
              <w:keepNext/>
              <w:adjustRightInd w:val="0"/>
              <w:spacing w:before="67" w:after="67" w:line="256" w:lineRule="auto"/>
              <w:jc w:val="center"/>
              <w:rPr>
                <w:rFonts w:ascii="Arial" w:hAnsi="Arial" w:cs="Arial"/>
                <w:b/>
                <w:color w:val="000000"/>
                <w:sz w:val="19"/>
                <w:szCs w:val="19"/>
              </w:rPr>
            </w:pPr>
            <w:r w:rsidRPr="00763039">
              <w:rPr>
                <w:rFonts w:ascii="Arial" w:hAnsi="Arial" w:cs="Arial"/>
                <w:b/>
                <w:color w:val="000000"/>
                <w:sz w:val="19"/>
                <w:szCs w:val="19"/>
              </w:rPr>
              <w:t>0.1494</w:t>
            </w:r>
          </w:p>
        </w:tc>
        <w:tc>
          <w:tcPr>
            <w:tcW w:w="803" w:type="dxa"/>
            <w:shd w:val="clear" w:color="auto" w:fill="FFFFFF"/>
            <w:tcMar>
              <w:top w:w="0" w:type="dxa"/>
              <w:left w:w="67" w:type="dxa"/>
              <w:bottom w:w="0" w:type="dxa"/>
              <w:right w:w="67" w:type="dxa"/>
            </w:tcMar>
            <w:vAlign w:val="center"/>
            <w:hideMark/>
          </w:tcPr>
          <w:p w:rsidR="00763039" w:rsidRDefault="00763039" w:rsidP="00763039">
            <w:pPr>
              <w:keepNext/>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-0.4523</w:t>
            </w:r>
          </w:p>
        </w:tc>
        <w:tc>
          <w:tcPr>
            <w:tcW w:w="847" w:type="dxa"/>
            <w:shd w:val="clear" w:color="auto" w:fill="FFFFFF"/>
            <w:tcMar>
              <w:top w:w="0" w:type="dxa"/>
              <w:left w:w="67" w:type="dxa"/>
              <w:bottom w:w="0" w:type="dxa"/>
              <w:right w:w="67" w:type="dxa"/>
            </w:tcMar>
            <w:vAlign w:val="center"/>
            <w:hideMark/>
          </w:tcPr>
          <w:p w:rsidR="00763039" w:rsidRDefault="00763039" w:rsidP="00763039">
            <w:pPr>
              <w:keepNext/>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0.0689</w:t>
            </w:r>
          </w:p>
        </w:tc>
      </w:tr>
      <w:tr w:rsidR="00763039" w:rsidTr="00763039">
        <w:trPr>
          <w:cantSplit/>
          <w:jc w:val="center"/>
        </w:trPr>
        <w:tc>
          <w:tcPr>
            <w:tcW w:w="1306"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Gender</w:t>
            </w:r>
          </w:p>
        </w:tc>
        <w:tc>
          <w:tcPr>
            <w:tcW w:w="897"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0.0240</w:t>
            </w:r>
          </w:p>
        </w:tc>
        <w:tc>
          <w:tcPr>
            <w:tcW w:w="932"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0.0332</w:t>
            </w:r>
          </w:p>
        </w:tc>
        <w:tc>
          <w:tcPr>
            <w:tcW w:w="1650" w:type="dxa"/>
            <w:shd w:val="clear" w:color="auto" w:fill="FFFFFF"/>
            <w:vAlign w:val="center"/>
          </w:tcPr>
          <w:p w:rsidR="00763039" w:rsidRDefault="00763039" w:rsidP="00763039">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0.4697</w:t>
            </w:r>
          </w:p>
        </w:tc>
        <w:tc>
          <w:tcPr>
            <w:tcW w:w="803"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-0.0410</w:t>
            </w:r>
          </w:p>
        </w:tc>
        <w:tc>
          <w:tcPr>
            <w:tcW w:w="847"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0.0890</w:t>
            </w:r>
          </w:p>
        </w:tc>
      </w:tr>
      <w:tr w:rsidR="00763039" w:rsidTr="00763039">
        <w:trPr>
          <w:cantSplit/>
          <w:jc w:val="center"/>
        </w:trPr>
        <w:tc>
          <w:tcPr>
            <w:tcW w:w="1306"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Age</w:t>
            </w:r>
          </w:p>
        </w:tc>
        <w:tc>
          <w:tcPr>
            <w:tcW w:w="897"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-0.0364</w:t>
            </w:r>
          </w:p>
        </w:tc>
        <w:tc>
          <w:tcPr>
            <w:tcW w:w="932"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0.0107</w:t>
            </w:r>
          </w:p>
        </w:tc>
        <w:tc>
          <w:tcPr>
            <w:tcW w:w="1650" w:type="dxa"/>
            <w:shd w:val="clear" w:color="auto" w:fill="FFFFFF"/>
            <w:vAlign w:val="center"/>
          </w:tcPr>
          <w:p w:rsidR="00763039" w:rsidRPr="00763039" w:rsidRDefault="00763039" w:rsidP="00763039">
            <w:pPr>
              <w:adjustRightInd w:val="0"/>
              <w:spacing w:before="67" w:after="67" w:line="256" w:lineRule="auto"/>
              <w:jc w:val="center"/>
              <w:rPr>
                <w:rFonts w:ascii="Arial" w:hAnsi="Arial" w:cs="Arial"/>
                <w:b/>
                <w:color w:val="000000"/>
                <w:sz w:val="19"/>
                <w:szCs w:val="19"/>
              </w:rPr>
            </w:pPr>
            <w:r w:rsidRPr="00763039">
              <w:rPr>
                <w:rFonts w:ascii="Arial" w:hAnsi="Arial" w:cs="Arial"/>
                <w:b/>
                <w:color w:val="000000"/>
                <w:sz w:val="19"/>
                <w:szCs w:val="19"/>
              </w:rPr>
              <w:t>0.0007</w:t>
            </w:r>
          </w:p>
        </w:tc>
        <w:tc>
          <w:tcPr>
            <w:tcW w:w="803"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-0.0573</w:t>
            </w:r>
          </w:p>
        </w:tc>
        <w:tc>
          <w:tcPr>
            <w:tcW w:w="847" w:type="dxa"/>
            <w:shd w:val="clear" w:color="auto" w:fill="FFFFFF"/>
            <w:tcMar>
              <w:top w:w="0" w:type="dxa"/>
              <w:left w:w="67" w:type="dxa"/>
              <w:bottom w:w="0" w:type="dxa"/>
              <w:right w:w="67" w:type="dxa"/>
            </w:tcMar>
            <w:vAlign w:val="center"/>
            <w:hideMark/>
          </w:tcPr>
          <w:p w:rsidR="00763039" w:rsidRDefault="00763039" w:rsidP="00763039">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-0.0154</w:t>
            </w:r>
          </w:p>
        </w:tc>
      </w:tr>
    </w:tbl>
    <w:p w:rsidR="00C9550B" w:rsidRDefault="00C9550B" w:rsidP="00011FB6">
      <w:pPr>
        <w:spacing w:line="480" w:lineRule="auto"/>
      </w:pPr>
    </w:p>
    <w:p w:rsidR="00110FFA" w:rsidRDefault="00110FFA" w:rsidP="00011FB6">
      <w:pPr>
        <w:spacing w:line="480" w:lineRule="auto"/>
      </w:pPr>
    </w:p>
    <w:p w:rsidR="00110FFA" w:rsidRDefault="00110FFA" w:rsidP="00011FB6">
      <w:pPr>
        <w:spacing w:line="480" w:lineRule="auto"/>
      </w:pPr>
    </w:p>
    <w:p w:rsidR="00110FFA" w:rsidRDefault="00110FFA" w:rsidP="00011FB6">
      <w:pPr>
        <w:spacing w:line="480" w:lineRule="auto"/>
      </w:pPr>
    </w:p>
    <w:p w:rsidR="00110FFA" w:rsidRDefault="00110FFA" w:rsidP="00011FB6">
      <w:pPr>
        <w:spacing w:line="480" w:lineRule="auto"/>
      </w:pPr>
    </w:p>
    <w:p w:rsidR="00110FFA" w:rsidRDefault="00110FFA" w:rsidP="00011FB6">
      <w:pPr>
        <w:spacing w:line="480" w:lineRule="auto"/>
      </w:pPr>
    </w:p>
    <w:p w:rsidR="00C20691" w:rsidRDefault="00C20691" w:rsidP="00011FB6">
      <w:pPr>
        <w:spacing w:line="480" w:lineRule="auto"/>
      </w:pPr>
    </w:p>
    <w:p w:rsidR="00C20691" w:rsidRDefault="00C20691" w:rsidP="00011FB6">
      <w:pPr>
        <w:spacing w:line="480" w:lineRule="auto"/>
      </w:pPr>
    </w:p>
    <w:p w:rsidR="00C20691" w:rsidRDefault="00C20691" w:rsidP="00011FB6">
      <w:pPr>
        <w:spacing w:line="480" w:lineRule="auto"/>
      </w:pPr>
    </w:p>
    <w:p w:rsidR="00C20691" w:rsidRDefault="00C20691" w:rsidP="00011FB6">
      <w:pPr>
        <w:spacing w:line="480" w:lineRule="auto"/>
      </w:pPr>
    </w:p>
    <w:p w:rsidR="00C20691" w:rsidRDefault="00C20691" w:rsidP="00011FB6">
      <w:pPr>
        <w:spacing w:line="480" w:lineRule="auto"/>
      </w:pPr>
    </w:p>
    <w:p w:rsidR="00110FFA" w:rsidRDefault="00110FFA" w:rsidP="00110FFA">
      <w:pPr>
        <w:spacing w:line="480" w:lineRule="auto"/>
        <w:jc w:val="center"/>
      </w:pPr>
      <w:r>
        <w:t>References</w:t>
      </w:r>
    </w:p>
    <w:p w:rsidR="007B549B" w:rsidRDefault="007B549B" w:rsidP="007B549B">
      <w:pPr>
        <w:spacing w:line="480" w:lineRule="auto"/>
        <w:ind w:left="720" w:hanging="720"/>
      </w:pPr>
      <w:r>
        <w:t>Herrera, C., DuBois, D. L., &amp; Grossman, J. B. (2013). The role of risk: Mentoring experiences and outcomes for youth with varying risk profiles. New York, NY: A Public project distributed by MDRC.</w:t>
      </w:r>
    </w:p>
    <w:p w:rsidR="00110FFA" w:rsidRPr="00110FFA" w:rsidRDefault="00110FFA" w:rsidP="00110FFA">
      <w:pPr>
        <w:spacing w:line="480" w:lineRule="auto"/>
        <w:ind w:left="720" w:hanging="720"/>
      </w:pPr>
      <w:r w:rsidRPr="00110FFA">
        <w:t xml:space="preserve">Lauer, P. A., </w:t>
      </w:r>
      <w:proofErr w:type="spellStart"/>
      <w:r w:rsidRPr="00110FFA">
        <w:t>Akiba</w:t>
      </w:r>
      <w:proofErr w:type="spellEnd"/>
      <w:r w:rsidRPr="00110FFA">
        <w:t xml:space="preserve">, M., Wilkerson, S. B., </w:t>
      </w:r>
      <w:proofErr w:type="spellStart"/>
      <w:r w:rsidRPr="00110FFA">
        <w:t>Apthorp</w:t>
      </w:r>
      <w:proofErr w:type="spellEnd"/>
      <w:r w:rsidRPr="00110FFA">
        <w:t xml:space="preserve">, H. S., Snow, D., &amp; Martin-Glenn, M. L. (2006). Out-of-school-time programs: A meta-analysis of effects for at-risk students. </w:t>
      </w:r>
      <w:r w:rsidRPr="00110FFA">
        <w:rPr>
          <w:i/>
          <w:iCs/>
        </w:rPr>
        <w:t>Review of educational research</w:t>
      </w:r>
      <w:r w:rsidRPr="00110FFA">
        <w:t xml:space="preserve">, </w:t>
      </w:r>
      <w:r w:rsidRPr="00110FFA">
        <w:rPr>
          <w:i/>
          <w:iCs/>
        </w:rPr>
        <w:t>76</w:t>
      </w:r>
      <w:r w:rsidRPr="00110FFA">
        <w:t>(2), 275-313.</w:t>
      </w:r>
    </w:p>
    <w:p w:rsidR="00110FFA" w:rsidRPr="00011FB6" w:rsidRDefault="00110FFA" w:rsidP="00011FB6">
      <w:pPr>
        <w:spacing w:line="480" w:lineRule="auto"/>
      </w:pPr>
    </w:p>
    <w:sectPr w:rsidR="00110FFA" w:rsidRPr="0001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8D"/>
    <w:rsid w:val="00005129"/>
    <w:rsid w:val="000060EB"/>
    <w:rsid w:val="00011FB6"/>
    <w:rsid w:val="00046F7E"/>
    <w:rsid w:val="000657F7"/>
    <w:rsid w:val="00110FFA"/>
    <w:rsid w:val="003518CC"/>
    <w:rsid w:val="003B6031"/>
    <w:rsid w:val="003E07C3"/>
    <w:rsid w:val="00424541"/>
    <w:rsid w:val="00474846"/>
    <w:rsid w:val="00547C4E"/>
    <w:rsid w:val="005B2458"/>
    <w:rsid w:val="005E218A"/>
    <w:rsid w:val="0066445D"/>
    <w:rsid w:val="00691E9F"/>
    <w:rsid w:val="006C3D81"/>
    <w:rsid w:val="006F3D34"/>
    <w:rsid w:val="00726678"/>
    <w:rsid w:val="00763039"/>
    <w:rsid w:val="007B549B"/>
    <w:rsid w:val="007C488D"/>
    <w:rsid w:val="007F5D91"/>
    <w:rsid w:val="008176F7"/>
    <w:rsid w:val="00864A31"/>
    <w:rsid w:val="00876B29"/>
    <w:rsid w:val="00887F9C"/>
    <w:rsid w:val="00902A63"/>
    <w:rsid w:val="00934151"/>
    <w:rsid w:val="0098075E"/>
    <w:rsid w:val="009C1789"/>
    <w:rsid w:val="00A37209"/>
    <w:rsid w:val="00B064A9"/>
    <w:rsid w:val="00B22A03"/>
    <w:rsid w:val="00BD7B8D"/>
    <w:rsid w:val="00C00DD4"/>
    <w:rsid w:val="00C20691"/>
    <w:rsid w:val="00C86634"/>
    <w:rsid w:val="00C9550B"/>
    <w:rsid w:val="00CA0759"/>
    <w:rsid w:val="00D5480C"/>
    <w:rsid w:val="00E63E18"/>
    <w:rsid w:val="00E911F6"/>
    <w:rsid w:val="00EA18EB"/>
    <w:rsid w:val="00F0278B"/>
    <w:rsid w:val="00F33E98"/>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864D"/>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17078</TotalTime>
  <Pages>8</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12</cp:revision>
  <dcterms:created xsi:type="dcterms:W3CDTF">2017-08-04T20:58:00Z</dcterms:created>
  <dcterms:modified xsi:type="dcterms:W3CDTF">2017-10-19T20:12:00Z</dcterms:modified>
</cp:coreProperties>
</file>