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3C215C8F" w14:textId="046B51E3" w:rsidR="002039FF" w:rsidRPr="00A91F76" w:rsidRDefault="00A91F76" w:rsidP="00086F24">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43ACE1CB" w14:textId="401B7C9E" w:rsidR="006060AA" w:rsidRPr="006060AA" w:rsidRDefault="007865BC" w:rsidP="006060AA">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2E884DAD" w14:textId="148C8761"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595BC5">
        <w:rPr>
          <w:rFonts w:ascii="Times New Roman" w:hAnsi="Times New Roman" w:cs="Times New Roman"/>
          <w:sz w:val="24"/>
          <w:szCs w:val="24"/>
        </w:rPr>
        <w:t>This</w:t>
      </w:r>
      <w:r w:rsidR="00B951AD">
        <w:rPr>
          <w:rFonts w:ascii="Times New Roman" w:hAnsi="Times New Roman" w:cs="Times New Roman"/>
          <w:sz w:val="24"/>
          <w:szCs w:val="24"/>
        </w:rPr>
        <w:t xml:space="preserve"> </w:t>
      </w:r>
      <w:proofErr w:type="gramStart"/>
      <w:r w:rsidR="00B951AD">
        <w:rPr>
          <w:rFonts w:ascii="Times New Roman" w:hAnsi="Times New Roman" w:cs="Times New Roman"/>
          <w:sz w:val="24"/>
          <w:szCs w:val="24"/>
        </w:rPr>
        <w:t>time period</w:t>
      </w:r>
      <w:proofErr w:type="gramEnd"/>
      <w:r w:rsidR="00B951AD">
        <w:rPr>
          <w:rFonts w:ascii="Times New Roman" w:hAnsi="Times New Roman" w:cs="Times New Roman"/>
          <w:sz w:val="24"/>
          <w:szCs w:val="24"/>
        </w:rPr>
        <w:t xml:space="preserve"> is marked </w:t>
      </w:r>
      <w:r w:rsidR="00141288">
        <w:rPr>
          <w:rFonts w:ascii="Times New Roman" w:hAnsi="Times New Roman" w:cs="Times New Roman"/>
          <w:sz w:val="24"/>
          <w:szCs w:val="24"/>
        </w:rPr>
        <w:t>by the ability to have higher adult functioning but an increased risk for mortality and morbidity (Dahl, 2004).</w:t>
      </w:r>
      <w:r w:rsidR="00595BC5">
        <w:rPr>
          <w:rFonts w:ascii="Times New Roman" w:hAnsi="Times New Roman" w:cs="Times New Roman"/>
          <w:sz w:val="24"/>
          <w:szCs w:val="24"/>
        </w:rPr>
        <w:t xml:space="preserve"> With the increased brain functioning comes an increased need for intervention to encourage positive relationships as they transition into adulthood. (</w:t>
      </w:r>
      <w:r w:rsidR="00141288">
        <w:rPr>
          <w:rFonts w:ascii="Times New Roman" w:hAnsi="Times New Roman" w:cs="Times New Roman"/>
          <w:sz w:val="24"/>
          <w:szCs w:val="24"/>
        </w:rPr>
        <w:t xml:space="preserve">Blakemore &amp; Mills, 2014). Thankfully programs exist to encourage these positive relationships through mentorship (e.g. Big Brothers Big Sisters of America, Campus Connections). Programs like these use evidence-based practices to encourage </w:t>
      </w:r>
      <w:r w:rsidR="00E20D37">
        <w:rPr>
          <w:rFonts w:ascii="Times New Roman" w:hAnsi="Times New Roman" w:cs="Times New Roman"/>
          <w:sz w:val="24"/>
          <w:szCs w:val="24"/>
        </w:rPr>
        <w:t xml:space="preserve">a positive development through the adolescent </w:t>
      </w:r>
      <w:proofErr w:type="gramStart"/>
      <w:r w:rsidR="00E20D37">
        <w:rPr>
          <w:rFonts w:ascii="Times New Roman" w:hAnsi="Times New Roman" w:cs="Times New Roman"/>
          <w:sz w:val="24"/>
          <w:szCs w:val="24"/>
        </w:rPr>
        <w:t>time period</w:t>
      </w:r>
      <w:proofErr w:type="gramEnd"/>
      <w:r w:rsidR="00E20D37">
        <w:rPr>
          <w:rFonts w:ascii="Times New Roman" w:hAnsi="Times New Roman" w:cs="Times New Roman"/>
          <w:sz w:val="24"/>
          <w:szCs w:val="24"/>
        </w:rPr>
        <w:t xml:space="preserve">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3F16B51D" w14:textId="0E037DB3" w:rsidR="00595BC5"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2"/>
      <w:r w:rsidRPr="00760068">
        <w:rPr>
          <w:rFonts w:ascii="Times New Roman" w:hAnsi="Times New Roman" w:cs="Times New Roman"/>
          <w:sz w:val="24"/>
          <w:szCs w:val="24"/>
        </w:rPr>
        <w:t>life</w:t>
      </w:r>
      <w:commentRangeEnd w:id="2"/>
      <w:r w:rsidRPr="00760068">
        <w:rPr>
          <w:rStyle w:val="CommentReference"/>
          <w:rFonts w:ascii="Times New Roman" w:hAnsi="Times New Roman" w:cs="Times New Roman"/>
          <w:sz w:val="24"/>
          <w:szCs w:val="24"/>
        </w:rPr>
        <w:commentReference w:id="2"/>
      </w:r>
      <w:r w:rsidRPr="00760068">
        <w:rPr>
          <w:rFonts w:ascii="Times New Roman" w:hAnsi="Times New Roman" w:cs="Times New Roman"/>
          <w:sz w:val="24"/>
          <w:szCs w:val="24"/>
        </w:rPr>
        <w:t xml:space="preserve">. </w:t>
      </w:r>
      <w:r w:rsidR="00595BC5">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sidR="00595BC5">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sidR="00595BC5">
        <w:rPr>
          <w:rFonts w:ascii="Times New Roman" w:hAnsi="Times New Roman" w:cs="Times New Roman"/>
          <w:sz w:val="24"/>
          <w:szCs w:val="24"/>
        </w:rPr>
        <w:t>. Attrition rates are often studied within the school setting but the existence of literature of dropout from adolescent intervention programs is less studied.</w:t>
      </w:r>
    </w:p>
    <w:p w14:paraId="2EC7D430" w14:textId="61CE65D9" w:rsidR="00E20D37" w:rsidRDefault="00595BC5" w:rsidP="0059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Identifying risk of school dropout serves as an analogous review of the literature. A l</w:t>
      </w:r>
      <w:r w:rsidR="00E20D37" w:rsidRPr="00760068">
        <w:rPr>
          <w:rFonts w:ascii="Times New Roman" w:hAnsi="Times New Roman" w:cs="Times New Roman"/>
          <w:sz w:val="24"/>
          <w:szCs w:val="24"/>
        </w:rPr>
        <w:t xml:space="preserve">iterature review performed by Bowers and </w:t>
      </w:r>
      <w:proofErr w:type="spellStart"/>
      <w:r w:rsidR="00E20D37" w:rsidRPr="00760068">
        <w:rPr>
          <w:rFonts w:ascii="Times New Roman" w:hAnsi="Times New Roman" w:cs="Times New Roman"/>
          <w:sz w:val="24"/>
          <w:szCs w:val="24"/>
        </w:rPr>
        <w:t>Sprott</w:t>
      </w:r>
      <w:proofErr w:type="spellEnd"/>
      <w:r w:rsidR="00E20D37">
        <w:rPr>
          <w:rFonts w:ascii="Times New Roman" w:hAnsi="Times New Roman" w:cs="Times New Roman"/>
          <w:sz w:val="24"/>
          <w:szCs w:val="24"/>
        </w:rPr>
        <w:t xml:space="preserve"> (2012)</w:t>
      </w:r>
      <w:r w:rsidR="00E20D37" w:rsidRPr="00760068">
        <w:rPr>
          <w:rFonts w:ascii="Times New Roman" w:hAnsi="Times New Roman" w:cs="Times New Roman"/>
          <w:sz w:val="24"/>
          <w:szCs w:val="24"/>
        </w:rPr>
        <w:t xml:space="preserve"> identified four typologies of students who are at risk for dropping</w:t>
      </w:r>
      <w:r w:rsidR="00E20D37">
        <w:rPr>
          <w:rFonts w:ascii="Times New Roman" w:hAnsi="Times New Roman" w:cs="Times New Roman"/>
          <w:sz w:val="24"/>
          <w:szCs w:val="24"/>
        </w:rPr>
        <w:t xml:space="preserve"> out of school;</w:t>
      </w:r>
      <w:r w:rsidR="00E20D37"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invisibly and dis</w:t>
      </w:r>
      <w:r w:rsidR="00E20D37">
        <w:rPr>
          <w:rFonts w:ascii="Times New Roman" w:hAnsi="Times New Roman" w:cs="Times New Roman"/>
          <w:sz w:val="24"/>
          <w:szCs w:val="24"/>
        </w:rPr>
        <w:t>-</w:t>
      </w:r>
      <w:r w:rsidR="00E20D37" w:rsidRPr="00760068">
        <w:rPr>
          <w:rFonts w:ascii="Times New Roman" w:hAnsi="Times New Roman" w:cs="Times New Roman"/>
          <w:sz w:val="24"/>
          <w:szCs w:val="24"/>
        </w:rPr>
        <w:t>attached to the institution and typically carrying low grades</w:t>
      </w:r>
      <w:r w:rsidR="00E20D37">
        <w:rPr>
          <w:rFonts w:ascii="Times New Roman" w:hAnsi="Times New Roman" w:cs="Times New Roman"/>
          <w:sz w:val="24"/>
          <w:szCs w:val="24"/>
        </w:rPr>
        <w:t>. Often, at-</w:t>
      </w:r>
      <w:r w:rsidR="00E20D37" w:rsidRPr="00760068">
        <w:rPr>
          <w:rFonts w:ascii="Times New Roman" w:hAnsi="Times New Roman" w:cs="Times New Roman"/>
          <w:sz w:val="24"/>
          <w:szCs w:val="24"/>
        </w:rPr>
        <w:t xml:space="preserve">risk individuals can fall into one or two of these categories. </w:t>
      </w:r>
      <w:r>
        <w:rPr>
          <w:rFonts w:ascii="Times New Roman" w:hAnsi="Times New Roman" w:cs="Times New Roman"/>
          <w:sz w:val="24"/>
          <w:szCs w:val="24"/>
        </w:rPr>
        <w:t>Other risk factors include students with disabilities (</w:t>
      </w:r>
      <w:r w:rsidRPr="00595BC5">
        <w:rPr>
          <w:rFonts w:ascii="Times New Roman" w:hAnsi="Times New Roman" w:cs="Times New Roman"/>
          <w:sz w:val="24"/>
          <w:szCs w:val="24"/>
        </w:rPr>
        <w:t>Sinclair, Christenson</w:t>
      </w:r>
      <w:r>
        <w:rPr>
          <w:rFonts w:ascii="Times New Roman" w:hAnsi="Times New Roman" w:cs="Times New Roman"/>
          <w:sz w:val="24"/>
          <w:szCs w:val="24"/>
        </w:rPr>
        <w:t>,</w:t>
      </w:r>
      <w:r w:rsidRPr="00595BC5">
        <w:rPr>
          <w:rFonts w:ascii="Times New Roman" w:hAnsi="Times New Roman" w:cs="Times New Roman"/>
          <w:sz w:val="24"/>
          <w:szCs w:val="24"/>
        </w:rPr>
        <w:t xml:space="preserve"> </w:t>
      </w:r>
      <w:proofErr w:type="spellStart"/>
      <w:r w:rsidRPr="00595BC5">
        <w:rPr>
          <w:rFonts w:ascii="Times New Roman" w:hAnsi="Times New Roman" w:cs="Times New Roman"/>
          <w:sz w:val="24"/>
          <w:szCs w:val="24"/>
        </w:rPr>
        <w:t>Evelo</w:t>
      </w:r>
      <w:proofErr w:type="spellEnd"/>
      <w:r w:rsidRPr="00595BC5">
        <w:rPr>
          <w:rFonts w:ascii="Times New Roman" w:hAnsi="Times New Roman" w:cs="Times New Roman"/>
          <w:sz w:val="24"/>
          <w:szCs w:val="24"/>
        </w:rPr>
        <w:t>, &amp; Hurley</w:t>
      </w:r>
      <w:r>
        <w:rPr>
          <w:rFonts w:ascii="Times New Roman" w:hAnsi="Times New Roman" w:cs="Times New Roman"/>
          <w:sz w:val="24"/>
          <w:szCs w:val="24"/>
        </w:rPr>
        <w:t xml:space="preserve">, 1998), poor grades, behavioral problems </w:t>
      </w:r>
      <w:r>
        <w:rPr>
          <w:rFonts w:ascii="Times New Roman" w:hAnsi="Times New Roman" w:cs="Times New Roman"/>
          <w:sz w:val="24"/>
          <w:szCs w:val="24"/>
        </w:rPr>
        <w:t>(</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 xml:space="preserve"> parental </w:t>
      </w:r>
      <w:r>
        <w:rPr>
          <w:rFonts w:ascii="Times New Roman" w:hAnsi="Times New Roman" w:cs="Times New Roman"/>
          <w:sz w:val="24"/>
          <w:szCs w:val="24"/>
        </w:rPr>
        <w:lastRenderedPageBreak/>
        <w:t xml:space="preserve">abuse/neglect and teenage pregnancy </w:t>
      </w:r>
      <w:r>
        <w:rPr>
          <w:rFonts w:ascii="Times New Roman" w:hAnsi="Times New Roman" w:cs="Times New Roman"/>
          <w:sz w:val="24"/>
          <w:szCs w:val="24"/>
        </w:rPr>
        <w:t>(</w:t>
      </w:r>
      <w:r w:rsidRPr="00595BC5">
        <w:rPr>
          <w:rFonts w:ascii="Times New Roman" w:hAnsi="Times New Roman" w:cs="Times New Roman"/>
          <w:sz w:val="24"/>
          <w:szCs w:val="24"/>
        </w:rPr>
        <w:t xml:space="preserve">Neild &amp; </w:t>
      </w:r>
      <w:proofErr w:type="spellStart"/>
      <w:r w:rsidRPr="00595BC5">
        <w:rPr>
          <w:rFonts w:ascii="Times New Roman" w:hAnsi="Times New Roman" w:cs="Times New Roman"/>
          <w:sz w:val="24"/>
          <w:szCs w:val="24"/>
        </w:rPr>
        <w:t>Balfanz</w:t>
      </w:r>
      <w:proofErr w:type="spellEnd"/>
      <w:r w:rsidRPr="00595BC5">
        <w:rPr>
          <w:rFonts w:ascii="Times New Roman" w:hAnsi="Times New Roman" w:cs="Times New Roman"/>
          <w:sz w:val="24"/>
          <w:szCs w:val="24"/>
        </w:rPr>
        <w:t>, 2006</w:t>
      </w:r>
      <w:r>
        <w:rPr>
          <w:rFonts w:ascii="Times New Roman" w:hAnsi="Times New Roman" w:cs="Times New Roman"/>
          <w:sz w:val="24"/>
          <w:szCs w:val="24"/>
        </w:rPr>
        <w:t>)</w:t>
      </w:r>
      <w:r>
        <w:rPr>
          <w:rFonts w:ascii="Times New Roman" w:hAnsi="Times New Roman" w:cs="Times New Roman"/>
          <w:sz w:val="24"/>
          <w:szCs w:val="24"/>
        </w:rPr>
        <w:t>.  Many other risk factor</w:t>
      </w:r>
      <w:r w:rsidR="001E1871">
        <w:rPr>
          <w:rFonts w:ascii="Times New Roman" w:hAnsi="Times New Roman" w:cs="Times New Roman"/>
          <w:sz w:val="24"/>
          <w:szCs w:val="24"/>
        </w:rPr>
        <w:t>s</w:t>
      </w:r>
      <w:r>
        <w:rPr>
          <w:rFonts w:ascii="Times New Roman" w:hAnsi="Times New Roman" w:cs="Times New Roman"/>
          <w:sz w:val="24"/>
          <w:szCs w:val="24"/>
        </w:rPr>
        <w:t xml:space="preserve"> have been associated with school such as being </w:t>
      </w:r>
      <w:proofErr w:type="spellStart"/>
      <w:r>
        <w:rPr>
          <w:rFonts w:ascii="Times New Roman" w:hAnsi="Times New Roman" w:cs="Times New Roman"/>
          <w:sz w:val="24"/>
          <w:szCs w:val="24"/>
        </w:rPr>
        <w:t>latino</w:t>
      </w:r>
      <w:proofErr w:type="spellEnd"/>
      <w:r>
        <w:rPr>
          <w:rFonts w:ascii="Times New Roman" w:hAnsi="Times New Roman" w:cs="Times New Roman"/>
          <w:sz w:val="24"/>
          <w:szCs w:val="24"/>
        </w:rPr>
        <w:t xml:space="preserve">, male, </w:t>
      </w:r>
      <w:r>
        <w:rPr>
          <w:rFonts w:ascii="Times New Roman" w:hAnsi="Times New Roman" w:cs="Times New Roman"/>
          <w:sz w:val="24"/>
          <w:szCs w:val="24"/>
        </w:rPr>
        <w:t>(</w:t>
      </w:r>
      <w:r w:rsidRPr="00595BC5">
        <w:rPr>
          <w:rFonts w:ascii="Times New Roman" w:hAnsi="Times New Roman" w:cs="Times New Roman"/>
          <w:color w:val="222222"/>
          <w:sz w:val="24"/>
          <w:szCs w:val="24"/>
          <w:shd w:val="clear" w:color="auto" w:fill="FFFFFF"/>
        </w:rPr>
        <w:t>Neild</w:t>
      </w:r>
      <w:r>
        <w:rPr>
          <w:rFonts w:ascii="Times New Roman" w:hAnsi="Times New Roman" w:cs="Times New Roman"/>
          <w:color w:val="222222"/>
          <w:sz w:val="24"/>
          <w:szCs w:val="24"/>
          <w:shd w:val="clear" w:color="auto" w:fill="FFFFFF"/>
        </w:rPr>
        <w:t xml:space="preserve"> </w:t>
      </w:r>
      <w:r w:rsidRPr="00595BC5">
        <w:rPr>
          <w:rFonts w:ascii="Times New Roman" w:hAnsi="Times New Roman" w:cs="Times New Roman"/>
          <w:color w:val="222222"/>
          <w:sz w:val="24"/>
          <w:szCs w:val="24"/>
          <w:shd w:val="clear" w:color="auto" w:fill="FFFFFF"/>
        </w:rPr>
        <w:t xml:space="preserve">&amp;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2006</w:t>
      </w:r>
      <w:r>
        <w:rPr>
          <w:rFonts w:ascii="Times New Roman" w:hAnsi="Times New Roman" w:cs="Times New Roman"/>
          <w:color w:val="222222"/>
          <w:sz w:val="24"/>
          <w:szCs w:val="24"/>
          <w:shd w:val="clear" w:color="auto" w:fill="FFFFFF"/>
        </w:rPr>
        <w:t>)</w:t>
      </w:r>
      <w:r w:rsidRPr="00595BC5">
        <w:rPr>
          <w:rFonts w:ascii="Times New Roman" w:hAnsi="Times New Roman" w:cs="Times New Roman"/>
          <w:sz w:val="24"/>
          <w:szCs w:val="24"/>
        </w:rPr>
        <w:t>.</w:t>
      </w:r>
      <w:r>
        <w:rPr>
          <w:rFonts w:ascii="Times New Roman" w:hAnsi="Times New Roman" w:cs="Times New Roman"/>
          <w:sz w:val="24"/>
          <w:szCs w:val="24"/>
        </w:rPr>
        <w:t xml:space="preserve"> </w:t>
      </w:r>
      <w:r w:rsidR="00E20D37">
        <w:rPr>
          <w:rFonts w:ascii="Times New Roman" w:hAnsi="Times New Roman" w:cs="Times New Roman"/>
          <w:sz w:val="24"/>
          <w:szCs w:val="24"/>
        </w:rPr>
        <w:t>Past ecological studies have emphasized that dropout risk factors may be attributed to multiple levels within the adolescent population (</w:t>
      </w:r>
      <w:r w:rsidR="00E20D37" w:rsidRPr="003A2B87">
        <w:rPr>
          <w:rFonts w:ascii="Times New Roman" w:hAnsi="Times New Roman" w:cs="Times New Roman"/>
          <w:sz w:val="24"/>
          <w:szCs w:val="24"/>
        </w:rPr>
        <w:t>Bronfenbrenner,</w:t>
      </w:r>
      <w:r w:rsidR="00E20D37">
        <w:rPr>
          <w:rFonts w:ascii="Times New Roman" w:hAnsi="Times New Roman" w:cs="Times New Roman"/>
          <w:sz w:val="24"/>
          <w:szCs w:val="24"/>
        </w:rPr>
        <w:t xml:space="preserve"> </w:t>
      </w:r>
      <w:r w:rsidR="00E20D37" w:rsidRPr="003A2B87">
        <w:rPr>
          <w:rFonts w:ascii="Times New Roman" w:hAnsi="Times New Roman" w:cs="Times New Roman"/>
          <w:sz w:val="24"/>
          <w:szCs w:val="24"/>
        </w:rPr>
        <w:t xml:space="preserve">1986; </w:t>
      </w:r>
      <w:proofErr w:type="spellStart"/>
      <w:r w:rsidR="00E20D37" w:rsidRPr="003A2B87">
        <w:rPr>
          <w:rFonts w:ascii="Times New Roman" w:hAnsi="Times New Roman" w:cs="Times New Roman"/>
          <w:sz w:val="24"/>
          <w:szCs w:val="24"/>
        </w:rPr>
        <w:t>Jozefowicz-Simbeni</w:t>
      </w:r>
      <w:proofErr w:type="spellEnd"/>
      <w:r w:rsidR="00E20D37" w:rsidRPr="003A2B87">
        <w:rPr>
          <w:rFonts w:ascii="Times New Roman" w:hAnsi="Times New Roman" w:cs="Times New Roman"/>
          <w:sz w:val="24"/>
          <w:szCs w:val="24"/>
        </w:rPr>
        <w:t xml:space="preserve"> &amp; Allen</w:t>
      </w:r>
      <w:r w:rsidR="00E20D37">
        <w:rPr>
          <w:rFonts w:ascii="Times New Roman" w:hAnsi="Times New Roman" w:cs="Times New Roman"/>
          <w:sz w:val="24"/>
          <w:szCs w:val="24"/>
        </w:rPr>
        <w:t>-</w:t>
      </w:r>
      <w:r w:rsidR="00E20D37" w:rsidRPr="003A2B87">
        <w:rPr>
          <w:rFonts w:ascii="Times New Roman" w:hAnsi="Times New Roman" w:cs="Times New Roman"/>
          <w:sz w:val="24"/>
          <w:szCs w:val="24"/>
        </w:rPr>
        <w:t>Meares,</w:t>
      </w:r>
      <w:r w:rsidR="00E20D37">
        <w:rPr>
          <w:rFonts w:ascii="Times New Roman" w:hAnsi="Times New Roman" w:cs="Times New Roman"/>
          <w:sz w:val="24"/>
          <w:szCs w:val="24"/>
        </w:rPr>
        <w:t xml:space="preserve"> </w:t>
      </w:r>
      <w:r w:rsidR="00E20D37" w:rsidRPr="003A2B87">
        <w:rPr>
          <w:rFonts w:ascii="Times New Roman" w:hAnsi="Times New Roman" w:cs="Times New Roman"/>
          <w:sz w:val="24"/>
          <w:szCs w:val="24"/>
        </w:rPr>
        <w:t>2002</w:t>
      </w:r>
      <w:r w:rsidR="00E20D37">
        <w:rPr>
          <w:rFonts w:ascii="Times New Roman" w:hAnsi="Times New Roman" w:cs="Times New Roman"/>
          <w:sz w:val="24"/>
          <w:szCs w:val="24"/>
        </w:rPr>
        <w:t xml:space="preserve">). </w:t>
      </w:r>
    </w:p>
    <w:p w14:paraId="20D48857" w14:textId="73A4E024" w:rsidR="00595BC5" w:rsidRDefault="00595BC5"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w:t>
      </w:r>
      <w:bookmarkStart w:id="3" w:name="_GoBack"/>
      <w:bookmarkEnd w:id="3"/>
      <w:r>
        <w:rPr>
          <w:rFonts w:ascii="Times New Roman" w:hAnsi="Times New Roman" w:cs="Times New Roman"/>
          <w:sz w:val="24"/>
          <w:szCs w:val="24"/>
        </w:rPr>
        <w:t>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75FB1540"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F146D0" w:rsidRPr="00760068">
        <w:rPr>
          <w:rFonts w:ascii="Times New Roman" w:hAnsi="Times New Roman" w:cs="Times New Roman"/>
          <w:sz w:val="24"/>
          <w:szCs w:val="24"/>
        </w:rPr>
        <w:instrText>ADDIN CSL_CITATION { "citationItems" : [ { "id" : "ITEM-1", "itemData" : { "DOI" : "10.1080/10824669.2012.692071", "ISBN" : "1082-4669", "ISSN" : "10824669", "abstract" : "A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 "author" : [ { "dropping-particle" : "", "family" : "Bowers", "given" : "Alex J.", "non-dropping-particle" : "", "parse-names" : false, "suffix" : "" }, { "dropping-particle" : "", "family" : "Sprott", "given" : "Ryan", "non-dropping-particle" : "", "parse-names" : false, "suffix" : "" } ], "container-title" : "Journal of Education for Students Placed at Risk", "id" : "ITEM-1", "issue" : "3", "issued" : { "date-parts" : [ [ "2012" ] ] }, "page" : "129-148", "title" : "Why Tenth Graders Fail to Finish High School: A Dropout Typology Latent Class Analysis", "type" : "article-journal", "volume" : "17" }, "uris" : [ "http://www.mendeley.com/documents/?uuid=88776d35-feef-4b9b-ae3e-10bd58ec7732" ] } ], "mendeley" : { "formattedCitation" : "(Bowers &amp; Sprott, 2012)", "plainTextFormattedCitation" : "(Bowers &amp; Sprott, 2012)", "previouslyFormattedCitation" : "(Bowers &amp; Sprott, 2012)" }, "properties" : { "noteIndex" : 0 }, "schema" : "https://github.com/citation-style-language/schema/raw/master/csl-citation.json" }</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sidR="00F146D0">
        <w:rPr>
          <w:rFonts w:ascii="Times New Roman" w:hAnsi="Times New Roman" w:cs="Times New Roman"/>
          <w:sz w:val="24"/>
          <w:szCs w:val="24"/>
        </w:rPr>
        <w:t xml:space="preserve"> </w:t>
      </w:r>
      <w:r>
        <w:rPr>
          <w:rFonts w:ascii="Times New Roman" w:hAnsi="Times New Roman" w:cs="Times New Roman"/>
          <w:sz w:val="24"/>
          <w:szCs w:val="24"/>
        </w:rPr>
        <w:t xml:space="preserve">a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58A4E52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w:t>
      </w:r>
      <w:r w:rsidR="00E20D37">
        <w:rPr>
          <w:rFonts w:ascii="Times New Roman" w:hAnsi="Times New Roman" w:cs="Times New Roman"/>
          <w:sz w:val="24"/>
          <w:szCs w:val="24"/>
        </w:rPr>
        <w:t>adolescents at risk for dropping out</w:t>
      </w:r>
      <w:r w:rsidR="007865BC" w:rsidRPr="00760068">
        <w:rPr>
          <w:rFonts w:ascii="Times New Roman" w:hAnsi="Times New Roman" w:cs="Times New Roman"/>
          <w:sz w:val="24"/>
          <w:szCs w:val="24"/>
        </w:rPr>
        <w:t xml:space="preserve">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w:t>
      </w:r>
      <w:proofErr w:type="gramStart"/>
      <w:r w:rsidR="007865BC" w:rsidRPr="00760068">
        <w:rPr>
          <w:rFonts w:ascii="Times New Roman" w:hAnsi="Times New Roman" w:cs="Times New Roman"/>
          <w:sz w:val="24"/>
          <w:szCs w:val="24"/>
        </w:rPr>
        <w:t>progra</w:t>
      </w:r>
      <w:r w:rsidR="00E20D37">
        <w:rPr>
          <w:rFonts w:ascii="Times New Roman" w:hAnsi="Times New Roman" w:cs="Times New Roman"/>
          <w:sz w:val="24"/>
          <w:szCs w:val="24"/>
        </w:rPr>
        <w:t>m.</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lastRenderedPageBreak/>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r w:rsidR="008A6053" w:rsidRPr="00760068">
        <w:rPr>
          <w:rFonts w:ascii="Times New Roman" w:hAnsi="Times New Roman" w:cs="Times New Roman"/>
          <w:sz w:val="24"/>
          <w:szCs w:val="24"/>
        </w:rPr>
        <w:t xml:space="preserve"> </w:t>
      </w:r>
      <w:r w:rsidR="00E20D37">
        <w:rPr>
          <w:rFonts w:ascii="Times New Roman" w:hAnsi="Times New Roman" w:cs="Times New Roman"/>
          <w:sz w:val="24"/>
          <w:szCs w:val="24"/>
        </w:rPr>
        <w:t>T</w:t>
      </w:r>
      <w:r w:rsidR="008A6053" w:rsidRPr="00760068">
        <w:rPr>
          <w:rFonts w:ascii="Times New Roman" w:hAnsi="Times New Roman" w:cs="Times New Roman"/>
          <w:sz w:val="24"/>
          <w:szCs w:val="24"/>
        </w:rPr>
        <w:t xml:space="preserve">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w:t>
      </w:r>
      <w:r w:rsidR="00590345">
        <w:rPr>
          <w:rFonts w:ascii="Times New Roman" w:hAnsi="Times New Roman" w:cs="Times New Roman"/>
          <w:sz w:val="24"/>
          <w:szCs w:val="24"/>
        </w:rPr>
        <w:t>the level of risk</w:t>
      </w:r>
      <w:r w:rsidR="00C35B8E">
        <w:rPr>
          <w:rFonts w:ascii="Times New Roman" w:hAnsi="Times New Roman" w:cs="Times New Roman"/>
          <w:sz w:val="24"/>
          <w:szCs w:val="24"/>
        </w:rPr>
        <w:t xml:space="preserve"> an adolescent </w:t>
      </w:r>
      <w:r w:rsidR="00590345">
        <w:rPr>
          <w:rFonts w:ascii="Times New Roman" w:hAnsi="Times New Roman" w:cs="Times New Roman"/>
          <w:sz w:val="24"/>
          <w:szCs w:val="24"/>
        </w:rPr>
        <w:t>is in on a quantitative scale</w:t>
      </w:r>
      <w:r w:rsidR="00C35B8E">
        <w:rPr>
          <w:rFonts w:ascii="Times New Roman" w:hAnsi="Times New Roman" w:cs="Times New Roman"/>
          <w:sz w:val="24"/>
          <w:szCs w:val="24"/>
        </w:rPr>
        <w:t xml:space="preserve">. </w:t>
      </w:r>
      <w:r w:rsidR="004370A3">
        <w:rPr>
          <w:rFonts w:ascii="Times New Roman" w:hAnsi="Times New Roman" w:cs="Times New Roman"/>
          <w:sz w:val="24"/>
          <w:szCs w:val="24"/>
        </w:rPr>
        <w:t xml:space="preserve">This measure uses </w:t>
      </w:r>
      <w:r w:rsidR="00E20D37">
        <w:rPr>
          <w:rFonts w:ascii="Times New Roman" w:hAnsi="Times New Roman" w:cs="Times New Roman"/>
          <w:sz w:val="24"/>
          <w:szCs w:val="24"/>
        </w:rPr>
        <w:t>parent/guardian</w:t>
      </w:r>
      <w:r w:rsidR="002E12DB">
        <w:rPr>
          <w:rFonts w:ascii="Times New Roman" w:hAnsi="Times New Roman" w:cs="Times New Roman"/>
          <w:sz w:val="24"/>
          <w:szCs w:val="24"/>
        </w:rPr>
        <w:t xml:space="preserve">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 </w:t>
      </w:r>
      <w:r w:rsidR="008A6053" w:rsidRPr="00760068">
        <w:rPr>
          <w:rFonts w:ascii="Times New Roman" w:hAnsi="Times New Roman" w:cs="Times New Roman"/>
          <w:sz w:val="24"/>
          <w:szCs w:val="24"/>
        </w:rPr>
        <w:t xml:space="preserve">This measure assesses and quantifies risk factors that adolescents are experiencing, at home and in life 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4"/>
      <w:r w:rsidR="007865BC" w:rsidRPr="00760068">
        <w:rPr>
          <w:rFonts w:ascii="Times New Roman" w:hAnsi="Times New Roman" w:cs="Times New Roman"/>
          <w:sz w:val="24"/>
          <w:szCs w:val="24"/>
        </w:rPr>
        <w:t>families</w:t>
      </w:r>
      <w:commentRangeEnd w:id="4"/>
      <w:r w:rsidR="007865BC" w:rsidRPr="00760068">
        <w:rPr>
          <w:rStyle w:val="CommentReference"/>
          <w:rFonts w:ascii="Times New Roman" w:hAnsi="Times New Roman" w:cs="Times New Roman"/>
          <w:sz w:val="24"/>
          <w:szCs w:val="24"/>
        </w:rPr>
        <w:commentReference w:id="4"/>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the Campus Connections program. </w:t>
      </w:r>
      <w:r w:rsidR="00E20D37">
        <w:rPr>
          <w:rFonts w:ascii="Times New Roman" w:hAnsi="Times New Roman" w:cs="Times New Roman"/>
          <w:sz w:val="24"/>
          <w:szCs w:val="24"/>
        </w:rPr>
        <w:t xml:space="preserve">Much of the literature focuses on program and school attrition (). </w:t>
      </w:r>
      <w:r w:rsidR="00B87F01">
        <w:rPr>
          <w:rFonts w:ascii="Times New Roman" w:hAnsi="Times New Roman" w:cs="Times New Roman"/>
          <w:sz w:val="24"/>
          <w:szCs w:val="24"/>
        </w:rPr>
        <w:t xml:space="preserve">However, assessing risk of dropout for programs aimed towards at-risk 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w:t>
      </w:r>
      <w:r w:rsidR="0088367A">
        <w:rPr>
          <w:rFonts w:ascii="Times New Roman" w:hAnsi="Times New Roman" w:cs="Times New Roman"/>
          <w:sz w:val="24"/>
          <w:szCs w:val="24"/>
        </w:rPr>
        <w:lastRenderedPageBreak/>
        <w:t xml:space="preserve">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25D03BD1"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sidR="009241B0">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r w:rsidR="009241B0">
        <w:rPr>
          <w:rFonts w:ascii="Times New Roman" w:hAnsi="Times New Roman" w:cs="Times New Roman"/>
          <w:sz w:val="24"/>
          <w:szCs w:val="24"/>
        </w:rPr>
        <w:t>. Campus Connections is a</w:t>
      </w:r>
      <w:r w:rsidR="004370A3">
        <w:rPr>
          <w:rFonts w:ascii="Times New Roman" w:hAnsi="Times New Roman" w:cs="Times New Roman"/>
          <w:sz w:val="24"/>
          <w:szCs w:val="24"/>
        </w:rPr>
        <w:t xml:space="preserve"> </w:t>
      </w:r>
      <w:r w:rsidR="000A352E">
        <w:rPr>
          <w:rFonts w:ascii="Times New Roman" w:hAnsi="Times New Roman" w:cs="Times New Roman"/>
          <w:sz w:val="24"/>
          <w:szCs w:val="24"/>
        </w:rPr>
        <w:t xml:space="preserve">structured </w:t>
      </w:r>
      <w:r w:rsidR="004370A3">
        <w:rPr>
          <w:rFonts w:ascii="Times New Roman" w:hAnsi="Times New Roman" w:cs="Times New Roman"/>
          <w:sz w:val="24"/>
          <w:szCs w:val="24"/>
        </w:rPr>
        <w:t>12-week program</w:t>
      </w:r>
      <w:r w:rsidR="009241B0">
        <w:rPr>
          <w:rFonts w:ascii="Times New Roman" w:hAnsi="Times New Roman" w:cs="Times New Roman"/>
          <w:sz w:val="24"/>
          <w:szCs w:val="24"/>
        </w:rPr>
        <w:t xml:space="preserve"> that provides </w:t>
      </w:r>
      <w:r w:rsidR="000A352E">
        <w:rPr>
          <w:rFonts w:ascii="Times New Roman" w:hAnsi="Times New Roman" w:cs="Times New Roman"/>
          <w:sz w:val="24"/>
          <w:szCs w:val="24"/>
        </w:rPr>
        <w:t xml:space="preserve">at-risk </w:t>
      </w:r>
      <w:r w:rsidR="009241B0">
        <w:rPr>
          <w:rFonts w:ascii="Times New Roman" w:hAnsi="Times New Roman" w:cs="Times New Roman"/>
          <w:sz w:val="24"/>
          <w:szCs w:val="24"/>
        </w:rPr>
        <w:t>adolescents with a positive mentor attending a university</w:t>
      </w:r>
      <w:r w:rsidRPr="00760068">
        <w:rPr>
          <w:rFonts w:ascii="Times New Roman" w:hAnsi="Times New Roman" w:cs="Times New Roman"/>
          <w:sz w:val="24"/>
          <w:szCs w:val="24"/>
        </w:rPr>
        <w:t>. Within each semester of CC there is one session</w:t>
      </w:r>
      <w:r w:rsidR="004370A3">
        <w:rPr>
          <w:rFonts w:ascii="Times New Roman" w:hAnsi="Times New Roman" w:cs="Times New Roman"/>
          <w:sz w:val="24"/>
          <w:szCs w:val="24"/>
        </w:rPr>
        <w:t xml:space="preserve"> </w:t>
      </w:r>
      <w:r w:rsidRPr="00760068">
        <w:rPr>
          <w:rFonts w:ascii="Times New Roman" w:hAnsi="Times New Roman" w:cs="Times New Roman"/>
          <w:sz w:val="24"/>
          <w:szCs w:val="24"/>
        </w:rPr>
        <w:t xml:space="preserve">four nights of the week (Monday, Tuesday, Wednesday and Thursday). </w:t>
      </w:r>
      <w:r w:rsidR="009241B0">
        <w:rPr>
          <w:rFonts w:ascii="Times New Roman" w:hAnsi="Times New Roman" w:cs="Times New Roman"/>
          <w:sz w:val="24"/>
          <w:szCs w:val="24"/>
        </w:rPr>
        <w:t>Adolescent mentees meet with their mentors once a week for 4 hours</w:t>
      </w:r>
      <w:r w:rsidR="000A352E">
        <w:rPr>
          <w:rFonts w:ascii="Times New Roman" w:hAnsi="Times New Roman" w:cs="Times New Roman"/>
          <w:sz w:val="24"/>
          <w:szCs w:val="24"/>
        </w:rPr>
        <w:t xml:space="preserve"> after attending school</w:t>
      </w:r>
      <w:r w:rsidR="009241B0">
        <w:rPr>
          <w:rFonts w:ascii="Times New Roman" w:hAnsi="Times New Roman" w:cs="Times New Roman"/>
          <w:sz w:val="24"/>
          <w:szCs w:val="24"/>
        </w:rPr>
        <w:t xml:space="preserve">. During their time spent with the mentor, they are encouraged to </w:t>
      </w:r>
      <w:r w:rsidR="000A352E">
        <w:rPr>
          <w:rFonts w:ascii="Times New Roman" w:hAnsi="Times New Roman" w:cs="Times New Roman"/>
          <w:sz w:val="24"/>
          <w:szCs w:val="24"/>
        </w:rPr>
        <w:t>build</w:t>
      </w:r>
      <w:r w:rsidR="009241B0">
        <w:rPr>
          <w:rFonts w:ascii="Times New Roman" w:hAnsi="Times New Roman" w:cs="Times New Roman"/>
          <w:sz w:val="24"/>
          <w:szCs w:val="24"/>
        </w:rPr>
        <w:t xml:space="preserve"> positive life skills </w:t>
      </w:r>
      <w:r w:rsidR="000A352E">
        <w:rPr>
          <w:rFonts w:ascii="Times New Roman" w:hAnsi="Times New Roman" w:cs="Times New Roman"/>
          <w:sz w:val="24"/>
          <w:szCs w:val="24"/>
        </w:rPr>
        <w:t>to help transition from adolescence to adulthood.</w:t>
      </w:r>
      <w:r w:rsidR="009241B0">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sidR="002E12DB">
        <w:rPr>
          <w:rFonts w:ascii="Times New Roman" w:hAnsi="Times New Roman" w:cs="Times New Roman"/>
          <w:sz w:val="24"/>
          <w:szCs w:val="24"/>
        </w:rPr>
        <w:t xml:space="preserve">of </w:t>
      </w:r>
      <w:r w:rsidR="002E12DB" w:rsidRPr="000A352E">
        <w:rPr>
          <w:rFonts w:ascii="Times New Roman" w:hAnsi="Times New Roman" w:cs="Times New Roman"/>
          <w:color w:val="FF0000"/>
          <w:sz w:val="24"/>
          <w:szCs w:val="24"/>
        </w:rPr>
        <w:t>458</w:t>
      </w:r>
      <w:r w:rsidR="002E12DB">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sidR="000A352E">
        <w:rPr>
          <w:rFonts w:ascii="Times New Roman" w:hAnsi="Times New Roman" w:cs="Times New Roman"/>
          <w:sz w:val="24"/>
          <w:szCs w:val="24"/>
        </w:rPr>
        <w:t>8</w:t>
      </w:r>
      <w:r w:rsidRPr="00760068">
        <w:rPr>
          <w:rFonts w:ascii="Times New Roman" w:hAnsi="Times New Roman" w:cs="Times New Roman"/>
          <w:sz w:val="24"/>
          <w:szCs w:val="24"/>
        </w:rPr>
        <w:t xml:space="preserve">. </w:t>
      </w:r>
      <w:r w:rsidR="00EF5209" w:rsidRPr="00760068">
        <w:rPr>
          <w:rFonts w:ascii="Times New Roman" w:hAnsi="Times New Roman" w:cs="Times New Roman"/>
          <w:sz w:val="24"/>
          <w:szCs w:val="24"/>
        </w:rPr>
        <w:t>K</w:t>
      </w:r>
      <w:r w:rsidR="000A352E">
        <w:rPr>
          <w:rFonts w:ascii="Times New Roman" w:hAnsi="Times New Roman" w:cs="Times New Roman"/>
          <w:sz w:val="24"/>
          <w:szCs w:val="24"/>
        </w:rPr>
        <w:t>e</w:t>
      </w:r>
      <w:r w:rsidR="00EF5209" w:rsidRPr="00760068">
        <w:rPr>
          <w:rFonts w:ascii="Times New Roman" w:hAnsi="Times New Roman" w:cs="Times New Roman"/>
          <w:sz w:val="24"/>
          <w:szCs w:val="24"/>
        </w:rPr>
        <w:t xml:space="preserv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w:t>
      </w:r>
      <w:r w:rsidR="00811129">
        <w:rPr>
          <w:rFonts w:ascii="Times New Roman" w:hAnsi="Times New Roman" w:cs="Times New Roman"/>
          <w:sz w:val="24"/>
          <w:szCs w:val="24"/>
        </w:rPr>
        <w:lastRenderedPageBreak/>
        <w:t>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xml:space="preserve">, the youth was considered a dropout. Of the </w:t>
      </w:r>
      <w:r w:rsidR="00EF5209" w:rsidRPr="000A352E">
        <w:rPr>
          <w:rFonts w:ascii="Times New Roman" w:hAnsi="Times New Roman" w:cs="Times New Roman"/>
          <w:color w:val="FF0000"/>
          <w:sz w:val="24"/>
          <w:szCs w:val="24"/>
        </w:rPr>
        <w:t>458</w:t>
      </w:r>
      <w:r w:rsidR="00EF5209" w:rsidRPr="00760068">
        <w:rPr>
          <w:rFonts w:ascii="Times New Roman" w:hAnsi="Times New Roman" w:cs="Times New Roman"/>
          <w:sz w:val="24"/>
          <w:szCs w:val="24"/>
        </w:rPr>
        <w:t xml:space="preserve"> mentees that started the CC program, a total of </w:t>
      </w:r>
      <w:r w:rsidR="00EF5209" w:rsidRPr="000A352E">
        <w:rPr>
          <w:rFonts w:ascii="Times New Roman" w:hAnsi="Times New Roman" w:cs="Times New Roman"/>
          <w:color w:val="FF0000"/>
          <w:sz w:val="24"/>
          <w:szCs w:val="24"/>
        </w:rPr>
        <w:t xml:space="preserve">45 </w:t>
      </w:r>
      <w:r w:rsidR="00EF5209" w:rsidRPr="00760068">
        <w:rPr>
          <w:rFonts w:ascii="Times New Roman" w:hAnsi="Times New Roman" w:cs="Times New Roman"/>
          <w:sz w:val="24"/>
          <w:szCs w:val="24"/>
        </w:rPr>
        <w:t>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 xml:space="preserve">The average attendance of mentees attending the program was </w:t>
      </w:r>
      <w:r w:rsidRPr="000A352E">
        <w:rPr>
          <w:rFonts w:ascii="Times New Roman" w:hAnsi="Times New Roman" w:cs="Times New Roman"/>
          <w:color w:val="FF0000"/>
          <w:sz w:val="24"/>
          <w:szCs w:val="24"/>
        </w:rPr>
        <w:t>9 days</w:t>
      </w:r>
      <w:r w:rsidR="00EF5209" w:rsidRPr="000A352E">
        <w:rPr>
          <w:rFonts w:ascii="Times New Roman" w:hAnsi="Times New Roman" w:cs="Times New Roman"/>
          <w:color w:val="FF0000"/>
          <w:sz w:val="24"/>
          <w:szCs w:val="24"/>
        </w:rPr>
        <w:t xml:space="preserve"> (SD = 3)</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5" w:name="IDX1"/>
      <w:bookmarkEnd w:id="5"/>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317648CF"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 xml:space="preserve">This child </w:t>
      </w:r>
      <w:r w:rsidRPr="00760068">
        <w:rPr>
          <w:rFonts w:ascii="Times New Roman" w:hAnsi="Times New Roman" w:cs="Times New Roman"/>
          <w:i/>
          <w:sz w:val="24"/>
          <w:szCs w:val="24"/>
        </w:rPr>
        <w:lastRenderedPageBreak/>
        <w:t>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uggles with alcohol or drug use)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75F537CE"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w:t>
      </w:r>
      <w:r w:rsidR="000A352E">
        <w:rPr>
          <w:rFonts w:ascii="Times New Roman" w:hAnsi="Times New Roman" w:cs="Times New Roman"/>
          <w:sz w:val="24"/>
          <w:szCs w:val="24"/>
        </w:rPr>
        <w:t xml:space="preserve"> etc.</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29E5066B"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 xml:space="preserve">A </w:t>
      </w:r>
      <w:r w:rsidR="000A352E">
        <w:rPr>
          <w:rFonts w:ascii="Times New Roman" w:hAnsi="Times New Roman" w:cs="Times New Roman"/>
          <w:sz w:val="24"/>
          <w:szCs w:val="24"/>
        </w:rPr>
        <w:t>negative binomial regression</w:t>
      </w:r>
      <w:r w:rsidR="007F57A0">
        <w:rPr>
          <w:rFonts w:ascii="Times New Roman" w:hAnsi="Times New Roman" w:cs="Times New Roman"/>
          <w:sz w:val="24"/>
          <w:szCs w:val="24"/>
        </w:rPr>
        <w:t xml:space="preserve"> analysis was used to assess the out</w:t>
      </w:r>
      <w:r w:rsidR="004F5775">
        <w:rPr>
          <w:rFonts w:ascii="Times New Roman" w:hAnsi="Times New Roman" w:cs="Times New Roman"/>
          <w:sz w:val="24"/>
          <w:szCs w:val="24"/>
        </w:rPr>
        <w:t>come of attendance day</w:t>
      </w:r>
      <w:r w:rsidR="000A352E">
        <w:rPr>
          <w:rFonts w:ascii="Times New Roman" w:hAnsi="Times New Roman" w:cs="Times New Roman"/>
          <w:sz w:val="24"/>
          <w:szCs w:val="24"/>
        </w:rPr>
        <w:t xml:space="preserve">s missed </w:t>
      </w:r>
      <w:r w:rsidR="004F5775">
        <w:rPr>
          <w:rFonts w:ascii="Times New Roman" w:hAnsi="Times New Roman" w:cs="Times New Roman"/>
          <w:sz w:val="24"/>
          <w:szCs w:val="24"/>
        </w:rPr>
        <w:t>(m</w:t>
      </w:r>
      <w:r w:rsidR="007F57A0">
        <w:rPr>
          <w:rFonts w:ascii="Times New Roman" w:hAnsi="Times New Roman" w:cs="Times New Roman"/>
          <w:sz w:val="24"/>
          <w:szCs w:val="24"/>
        </w:rPr>
        <w:t xml:space="preserve">ax </w:t>
      </w:r>
      <w:r w:rsidR="000A352E">
        <w:rPr>
          <w:rFonts w:ascii="Times New Roman" w:hAnsi="Times New Roman" w:cs="Times New Roman"/>
          <w:sz w:val="24"/>
          <w:szCs w:val="24"/>
        </w:rPr>
        <w:t>days missed</w:t>
      </w:r>
      <w:r w:rsidR="007F57A0">
        <w:rPr>
          <w:rFonts w:ascii="Times New Roman" w:hAnsi="Times New Roman" w:cs="Times New Roman"/>
          <w:sz w:val="24"/>
          <w:szCs w:val="24"/>
        </w:rPr>
        <w:t xml:space="preserve"> count= 12) </w:t>
      </w:r>
      <w:r w:rsidR="004F5775">
        <w:rPr>
          <w:rFonts w:ascii="Times New Roman" w:hAnsi="Times New Roman" w:cs="Times New Roman"/>
          <w:sz w:val="24"/>
          <w:szCs w:val="24"/>
        </w:rPr>
        <w:lastRenderedPageBreak/>
        <w:t xml:space="preserve">with the predictor of the overall, internal, and external risk scores. 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to be a better predictor of program dropout as opposed to external risk factors while controlling 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w:t>
      </w:r>
      <w:r w:rsidR="00152285" w:rsidRPr="000A352E">
        <w:rPr>
          <w:rFonts w:ascii="Times New Roman" w:hAnsi="Times New Roman" w:cs="Times New Roman"/>
          <w:sz w:val="24"/>
          <w:szCs w:val="24"/>
          <w:highlight w:val="red"/>
        </w:rPr>
        <w:lastRenderedPageBreak/>
        <w:t xml:space="preserve">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w:t>
      </w:r>
      <w:r w:rsidR="00185495" w:rsidRPr="000A352E">
        <w:rPr>
          <w:rFonts w:ascii="Times New Roman" w:hAnsi="Times New Roman" w:cs="Times New Roman"/>
          <w:sz w:val="24"/>
          <w:szCs w:val="24"/>
          <w:highlight w:val="red"/>
        </w:rPr>
        <w:lastRenderedPageBreak/>
        <w:t xml:space="preserve">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esults relate directly with views posed by Rhodes (2005), in which mentors have the capabilities to challenge negative views mentees have on 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Limitations posed by this study include the caretaker report of adolescent risk. However, the Risk measurement has been heavily validated and has relatively good internal reliability as 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w:t>
      </w:r>
      <w:r w:rsidR="00803998" w:rsidRPr="000A352E">
        <w:rPr>
          <w:rFonts w:ascii="Times New Roman" w:hAnsi="Times New Roman" w:cs="Times New Roman"/>
          <w:sz w:val="24"/>
          <w:szCs w:val="24"/>
          <w:highlight w:val="red"/>
        </w:rPr>
        <w:lastRenderedPageBreak/>
        <w:t xml:space="preserve">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other at-risk youth mentoring programs and programs serving adolescent populations. By </w:t>
      </w:r>
      <w:r w:rsidR="00E2174C" w:rsidRPr="000A352E">
        <w:rPr>
          <w:rFonts w:ascii="Times New Roman" w:hAnsi="Times New Roman" w:cs="Times New Roman"/>
          <w:color w:val="222222"/>
          <w:sz w:val="24"/>
          <w:szCs w:val="24"/>
          <w:highlight w:val="red"/>
          <w:shd w:val="clear" w:color="auto" w:fill="FFFFFF"/>
        </w:rPr>
        <w:lastRenderedPageBreak/>
        <w:t xml:space="preserve">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6"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6"/>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436EE9F7"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701556EC"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7" w:name="_Hlk524947195"/>
      <w:r w:rsidRPr="00595BC5">
        <w:rPr>
          <w:rFonts w:ascii="Times New Roman" w:hAnsi="Times New Roman" w:cs="Times New Roman"/>
          <w:color w:val="222222"/>
          <w:sz w:val="24"/>
          <w:szCs w:val="24"/>
          <w:shd w:val="clear" w:color="auto" w:fill="FFFFFF"/>
        </w:rPr>
        <w:lastRenderedPageBreak/>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7"/>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06D604BA"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67948124"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"10.1177/1529100611414806", "ISBN" : "1529-1006\\r1539-6053", "ISSN" : "1529-1006", "PMID" : "1609044", "abstract" : "This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people\u2019s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 "author" : [ { "dropping-particle" : "", "family" : "DuBois", "given" : "David L.", "non-dropping-particle" : "", "parse-names" : false, "suffix" : "" }, { "dropping-particle" : "", "family" : "Portillo", "given" : "Nelson", "non-dropping-particle" : "", "parse-names" : false, "suffix" : "" }, { "dropping-particle" : "", "family" : "Rhodes", "given" : "Jean E.", "non-dropping-particle" : "", "parse-names" : false, "suffix" : "" }, { "dropping-particle" : "", "family" : "Silverthorn", "given" : "Naida", "non-dropping-particle" : "", "parse-names" : false, "suffix" : "" }, { "dropping-particle" : "", "family" : "Valentine", "given" : "Jeffrey C.", "non-dropping-particle" : "", "parse-names" : false, "suffix" : "" } ], "container-title" : "Psychological Science in the Public Interest", "id" : "ITEM-1", "issued" : { "date-parts" : [ [ "2011" ] ] }, "title" : "How Effective Are Mentoring Programs for Youth? A Systematic Assessment of the Evidence", "type" : "article-journal" }, "uris" : [ "http://www.mendeley.com/documents/?uuid=c2a7ee59-a330-3a6f-a408-3a89c2ba43cc" ] } ], "mendeley" : { "formattedCitation" : "(DuBois, Portillo, Rhodes, Silverthorn, &amp; Valentine, 2011)", "plainTextFormattedCitation" : "(DuBois, Portillo, Rhodes, Silverthorn, &amp; Valentine, 2011)", "previouslyFormattedCitation" : "(DuBois, Portillo, Rhodes, Silverthorn, &amp; Valentine, 2011)"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77777777" w:rsidR="000A352E" w:rsidRPr="00B44D7D"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1"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2" w:author="Anastasia Ratcliff" w:date="2017-10-09T14:32:00Z" w:initials="AR">
    <w:p w14:paraId="4323F07B" w14:textId="77777777" w:rsidR="00E20D37" w:rsidRDefault="00E20D37" w:rsidP="00E20D37">
      <w:pPr>
        <w:pStyle w:val="CommentText"/>
      </w:pPr>
      <w:r>
        <w:rPr>
          <w:rStyle w:val="CommentReference"/>
        </w:rPr>
        <w:annotationRef/>
      </w:r>
      <w:r>
        <w:t xml:space="preserve">Expand on internal and external risk factors (needed for new results in research) </w:t>
      </w:r>
    </w:p>
  </w:comment>
  <w:comment w:id="4"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A583B" w14:textId="77777777" w:rsidR="00995549" w:rsidRDefault="00995549" w:rsidP="007865BC">
      <w:pPr>
        <w:spacing w:after="0" w:line="240" w:lineRule="auto"/>
      </w:pPr>
      <w:r>
        <w:separator/>
      </w:r>
    </w:p>
  </w:endnote>
  <w:endnote w:type="continuationSeparator" w:id="0">
    <w:p w14:paraId="62EC36B0" w14:textId="77777777" w:rsidR="00995549" w:rsidRDefault="00995549"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6CB3" w14:textId="77777777" w:rsidR="00995549" w:rsidRDefault="00995549" w:rsidP="007865BC">
      <w:pPr>
        <w:spacing w:after="0" w:line="240" w:lineRule="auto"/>
      </w:pPr>
      <w:r>
        <w:separator/>
      </w:r>
    </w:p>
  </w:footnote>
  <w:footnote w:type="continuationSeparator" w:id="0">
    <w:p w14:paraId="18729B5D" w14:textId="77777777" w:rsidR="00995549" w:rsidRDefault="00995549"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6F24"/>
    <w:rsid w:val="000936C9"/>
    <w:rsid w:val="000A14C4"/>
    <w:rsid w:val="000A352E"/>
    <w:rsid w:val="000E39CA"/>
    <w:rsid w:val="000F2649"/>
    <w:rsid w:val="00110FFA"/>
    <w:rsid w:val="00132655"/>
    <w:rsid w:val="00141288"/>
    <w:rsid w:val="00152285"/>
    <w:rsid w:val="00165645"/>
    <w:rsid w:val="00167606"/>
    <w:rsid w:val="00185495"/>
    <w:rsid w:val="001E1871"/>
    <w:rsid w:val="002039FF"/>
    <w:rsid w:val="002548EB"/>
    <w:rsid w:val="002C49E5"/>
    <w:rsid w:val="002C6811"/>
    <w:rsid w:val="002D6D35"/>
    <w:rsid w:val="002D77E3"/>
    <w:rsid w:val="002E12DB"/>
    <w:rsid w:val="00313C8F"/>
    <w:rsid w:val="00316084"/>
    <w:rsid w:val="00322DEA"/>
    <w:rsid w:val="00330604"/>
    <w:rsid w:val="003518CC"/>
    <w:rsid w:val="0035345D"/>
    <w:rsid w:val="00356CCA"/>
    <w:rsid w:val="003738A5"/>
    <w:rsid w:val="003A2B87"/>
    <w:rsid w:val="003B6031"/>
    <w:rsid w:val="003E07C3"/>
    <w:rsid w:val="003E2DB4"/>
    <w:rsid w:val="003E53DC"/>
    <w:rsid w:val="004128E0"/>
    <w:rsid w:val="00424541"/>
    <w:rsid w:val="004370A3"/>
    <w:rsid w:val="004554AA"/>
    <w:rsid w:val="00474846"/>
    <w:rsid w:val="004A03BC"/>
    <w:rsid w:val="004B0F81"/>
    <w:rsid w:val="004F5775"/>
    <w:rsid w:val="00513F75"/>
    <w:rsid w:val="0053012E"/>
    <w:rsid w:val="00547C4E"/>
    <w:rsid w:val="00564B0C"/>
    <w:rsid w:val="00583D63"/>
    <w:rsid w:val="00590345"/>
    <w:rsid w:val="00595BC5"/>
    <w:rsid w:val="005B2458"/>
    <w:rsid w:val="005C6507"/>
    <w:rsid w:val="005D0D39"/>
    <w:rsid w:val="005E218A"/>
    <w:rsid w:val="006060AA"/>
    <w:rsid w:val="00612938"/>
    <w:rsid w:val="0061337B"/>
    <w:rsid w:val="00617CA4"/>
    <w:rsid w:val="00641D58"/>
    <w:rsid w:val="0065309F"/>
    <w:rsid w:val="006602FC"/>
    <w:rsid w:val="0066445D"/>
    <w:rsid w:val="0066722C"/>
    <w:rsid w:val="00674494"/>
    <w:rsid w:val="00691E9F"/>
    <w:rsid w:val="006C3D81"/>
    <w:rsid w:val="006C417F"/>
    <w:rsid w:val="006C784D"/>
    <w:rsid w:val="006F3D34"/>
    <w:rsid w:val="007147C7"/>
    <w:rsid w:val="00715C47"/>
    <w:rsid w:val="00726678"/>
    <w:rsid w:val="007454F5"/>
    <w:rsid w:val="00760068"/>
    <w:rsid w:val="00763039"/>
    <w:rsid w:val="007712DB"/>
    <w:rsid w:val="007865BC"/>
    <w:rsid w:val="007B549B"/>
    <w:rsid w:val="007C488D"/>
    <w:rsid w:val="007C7341"/>
    <w:rsid w:val="007E06D0"/>
    <w:rsid w:val="007F57A0"/>
    <w:rsid w:val="007F5D91"/>
    <w:rsid w:val="007F6FA2"/>
    <w:rsid w:val="00803998"/>
    <w:rsid w:val="00811129"/>
    <w:rsid w:val="00813597"/>
    <w:rsid w:val="008176F7"/>
    <w:rsid w:val="008357B3"/>
    <w:rsid w:val="0084052C"/>
    <w:rsid w:val="00864A31"/>
    <w:rsid w:val="00876B29"/>
    <w:rsid w:val="0088367A"/>
    <w:rsid w:val="00887F9C"/>
    <w:rsid w:val="008A6053"/>
    <w:rsid w:val="008A68EA"/>
    <w:rsid w:val="008E3096"/>
    <w:rsid w:val="008F5F7D"/>
    <w:rsid w:val="00902A63"/>
    <w:rsid w:val="009241B0"/>
    <w:rsid w:val="00926F4C"/>
    <w:rsid w:val="00934151"/>
    <w:rsid w:val="00946081"/>
    <w:rsid w:val="00971D64"/>
    <w:rsid w:val="00973760"/>
    <w:rsid w:val="0098075E"/>
    <w:rsid w:val="00992FE3"/>
    <w:rsid w:val="00995549"/>
    <w:rsid w:val="009A66E5"/>
    <w:rsid w:val="009C1789"/>
    <w:rsid w:val="009F163B"/>
    <w:rsid w:val="009F6A23"/>
    <w:rsid w:val="00A37209"/>
    <w:rsid w:val="00A75669"/>
    <w:rsid w:val="00A91F76"/>
    <w:rsid w:val="00A942F7"/>
    <w:rsid w:val="00AB25C4"/>
    <w:rsid w:val="00AF6103"/>
    <w:rsid w:val="00B023C3"/>
    <w:rsid w:val="00B064A9"/>
    <w:rsid w:val="00B22A03"/>
    <w:rsid w:val="00B408D7"/>
    <w:rsid w:val="00B44D7D"/>
    <w:rsid w:val="00B5329D"/>
    <w:rsid w:val="00B87F01"/>
    <w:rsid w:val="00B951AD"/>
    <w:rsid w:val="00BA42A1"/>
    <w:rsid w:val="00BA712E"/>
    <w:rsid w:val="00BD7B8D"/>
    <w:rsid w:val="00C00DD4"/>
    <w:rsid w:val="00C13B77"/>
    <w:rsid w:val="00C20691"/>
    <w:rsid w:val="00C35B8E"/>
    <w:rsid w:val="00C35CB9"/>
    <w:rsid w:val="00C64664"/>
    <w:rsid w:val="00C663BB"/>
    <w:rsid w:val="00C723C6"/>
    <w:rsid w:val="00C86634"/>
    <w:rsid w:val="00C9550B"/>
    <w:rsid w:val="00CA0759"/>
    <w:rsid w:val="00CF2DB1"/>
    <w:rsid w:val="00D01E9C"/>
    <w:rsid w:val="00D507A0"/>
    <w:rsid w:val="00D5480C"/>
    <w:rsid w:val="00D74715"/>
    <w:rsid w:val="00E153B5"/>
    <w:rsid w:val="00E20D37"/>
    <w:rsid w:val="00E2174C"/>
    <w:rsid w:val="00E3030C"/>
    <w:rsid w:val="00E63E18"/>
    <w:rsid w:val="00E65EDC"/>
    <w:rsid w:val="00E911F6"/>
    <w:rsid w:val="00EA18EB"/>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76A8F-BA0C-437E-A2F2-BF55F9346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25</Pages>
  <Words>7583</Words>
  <Characters>43224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50706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10</cp:revision>
  <dcterms:created xsi:type="dcterms:W3CDTF">2018-03-13T23:06:00Z</dcterms:created>
  <dcterms:modified xsi:type="dcterms:W3CDTF">2018-09-18T16:00:00Z</dcterms:modified>
</cp:coreProperties>
</file>