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05AEA" w14:textId="77777777" w:rsidR="006D7E20" w:rsidRPr="00FB6248" w:rsidRDefault="006D7E20" w:rsidP="00800DEC">
      <w:pPr>
        <w:spacing w:line="480" w:lineRule="auto"/>
        <w:ind w:firstLine="720"/>
        <w:rPr>
          <w:rFonts w:cstheme="minorHAnsi"/>
        </w:rPr>
      </w:pPr>
    </w:p>
    <w:p w14:paraId="59FC8817" w14:textId="77777777" w:rsidR="006D7E20" w:rsidRPr="00FB6248" w:rsidRDefault="006D7E20" w:rsidP="00800DEC">
      <w:pPr>
        <w:spacing w:line="480" w:lineRule="auto"/>
        <w:ind w:firstLine="720"/>
        <w:rPr>
          <w:rFonts w:cstheme="minorHAnsi"/>
        </w:rPr>
      </w:pPr>
    </w:p>
    <w:p w14:paraId="47FDC654" w14:textId="77777777" w:rsidR="006D7E20" w:rsidRPr="00FB6248" w:rsidRDefault="006D7E20" w:rsidP="00800DEC">
      <w:pPr>
        <w:spacing w:line="480" w:lineRule="auto"/>
        <w:ind w:firstLine="720"/>
        <w:rPr>
          <w:rFonts w:cstheme="minorHAnsi"/>
        </w:rPr>
      </w:pPr>
    </w:p>
    <w:p w14:paraId="6DAE5489" w14:textId="77777777" w:rsidR="006D7E20" w:rsidRPr="00FB6248" w:rsidRDefault="006D7E20" w:rsidP="00800DEC">
      <w:pPr>
        <w:spacing w:line="480" w:lineRule="auto"/>
        <w:ind w:firstLine="720"/>
        <w:jc w:val="center"/>
        <w:rPr>
          <w:rFonts w:cstheme="minorHAnsi"/>
        </w:rPr>
      </w:pPr>
    </w:p>
    <w:p w14:paraId="53EE0BAC" w14:textId="77777777" w:rsidR="006D7E20" w:rsidRPr="00FB6248" w:rsidRDefault="006D7E20" w:rsidP="00800DEC">
      <w:pPr>
        <w:spacing w:line="480" w:lineRule="auto"/>
        <w:ind w:firstLine="720"/>
        <w:jc w:val="center"/>
        <w:rPr>
          <w:rFonts w:cstheme="minorHAnsi"/>
        </w:rPr>
      </w:pPr>
      <w:r w:rsidRPr="00FB6248">
        <w:rPr>
          <w:rFonts w:cstheme="minorHAnsi"/>
        </w:rPr>
        <w:t>Sexual Orientation, Perceived Discrimination, and Well-being Outcomes: A Mediation Model</w:t>
      </w:r>
    </w:p>
    <w:p w14:paraId="6E42A1B8" w14:textId="77777777" w:rsidR="006D7E20" w:rsidRPr="00FB6248" w:rsidRDefault="006D7E20" w:rsidP="00800DEC">
      <w:pPr>
        <w:spacing w:line="480" w:lineRule="auto"/>
        <w:ind w:firstLine="720"/>
        <w:jc w:val="center"/>
        <w:rPr>
          <w:rFonts w:cstheme="minorHAnsi"/>
        </w:rPr>
      </w:pPr>
      <w:r w:rsidRPr="00FB6248">
        <w:rPr>
          <w:rFonts w:cstheme="minorHAnsi"/>
        </w:rPr>
        <w:t>Brian Canning, Shelby Tuthill &amp; Neil Yetz</w:t>
      </w:r>
    </w:p>
    <w:p w14:paraId="0D4300B0" w14:textId="77777777" w:rsidR="006D7E20" w:rsidRPr="00FB6248" w:rsidRDefault="006D7E20" w:rsidP="00800DEC">
      <w:pPr>
        <w:spacing w:line="480" w:lineRule="auto"/>
        <w:ind w:firstLine="720"/>
        <w:jc w:val="center"/>
        <w:rPr>
          <w:rFonts w:cstheme="minorHAnsi"/>
        </w:rPr>
      </w:pPr>
      <w:r w:rsidRPr="00FB6248">
        <w:rPr>
          <w:rFonts w:cstheme="minorHAnsi"/>
        </w:rPr>
        <w:t xml:space="preserve">Colorado State University </w:t>
      </w:r>
    </w:p>
    <w:p w14:paraId="5E7E28B1" w14:textId="77777777" w:rsidR="006D7E20" w:rsidRPr="00FB6248" w:rsidRDefault="006D7E20" w:rsidP="00800DEC">
      <w:pPr>
        <w:spacing w:line="480" w:lineRule="auto"/>
        <w:ind w:firstLine="720"/>
        <w:jc w:val="center"/>
        <w:rPr>
          <w:rFonts w:cstheme="minorHAnsi"/>
        </w:rPr>
      </w:pPr>
      <w:r w:rsidRPr="00FB6248">
        <w:rPr>
          <w:rFonts w:cstheme="minorHAnsi"/>
        </w:rPr>
        <w:t>Department of Psychology</w:t>
      </w:r>
    </w:p>
    <w:p w14:paraId="28EBF674" w14:textId="77777777" w:rsidR="006D7E20" w:rsidRPr="00FB6248" w:rsidRDefault="006D7E20" w:rsidP="00800DEC">
      <w:pPr>
        <w:spacing w:line="480" w:lineRule="auto"/>
        <w:ind w:firstLine="720"/>
        <w:jc w:val="center"/>
        <w:rPr>
          <w:rFonts w:cstheme="minorHAnsi"/>
        </w:rPr>
      </w:pPr>
    </w:p>
    <w:p w14:paraId="7F5A860C" w14:textId="77777777" w:rsidR="006D7E20" w:rsidRPr="00FB6248" w:rsidRDefault="006D7E20" w:rsidP="00800DEC">
      <w:pPr>
        <w:spacing w:line="480" w:lineRule="auto"/>
        <w:ind w:firstLine="720"/>
        <w:jc w:val="center"/>
        <w:rPr>
          <w:rFonts w:cstheme="minorHAnsi"/>
        </w:rPr>
      </w:pPr>
    </w:p>
    <w:p w14:paraId="4ED56641" w14:textId="77777777" w:rsidR="006D7E20" w:rsidRPr="00FB6248" w:rsidRDefault="006D7E20" w:rsidP="00800DEC">
      <w:pPr>
        <w:spacing w:line="480" w:lineRule="auto"/>
        <w:ind w:firstLine="720"/>
        <w:jc w:val="center"/>
        <w:rPr>
          <w:rFonts w:cstheme="minorHAnsi"/>
        </w:rPr>
      </w:pPr>
    </w:p>
    <w:p w14:paraId="6BC0BB08" w14:textId="77777777" w:rsidR="006D7E20" w:rsidRPr="00FB6248" w:rsidRDefault="006D7E20" w:rsidP="00800DEC">
      <w:pPr>
        <w:spacing w:line="480" w:lineRule="auto"/>
        <w:ind w:firstLine="720"/>
        <w:jc w:val="center"/>
        <w:rPr>
          <w:rFonts w:cstheme="minorHAnsi"/>
        </w:rPr>
      </w:pPr>
    </w:p>
    <w:p w14:paraId="5BD3FF91" w14:textId="77777777" w:rsidR="006D7E20" w:rsidRPr="00FB6248" w:rsidRDefault="006D7E20" w:rsidP="00800DEC">
      <w:pPr>
        <w:spacing w:line="480" w:lineRule="auto"/>
        <w:ind w:firstLine="720"/>
        <w:jc w:val="center"/>
        <w:rPr>
          <w:rFonts w:cstheme="minorHAnsi"/>
        </w:rPr>
      </w:pPr>
    </w:p>
    <w:p w14:paraId="6F00399C" w14:textId="77777777" w:rsidR="006D7E20" w:rsidRPr="00FB6248" w:rsidRDefault="006D7E20" w:rsidP="00800DEC">
      <w:pPr>
        <w:spacing w:line="480" w:lineRule="auto"/>
        <w:ind w:firstLine="720"/>
        <w:jc w:val="center"/>
        <w:rPr>
          <w:rFonts w:cstheme="minorHAnsi"/>
        </w:rPr>
      </w:pPr>
    </w:p>
    <w:p w14:paraId="76AF1100" w14:textId="77777777" w:rsidR="006D7E20" w:rsidRPr="00FB6248" w:rsidRDefault="006D7E20" w:rsidP="00800DEC">
      <w:pPr>
        <w:spacing w:line="480" w:lineRule="auto"/>
        <w:ind w:firstLine="720"/>
        <w:jc w:val="center"/>
        <w:rPr>
          <w:rFonts w:cstheme="minorHAnsi"/>
        </w:rPr>
      </w:pPr>
    </w:p>
    <w:p w14:paraId="352C2C9B" w14:textId="77777777" w:rsidR="006D7E20" w:rsidRPr="00FB6248" w:rsidRDefault="006D7E20" w:rsidP="00800DEC">
      <w:pPr>
        <w:spacing w:line="480" w:lineRule="auto"/>
        <w:ind w:firstLine="720"/>
        <w:jc w:val="center"/>
        <w:rPr>
          <w:rFonts w:cstheme="minorHAnsi"/>
        </w:rPr>
      </w:pPr>
    </w:p>
    <w:p w14:paraId="7AB7F6AB" w14:textId="77777777" w:rsidR="006D7E20" w:rsidRPr="00FB6248" w:rsidRDefault="006D7E20" w:rsidP="00800DEC">
      <w:pPr>
        <w:spacing w:line="480" w:lineRule="auto"/>
        <w:ind w:firstLine="720"/>
        <w:jc w:val="center"/>
        <w:rPr>
          <w:rFonts w:cstheme="minorHAnsi"/>
        </w:rPr>
      </w:pPr>
    </w:p>
    <w:p w14:paraId="7E7EFF72" w14:textId="77777777" w:rsidR="006D7E20" w:rsidRPr="00FB6248" w:rsidRDefault="006D7E20" w:rsidP="00800DEC">
      <w:pPr>
        <w:spacing w:line="480" w:lineRule="auto"/>
        <w:ind w:firstLine="720"/>
        <w:jc w:val="center"/>
        <w:rPr>
          <w:rFonts w:cstheme="minorHAnsi"/>
        </w:rPr>
      </w:pPr>
      <w:r w:rsidRPr="00FB6248">
        <w:rPr>
          <w:rFonts w:cstheme="minorHAnsi"/>
        </w:rPr>
        <w:br w:type="page"/>
      </w:r>
    </w:p>
    <w:p w14:paraId="6967C3E9" w14:textId="77777777" w:rsidR="00644E3E" w:rsidRPr="00FB6248" w:rsidRDefault="00644E3E" w:rsidP="00800DEC">
      <w:pPr>
        <w:spacing w:after="0" w:line="480" w:lineRule="auto"/>
        <w:rPr>
          <w:rFonts w:eastAsia="Times New Roman" w:cstheme="minorHAnsi"/>
        </w:rPr>
      </w:pPr>
      <w:r w:rsidRPr="00FB6248">
        <w:rPr>
          <w:rFonts w:eastAsia="Times New Roman" w:cstheme="minorHAnsi"/>
          <w:b/>
          <w:bCs/>
        </w:rPr>
        <w:lastRenderedPageBreak/>
        <w:t>Introduction</w:t>
      </w:r>
    </w:p>
    <w:p w14:paraId="4CD3B482" w14:textId="77777777" w:rsidR="00644E3E" w:rsidRPr="00FB6248" w:rsidRDefault="00644E3E" w:rsidP="00800DEC">
      <w:pPr>
        <w:spacing w:after="0" w:line="480" w:lineRule="auto"/>
        <w:ind w:firstLine="720"/>
        <w:rPr>
          <w:rFonts w:eastAsia="Times New Roman" w:cstheme="minorHAnsi"/>
        </w:rPr>
      </w:pPr>
      <w:r w:rsidRPr="00FB6248">
        <w:rPr>
          <w:rFonts w:eastAsia="Times New Roman" w:cstheme="minorHAnsi"/>
        </w:rPr>
        <w:t xml:space="preserve">The lesbian, gay, and bisexual (LGB) community is at heightened risk for experiencing health disparities (IOM, 2011). It is additionally recognized that the LGB population is consistently stigmatized </w:t>
      </w:r>
      <w:proofErr w:type="gramStart"/>
      <w:r w:rsidRPr="00FB6248">
        <w:rPr>
          <w:rFonts w:eastAsia="Times New Roman" w:cstheme="minorHAnsi"/>
        </w:rPr>
        <w:t>as a result of</w:t>
      </w:r>
      <w:proofErr w:type="gramEnd"/>
      <w:r w:rsidRPr="00FB6248">
        <w:rPr>
          <w:rFonts w:eastAsia="Times New Roman" w:cstheme="minorHAnsi"/>
        </w:rPr>
        <w:t xml:space="preserve"> negative attitudes toward their sexual orientations (</w:t>
      </w:r>
      <w:proofErr w:type="spellStart"/>
      <w:r w:rsidRPr="00FB6248">
        <w:rPr>
          <w:rFonts w:eastAsia="Times New Roman" w:cstheme="minorHAnsi"/>
        </w:rPr>
        <w:t>Herek</w:t>
      </w:r>
      <w:proofErr w:type="spellEnd"/>
      <w:r w:rsidRPr="00FB6248">
        <w:rPr>
          <w:rFonts w:eastAsia="Times New Roman" w:cstheme="minorHAnsi"/>
        </w:rPr>
        <w:t xml:space="preserve"> &amp; McLemore, 2012; Meyer, 2003). Despite more accepting trends in recent years, many members of the LGB community still experience discrimination. Discrimination against the LGB community ranges from less obvious forms, such as microaggressions, to more hate-driven and salient discrimination such as protests by groups aimed against the LGB community, employment and housing discrimination, and acts of violence such as the 2016 mass shooting at Orlando’s Pulse nightclub. </w:t>
      </w:r>
      <w:r w:rsidRPr="00FB6248">
        <w:rPr>
          <w:rFonts w:eastAsia="Times New Roman" w:cstheme="minorHAnsi"/>
        </w:rPr>
        <w:br/>
      </w:r>
      <w:r w:rsidRPr="00FB6248">
        <w:rPr>
          <w:rFonts w:eastAsia="Times New Roman" w:cstheme="minorHAnsi"/>
        </w:rPr>
        <w:tab/>
        <w:t xml:space="preserve">These constant burdens from heightened societal stigmatization and discrimination are likely to have impacts on individuals’ mental health and well-being. In turn, this discrimination leads to disparities in outcomes – physical, social, and psychological – between LGB and heterosexual populations. This study seeks to understand the relationship of perceived discrimination experienced by sexual minorities and disparities in specific outcomes. Specifically, our study addresses the following research question: </w:t>
      </w:r>
      <w:r w:rsidRPr="00FB6248">
        <w:rPr>
          <w:rFonts w:eastAsia="Times New Roman" w:cstheme="minorHAnsi"/>
        </w:rPr>
        <w:br/>
      </w:r>
      <w:r w:rsidRPr="00FB6248">
        <w:rPr>
          <w:rFonts w:eastAsia="Times New Roman" w:cstheme="minorHAnsi"/>
        </w:rPr>
        <w:tab/>
        <w:t xml:space="preserve">Do individuals in the LGB community experience heightened </w:t>
      </w:r>
      <w:proofErr w:type="gramStart"/>
      <w:r w:rsidRPr="00FB6248">
        <w:rPr>
          <w:rFonts w:eastAsia="Times New Roman" w:cstheme="minorHAnsi"/>
        </w:rPr>
        <w:t>discrimination, and</w:t>
      </w:r>
      <w:proofErr w:type="gramEnd"/>
      <w:r w:rsidRPr="00FB6248">
        <w:rPr>
          <w:rFonts w:eastAsia="Times New Roman" w:cstheme="minorHAnsi"/>
        </w:rPr>
        <w:t xml:space="preserve"> do these differences in discrimination lead to differences in well-being outcomes relative to the heterosexual population?</w:t>
      </w:r>
      <w:r w:rsidRPr="00FB6248">
        <w:rPr>
          <w:rFonts w:eastAsia="Times New Roman" w:cstheme="minorHAnsi"/>
        </w:rPr>
        <w:br/>
      </w:r>
      <w:r w:rsidRPr="00FB6248">
        <w:rPr>
          <w:rFonts w:eastAsia="Times New Roman" w:cstheme="minorHAnsi"/>
        </w:rPr>
        <w:tab/>
        <w:t>Taking steps towards understanding this research question is of great importance</w:t>
      </w:r>
      <w:r w:rsidRPr="00FB6248">
        <w:rPr>
          <w:rFonts w:eastAsia="Times New Roman" w:cstheme="minorHAnsi"/>
        </w:rPr>
        <w:br/>
        <w:t>from a public health standpoint. Understanding differences in psychological and social well-being could lead to specific interventions that improve quality of life for members of the LGB community. Additionally, by understanding the pathway toward disparities in well-being outcomes, interventions can become more focused and effective.</w:t>
      </w:r>
    </w:p>
    <w:p w14:paraId="70C0CA85" w14:textId="77777777" w:rsidR="00644E3E" w:rsidRPr="00FB6248" w:rsidRDefault="00644E3E" w:rsidP="00800DEC">
      <w:pPr>
        <w:spacing w:after="0" w:line="480" w:lineRule="auto"/>
        <w:ind w:firstLine="720"/>
        <w:rPr>
          <w:rFonts w:eastAsia="Times New Roman" w:cstheme="minorHAnsi"/>
        </w:rPr>
      </w:pPr>
      <w:r w:rsidRPr="00FB6248">
        <w:rPr>
          <w:rFonts w:eastAsia="Times New Roman" w:cstheme="minorHAnsi"/>
        </w:rPr>
        <w:lastRenderedPageBreak/>
        <w:br/>
      </w:r>
      <w:r w:rsidRPr="00FB6248">
        <w:rPr>
          <w:rFonts w:eastAsia="Times New Roman" w:cstheme="minorHAnsi"/>
          <w:b/>
          <w:bCs/>
        </w:rPr>
        <w:t>Mental health in LGB populations</w:t>
      </w:r>
      <w:r w:rsidRPr="00FB6248">
        <w:rPr>
          <w:rFonts w:eastAsia="Times New Roman" w:cstheme="minorHAnsi"/>
        </w:rPr>
        <w:br/>
      </w:r>
      <w:r w:rsidRPr="00FB6248">
        <w:rPr>
          <w:rFonts w:eastAsia="Times New Roman" w:cstheme="minorHAnsi"/>
        </w:rPr>
        <w:tab/>
        <w:t xml:space="preserve">The nature of psychological research on the mental health of LGB individuals has shifted considerably in recent decades. The inclusion of homosexuality in the </w:t>
      </w:r>
      <w:r w:rsidRPr="00FB6248">
        <w:rPr>
          <w:rFonts w:eastAsia="Times New Roman" w:cstheme="minorHAnsi"/>
          <w:i/>
          <w:iCs/>
        </w:rPr>
        <w:t>Diagnostic and Statistical Manual of Mental Disorders</w:t>
      </w:r>
      <w:r w:rsidRPr="00FB6248">
        <w:rPr>
          <w:rFonts w:eastAsia="Times New Roman" w:cstheme="minorHAnsi"/>
        </w:rPr>
        <w:t xml:space="preserve"> (</w:t>
      </w:r>
      <w:r w:rsidRPr="00FB6248">
        <w:rPr>
          <w:rFonts w:eastAsia="Times New Roman" w:cstheme="minorHAnsi"/>
          <w:i/>
          <w:iCs/>
        </w:rPr>
        <w:t>DSM</w:t>
      </w:r>
      <w:r w:rsidRPr="00FB6248">
        <w:rPr>
          <w:rFonts w:eastAsia="Times New Roman" w:cstheme="minorHAnsi"/>
        </w:rPr>
        <w:t xml:space="preserve">) until 1973 meant that minority sexual orientation itself was considered itself pathological. Despite its removal from the </w:t>
      </w:r>
      <w:r w:rsidRPr="00FB6248">
        <w:rPr>
          <w:rFonts w:eastAsia="Times New Roman" w:cstheme="minorHAnsi"/>
          <w:i/>
          <w:iCs/>
        </w:rPr>
        <w:t>DSM</w:t>
      </w:r>
      <w:r w:rsidRPr="00FB6248">
        <w:rPr>
          <w:rFonts w:eastAsia="Times New Roman" w:cstheme="minorHAnsi"/>
        </w:rPr>
        <w:t>, LGB populations continue to face mental health issues at higher rates than their heterosexual counterparts. For example, the LGB community has higher incidence of psychological issues such as anxiety, depression, negative affect, and suicidality (</w:t>
      </w:r>
      <w:proofErr w:type="spellStart"/>
      <w:r w:rsidRPr="00FB6248">
        <w:rPr>
          <w:rFonts w:eastAsia="Times New Roman" w:cstheme="minorHAnsi"/>
        </w:rPr>
        <w:t>Jorm</w:t>
      </w:r>
      <w:proofErr w:type="spellEnd"/>
      <w:r w:rsidRPr="00FB6248">
        <w:rPr>
          <w:rFonts w:eastAsia="Times New Roman" w:cstheme="minorHAnsi"/>
        </w:rPr>
        <w:t xml:space="preserve">, </w:t>
      </w:r>
      <w:proofErr w:type="spellStart"/>
      <w:r w:rsidRPr="00FB6248">
        <w:rPr>
          <w:rFonts w:eastAsia="Times New Roman" w:cstheme="minorHAnsi"/>
        </w:rPr>
        <w:t>Korten</w:t>
      </w:r>
      <w:proofErr w:type="spellEnd"/>
      <w:r w:rsidRPr="00FB6248">
        <w:rPr>
          <w:rFonts w:eastAsia="Times New Roman" w:cstheme="minorHAnsi"/>
        </w:rPr>
        <w:t xml:space="preserve">, Rodgers, </w:t>
      </w:r>
      <w:proofErr w:type="spellStart"/>
      <w:r w:rsidRPr="00FB6248">
        <w:rPr>
          <w:rFonts w:eastAsia="Times New Roman" w:cstheme="minorHAnsi"/>
        </w:rPr>
        <w:t>Jacomb</w:t>
      </w:r>
      <w:proofErr w:type="spellEnd"/>
      <w:r w:rsidRPr="00FB6248">
        <w:rPr>
          <w:rFonts w:eastAsia="Times New Roman" w:cstheme="minorHAnsi"/>
        </w:rPr>
        <w:t xml:space="preserve"> &amp; Christensen, 2002; Meyer, 2003). In addition to these issues, some studies report higher levels of nicotine dependence and substance use in LGB populations relative to heterosexuals (Fergusson, Horwood &amp; </w:t>
      </w:r>
      <w:proofErr w:type="spellStart"/>
      <w:r w:rsidRPr="00FB6248">
        <w:rPr>
          <w:rFonts w:eastAsia="Times New Roman" w:cstheme="minorHAnsi"/>
        </w:rPr>
        <w:t>Beautrais</w:t>
      </w:r>
      <w:proofErr w:type="spellEnd"/>
      <w:r w:rsidRPr="00FB6248">
        <w:rPr>
          <w:rFonts w:eastAsia="Times New Roman" w:cstheme="minorHAnsi"/>
        </w:rPr>
        <w:t xml:space="preserve">, 1999). </w:t>
      </w:r>
    </w:p>
    <w:p w14:paraId="2F2654B7" w14:textId="77777777" w:rsidR="00644E3E" w:rsidRPr="00FB6248" w:rsidRDefault="00644E3E" w:rsidP="00800DEC">
      <w:pPr>
        <w:spacing w:after="0" w:line="480" w:lineRule="auto"/>
        <w:rPr>
          <w:rFonts w:eastAsia="Times New Roman" w:cstheme="minorHAnsi"/>
        </w:rPr>
      </w:pPr>
      <w:r w:rsidRPr="00FB6248">
        <w:rPr>
          <w:rFonts w:eastAsia="Times New Roman" w:cstheme="minorHAnsi"/>
        </w:rPr>
        <w:br/>
      </w:r>
      <w:r w:rsidRPr="00FB6248">
        <w:rPr>
          <w:rFonts w:eastAsia="Times New Roman" w:cstheme="minorHAnsi"/>
          <w:b/>
          <w:bCs/>
        </w:rPr>
        <w:t>Theoretical framework: Minority stress</w:t>
      </w:r>
      <w:r w:rsidRPr="00FB6248">
        <w:rPr>
          <w:rFonts w:eastAsia="Times New Roman" w:cstheme="minorHAnsi"/>
        </w:rPr>
        <w:br/>
      </w:r>
      <w:r w:rsidRPr="00FB6248">
        <w:rPr>
          <w:rFonts w:eastAsia="Times New Roman" w:cstheme="minorHAnsi"/>
        </w:rPr>
        <w:tab/>
        <w:t xml:space="preserve">The framework of minority stress was developed to account for the persistent mental health disparities related to marginalized groups, including minority sexual orientation; this is the theoretical framework that will be used for assessing our research question. The model was developed by Meyer in specific reference to LGB populations, starting with gay men (1995) and extending to the entirety of the LGB community (2003). It was conceptualized as a broadening of stress theory, in which stressors are defined as events and circumstances causing change in one’s life and requiring adaptation. Meyer extends this definition beyond personal life events, incorporating social circumstances and structures as possible sources of stress, particularly for people who belong to one or more marginalized groups. This is what he calls minority stress; individuals in marginalized groups experience an accumulation of stress responses </w:t>
      </w:r>
      <w:proofErr w:type="gramStart"/>
      <w:r w:rsidRPr="00FB6248">
        <w:rPr>
          <w:rFonts w:eastAsia="Times New Roman" w:cstheme="minorHAnsi"/>
        </w:rPr>
        <w:t>as a result of</w:t>
      </w:r>
      <w:proofErr w:type="gramEnd"/>
      <w:r w:rsidRPr="00FB6248">
        <w:rPr>
          <w:rFonts w:eastAsia="Times New Roman" w:cstheme="minorHAnsi"/>
        </w:rPr>
        <w:t xml:space="preserve"> stigmatization and perceived discrimination. It has since been studied extensively and found to be associated with mental health (Meyer, 1995; Meyer, 2003), physical health </w:t>
      </w:r>
      <w:r w:rsidRPr="00FB6248">
        <w:rPr>
          <w:rFonts w:eastAsia="Times New Roman" w:cstheme="minorHAnsi"/>
        </w:rPr>
        <w:lastRenderedPageBreak/>
        <w:t xml:space="preserve">(Frost, </w:t>
      </w:r>
      <w:proofErr w:type="spellStart"/>
      <w:r w:rsidRPr="00FB6248">
        <w:rPr>
          <w:rFonts w:eastAsia="Times New Roman" w:cstheme="minorHAnsi"/>
        </w:rPr>
        <w:t>Lehavot</w:t>
      </w:r>
      <w:proofErr w:type="spellEnd"/>
      <w:r w:rsidRPr="00FB6248">
        <w:rPr>
          <w:rFonts w:eastAsia="Times New Roman" w:cstheme="minorHAnsi"/>
        </w:rPr>
        <w:t xml:space="preserve">, &amp; Meyer, 2015), substance use (Fergusson, Horwood &amp; </w:t>
      </w:r>
      <w:proofErr w:type="spellStart"/>
      <w:r w:rsidRPr="00FB6248">
        <w:rPr>
          <w:rFonts w:eastAsia="Times New Roman" w:cstheme="minorHAnsi"/>
        </w:rPr>
        <w:t>Beautrais</w:t>
      </w:r>
      <w:proofErr w:type="spellEnd"/>
      <w:r w:rsidRPr="00FB6248">
        <w:rPr>
          <w:rFonts w:eastAsia="Times New Roman" w:cstheme="minorHAnsi"/>
        </w:rPr>
        <w:t xml:space="preserve">, 1999; </w:t>
      </w:r>
      <w:proofErr w:type="spellStart"/>
      <w:r w:rsidRPr="00FB6248">
        <w:rPr>
          <w:rFonts w:eastAsia="Times New Roman" w:cstheme="minorHAnsi"/>
        </w:rPr>
        <w:t>Lehavot</w:t>
      </w:r>
      <w:proofErr w:type="spellEnd"/>
      <w:r w:rsidRPr="00FB6248">
        <w:rPr>
          <w:rFonts w:eastAsia="Times New Roman" w:cstheme="minorHAnsi"/>
        </w:rPr>
        <w:t xml:space="preserve"> &amp; Simoni, 2014), body image (Kimmel &amp; </w:t>
      </w:r>
      <w:proofErr w:type="spellStart"/>
      <w:r w:rsidRPr="00FB6248">
        <w:rPr>
          <w:rFonts w:eastAsia="Times New Roman" w:cstheme="minorHAnsi"/>
        </w:rPr>
        <w:t>Mahalik</w:t>
      </w:r>
      <w:proofErr w:type="spellEnd"/>
      <w:r w:rsidRPr="00FB6248">
        <w:rPr>
          <w:rFonts w:eastAsia="Times New Roman" w:cstheme="minorHAnsi"/>
        </w:rPr>
        <w:t>, 2005), and more.</w:t>
      </w:r>
      <w:r w:rsidRPr="00FB6248">
        <w:rPr>
          <w:rFonts w:eastAsia="Times New Roman" w:cstheme="minorHAnsi"/>
        </w:rPr>
        <w:br/>
      </w:r>
      <w:r w:rsidRPr="00FB6248">
        <w:rPr>
          <w:rFonts w:eastAsia="Times New Roman" w:cstheme="minorHAnsi"/>
        </w:rPr>
        <w:tab/>
        <w:t xml:space="preserve">This model proposes that individuals in marginalized groups face a combination of stigma and overt discrimination, resulting in frequent or constant stress responses that add up to poorer mental and physical health relative to individuals in non-marginalized groups. This study will focus specifically on perceived discrimination, an element of minority stress that often helps to explain some of the disparities in outcomes between LGB and heterosexual populations (Almeida, Johnson, Corliss, Molnar &amp; Azrael, 2009; Mays &amp; Cochran, 2011). </w:t>
      </w:r>
    </w:p>
    <w:p w14:paraId="6C8CC8D2" w14:textId="77777777" w:rsidR="00644E3E" w:rsidRPr="00FB6248" w:rsidRDefault="00644E3E" w:rsidP="00800DEC">
      <w:pPr>
        <w:spacing w:after="0" w:line="480" w:lineRule="auto"/>
        <w:rPr>
          <w:rFonts w:eastAsia="Times New Roman" w:cstheme="minorHAnsi"/>
        </w:rPr>
      </w:pPr>
      <w:r w:rsidRPr="00FB6248">
        <w:rPr>
          <w:rFonts w:eastAsia="Times New Roman" w:cstheme="minorHAnsi"/>
        </w:rPr>
        <w:br/>
      </w:r>
      <w:r w:rsidRPr="00FB6248">
        <w:rPr>
          <w:rFonts w:eastAsia="Times New Roman" w:cstheme="minorHAnsi"/>
          <w:b/>
          <w:bCs/>
        </w:rPr>
        <w:t xml:space="preserve">The role of perceived discrimination </w:t>
      </w:r>
      <w:r w:rsidRPr="00FB6248">
        <w:rPr>
          <w:rFonts w:eastAsia="Times New Roman" w:cstheme="minorHAnsi"/>
          <w:b/>
          <w:bCs/>
        </w:rPr>
        <w:br/>
      </w:r>
      <w:r w:rsidRPr="00FB6248">
        <w:rPr>
          <w:rFonts w:eastAsia="Times New Roman" w:cstheme="minorHAnsi"/>
          <w:b/>
          <w:bCs/>
        </w:rPr>
        <w:tab/>
      </w:r>
      <w:r w:rsidRPr="00FB6248">
        <w:rPr>
          <w:rFonts w:eastAsia="Times New Roman" w:cstheme="minorHAnsi"/>
        </w:rPr>
        <w:t xml:space="preserve">Perceived discrimination is an integral aspect of minority stress. Research indicates that the severity of LGB populations’ mental health issues is indeed related to perceived discrimination, such that controlling for experiences of discrimination diminishes the detrimental effect of minority sexual orientation on mental health (Almeida, Johnson, Corliss, Molnar &amp; Azrael, 2009; Mays &amp; Cochran, 2011; </w:t>
      </w:r>
      <w:proofErr w:type="spellStart"/>
      <w:r w:rsidRPr="00FB6248">
        <w:rPr>
          <w:rFonts w:eastAsia="Times New Roman" w:cstheme="minorHAnsi"/>
        </w:rPr>
        <w:t>Zakalik</w:t>
      </w:r>
      <w:proofErr w:type="spellEnd"/>
      <w:r w:rsidRPr="00FB6248">
        <w:rPr>
          <w:rFonts w:eastAsia="Times New Roman" w:cstheme="minorHAnsi"/>
        </w:rPr>
        <w:t xml:space="preserve"> &amp; Wei, 2006). Perceived discrimination also has an impact on LGB students’ levels of college adjustment, as well as vocational indecision (Schmidt, Miles, &amp; Welsh, 2011).</w:t>
      </w:r>
      <w:r w:rsidRPr="00FB6248">
        <w:rPr>
          <w:rFonts w:eastAsia="Times New Roman" w:cstheme="minorHAnsi"/>
        </w:rPr>
        <w:br/>
      </w:r>
      <w:r w:rsidRPr="00FB6248">
        <w:rPr>
          <w:rFonts w:eastAsia="Times New Roman" w:cstheme="minorHAnsi"/>
        </w:rPr>
        <w:tab/>
        <w:t>Perceived discrimination comes in many forms. In the MIDUS 2 dataset (</w:t>
      </w:r>
      <w:proofErr w:type="spellStart"/>
      <w:r w:rsidRPr="00FB6248">
        <w:rPr>
          <w:rFonts w:eastAsia="Times New Roman" w:cstheme="minorHAnsi"/>
        </w:rPr>
        <w:t>Ryff</w:t>
      </w:r>
      <w:proofErr w:type="spellEnd"/>
      <w:r w:rsidRPr="00FB6248">
        <w:rPr>
          <w:rFonts w:eastAsia="Times New Roman" w:cstheme="minorHAnsi"/>
        </w:rPr>
        <w:t xml:space="preserve"> et al., 2004-2006), which will be used for this study, discrimination is measured by two separate scales: lifetime discrimination and daily discrimination. This distinction reflects recent trends in distinguishing overt discrimination from “aversive” discrimination, or microaggressions. Sue et al. (2007) defined microaggressions as “brief and commonplace daily verbal, behavioral, or environmental indignities, whether intentional or unintentional, that communicate hostile, derogatory, or negative racial slights and insults toward people of color,” and this type of discrimination can also be directed toward to LGB populations (Balsam, Molina, </w:t>
      </w:r>
      <w:proofErr w:type="spellStart"/>
      <w:r w:rsidRPr="00FB6248">
        <w:rPr>
          <w:rFonts w:eastAsia="Times New Roman" w:cstheme="minorHAnsi"/>
        </w:rPr>
        <w:t>Beadnell</w:t>
      </w:r>
      <w:proofErr w:type="spellEnd"/>
      <w:r w:rsidRPr="00FB6248">
        <w:rPr>
          <w:rFonts w:eastAsia="Times New Roman" w:cstheme="minorHAnsi"/>
        </w:rPr>
        <w:t xml:space="preserve">, Simoni, &amp; Walters, 2011; Francis &amp; </w:t>
      </w:r>
      <w:proofErr w:type="spellStart"/>
      <w:r w:rsidRPr="00FB6248">
        <w:rPr>
          <w:rFonts w:eastAsia="Times New Roman" w:cstheme="minorHAnsi"/>
        </w:rPr>
        <w:t>Reygan</w:t>
      </w:r>
      <w:proofErr w:type="spellEnd"/>
      <w:r w:rsidRPr="00FB6248">
        <w:rPr>
          <w:rFonts w:eastAsia="Times New Roman" w:cstheme="minorHAnsi"/>
        </w:rPr>
        <w:t xml:space="preserve">, 2016; </w:t>
      </w:r>
      <w:proofErr w:type="spellStart"/>
      <w:r w:rsidRPr="00FB6248">
        <w:rPr>
          <w:rFonts w:eastAsia="Times New Roman" w:cstheme="minorHAnsi"/>
        </w:rPr>
        <w:t>Galupo</w:t>
      </w:r>
      <w:proofErr w:type="spellEnd"/>
      <w:r w:rsidRPr="00FB6248">
        <w:rPr>
          <w:rFonts w:eastAsia="Times New Roman" w:cstheme="minorHAnsi"/>
        </w:rPr>
        <w:t xml:space="preserve"> &amp; </w:t>
      </w:r>
      <w:r w:rsidRPr="00FB6248">
        <w:rPr>
          <w:rFonts w:eastAsia="Times New Roman" w:cstheme="minorHAnsi"/>
        </w:rPr>
        <w:lastRenderedPageBreak/>
        <w:t xml:space="preserve">Resnick, 2016). A similar phenomenon is referred to as aversive discrimination, which was also first applied to covert racism toward people of color (Dovidio &amp; Gaertner, 2004). Researchers have also applied this to LGB experiences, particularly </w:t>
      </w:r>
      <w:proofErr w:type="gramStart"/>
      <w:r w:rsidRPr="00FB6248">
        <w:rPr>
          <w:rFonts w:eastAsia="Times New Roman" w:cstheme="minorHAnsi"/>
        </w:rPr>
        <w:t>in reference to</w:t>
      </w:r>
      <w:proofErr w:type="gramEnd"/>
      <w:r w:rsidRPr="00FB6248">
        <w:rPr>
          <w:rFonts w:eastAsia="Times New Roman" w:cstheme="minorHAnsi"/>
        </w:rPr>
        <w:t xml:space="preserve"> employment and hiring practices (</w:t>
      </w:r>
      <w:proofErr w:type="spellStart"/>
      <w:r w:rsidRPr="00FB6248">
        <w:rPr>
          <w:rFonts w:eastAsia="Times New Roman" w:cstheme="minorHAnsi"/>
        </w:rPr>
        <w:t>Aberson</w:t>
      </w:r>
      <w:proofErr w:type="spellEnd"/>
      <w:r w:rsidRPr="00FB6248">
        <w:rPr>
          <w:rFonts w:eastAsia="Times New Roman" w:cstheme="minorHAnsi"/>
        </w:rPr>
        <w:t xml:space="preserve">, 2003; Nadler, Lowery, </w:t>
      </w:r>
      <w:proofErr w:type="spellStart"/>
      <w:r w:rsidRPr="00FB6248">
        <w:rPr>
          <w:rFonts w:eastAsia="Times New Roman" w:cstheme="minorHAnsi"/>
        </w:rPr>
        <w:t>Grebinoski</w:t>
      </w:r>
      <w:proofErr w:type="spellEnd"/>
      <w:r w:rsidRPr="00FB6248">
        <w:rPr>
          <w:rFonts w:eastAsia="Times New Roman" w:cstheme="minorHAnsi"/>
        </w:rPr>
        <w:t>, &amp; Jones, 2014).</w:t>
      </w:r>
      <w:r w:rsidRPr="00FB6248">
        <w:rPr>
          <w:rFonts w:eastAsia="Times New Roman" w:cstheme="minorHAnsi"/>
        </w:rPr>
        <w:br/>
      </w:r>
      <w:r w:rsidRPr="00FB6248">
        <w:rPr>
          <w:rFonts w:eastAsia="Times New Roman" w:cstheme="minorHAnsi"/>
        </w:rPr>
        <w:tab/>
        <w:t>While understanding microaggressions and aversive discrimination is crucial in detecting more subtle or covert forms of discrimination, overt and obvious forms of discrimination against LGB people still occur. This type of discrimination, captured by a lifetime discrimination measure in the dataset of interest, is the focus of our study. Overt discrimination toward LGB people has been documented in a variety of settings, including in the workplace and during hiring processes (Sears &amp; Mallory, 2011; Pizer, Sears, Mallory, &amp; Hunter, 2012), in housing and rental application processes (</w:t>
      </w:r>
      <w:proofErr w:type="spellStart"/>
      <w:r w:rsidRPr="00FB6248">
        <w:rPr>
          <w:rFonts w:eastAsia="Times New Roman" w:cstheme="minorHAnsi"/>
        </w:rPr>
        <w:t>Lauster</w:t>
      </w:r>
      <w:proofErr w:type="spellEnd"/>
      <w:r w:rsidRPr="00FB6248">
        <w:rPr>
          <w:rFonts w:eastAsia="Times New Roman" w:cstheme="minorHAnsi"/>
        </w:rPr>
        <w:t xml:space="preserve"> &amp; Easterbrook, 2011), in interactions with police (Mallory, </w:t>
      </w:r>
      <w:proofErr w:type="spellStart"/>
      <w:r w:rsidRPr="00FB6248">
        <w:rPr>
          <w:rFonts w:eastAsia="Times New Roman" w:cstheme="minorHAnsi"/>
        </w:rPr>
        <w:t>Hasenbush</w:t>
      </w:r>
      <w:proofErr w:type="spellEnd"/>
      <w:r w:rsidRPr="00FB6248">
        <w:rPr>
          <w:rFonts w:eastAsia="Times New Roman" w:cstheme="minorHAnsi"/>
        </w:rPr>
        <w:t xml:space="preserve">, &amp; Sears, 2015; Wolff &amp; </w:t>
      </w:r>
      <w:proofErr w:type="spellStart"/>
      <w:r w:rsidRPr="00FB6248">
        <w:rPr>
          <w:rFonts w:eastAsia="Times New Roman" w:cstheme="minorHAnsi"/>
        </w:rPr>
        <w:t>Cokely</w:t>
      </w:r>
      <w:proofErr w:type="spellEnd"/>
      <w:r w:rsidRPr="00FB6248">
        <w:rPr>
          <w:rFonts w:eastAsia="Times New Roman" w:cstheme="minorHAnsi"/>
        </w:rPr>
        <w:t xml:space="preserve">, 2007), and in medical settings (Underhill et al., 2015). The lifetime discrimination scale also assesses for discrimination – in the form of denial of opportunities and services or low quality of services – in terms of acquiring scholarships, being encouraged or discouraged from pursuing education, and the provision of services including by plumbers and care mechanics. </w:t>
      </w:r>
      <w:r w:rsidRPr="00FB6248">
        <w:rPr>
          <w:rFonts w:eastAsia="Times New Roman" w:cstheme="minorHAnsi"/>
        </w:rPr>
        <w:br/>
      </w:r>
      <w:r w:rsidRPr="00FB6248">
        <w:rPr>
          <w:rFonts w:eastAsia="Times New Roman" w:cstheme="minorHAnsi"/>
        </w:rPr>
        <w:tab/>
        <w:t xml:space="preserve">Although perceived discrimination appears to mediate the effect of sexual orientation on psychological outcomes in many studies, some research shows that discrimination is not a factor in disparate outcomes between LGB and heterosexual people (Burgess, Lee, Tran, &amp; Van </w:t>
      </w:r>
      <w:proofErr w:type="spellStart"/>
      <w:r w:rsidRPr="00FB6248">
        <w:rPr>
          <w:rFonts w:eastAsia="Times New Roman" w:cstheme="minorHAnsi"/>
        </w:rPr>
        <w:t>Ryn</w:t>
      </w:r>
      <w:proofErr w:type="spellEnd"/>
      <w:r w:rsidRPr="00FB6248">
        <w:rPr>
          <w:rFonts w:eastAsia="Times New Roman" w:cstheme="minorHAnsi"/>
        </w:rPr>
        <w:t>, 2008). It is particularly important, therefore, to continue to explore this model across datasets.</w:t>
      </w:r>
    </w:p>
    <w:p w14:paraId="7001000B" w14:textId="77777777" w:rsidR="00644E3E" w:rsidRPr="00FB6248" w:rsidRDefault="00644E3E" w:rsidP="00800DEC">
      <w:pPr>
        <w:spacing w:after="0" w:line="480" w:lineRule="auto"/>
        <w:rPr>
          <w:rFonts w:eastAsia="Times New Roman" w:cstheme="minorHAnsi"/>
        </w:rPr>
      </w:pPr>
      <w:r w:rsidRPr="00FB6248">
        <w:rPr>
          <w:rFonts w:eastAsia="Times New Roman" w:cstheme="minorHAnsi"/>
        </w:rPr>
        <w:br/>
      </w:r>
      <w:r w:rsidRPr="00FB6248">
        <w:rPr>
          <w:rFonts w:eastAsia="Times New Roman" w:cstheme="minorHAnsi"/>
          <w:b/>
          <w:bCs/>
        </w:rPr>
        <w:t>Possible outcomes of discrimination: Psychological and social well-being</w:t>
      </w:r>
      <w:r w:rsidRPr="00FB6248">
        <w:rPr>
          <w:rFonts w:eastAsia="Times New Roman" w:cstheme="minorHAnsi"/>
        </w:rPr>
        <w:br/>
      </w:r>
      <w:r w:rsidRPr="00FB6248">
        <w:rPr>
          <w:rFonts w:eastAsia="Times New Roman" w:cstheme="minorHAnsi"/>
        </w:rPr>
        <w:tab/>
        <w:t xml:space="preserve">In LGB populations, researchers tend to explore the effect of perceived discrimination on outcomes such as psychological distress, major depressive disorder, anxiety, suicidality, and health-risk behaviors such as nicotine dependence and substance use. Little attention, however, has been paid to </w:t>
      </w:r>
      <w:r w:rsidRPr="00FB6248">
        <w:rPr>
          <w:rFonts w:eastAsia="Times New Roman" w:cstheme="minorHAnsi"/>
        </w:rPr>
        <w:lastRenderedPageBreak/>
        <w:t xml:space="preserve">outcomes such as psychological well-being and social well-being. Psychological well-being differs from these more frequently measured psychological outcomes (e.g., distress, clinically significant psychological symptoms); in the dataset that will be utilized in this study, the measure is based on participants’ experience of autonomy, environmental mastery, personal growth, positive relations with others, sense of purpose in life, and self-acceptance. Such outcomes are important to measure, as they assess individuals from a perspective of health rather than disorder and may capture different elements of one’s life than measures of depression and anxiety. Social well-being, in our dataset, relates to participants’ perceptions of the meaningfulness of society, their own social integration, acceptance of others, social contribution, and social actualization. </w:t>
      </w:r>
      <w:r w:rsidRPr="00FB6248">
        <w:rPr>
          <w:rFonts w:eastAsia="Times New Roman" w:cstheme="minorHAnsi"/>
        </w:rPr>
        <w:br/>
      </w:r>
      <w:r w:rsidRPr="00FB6248">
        <w:rPr>
          <w:rFonts w:eastAsia="Times New Roman" w:cstheme="minorHAnsi"/>
        </w:rPr>
        <w:tab/>
        <w:t>It is important to test the minority stress model with both psychological and social well-being because of the important distinctions between them. Psychological well-being is focused on the self; it measures feelings toward oneself, perceptions of one’s relationships with others, the degree to which one has a sense of purpose, and the extent to which this purpose is being realized (</w:t>
      </w:r>
      <w:proofErr w:type="spellStart"/>
      <w:r w:rsidRPr="00FB6248">
        <w:rPr>
          <w:rFonts w:eastAsia="Times New Roman" w:cstheme="minorHAnsi"/>
        </w:rPr>
        <w:t>Ryff</w:t>
      </w:r>
      <w:proofErr w:type="spellEnd"/>
      <w:r w:rsidRPr="00FB6248">
        <w:rPr>
          <w:rFonts w:eastAsia="Times New Roman" w:cstheme="minorHAnsi"/>
        </w:rPr>
        <w:t xml:space="preserve"> &amp; Singer, 2008). Social wellbeing focuses on the self in the context of the broader society, exploring participants’ quality of relationship with society and community and how they perceive and understand their social world (Keyes &amp; Shapiro, 2004). </w:t>
      </w:r>
      <w:r w:rsidRPr="00FB6248">
        <w:rPr>
          <w:rFonts w:eastAsia="Times New Roman" w:cstheme="minorHAnsi"/>
        </w:rPr>
        <w:br/>
      </w:r>
      <w:r w:rsidRPr="00FB6248">
        <w:rPr>
          <w:rFonts w:eastAsia="Times New Roman" w:cstheme="minorHAnsi"/>
        </w:rPr>
        <w:tab/>
        <w:t xml:space="preserve">Keyes and Shapiro (2004) find that elements of both psychological and social well-being vary by categories such as age, sex, and marital status, but sexual orientation was not assessed in their study. We might expect that psychological well-being differs by sexual orientation based on the literature suggesting higher incidence of emotional distress and psychological diagnoses among LGB people. Indeed, features of psychological well-being such as autonomy, self-acceptance, and positive relations with others may be impeded by discrimination and general social attitudes toward LGB people. We might also expect that social well-being differs by sexual orientation considering that the broader social environment is often hostile toward LGB people, making it more difficult to perceive a positive </w:t>
      </w:r>
      <w:r w:rsidRPr="00FB6248">
        <w:rPr>
          <w:rFonts w:eastAsia="Times New Roman" w:cstheme="minorHAnsi"/>
        </w:rPr>
        <w:lastRenderedPageBreak/>
        <w:t>relationship with the environment or to perceive that social progress is possible. On the other hand, the resilience that comes with a strong sense of belonging to the LGB community (Wong, 2015) may attenuate any differences in social well-being between LGB and heterosexual populations. One study finds that, in an LGB sample, bisexual participants report lower social well-being, but this disparity is partially explained by bisexuals’ lower levels of connectedness to the LGB community (</w:t>
      </w:r>
      <w:proofErr w:type="spellStart"/>
      <w:r w:rsidRPr="00FB6248">
        <w:rPr>
          <w:rFonts w:eastAsia="Times New Roman" w:cstheme="minorHAnsi"/>
        </w:rPr>
        <w:t>Kertzner</w:t>
      </w:r>
      <w:proofErr w:type="spellEnd"/>
      <w:r w:rsidRPr="00FB6248">
        <w:rPr>
          <w:rFonts w:eastAsia="Times New Roman" w:cstheme="minorHAnsi"/>
        </w:rPr>
        <w:t xml:space="preserve">, Meyer, Frost, &amp; </w:t>
      </w:r>
      <w:proofErr w:type="spellStart"/>
      <w:r w:rsidRPr="00FB6248">
        <w:rPr>
          <w:rFonts w:eastAsia="Times New Roman" w:cstheme="minorHAnsi"/>
        </w:rPr>
        <w:t>Stirratt</w:t>
      </w:r>
      <w:proofErr w:type="spellEnd"/>
      <w:r w:rsidRPr="00FB6248">
        <w:rPr>
          <w:rFonts w:eastAsia="Times New Roman" w:cstheme="minorHAnsi"/>
        </w:rPr>
        <w:t>, 2010).</w:t>
      </w:r>
    </w:p>
    <w:p w14:paraId="163B2102" w14:textId="716BAB97" w:rsidR="006D7E20" w:rsidRPr="00FB6248" w:rsidRDefault="00644E3E" w:rsidP="00800DEC">
      <w:pPr>
        <w:spacing w:after="0" w:line="480" w:lineRule="auto"/>
        <w:rPr>
          <w:rFonts w:eastAsia="Times New Roman" w:cstheme="minorHAnsi"/>
          <w:b/>
          <w:bCs/>
        </w:rPr>
      </w:pPr>
      <w:r w:rsidRPr="00FB6248">
        <w:rPr>
          <w:rFonts w:eastAsia="Times New Roman" w:cstheme="minorHAnsi"/>
        </w:rPr>
        <w:br/>
      </w:r>
      <w:r w:rsidRPr="00FB6248">
        <w:rPr>
          <w:rFonts w:eastAsia="Times New Roman" w:cstheme="minorHAnsi"/>
          <w:b/>
          <w:bCs/>
        </w:rPr>
        <w:t>Hypotheses</w:t>
      </w:r>
      <w:r w:rsidRPr="00FB6248">
        <w:rPr>
          <w:rFonts w:eastAsia="Times New Roman" w:cstheme="minorHAnsi"/>
          <w:b/>
          <w:bCs/>
        </w:rPr>
        <w:br/>
      </w:r>
      <w:r w:rsidRPr="00FB6248">
        <w:rPr>
          <w:rFonts w:eastAsia="Times New Roman" w:cstheme="minorHAnsi"/>
          <w:b/>
          <w:bCs/>
        </w:rPr>
        <w:tab/>
      </w:r>
      <w:r w:rsidRPr="00FB6248">
        <w:rPr>
          <w:rFonts w:eastAsia="Times New Roman" w:cstheme="minorHAnsi"/>
        </w:rPr>
        <w:t xml:space="preserve">We posit that differences in psychological and social well-being exist between LGB and heterosexual groups, and that this relationship will be partially mediated by perceived lifetime discrimination. This approach is based on previous findings linking sexual orientation with perceived discrimination and further linking perceived discrimination with mental health outcomes. This study will utilize a mediation model to identify and explain the mechanism between minority sexual orientation and differences in outcomes of social and psychological well-being, </w:t>
      </w:r>
      <w:proofErr w:type="gramStart"/>
      <w:r w:rsidRPr="00FB6248">
        <w:rPr>
          <w:rFonts w:eastAsia="Times New Roman" w:cstheme="minorHAnsi"/>
        </w:rPr>
        <w:t>taking into account</w:t>
      </w:r>
      <w:proofErr w:type="gramEnd"/>
      <w:r w:rsidRPr="00FB6248">
        <w:rPr>
          <w:rFonts w:eastAsia="Times New Roman" w:cstheme="minorHAnsi"/>
        </w:rPr>
        <w:t xml:space="preserve"> the effect of perceived discrimination resulting from sexual minority status. </w:t>
      </w:r>
      <w:r w:rsidRPr="00FB6248">
        <w:rPr>
          <w:rFonts w:eastAsia="Times New Roman" w:cstheme="minorHAnsi"/>
        </w:rPr>
        <w:br/>
      </w:r>
      <w:r w:rsidRPr="00FB6248">
        <w:rPr>
          <w:rFonts w:eastAsia="Times New Roman" w:cstheme="minorHAnsi"/>
        </w:rPr>
        <w:tab/>
        <w:t xml:space="preserve">The proposed model acknowledges that being of minority sexual orientation is not directly responsible for differences in well-being outcomes, as the former diagnosis of homosexuality in the DSM may have suggested; in other words, there is nothing inherent to sexual orientation that contributes well-being outcomes. Any differences in outcomes are likely the result of discrimination based on sexual orientation, and other social factors that disadvantage LGB people relative to heterosexuals. Therefore, this study aims to approach and answer two hypotheses: </w:t>
      </w:r>
      <w:r w:rsidRPr="00FB6248">
        <w:rPr>
          <w:rFonts w:eastAsia="Times New Roman" w:cstheme="minorHAnsi"/>
        </w:rPr>
        <w:br/>
      </w:r>
      <w:r w:rsidRPr="00FB6248">
        <w:rPr>
          <w:rFonts w:eastAsia="Times New Roman" w:cstheme="minorHAnsi"/>
        </w:rPr>
        <w:tab/>
        <w:t xml:space="preserve">1.  Being of LGB sexual orientation leads to heightened perceived discrimination which, in turn, results in lower psychological well-being relative to heterosexuals. </w:t>
      </w:r>
      <w:r w:rsidRPr="00FB6248">
        <w:rPr>
          <w:rFonts w:eastAsia="Times New Roman" w:cstheme="minorHAnsi"/>
        </w:rPr>
        <w:br/>
      </w:r>
      <w:r w:rsidRPr="00FB6248">
        <w:rPr>
          <w:rFonts w:eastAsia="Times New Roman" w:cstheme="minorHAnsi"/>
        </w:rPr>
        <w:lastRenderedPageBreak/>
        <w:tab/>
        <w:t>2.  Being of LGB sexual orientation leads to heightened perceived discrimination which, in turn, results in lower social well-being relative to heterosexuals.</w:t>
      </w:r>
    </w:p>
    <w:p w14:paraId="1BB3963B" w14:textId="77777777" w:rsidR="006D7E20" w:rsidRPr="00FB6248" w:rsidRDefault="006D7E20" w:rsidP="00800DEC">
      <w:pPr>
        <w:spacing w:after="0" w:line="480" w:lineRule="auto"/>
        <w:rPr>
          <w:rFonts w:eastAsia="Times New Roman" w:cstheme="minorHAnsi"/>
          <w:b/>
          <w:bCs/>
        </w:rPr>
      </w:pPr>
    </w:p>
    <w:p w14:paraId="5F64CC18" w14:textId="756E18A0" w:rsidR="00957C5D" w:rsidRPr="00FB6248" w:rsidRDefault="00957C5D" w:rsidP="00800DEC">
      <w:pPr>
        <w:spacing w:after="0" w:line="480" w:lineRule="auto"/>
        <w:rPr>
          <w:rFonts w:eastAsia="Times New Roman" w:cstheme="minorHAnsi"/>
        </w:rPr>
      </w:pPr>
      <w:r w:rsidRPr="00FB6248">
        <w:rPr>
          <w:rFonts w:eastAsia="Times New Roman" w:cstheme="minorHAnsi"/>
          <w:b/>
          <w:bCs/>
        </w:rPr>
        <w:t>Methods</w:t>
      </w:r>
    </w:p>
    <w:p w14:paraId="38F699A6" w14:textId="4F7CA01D" w:rsidR="00957C5D" w:rsidRPr="00FB6248" w:rsidRDefault="00957C5D" w:rsidP="00800DEC">
      <w:pPr>
        <w:spacing w:after="0" w:line="480" w:lineRule="auto"/>
        <w:rPr>
          <w:rFonts w:eastAsia="Times New Roman" w:cstheme="minorHAnsi"/>
        </w:rPr>
      </w:pPr>
      <w:r w:rsidRPr="00FB6248">
        <w:rPr>
          <w:rFonts w:eastAsia="Times New Roman" w:cstheme="minorHAnsi"/>
        </w:rPr>
        <w:t xml:space="preserve">            This study utilized data from the second wave of the National Survey for Midlife in the United States (MIDUS 2; </w:t>
      </w:r>
      <w:proofErr w:type="spellStart"/>
      <w:r w:rsidRPr="00FB6248">
        <w:rPr>
          <w:rFonts w:eastAsia="Times New Roman" w:cstheme="minorHAnsi"/>
        </w:rPr>
        <w:t>Ryff</w:t>
      </w:r>
      <w:proofErr w:type="spellEnd"/>
      <w:r w:rsidRPr="00FB6248">
        <w:rPr>
          <w:rFonts w:eastAsia="Times New Roman" w:cstheme="minorHAnsi"/>
        </w:rPr>
        <w:t xml:space="preserve"> et al., 2004 – 2006). The MIDUS 2 study included a combination of phone interviews and mailed questionnaires across the United States to gain a nationally representative sample of English speaking middle aged adults aged 25 to 74 years of age. Data collection for the MIDUS 2 project began in 2002 and the data collection was completed in 2009. The overall sample size within the MIDUS 2 project is 4,963 participants.</w:t>
      </w:r>
    </w:p>
    <w:p w14:paraId="6771427B" w14:textId="77777777" w:rsidR="00957C5D" w:rsidRPr="00FB6248" w:rsidRDefault="00957C5D" w:rsidP="00800DEC">
      <w:pPr>
        <w:spacing w:after="0" w:line="480" w:lineRule="auto"/>
        <w:rPr>
          <w:rFonts w:eastAsia="Times New Roman" w:cstheme="minorHAnsi"/>
        </w:rPr>
      </w:pPr>
    </w:p>
    <w:p w14:paraId="7F1045F7" w14:textId="77777777" w:rsidR="00957C5D" w:rsidRPr="00FB6248" w:rsidRDefault="00957C5D" w:rsidP="00800DEC">
      <w:pPr>
        <w:spacing w:after="0" w:line="480" w:lineRule="auto"/>
        <w:rPr>
          <w:rFonts w:eastAsia="Times New Roman" w:cstheme="minorHAnsi"/>
        </w:rPr>
      </w:pPr>
      <w:r w:rsidRPr="00FB6248">
        <w:rPr>
          <w:rFonts w:eastAsia="Times New Roman" w:cstheme="minorHAnsi"/>
          <w:b/>
          <w:bCs/>
        </w:rPr>
        <w:t>Sample</w:t>
      </w:r>
    </w:p>
    <w:p w14:paraId="413C39AE" w14:textId="6AE67A25" w:rsidR="00890F5F" w:rsidRPr="00FB6248" w:rsidRDefault="00957C5D" w:rsidP="00D84EF8">
      <w:pPr>
        <w:spacing w:after="0" w:line="480" w:lineRule="auto"/>
        <w:rPr>
          <w:rFonts w:eastAsia="Times New Roman" w:cstheme="minorHAnsi"/>
        </w:rPr>
      </w:pPr>
      <w:r w:rsidRPr="00FB6248">
        <w:rPr>
          <w:rFonts w:eastAsia="Times New Roman" w:cstheme="minorHAnsi"/>
        </w:rPr>
        <w:t xml:space="preserve">            From the MIDUS 2 sample, only participants with all demographic variables and responses to the measures were used in this study’s sample. Including participants based on these characteristics, the sample size was reduced to 3,701 participants. Respondents self-reported demographic information from the MIDUS 2 questionnaire. The sample population had an average age of 55.59 (</w:t>
      </w:r>
      <w:r w:rsidRPr="00FB6248">
        <w:rPr>
          <w:rFonts w:eastAsia="Times New Roman" w:cstheme="minorHAnsi"/>
          <w:i/>
          <w:iCs/>
        </w:rPr>
        <w:t>SD</w:t>
      </w:r>
      <w:r w:rsidRPr="00FB6248">
        <w:rPr>
          <w:rFonts w:eastAsia="Times New Roman" w:cstheme="minorHAnsi"/>
        </w:rPr>
        <w:t xml:space="preserve"> = 12.14). </w:t>
      </w:r>
      <w:r w:rsidRPr="00FB6248">
        <w:rPr>
          <w:rFonts w:eastAsia="Times New Roman" w:cstheme="minorHAnsi"/>
          <w:i/>
          <w:iCs/>
        </w:rPr>
        <w:t>Table 1</w:t>
      </w:r>
      <w:r w:rsidRPr="00FB6248">
        <w:rPr>
          <w:rFonts w:eastAsia="Times New Roman" w:cstheme="minorHAnsi"/>
        </w:rPr>
        <w:t xml:space="preserve"> shows the demographic characteristics of the sample for sexual orientation, race, and sex.</w:t>
      </w:r>
    </w:p>
    <w:p w14:paraId="0BA31CAB" w14:textId="1F17FA99" w:rsidR="00E26CBD" w:rsidRPr="00FB6248" w:rsidRDefault="00E26CBD" w:rsidP="00573188">
      <w:pPr>
        <w:spacing w:before="20" w:after="20" w:line="240" w:lineRule="auto"/>
        <w:ind w:right="20"/>
        <w:rPr>
          <w:rFonts w:cstheme="minorHAnsi"/>
          <w:i/>
        </w:rPr>
      </w:pPr>
      <w:r w:rsidRPr="00FB6248">
        <w:rPr>
          <w:rFonts w:cstheme="minorHAnsi"/>
          <w:i/>
        </w:rPr>
        <w:t>Table 1: Demographics</w:t>
      </w:r>
    </w:p>
    <w:tbl>
      <w:tblPr>
        <w:tblpPr w:leftFromText="180" w:rightFromText="180" w:vertAnchor="text" w:tblpXSpec="center" w:tblpY="1"/>
        <w:tblOverlap w:val="never"/>
        <w:tblW w:w="0" w:type="auto"/>
        <w:tblLook w:val="04A0" w:firstRow="1" w:lastRow="0" w:firstColumn="1" w:lastColumn="0" w:noHBand="0" w:noVBand="1"/>
      </w:tblPr>
      <w:tblGrid>
        <w:gridCol w:w="1940"/>
        <w:gridCol w:w="767"/>
        <w:gridCol w:w="711"/>
      </w:tblGrid>
      <w:tr w:rsidR="00056D45" w:rsidRPr="00FB6248" w14:paraId="15C3B23D" w14:textId="77777777" w:rsidTr="00E26CBD">
        <w:trPr>
          <w:tblHeader/>
        </w:trPr>
        <w:tc>
          <w:tcPr>
            <w:tcW w:w="0" w:type="auto"/>
            <w:tcBorders>
              <w:top w:val="single" w:sz="4" w:space="0" w:color="000000"/>
              <w:bottom w:val="single" w:sz="4" w:space="0" w:color="000000"/>
              <w:right w:val="single" w:sz="4" w:space="0" w:color="auto"/>
            </w:tcBorders>
            <w:shd w:val="clear" w:color="auto" w:fill="FFFFFF"/>
            <w:tcMar>
              <w:top w:w="140" w:type="dxa"/>
              <w:left w:w="140" w:type="dxa"/>
              <w:bottom w:w="140" w:type="dxa"/>
              <w:right w:w="140" w:type="dxa"/>
            </w:tcMar>
            <w:vAlign w:val="center"/>
          </w:tcPr>
          <w:p w14:paraId="0B8F8BAA" w14:textId="77777777" w:rsidR="00E26CBD" w:rsidRPr="00FB6248" w:rsidRDefault="00E26CBD" w:rsidP="00573188">
            <w:pPr>
              <w:spacing w:after="0" w:line="240" w:lineRule="auto"/>
              <w:ind w:left="20" w:right="20"/>
              <w:rPr>
                <w:rFonts w:cstheme="minorHAnsi"/>
              </w:rPr>
            </w:pPr>
            <w:r w:rsidRPr="00FB6248">
              <w:rPr>
                <w:rFonts w:cstheme="minorHAnsi"/>
              </w:rPr>
              <w:t>Race</w:t>
            </w:r>
          </w:p>
        </w:tc>
        <w:tc>
          <w:tcPr>
            <w:tcW w:w="0" w:type="auto"/>
            <w:tcBorders>
              <w:top w:val="single" w:sz="4" w:space="0" w:color="000000"/>
              <w:left w:val="single" w:sz="4" w:space="0" w:color="auto"/>
              <w:bottom w:val="single" w:sz="4" w:space="0" w:color="000000"/>
            </w:tcBorders>
            <w:shd w:val="clear" w:color="auto" w:fill="FFFFFF"/>
            <w:tcMar>
              <w:top w:w="140" w:type="dxa"/>
              <w:left w:w="140" w:type="dxa"/>
              <w:bottom w:w="140" w:type="dxa"/>
              <w:right w:w="140" w:type="dxa"/>
            </w:tcMar>
            <w:vAlign w:val="center"/>
          </w:tcPr>
          <w:p w14:paraId="1CEDAD6F" w14:textId="77777777" w:rsidR="00E26CBD" w:rsidRPr="00FB6248" w:rsidRDefault="00E26CBD" w:rsidP="00573188">
            <w:pPr>
              <w:spacing w:after="0" w:line="240" w:lineRule="auto"/>
              <w:ind w:left="20" w:right="20"/>
              <w:jc w:val="center"/>
              <w:rPr>
                <w:rFonts w:cstheme="minorHAnsi"/>
              </w:rPr>
            </w:pPr>
            <w:r w:rsidRPr="00FB6248">
              <w:rPr>
                <w:rFonts w:cstheme="minorHAnsi"/>
              </w:rPr>
              <w:t>N</w:t>
            </w:r>
          </w:p>
        </w:tc>
        <w:tc>
          <w:tcPr>
            <w:tcW w:w="0" w:type="auto"/>
            <w:tcBorders>
              <w:top w:val="single" w:sz="4" w:space="0" w:color="000000"/>
              <w:bottom w:val="single" w:sz="4" w:space="0" w:color="000000"/>
            </w:tcBorders>
            <w:shd w:val="clear" w:color="auto" w:fill="FFFFFF"/>
            <w:tcMar>
              <w:top w:w="140" w:type="dxa"/>
              <w:left w:w="140" w:type="dxa"/>
              <w:bottom w:w="140" w:type="dxa"/>
              <w:right w:w="140" w:type="dxa"/>
            </w:tcMar>
            <w:vAlign w:val="center"/>
          </w:tcPr>
          <w:p w14:paraId="65234966" w14:textId="77777777" w:rsidR="00E26CBD" w:rsidRPr="00FB6248" w:rsidRDefault="00E26CBD" w:rsidP="00573188">
            <w:pPr>
              <w:spacing w:after="0" w:line="240" w:lineRule="auto"/>
              <w:ind w:left="20" w:right="20"/>
              <w:jc w:val="center"/>
              <w:rPr>
                <w:rFonts w:cstheme="minorHAnsi"/>
              </w:rPr>
            </w:pPr>
            <w:r w:rsidRPr="00FB6248">
              <w:rPr>
                <w:rFonts w:cstheme="minorHAnsi"/>
              </w:rPr>
              <w:t>%</w:t>
            </w:r>
          </w:p>
        </w:tc>
      </w:tr>
      <w:tr w:rsidR="00056D45" w:rsidRPr="00FB6248" w14:paraId="17719C94" w14:textId="77777777" w:rsidTr="00E26CBD">
        <w:tc>
          <w:tcPr>
            <w:tcW w:w="0" w:type="auto"/>
            <w:tcBorders>
              <w:right w:val="single" w:sz="4" w:space="0" w:color="auto"/>
            </w:tcBorders>
            <w:shd w:val="clear" w:color="auto" w:fill="FFFFFF"/>
            <w:tcMar>
              <w:top w:w="140" w:type="dxa"/>
              <w:left w:w="140" w:type="dxa"/>
              <w:bottom w:w="140" w:type="dxa"/>
              <w:right w:w="140" w:type="dxa"/>
            </w:tcMar>
            <w:vAlign w:val="center"/>
          </w:tcPr>
          <w:p w14:paraId="0F997C05" w14:textId="77777777" w:rsidR="00E26CBD" w:rsidRPr="00FB6248" w:rsidRDefault="00E26CBD" w:rsidP="00573188">
            <w:pPr>
              <w:spacing w:after="0" w:line="240" w:lineRule="auto"/>
              <w:jc w:val="center"/>
              <w:rPr>
                <w:rFonts w:cstheme="minorHAnsi"/>
              </w:rPr>
            </w:pPr>
            <w:r w:rsidRPr="00FB6248">
              <w:rPr>
                <w:rFonts w:cstheme="minorHAnsi"/>
              </w:rPr>
              <w:t>White</w:t>
            </w:r>
          </w:p>
        </w:tc>
        <w:tc>
          <w:tcPr>
            <w:tcW w:w="0" w:type="auto"/>
            <w:tcBorders>
              <w:left w:val="single" w:sz="4" w:space="0" w:color="auto"/>
            </w:tcBorders>
            <w:shd w:val="clear" w:color="auto" w:fill="FFFFFF"/>
            <w:tcMar>
              <w:top w:w="140" w:type="dxa"/>
              <w:left w:w="140" w:type="dxa"/>
              <w:bottom w:w="140" w:type="dxa"/>
              <w:right w:w="140" w:type="dxa"/>
            </w:tcMar>
            <w:vAlign w:val="center"/>
          </w:tcPr>
          <w:p w14:paraId="0E378597" w14:textId="77777777" w:rsidR="00E26CBD" w:rsidRPr="00FB6248" w:rsidRDefault="00E26CBD" w:rsidP="00573188">
            <w:pPr>
              <w:spacing w:after="0" w:line="240" w:lineRule="auto"/>
              <w:ind w:left="20" w:right="20"/>
              <w:jc w:val="center"/>
              <w:rPr>
                <w:rFonts w:cstheme="minorHAnsi"/>
              </w:rPr>
            </w:pPr>
            <w:r w:rsidRPr="00FB6248">
              <w:rPr>
                <w:rFonts w:cstheme="minorHAnsi"/>
              </w:rPr>
              <w:t>3425</w:t>
            </w:r>
          </w:p>
        </w:tc>
        <w:tc>
          <w:tcPr>
            <w:tcW w:w="0" w:type="auto"/>
            <w:shd w:val="clear" w:color="auto" w:fill="FFFFFF"/>
            <w:tcMar>
              <w:top w:w="140" w:type="dxa"/>
              <w:left w:w="140" w:type="dxa"/>
              <w:bottom w:w="140" w:type="dxa"/>
              <w:right w:w="140" w:type="dxa"/>
            </w:tcMar>
            <w:vAlign w:val="center"/>
          </w:tcPr>
          <w:p w14:paraId="030CA70F" w14:textId="77777777" w:rsidR="00E26CBD" w:rsidRPr="00FB6248" w:rsidRDefault="00E26CBD" w:rsidP="00573188">
            <w:pPr>
              <w:spacing w:after="0" w:line="240" w:lineRule="auto"/>
              <w:ind w:left="20" w:right="20"/>
              <w:jc w:val="center"/>
              <w:rPr>
                <w:rFonts w:cstheme="minorHAnsi"/>
              </w:rPr>
            </w:pPr>
            <w:r w:rsidRPr="00FB6248">
              <w:rPr>
                <w:rFonts w:cstheme="minorHAnsi"/>
              </w:rPr>
              <w:t>92.5</w:t>
            </w:r>
          </w:p>
        </w:tc>
      </w:tr>
      <w:tr w:rsidR="00056D45" w:rsidRPr="00FB6248" w14:paraId="2DE82FB8" w14:textId="77777777" w:rsidTr="00E26CBD">
        <w:tc>
          <w:tcPr>
            <w:tcW w:w="0" w:type="auto"/>
            <w:tcBorders>
              <w:bottom w:val="single" w:sz="4" w:space="0" w:color="auto"/>
              <w:right w:val="single" w:sz="4" w:space="0" w:color="auto"/>
            </w:tcBorders>
            <w:shd w:val="clear" w:color="auto" w:fill="FFFFFF"/>
            <w:tcMar>
              <w:top w:w="140" w:type="dxa"/>
              <w:left w:w="140" w:type="dxa"/>
              <w:bottom w:w="140" w:type="dxa"/>
              <w:right w:w="140" w:type="dxa"/>
            </w:tcMar>
            <w:vAlign w:val="center"/>
          </w:tcPr>
          <w:p w14:paraId="7C90A119" w14:textId="77777777" w:rsidR="00E26CBD" w:rsidRPr="00FB6248" w:rsidRDefault="00E26CBD" w:rsidP="00573188">
            <w:pPr>
              <w:spacing w:after="0" w:line="240" w:lineRule="auto"/>
              <w:jc w:val="center"/>
              <w:rPr>
                <w:rFonts w:cstheme="minorHAnsi"/>
              </w:rPr>
            </w:pPr>
            <w:r w:rsidRPr="00FB6248">
              <w:rPr>
                <w:rFonts w:cstheme="minorHAnsi"/>
              </w:rPr>
              <w:t>Non-White</w:t>
            </w:r>
          </w:p>
        </w:tc>
        <w:tc>
          <w:tcPr>
            <w:tcW w:w="0" w:type="auto"/>
            <w:tcBorders>
              <w:left w:val="single" w:sz="4" w:space="0" w:color="auto"/>
              <w:bottom w:val="single" w:sz="4" w:space="0" w:color="auto"/>
            </w:tcBorders>
            <w:shd w:val="clear" w:color="auto" w:fill="FFFFFF"/>
            <w:tcMar>
              <w:top w:w="140" w:type="dxa"/>
              <w:left w:w="140" w:type="dxa"/>
              <w:bottom w:w="140" w:type="dxa"/>
              <w:right w:w="140" w:type="dxa"/>
            </w:tcMar>
            <w:vAlign w:val="center"/>
          </w:tcPr>
          <w:p w14:paraId="538129ED" w14:textId="77777777" w:rsidR="00E26CBD" w:rsidRPr="00FB6248" w:rsidRDefault="00E26CBD" w:rsidP="00573188">
            <w:pPr>
              <w:spacing w:after="0" w:line="240" w:lineRule="auto"/>
              <w:ind w:left="20" w:right="20"/>
              <w:jc w:val="center"/>
              <w:rPr>
                <w:rFonts w:cstheme="minorHAnsi"/>
              </w:rPr>
            </w:pPr>
            <w:r w:rsidRPr="00FB6248">
              <w:rPr>
                <w:rFonts w:cstheme="minorHAnsi"/>
              </w:rPr>
              <w:t>276</w:t>
            </w:r>
          </w:p>
        </w:tc>
        <w:tc>
          <w:tcPr>
            <w:tcW w:w="0" w:type="auto"/>
            <w:tcBorders>
              <w:bottom w:val="single" w:sz="4" w:space="0" w:color="auto"/>
            </w:tcBorders>
            <w:shd w:val="clear" w:color="auto" w:fill="FFFFFF"/>
            <w:tcMar>
              <w:top w:w="140" w:type="dxa"/>
              <w:left w:w="140" w:type="dxa"/>
              <w:bottom w:w="140" w:type="dxa"/>
              <w:right w:w="140" w:type="dxa"/>
            </w:tcMar>
            <w:vAlign w:val="center"/>
          </w:tcPr>
          <w:p w14:paraId="1D324E07" w14:textId="77777777" w:rsidR="00E26CBD" w:rsidRPr="00FB6248" w:rsidRDefault="00E26CBD" w:rsidP="00573188">
            <w:pPr>
              <w:spacing w:after="0" w:line="240" w:lineRule="auto"/>
              <w:ind w:left="20" w:right="20"/>
              <w:jc w:val="center"/>
              <w:rPr>
                <w:rFonts w:cstheme="minorHAnsi"/>
              </w:rPr>
            </w:pPr>
            <w:r w:rsidRPr="00FB6248">
              <w:rPr>
                <w:rFonts w:cstheme="minorHAnsi"/>
              </w:rPr>
              <w:t>7.5</w:t>
            </w:r>
          </w:p>
        </w:tc>
      </w:tr>
      <w:tr w:rsidR="00056D45" w:rsidRPr="00FB6248" w14:paraId="184ADB59" w14:textId="77777777" w:rsidTr="00E26CBD">
        <w:tc>
          <w:tcPr>
            <w:tcW w:w="0" w:type="auto"/>
            <w:tcBorders>
              <w:top w:val="single" w:sz="4" w:space="0" w:color="auto"/>
              <w:bottom w:val="single" w:sz="4" w:space="0" w:color="auto"/>
              <w:right w:val="single" w:sz="4" w:space="0" w:color="auto"/>
            </w:tcBorders>
            <w:shd w:val="clear" w:color="auto" w:fill="FFFFFF"/>
            <w:tcMar>
              <w:top w:w="140" w:type="dxa"/>
              <w:left w:w="140" w:type="dxa"/>
              <w:bottom w:w="140" w:type="dxa"/>
              <w:right w:w="140" w:type="dxa"/>
            </w:tcMar>
            <w:vAlign w:val="center"/>
          </w:tcPr>
          <w:p w14:paraId="3F7B8321" w14:textId="2AA950D3" w:rsidR="00E26CBD" w:rsidRPr="00FB6248" w:rsidRDefault="00743354" w:rsidP="00573188">
            <w:pPr>
              <w:spacing w:after="0" w:line="240" w:lineRule="auto"/>
              <w:rPr>
                <w:rFonts w:cstheme="minorHAnsi"/>
              </w:rPr>
            </w:pPr>
            <w:r w:rsidRPr="00FB6248">
              <w:rPr>
                <w:rFonts w:cstheme="minorHAnsi"/>
              </w:rPr>
              <w:t>Sex</w:t>
            </w:r>
          </w:p>
        </w:tc>
        <w:tc>
          <w:tcPr>
            <w:tcW w:w="0" w:type="auto"/>
            <w:tcBorders>
              <w:top w:val="single" w:sz="4" w:space="0" w:color="auto"/>
              <w:left w:val="single" w:sz="4" w:space="0" w:color="auto"/>
              <w:bottom w:val="single" w:sz="4" w:space="0" w:color="auto"/>
            </w:tcBorders>
            <w:shd w:val="clear" w:color="auto" w:fill="FFFFFF"/>
            <w:tcMar>
              <w:top w:w="140" w:type="dxa"/>
              <w:left w:w="140" w:type="dxa"/>
              <w:bottom w:w="140" w:type="dxa"/>
              <w:right w:w="140" w:type="dxa"/>
            </w:tcMar>
            <w:vAlign w:val="center"/>
          </w:tcPr>
          <w:p w14:paraId="0062684D" w14:textId="77777777" w:rsidR="00E26CBD" w:rsidRPr="00FB6248" w:rsidRDefault="00E26CBD" w:rsidP="00573188">
            <w:pPr>
              <w:spacing w:after="0" w:line="240" w:lineRule="auto"/>
              <w:ind w:left="20" w:right="20"/>
              <w:jc w:val="center"/>
              <w:rPr>
                <w:rFonts w:cstheme="minorHAnsi"/>
              </w:rPr>
            </w:pPr>
            <w:r w:rsidRPr="00FB6248">
              <w:rPr>
                <w:rFonts w:cstheme="minorHAnsi"/>
              </w:rPr>
              <w:t>N</w:t>
            </w:r>
          </w:p>
        </w:tc>
        <w:tc>
          <w:tcPr>
            <w:tcW w:w="0" w:type="auto"/>
            <w:tcBorders>
              <w:top w:val="single" w:sz="4" w:space="0" w:color="auto"/>
              <w:bottom w:val="single" w:sz="4" w:space="0" w:color="auto"/>
            </w:tcBorders>
            <w:shd w:val="clear" w:color="auto" w:fill="FFFFFF"/>
            <w:tcMar>
              <w:top w:w="140" w:type="dxa"/>
              <w:left w:w="140" w:type="dxa"/>
              <w:bottom w:w="140" w:type="dxa"/>
              <w:right w:w="140" w:type="dxa"/>
            </w:tcMar>
            <w:vAlign w:val="center"/>
          </w:tcPr>
          <w:p w14:paraId="5A48073F" w14:textId="77777777" w:rsidR="00E26CBD" w:rsidRPr="00FB6248" w:rsidRDefault="00E26CBD" w:rsidP="00573188">
            <w:pPr>
              <w:spacing w:after="0" w:line="240" w:lineRule="auto"/>
              <w:ind w:left="20" w:right="20"/>
              <w:jc w:val="center"/>
              <w:rPr>
                <w:rFonts w:cstheme="minorHAnsi"/>
              </w:rPr>
            </w:pPr>
            <w:r w:rsidRPr="00FB6248">
              <w:rPr>
                <w:rFonts w:cstheme="minorHAnsi"/>
              </w:rPr>
              <w:t>%</w:t>
            </w:r>
          </w:p>
        </w:tc>
      </w:tr>
      <w:tr w:rsidR="00056D45" w:rsidRPr="00FB6248" w14:paraId="0005E129" w14:textId="77777777" w:rsidTr="00E26CBD">
        <w:tc>
          <w:tcPr>
            <w:tcW w:w="0" w:type="auto"/>
            <w:tcBorders>
              <w:top w:val="single" w:sz="4" w:space="0" w:color="auto"/>
              <w:right w:val="single" w:sz="4" w:space="0" w:color="auto"/>
            </w:tcBorders>
            <w:shd w:val="clear" w:color="auto" w:fill="FFFFFF"/>
            <w:tcMar>
              <w:top w:w="140" w:type="dxa"/>
              <w:left w:w="140" w:type="dxa"/>
              <w:bottom w:w="140" w:type="dxa"/>
              <w:right w:w="140" w:type="dxa"/>
            </w:tcMar>
            <w:vAlign w:val="center"/>
          </w:tcPr>
          <w:p w14:paraId="0ACDB6EF" w14:textId="77777777" w:rsidR="00E26CBD" w:rsidRPr="00FB6248" w:rsidRDefault="00E26CBD" w:rsidP="00573188">
            <w:pPr>
              <w:spacing w:after="0" w:line="240" w:lineRule="auto"/>
              <w:jc w:val="center"/>
              <w:rPr>
                <w:rFonts w:cstheme="minorHAnsi"/>
              </w:rPr>
            </w:pPr>
            <w:r w:rsidRPr="00FB6248">
              <w:rPr>
                <w:rFonts w:cstheme="minorHAnsi"/>
              </w:rPr>
              <w:t>Female</w:t>
            </w:r>
          </w:p>
        </w:tc>
        <w:tc>
          <w:tcPr>
            <w:tcW w:w="0" w:type="auto"/>
            <w:tcBorders>
              <w:top w:val="single" w:sz="4" w:space="0" w:color="auto"/>
              <w:left w:val="single" w:sz="4" w:space="0" w:color="auto"/>
            </w:tcBorders>
            <w:shd w:val="clear" w:color="auto" w:fill="FFFFFF"/>
            <w:tcMar>
              <w:top w:w="140" w:type="dxa"/>
              <w:left w:w="140" w:type="dxa"/>
              <w:bottom w:w="140" w:type="dxa"/>
              <w:right w:w="140" w:type="dxa"/>
            </w:tcMar>
            <w:vAlign w:val="center"/>
          </w:tcPr>
          <w:p w14:paraId="10EF9AE3" w14:textId="77777777" w:rsidR="00E26CBD" w:rsidRPr="00FB6248" w:rsidRDefault="00E26CBD" w:rsidP="00573188">
            <w:pPr>
              <w:spacing w:after="0" w:line="240" w:lineRule="auto"/>
              <w:ind w:left="20" w:right="20"/>
              <w:jc w:val="center"/>
              <w:rPr>
                <w:rFonts w:cstheme="minorHAnsi"/>
              </w:rPr>
            </w:pPr>
            <w:r w:rsidRPr="00FB6248">
              <w:rPr>
                <w:rFonts w:cstheme="minorHAnsi"/>
              </w:rPr>
              <w:t>2015</w:t>
            </w:r>
          </w:p>
        </w:tc>
        <w:tc>
          <w:tcPr>
            <w:tcW w:w="0" w:type="auto"/>
            <w:tcBorders>
              <w:top w:val="single" w:sz="4" w:space="0" w:color="auto"/>
            </w:tcBorders>
            <w:shd w:val="clear" w:color="auto" w:fill="FFFFFF"/>
            <w:tcMar>
              <w:top w:w="140" w:type="dxa"/>
              <w:left w:w="140" w:type="dxa"/>
              <w:bottom w:w="140" w:type="dxa"/>
              <w:right w:w="140" w:type="dxa"/>
            </w:tcMar>
            <w:vAlign w:val="center"/>
          </w:tcPr>
          <w:p w14:paraId="5315A272" w14:textId="77777777" w:rsidR="00E26CBD" w:rsidRPr="00FB6248" w:rsidRDefault="00E26CBD" w:rsidP="00573188">
            <w:pPr>
              <w:spacing w:after="0" w:line="240" w:lineRule="auto"/>
              <w:ind w:left="20" w:right="20"/>
              <w:jc w:val="center"/>
              <w:rPr>
                <w:rFonts w:cstheme="minorHAnsi"/>
              </w:rPr>
            </w:pPr>
            <w:r w:rsidRPr="00FB6248">
              <w:rPr>
                <w:rFonts w:cstheme="minorHAnsi"/>
              </w:rPr>
              <w:t>54.4</w:t>
            </w:r>
          </w:p>
        </w:tc>
      </w:tr>
      <w:tr w:rsidR="00056D45" w:rsidRPr="00FB6248" w14:paraId="1E29CA7F" w14:textId="77777777" w:rsidTr="00E26CBD">
        <w:tc>
          <w:tcPr>
            <w:tcW w:w="0" w:type="auto"/>
            <w:tcBorders>
              <w:bottom w:val="single" w:sz="4" w:space="0" w:color="auto"/>
              <w:right w:val="single" w:sz="4" w:space="0" w:color="auto"/>
            </w:tcBorders>
            <w:shd w:val="clear" w:color="auto" w:fill="FFFFFF"/>
            <w:tcMar>
              <w:top w:w="140" w:type="dxa"/>
              <w:left w:w="140" w:type="dxa"/>
              <w:bottom w:w="140" w:type="dxa"/>
              <w:right w:w="140" w:type="dxa"/>
            </w:tcMar>
            <w:vAlign w:val="center"/>
          </w:tcPr>
          <w:p w14:paraId="7C9B8B07" w14:textId="77777777" w:rsidR="00E26CBD" w:rsidRPr="00FB6248" w:rsidRDefault="00E26CBD" w:rsidP="00573188">
            <w:pPr>
              <w:spacing w:after="0" w:line="240" w:lineRule="auto"/>
              <w:jc w:val="center"/>
              <w:rPr>
                <w:rFonts w:cstheme="minorHAnsi"/>
              </w:rPr>
            </w:pPr>
            <w:r w:rsidRPr="00FB6248">
              <w:rPr>
                <w:rFonts w:cstheme="minorHAnsi"/>
              </w:rPr>
              <w:t>Male</w:t>
            </w:r>
          </w:p>
        </w:tc>
        <w:tc>
          <w:tcPr>
            <w:tcW w:w="0" w:type="auto"/>
            <w:tcBorders>
              <w:left w:val="single" w:sz="4" w:space="0" w:color="auto"/>
              <w:bottom w:val="single" w:sz="4" w:space="0" w:color="auto"/>
            </w:tcBorders>
            <w:shd w:val="clear" w:color="auto" w:fill="FFFFFF"/>
            <w:tcMar>
              <w:top w:w="140" w:type="dxa"/>
              <w:left w:w="140" w:type="dxa"/>
              <w:bottom w:w="140" w:type="dxa"/>
              <w:right w:w="140" w:type="dxa"/>
            </w:tcMar>
            <w:vAlign w:val="center"/>
          </w:tcPr>
          <w:p w14:paraId="76318107" w14:textId="77777777" w:rsidR="00E26CBD" w:rsidRPr="00FB6248" w:rsidRDefault="00E26CBD" w:rsidP="00573188">
            <w:pPr>
              <w:spacing w:after="0" w:line="240" w:lineRule="auto"/>
              <w:ind w:left="20" w:right="20"/>
              <w:jc w:val="center"/>
              <w:rPr>
                <w:rFonts w:cstheme="minorHAnsi"/>
              </w:rPr>
            </w:pPr>
            <w:r w:rsidRPr="00FB6248">
              <w:rPr>
                <w:rFonts w:cstheme="minorHAnsi"/>
              </w:rPr>
              <w:t>1686</w:t>
            </w:r>
          </w:p>
        </w:tc>
        <w:tc>
          <w:tcPr>
            <w:tcW w:w="0" w:type="auto"/>
            <w:tcBorders>
              <w:bottom w:val="single" w:sz="4" w:space="0" w:color="auto"/>
            </w:tcBorders>
            <w:shd w:val="clear" w:color="auto" w:fill="FFFFFF"/>
            <w:tcMar>
              <w:top w:w="140" w:type="dxa"/>
              <w:left w:w="140" w:type="dxa"/>
              <w:bottom w:w="140" w:type="dxa"/>
              <w:right w:w="140" w:type="dxa"/>
            </w:tcMar>
            <w:vAlign w:val="center"/>
          </w:tcPr>
          <w:p w14:paraId="642FF07D" w14:textId="77777777" w:rsidR="00E26CBD" w:rsidRPr="00FB6248" w:rsidRDefault="00E26CBD" w:rsidP="00573188">
            <w:pPr>
              <w:spacing w:after="0" w:line="240" w:lineRule="auto"/>
              <w:ind w:left="20" w:right="20"/>
              <w:jc w:val="center"/>
              <w:rPr>
                <w:rFonts w:cstheme="minorHAnsi"/>
              </w:rPr>
            </w:pPr>
            <w:r w:rsidRPr="00FB6248">
              <w:rPr>
                <w:rFonts w:cstheme="minorHAnsi"/>
              </w:rPr>
              <w:t>45.6</w:t>
            </w:r>
          </w:p>
        </w:tc>
      </w:tr>
      <w:tr w:rsidR="00056D45" w:rsidRPr="00FB6248" w14:paraId="26C5FBEE" w14:textId="77777777" w:rsidTr="00E26CBD">
        <w:tc>
          <w:tcPr>
            <w:tcW w:w="0" w:type="auto"/>
            <w:tcBorders>
              <w:top w:val="single" w:sz="4" w:space="0" w:color="auto"/>
              <w:bottom w:val="single" w:sz="4" w:space="0" w:color="auto"/>
              <w:right w:val="single" w:sz="4" w:space="0" w:color="auto"/>
            </w:tcBorders>
            <w:shd w:val="clear" w:color="auto" w:fill="FFFFFF"/>
            <w:tcMar>
              <w:top w:w="140" w:type="dxa"/>
              <w:left w:w="140" w:type="dxa"/>
              <w:bottom w:w="140" w:type="dxa"/>
              <w:right w:w="140" w:type="dxa"/>
            </w:tcMar>
            <w:vAlign w:val="center"/>
          </w:tcPr>
          <w:p w14:paraId="444A30DE" w14:textId="77777777" w:rsidR="00E26CBD" w:rsidRPr="00FB6248" w:rsidRDefault="00E26CBD" w:rsidP="00573188">
            <w:pPr>
              <w:spacing w:after="0" w:line="240" w:lineRule="auto"/>
              <w:rPr>
                <w:rFonts w:cstheme="minorHAnsi"/>
              </w:rPr>
            </w:pPr>
            <w:r w:rsidRPr="00FB6248">
              <w:rPr>
                <w:rFonts w:cstheme="minorHAnsi"/>
              </w:rPr>
              <w:lastRenderedPageBreak/>
              <w:t>Sexual Orientation</w:t>
            </w:r>
          </w:p>
        </w:tc>
        <w:tc>
          <w:tcPr>
            <w:tcW w:w="0" w:type="auto"/>
            <w:tcBorders>
              <w:top w:val="single" w:sz="4" w:space="0" w:color="auto"/>
              <w:left w:val="single" w:sz="4" w:space="0" w:color="auto"/>
              <w:bottom w:val="single" w:sz="4" w:space="0" w:color="auto"/>
            </w:tcBorders>
            <w:shd w:val="clear" w:color="auto" w:fill="FFFFFF"/>
            <w:tcMar>
              <w:top w:w="140" w:type="dxa"/>
              <w:left w:w="140" w:type="dxa"/>
              <w:bottom w:w="140" w:type="dxa"/>
              <w:right w:w="140" w:type="dxa"/>
            </w:tcMar>
            <w:vAlign w:val="center"/>
          </w:tcPr>
          <w:p w14:paraId="6D41A078" w14:textId="77777777" w:rsidR="00E26CBD" w:rsidRPr="00FB6248" w:rsidRDefault="00E26CBD" w:rsidP="00573188">
            <w:pPr>
              <w:spacing w:after="0" w:line="240" w:lineRule="auto"/>
              <w:ind w:left="20" w:right="20"/>
              <w:jc w:val="center"/>
              <w:rPr>
                <w:rFonts w:cstheme="minorHAnsi"/>
              </w:rPr>
            </w:pPr>
            <w:r w:rsidRPr="00FB6248">
              <w:rPr>
                <w:rFonts w:cstheme="minorHAnsi"/>
              </w:rPr>
              <w:t>N</w:t>
            </w:r>
          </w:p>
        </w:tc>
        <w:tc>
          <w:tcPr>
            <w:tcW w:w="0" w:type="auto"/>
            <w:tcBorders>
              <w:top w:val="single" w:sz="4" w:space="0" w:color="auto"/>
              <w:bottom w:val="single" w:sz="4" w:space="0" w:color="auto"/>
            </w:tcBorders>
            <w:shd w:val="clear" w:color="auto" w:fill="FFFFFF"/>
            <w:tcMar>
              <w:top w:w="140" w:type="dxa"/>
              <w:left w:w="140" w:type="dxa"/>
              <w:bottom w:w="140" w:type="dxa"/>
              <w:right w:w="140" w:type="dxa"/>
            </w:tcMar>
            <w:vAlign w:val="center"/>
          </w:tcPr>
          <w:p w14:paraId="09B6040C" w14:textId="77777777" w:rsidR="00E26CBD" w:rsidRPr="00FB6248" w:rsidRDefault="00E26CBD" w:rsidP="00573188">
            <w:pPr>
              <w:spacing w:after="0" w:line="240" w:lineRule="auto"/>
              <w:ind w:left="20" w:right="20"/>
              <w:jc w:val="center"/>
              <w:rPr>
                <w:rFonts w:cstheme="minorHAnsi"/>
              </w:rPr>
            </w:pPr>
            <w:r w:rsidRPr="00FB6248">
              <w:rPr>
                <w:rFonts w:cstheme="minorHAnsi"/>
              </w:rPr>
              <w:t>%</w:t>
            </w:r>
          </w:p>
        </w:tc>
      </w:tr>
      <w:tr w:rsidR="00056D45" w:rsidRPr="00FB6248" w14:paraId="2EA65643" w14:textId="77777777" w:rsidTr="00E26CBD">
        <w:tc>
          <w:tcPr>
            <w:tcW w:w="0" w:type="auto"/>
            <w:tcBorders>
              <w:top w:val="single" w:sz="4" w:space="0" w:color="auto"/>
              <w:right w:val="single" w:sz="4" w:space="0" w:color="auto"/>
            </w:tcBorders>
            <w:shd w:val="clear" w:color="auto" w:fill="FFFFFF"/>
            <w:tcMar>
              <w:top w:w="140" w:type="dxa"/>
              <w:left w:w="140" w:type="dxa"/>
              <w:bottom w:w="140" w:type="dxa"/>
              <w:right w:w="140" w:type="dxa"/>
            </w:tcMar>
            <w:vAlign w:val="center"/>
          </w:tcPr>
          <w:p w14:paraId="145E9C73" w14:textId="77777777" w:rsidR="00E26CBD" w:rsidRPr="00FB6248" w:rsidRDefault="00E26CBD" w:rsidP="00573188">
            <w:pPr>
              <w:spacing w:after="0" w:line="240" w:lineRule="auto"/>
              <w:jc w:val="center"/>
              <w:rPr>
                <w:rFonts w:cstheme="minorHAnsi"/>
              </w:rPr>
            </w:pPr>
            <w:r w:rsidRPr="00FB6248">
              <w:rPr>
                <w:rFonts w:cstheme="minorHAnsi"/>
              </w:rPr>
              <w:t>Heterosexual</w:t>
            </w:r>
          </w:p>
        </w:tc>
        <w:tc>
          <w:tcPr>
            <w:tcW w:w="0" w:type="auto"/>
            <w:tcBorders>
              <w:top w:val="single" w:sz="4" w:space="0" w:color="auto"/>
              <w:left w:val="single" w:sz="4" w:space="0" w:color="auto"/>
            </w:tcBorders>
            <w:shd w:val="clear" w:color="auto" w:fill="FFFFFF"/>
            <w:tcMar>
              <w:top w:w="140" w:type="dxa"/>
              <w:left w:w="140" w:type="dxa"/>
              <w:bottom w:w="140" w:type="dxa"/>
              <w:right w:w="140" w:type="dxa"/>
            </w:tcMar>
            <w:vAlign w:val="center"/>
          </w:tcPr>
          <w:p w14:paraId="0CA4AA18" w14:textId="77777777" w:rsidR="00E26CBD" w:rsidRPr="00FB6248" w:rsidRDefault="00E26CBD" w:rsidP="00573188">
            <w:pPr>
              <w:spacing w:after="0" w:line="240" w:lineRule="auto"/>
              <w:ind w:left="20" w:right="20"/>
              <w:jc w:val="center"/>
              <w:rPr>
                <w:rFonts w:cstheme="minorHAnsi"/>
              </w:rPr>
            </w:pPr>
            <w:r w:rsidRPr="00FB6248">
              <w:rPr>
                <w:rFonts w:cstheme="minorHAnsi"/>
              </w:rPr>
              <w:t>3597</w:t>
            </w:r>
          </w:p>
        </w:tc>
        <w:tc>
          <w:tcPr>
            <w:tcW w:w="0" w:type="auto"/>
            <w:tcBorders>
              <w:top w:val="single" w:sz="4" w:space="0" w:color="auto"/>
            </w:tcBorders>
            <w:shd w:val="clear" w:color="auto" w:fill="FFFFFF"/>
            <w:tcMar>
              <w:top w:w="140" w:type="dxa"/>
              <w:left w:w="140" w:type="dxa"/>
              <w:bottom w:w="140" w:type="dxa"/>
              <w:right w:w="140" w:type="dxa"/>
            </w:tcMar>
            <w:vAlign w:val="center"/>
          </w:tcPr>
          <w:p w14:paraId="241E04AE" w14:textId="77777777" w:rsidR="00E26CBD" w:rsidRPr="00FB6248" w:rsidRDefault="00E26CBD" w:rsidP="00573188">
            <w:pPr>
              <w:spacing w:after="0" w:line="240" w:lineRule="auto"/>
              <w:ind w:left="20" w:right="20"/>
              <w:jc w:val="center"/>
              <w:rPr>
                <w:rFonts w:cstheme="minorHAnsi"/>
              </w:rPr>
            </w:pPr>
            <w:r w:rsidRPr="00FB6248">
              <w:rPr>
                <w:rFonts w:cstheme="minorHAnsi"/>
              </w:rPr>
              <w:t>97.2</w:t>
            </w:r>
          </w:p>
        </w:tc>
      </w:tr>
      <w:tr w:rsidR="00056D45" w:rsidRPr="00FB6248" w14:paraId="46F9B796" w14:textId="77777777" w:rsidTr="00E26CBD">
        <w:tc>
          <w:tcPr>
            <w:tcW w:w="0" w:type="auto"/>
            <w:tcBorders>
              <w:bottom w:val="single" w:sz="4" w:space="0" w:color="000000"/>
              <w:right w:val="single" w:sz="4" w:space="0" w:color="auto"/>
            </w:tcBorders>
            <w:shd w:val="clear" w:color="auto" w:fill="FFFFFF"/>
            <w:tcMar>
              <w:top w:w="140" w:type="dxa"/>
              <w:left w:w="140" w:type="dxa"/>
              <w:bottom w:w="140" w:type="dxa"/>
              <w:right w:w="140" w:type="dxa"/>
            </w:tcMar>
            <w:vAlign w:val="center"/>
          </w:tcPr>
          <w:p w14:paraId="3E481405" w14:textId="77777777" w:rsidR="00E26CBD" w:rsidRPr="00FB6248" w:rsidRDefault="00E26CBD" w:rsidP="00573188">
            <w:pPr>
              <w:spacing w:after="0" w:line="240" w:lineRule="auto"/>
              <w:jc w:val="center"/>
              <w:rPr>
                <w:rFonts w:cstheme="minorHAnsi"/>
              </w:rPr>
            </w:pPr>
            <w:r w:rsidRPr="00FB6248">
              <w:rPr>
                <w:rFonts w:cstheme="minorHAnsi"/>
              </w:rPr>
              <w:t>Homosexual/</w:t>
            </w:r>
          </w:p>
          <w:p w14:paraId="6E34C8D3" w14:textId="77777777" w:rsidR="00E26CBD" w:rsidRPr="00FB6248" w:rsidRDefault="00E26CBD" w:rsidP="00573188">
            <w:pPr>
              <w:spacing w:after="0" w:line="240" w:lineRule="auto"/>
              <w:jc w:val="center"/>
              <w:rPr>
                <w:rFonts w:cstheme="minorHAnsi"/>
              </w:rPr>
            </w:pPr>
            <w:r w:rsidRPr="00FB6248">
              <w:rPr>
                <w:rFonts w:cstheme="minorHAnsi"/>
              </w:rPr>
              <w:t>Bisexual</w:t>
            </w:r>
          </w:p>
        </w:tc>
        <w:tc>
          <w:tcPr>
            <w:tcW w:w="0" w:type="auto"/>
            <w:tcBorders>
              <w:left w:val="single" w:sz="4" w:space="0" w:color="auto"/>
              <w:bottom w:val="single" w:sz="4" w:space="0" w:color="000000"/>
            </w:tcBorders>
            <w:shd w:val="clear" w:color="auto" w:fill="FFFFFF"/>
            <w:tcMar>
              <w:top w:w="140" w:type="dxa"/>
              <w:left w:w="140" w:type="dxa"/>
              <w:bottom w:w="140" w:type="dxa"/>
              <w:right w:w="140" w:type="dxa"/>
            </w:tcMar>
            <w:vAlign w:val="center"/>
          </w:tcPr>
          <w:p w14:paraId="7A092BA7" w14:textId="77777777" w:rsidR="00E26CBD" w:rsidRPr="00FB6248" w:rsidRDefault="00E26CBD" w:rsidP="00573188">
            <w:pPr>
              <w:spacing w:after="0" w:line="240" w:lineRule="auto"/>
              <w:ind w:left="20" w:right="20"/>
              <w:jc w:val="center"/>
              <w:rPr>
                <w:rFonts w:cstheme="minorHAnsi"/>
              </w:rPr>
            </w:pPr>
            <w:r w:rsidRPr="00FB6248">
              <w:rPr>
                <w:rFonts w:cstheme="minorHAnsi"/>
              </w:rPr>
              <w:t>104</w:t>
            </w:r>
          </w:p>
        </w:tc>
        <w:tc>
          <w:tcPr>
            <w:tcW w:w="0" w:type="auto"/>
            <w:tcBorders>
              <w:bottom w:val="single" w:sz="4" w:space="0" w:color="000000"/>
            </w:tcBorders>
            <w:shd w:val="clear" w:color="auto" w:fill="FFFFFF"/>
            <w:tcMar>
              <w:top w:w="140" w:type="dxa"/>
              <w:left w:w="140" w:type="dxa"/>
              <w:bottom w:w="140" w:type="dxa"/>
              <w:right w:w="140" w:type="dxa"/>
            </w:tcMar>
            <w:vAlign w:val="center"/>
          </w:tcPr>
          <w:p w14:paraId="4CDCA02D" w14:textId="77777777" w:rsidR="00E26CBD" w:rsidRPr="00FB6248" w:rsidRDefault="00E26CBD" w:rsidP="00573188">
            <w:pPr>
              <w:spacing w:after="0" w:line="240" w:lineRule="auto"/>
              <w:ind w:left="20" w:right="20"/>
              <w:jc w:val="center"/>
              <w:rPr>
                <w:rFonts w:cstheme="minorHAnsi"/>
              </w:rPr>
            </w:pPr>
            <w:r w:rsidRPr="00FB6248">
              <w:rPr>
                <w:rFonts w:cstheme="minorHAnsi"/>
              </w:rPr>
              <w:t>2.8</w:t>
            </w:r>
          </w:p>
        </w:tc>
      </w:tr>
    </w:tbl>
    <w:p w14:paraId="7504DC24" w14:textId="77777777" w:rsidR="00E26CBD" w:rsidRPr="00FB6248" w:rsidRDefault="00E26CBD" w:rsidP="00800DEC">
      <w:pPr>
        <w:spacing w:before="20" w:after="20" w:line="480" w:lineRule="auto"/>
        <w:ind w:left="20" w:right="20"/>
        <w:rPr>
          <w:rFonts w:cstheme="minorHAnsi"/>
          <w:i/>
        </w:rPr>
      </w:pPr>
      <w:r w:rsidRPr="00FB6248">
        <w:rPr>
          <w:rFonts w:cstheme="minorHAnsi"/>
          <w:i/>
        </w:rPr>
        <w:br w:type="textWrapping" w:clear="all"/>
      </w:r>
    </w:p>
    <w:p w14:paraId="06A85E51" w14:textId="77777777" w:rsidR="00296EEA" w:rsidRPr="00FB6248" w:rsidRDefault="00296EEA" w:rsidP="00800DEC">
      <w:pPr>
        <w:spacing w:after="0" w:line="480" w:lineRule="auto"/>
        <w:rPr>
          <w:rFonts w:eastAsia="Times New Roman" w:cstheme="minorHAnsi"/>
          <w:b/>
        </w:rPr>
      </w:pPr>
      <w:r w:rsidRPr="00FB6248">
        <w:rPr>
          <w:rFonts w:eastAsia="Times New Roman" w:cstheme="minorHAnsi"/>
          <w:b/>
          <w:iCs/>
        </w:rPr>
        <w:t>Well-being Outcome Measures</w:t>
      </w:r>
    </w:p>
    <w:p w14:paraId="3037A551" w14:textId="485688A2" w:rsidR="00F63D14" w:rsidRPr="00FB6248" w:rsidRDefault="00296EEA" w:rsidP="00800DEC">
      <w:pPr>
        <w:spacing w:line="480" w:lineRule="auto"/>
        <w:rPr>
          <w:rFonts w:eastAsia="Times New Roman" w:cstheme="minorHAnsi"/>
        </w:rPr>
      </w:pPr>
      <w:r w:rsidRPr="00FB6248">
        <w:rPr>
          <w:rFonts w:eastAsia="Times New Roman" w:cstheme="minorHAnsi"/>
        </w:rPr>
        <w:t xml:space="preserve">            </w:t>
      </w:r>
      <w:r w:rsidRPr="00FB6248">
        <w:rPr>
          <w:rFonts w:eastAsia="Times New Roman" w:cstheme="minorHAnsi"/>
        </w:rPr>
        <w:tab/>
        <w:t>To understand the outcomes of psychological and social well-being, two measures were incorporated into this study. The MIDUS 1 version of the psychological well-being was used for purposes of this study and consists of six subscales (</w:t>
      </w:r>
      <w:proofErr w:type="spellStart"/>
      <w:r w:rsidR="00D53C0C" w:rsidRPr="00FB6248">
        <w:rPr>
          <w:rFonts w:eastAsia="Times New Roman" w:cstheme="minorHAnsi"/>
        </w:rPr>
        <w:t>Ryff</w:t>
      </w:r>
      <w:proofErr w:type="spellEnd"/>
      <w:r w:rsidR="00D53C0C" w:rsidRPr="00FB6248">
        <w:rPr>
          <w:rFonts w:eastAsia="Times New Roman" w:cstheme="minorHAnsi"/>
        </w:rPr>
        <w:t>, 1989</w:t>
      </w:r>
      <w:r w:rsidRPr="00FB6248">
        <w:rPr>
          <w:rFonts w:eastAsia="Times New Roman" w:cstheme="minorHAnsi"/>
        </w:rPr>
        <w:t xml:space="preserve">). Each subscale is described in </w:t>
      </w:r>
      <w:r w:rsidRPr="00FB6248">
        <w:rPr>
          <w:rFonts w:eastAsia="Times New Roman" w:cstheme="minorHAnsi"/>
          <w:i/>
          <w:iCs/>
        </w:rPr>
        <w:t>Table 2</w:t>
      </w:r>
      <w:r w:rsidRPr="00FB6248">
        <w:rPr>
          <w:rFonts w:eastAsia="Times New Roman" w:cstheme="minorHAnsi"/>
        </w:rPr>
        <w:t>.</w:t>
      </w:r>
    </w:p>
    <w:p w14:paraId="34DB5BFC" w14:textId="5BD93508" w:rsidR="001960B5" w:rsidRPr="00FB6248" w:rsidRDefault="001960B5" w:rsidP="00851948">
      <w:pPr>
        <w:spacing w:line="240" w:lineRule="auto"/>
        <w:rPr>
          <w:rFonts w:eastAsia="Times New Roman" w:cstheme="minorHAnsi"/>
        </w:rPr>
      </w:pPr>
      <w:r w:rsidRPr="00FB6248">
        <w:rPr>
          <w:rFonts w:cstheme="minorHAnsi"/>
          <w:i/>
          <w:iCs/>
        </w:rPr>
        <w:t>Table 2: Psychological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2880"/>
        <w:gridCol w:w="5712"/>
      </w:tblGrid>
      <w:tr w:rsidR="00056D45" w:rsidRPr="00FB6248" w14:paraId="76027B97" w14:textId="77777777" w:rsidTr="00383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3D2FA" w14:textId="77777777" w:rsidR="0066280E" w:rsidRPr="00FB6248" w:rsidRDefault="0066280E" w:rsidP="00851948">
            <w:pPr>
              <w:spacing w:after="0" w:line="240" w:lineRule="auto"/>
              <w:rPr>
                <w:rFonts w:eastAsia="Times New Roman" w:cstheme="minorHAnsi"/>
              </w:rPr>
            </w:pPr>
            <w:r w:rsidRPr="00FB6248">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1980A" w14:textId="77777777" w:rsidR="0066280E" w:rsidRPr="00FB6248" w:rsidRDefault="0066280E" w:rsidP="00851948">
            <w:pPr>
              <w:spacing w:after="0" w:line="240" w:lineRule="auto"/>
              <w:rPr>
                <w:rFonts w:eastAsia="Times New Roman" w:cstheme="minorHAnsi"/>
              </w:rPr>
            </w:pPr>
            <w:r w:rsidRPr="00FB6248">
              <w:rPr>
                <w:rFonts w:eastAsia="Times New Roman" w:cstheme="minorHAnsi"/>
                <w:b/>
                <w:bCs/>
              </w:rPr>
              <w:t>Description</w:t>
            </w:r>
          </w:p>
        </w:tc>
      </w:tr>
      <w:tr w:rsidR="00056D45" w:rsidRPr="00FB6248" w14:paraId="7595DF7E" w14:textId="77777777" w:rsidTr="00383A5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84C4664"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Autonomy</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13551F5"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Degree to which respondent actualizes autonomy</w:t>
            </w:r>
          </w:p>
        </w:tc>
      </w:tr>
      <w:tr w:rsidR="00056D45" w:rsidRPr="00FB6248" w14:paraId="73769AA6"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11ABED86"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Environmental Mastery</w:t>
            </w:r>
          </w:p>
        </w:tc>
        <w:tc>
          <w:tcPr>
            <w:tcW w:w="0" w:type="auto"/>
            <w:tcBorders>
              <w:left w:val="single" w:sz="8" w:space="0" w:color="000000"/>
              <w:right w:val="single" w:sz="8" w:space="0" w:color="000000"/>
            </w:tcBorders>
            <w:tcMar>
              <w:top w:w="100" w:type="dxa"/>
              <w:left w:w="100" w:type="dxa"/>
              <w:bottom w:w="100" w:type="dxa"/>
              <w:right w:w="100" w:type="dxa"/>
            </w:tcMar>
            <w:hideMark/>
          </w:tcPr>
          <w:p w14:paraId="0BC3D95E"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How in control of one’s environment/circumstances one feels</w:t>
            </w:r>
          </w:p>
        </w:tc>
      </w:tr>
      <w:tr w:rsidR="00056D45" w:rsidRPr="00FB6248" w14:paraId="528199D9"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2817D8A7"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Personal Growth</w:t>
            </w:r>
          </w:p>
        </w:tc>
        <w:tc>
          <w:tcPr>
            <w:tcW w:w="0" w:type="auto"/>
            <w:tcBorders>
              <w:left w:val="single" w:sz="8" w:space="0" w:color="000000"/>
              <w:right w:val="single" w:sz="8" w:space="0" w:color="000000"/>
            </w:tcBorders>
            <w:tcMar>
              <w:top w:w="100" w:type="dxa"/>
              <w:left w:w="100" w:type="dxa"/>
              <w:bottom w:w="100" w:type="dxa"/>
              <w:right w:w="100" w:type="dxa"/>
            </w:tcMar>
            <w:hideMark/>
          </w:tcPr>
          <w:p w14:paraId="35DF4C5F"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How important personal is growth to respondent</w:t>
            </w:r>
          </w:p>
        </w:tc>
      </w:tr>
      <w:tr w:rsidR="00056D45" w:rsidRPr="00FB6248" w14:paraId="47BF950E"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50F802A8"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Positive Relations with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558AC54A"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Quality of relationships with other people</w:t>
            </w:r>
          </w:p>
        </w:tc>
      </w:tr>
      <w:tr w:rsidR="00056D45" w:rsidRPr="00FB6248" w14:paraId="44A72087"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1BC60684"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Purpose in Life</w:t>
            </w:r>
          </w:p>
        </w:tc>
        <w:tc>
          <w:tcPr>
            <w:tcW w:w="0" w:type="auto"/>
            <w:tcBorders>
              <w:left w:val="single" w:sz="8" w:space="0" w:color="000000"/>
              <w:right w:val="single" w:sz="8" w:space="0" w:color="000000"/>
            </w:tcBorders>
            <w:tcMar>
              <w:top w:w="100" w:type="dxa"/>
              <w:left w:w="100" w:type="dxa"/>
              <w:bottom w:w="100" w:type="dxa"/>
              <w:right w:w="100" w:type="dxa"/>
            </w:tcMar>
            <w:hideMark/>
          </w:tcPr>
          <w:p w14:paraId="16F4B3EC"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Degree to which respondent feels their life has purpose</w:t>
            </w:r>
          </w:p>
        </w:tc>
      </w:tr>
      <w:tr w:rsidR="00056D45" w:rsidRPr="00FB6248" w14:paraId="22F3AB2A" w14:textId="77777777" w:rsidTr="00383A5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A97B2EF"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Self-Acceptance</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8B85724" w14:textId="77777777" w:rsidR="0066280E" w:rsidRPr="00FB6248" w:rsidRDefault="0066280E" w:rsidP="00851948">
            <w:pPr>
              <w:spacing w:after="0" w:line="240" w:lineRule="auto"/>
              <w:rPr>
                <w:rFonts w:eastAsia="Times New Roman" w:cstheme="minorHAnsi"/>
              </w:rPr>
            </w:pPr>
            <w:r w:rsidRPr="00FB6248">
              <w:rPr>
                <w:rFonts w:eastAsia="Times New Roman" w:cstheme="minorHAnsi"/>
              </w:rPr>
              <w:t>Degree to which respondent accepts their self</w:t>
            </w:r>
          </w:p>
        </w:tc>
      </w:tr>
    </w:tbl>
    <w:p w14:paraId="0EA8766D" w14:textId="77777777" w:rsidR="00851948" w:rsidRPr="00FB6248" w:rsidRDefault="00851948" w:rsidP="00800DEC">
      <w:pPr>
        <w:spacing w:after="0" w:line="480" w:lineRule="auto"/>
        <w:rPr>
          <w:rFonts w:eastAsia="Times New Roman" w:cstheme="minorHAnsi"/>
        </w:rPr>
      </w:pPr>
    </w:p>
    <w:p w14:paraId="5D48385B" w14:textId="642D0792" w:rsidR="00D84EF8" w:rsidRPr="00FB6248" w:rsidRDefault="001960B5" w:rsidP="00800DEC">
      <w:pPr>
        <w:spacing w:after="0" w:line="480" w:lineRule="auto"/>
        <w:rPr>
          <w:rFonts w:eastAsia="Times New Roman" w:cstheme="minorHAnsi"/>
        </w:rPr>
      </w:pPr>
      <w:r w:rsidRPr="00FB6248">
        <w:rPr>
          <w:rFonts w:eastAsia="Times New Roman" w:cstheme="minorHAnsi"/>
        </w:rPr>
        <w:t>Social well-being was assessed using the MIDUS 2 social well-being measure (</w:t>
      </w:r>
      <w:r w:rsidR="00BE51E9" w:rsidRPr="00FB6248">
        <w:rPr>
          <w:rFonts w:eastAsia="Times New Roman" w:cstheme="minorHAnsi"/>
        </w:rPr>
        <w:t>Keyes, 1995</w:t>
      </w:r>
      <w:r w:rsidRPr="00FB6248">
        <w:rPr>
          <w:rFonts w:eastAsia="Times New Roman" w:cstheme="minorHAnsi"/>
        </w:rPr>
        <w:t>).  </w:t>
      </w:r>
      <w:proofErr w:type="gramStart"/>
      <w:r w:rsidRPr="00FB6248">
        <w:rPr>
          <w:rFonts w:eastAsia="Times New Roman" w:cstheme="minorHAnsi"/>
        </w:rPr>
        <w:t>Similar to</w:t>
      </w:r>
      <w:proofErr w:type="gramEnd"/>
      <w:r w:rsidRPr="00FB6248">
        <w:rPr>
          <w:rFonts w:eastAsia="Times New Roman" w:cstheme="minorHAnsi"/>
        </w:rPr>
        <w:t xml:space="preserve"> the psychological well-being scale, this scale consists of 5 subscales. The subscales and descriptions are outlined in </w:t>
      </w:r>
      <w:r w:rsidRPr="00FB6248">
        <w:rPr>
          <w:rFonts w:eastAsia="Times New Roman" w:cstheme="minorHAnsi"/>
          <w:i/>
          <w:iCs/>
        </w:rPr>
        <w:t>Table 3</w:t>
      </w:r>
      <w:r w:rsidRPr="00FB6248">
        <w:rPr>
          <w:rFonts w:eastAsia="Times New Roman" w:cstheme="minorHAnsi"/>
        </w:rPr>
        <w:t>.</w:t>
      </w:r>
    </w:p>
    <w:p w14:paraId="0AE5F55B" w14:textId="77777777" w:rsidR="00990E2C" w:rsidRPr="00FB6248" w:rsidRDefault="00990E2C" w:rsidP="00D84EF8">
      <w:pPr>
        <w:spacing w:after="0" w:line="240" w:lineRule="auto"/>
        <w:rPr>
          <w:rFonts w:eastAsia="Times New Roman" w:cstheme="minorHAnsi"/>
        </w:rPr>
      </w:pPr>
      <w:r w:rsidRPr="00FB6248">
        <w:rPr>
          <w:rFonts w:eastAsia="Times New Roman" w:cstheme="minorHAnsi"/>
          <w:i/>
        </w:rPr>
        <w:t>Table 3: Social Well-Being Scale Descriptions</w:t>
      </w:r>
    </w:p>
    <w:tbl>
      <w:tblPr>
        <w:tblW w:w="0" w:type="auto"/>
        <w:tblCellMar>
          <w:top w:w="15" w:type="dxa"/>
          <w:left w:w="15" w:type="dxa"/>
          <w:bottom w:w="15" w:type="dxa"/>
          <w:right w:w="15" w:type="dxa"/>
        </w:tblCellMar>
        <w:tblLook w:val="04A0" w:firstRow="1" w:lastRow="0" w:firstColumn="1" w:lastColumn="0" w:noHBand="0" w:noVBand="1"/>
      </w:tblPr>
      <w:tblGrid>
        <w:gridCol w:w="2126"/>
        <w:gridCol w:w="6439"/>
      </w:tblGrid>
      <w:tr w:rsidR="00056D45" w:rsidRPr="00FB6248" w14:paraId="50F36A27" w14:textId="77777777" w:rsidTr="00383A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4B66" w14:textId="77777777" w:rsidR="00990E2C" w:rsidRPr="00FB6248" w:rsidRDefault="00990E2C" w:rsidP="00D84EF8">
            <w:pPr>
              <w:spacing w:after="0" w:line="240" w:lineRule="auto"/>
              <w:rPr>
                <w:rFonts w:eastAsia="Times New Roman" w:cstheme="minorHAnsi"/>
              </w:rPr>
            </w:pPr>
            <w:r w:rsidRPr="00FB6248">
              <w:rPr>
                <w:rFonts w:eastAsia="Times New Roman" w:cstheme="minorHAnsi"/>
                <w:b/>
                <w:bCs/>
              </w:rPr>
              <w:t>Scale 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4964" w14:textId="77777777" w:rsidR="00990E2C" w:rsidRPr="00FB6248" w:rsidRDefault="00990E2C" w:rsidP="00D84EF8">
            <w:pPr>
              <w:spacing w:after="0" w:line="240" w:lineRule="auto"/>
              <w:rPr>
                <w:rFonts w:eastAsia="Times New Roman" w:cstheme="minorHAnsi"/>
              </w:rPr>
            </w:pPr>
            <w:r w:rsidRPr="00FB6248">
              <w:rPr>
                <w:rFonts w:eastAsia="Times New Roman" w:cstheme="minorHAnsi"/>
                <w:b/>
                <w:bCs/>
              </w:rPr>
              <w:t>Description</w:t>
            </w:r>
          </w:p>
        </w:tc>
      </w:tr>
      <w:tr w:rsidR="00056D45" w:rsidRPr="00FB6248" w14:paraId="347DADE3" w14:textId="77777777" w:rsidTr="00383A5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53C3881"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Social Coherence</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2507AA4"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How intelligible respondent’s social world appears to them</w:t>
            </w:r>
          </w:p>
        </w:tc>
      </w:tr>
      <w:tr w:rsidR="00056D45" w:rsidRPr="00FB6248" w14:paraId="5F9D413E"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54849BCE"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Social Integration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7E5A0C78"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How integrated respondent feels in their community</w:t>
            </w:r>
          </w:p>
        </w:tc>
      </w:tr>
      <w:tr w:rsidR="00056D45" w:rsidRPr="00FB6248" w14:paraId="09CDD956"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2EDCC5DC"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Acceptance of Others</w:t>
            </w:r>
          </w:p>
        </w:tc>
        <w:tc>
          <w:tcPr>
            <w:tcW w:w="0" w:type="auto"/>
            <w:tcBorders>
              <w:left w:val="single" w:sz="8" w:space="0" w:color="000000"/>
              <w:right w:val="single" w:sz="8" w:space="0" w:color="000000"/>
            </w:tcBorders>
            <w:tcMar>
              <w:top w:w="100" w:type="dxa"/>
              <w:left w:w="100" w:type="dxa"/>
              <w:bottom w:w="100" w:type="dxa"/>
              <w:right w:w="100" w:type="dxa"/>
            </w:tcMar>
            <w:hideMark/>
          </w:tcPr>
          <w:p w14:paraId="669F56B2"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Measures positive assessment of others</w:t>
            </w:r>
          </w:p>
        </w:tc>
      </w:tr>
      <w:tr w:rsidR="00056D45" w:rsidRPr="00FB6248" w14:paraId="5FE8F27D" w14:textId="77777777" w:rsidTr="00383A5C">
        <w:tc>
          <w:tcPr>
            <w:tcW w:w="0" w:type="auto"/>
            <w:tcBorders>
              <w:left w:val="single" w:sz="8" w:space="0" w:color="000000"/>
              <w:right w:val="single" w:sz="8" w:space="0" w:color="000000"/>
            </w:tcBorders>
            <w:tcMar>
              <w:top w:w="100" w:type="dxa"/>
              <w:left w:w="100" w:type="dxa"/>
              <w:bottom w:w="100" w:type="dxa"/>
              <w:right w:w="100" w:type="dxa"/>
            </w:tcMar>
            <w:hideMark/>
          </w:tcPr>
          <w:p w14:paraId="39177695"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lastRenderedPageBreak/>
              <w:t>Social Contribution</w:t>
            </w:r>
          </w:p>
        </w:tc>
        <w:tc>
          <w:tcPr>
            <w:tcW w:w="0" w:type="auto"/>
            <w:tcBorders>
              <w:left w:val="single" w:sz="8" w:space="0" w:color="000000"/>
              <w:right w:val="single" w:sz="8" w:space="0" w:color="000000"/>
            </w:tcBorders>
            <w:tcMar>
              <w:top w:w="100" w:type="dxa"/>
              <w:left w:w="100" w:type="dxa"/>
              <w:bottom w:w="100" w:type="dxa"/>
              <w:right w:w="100" w:type="dxa"/>
            </w:tcMar>
            <w:hideMark/>
          </w:tcPr>
          <w:p w14:paraId="542D10C3"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Degree to which respondent feels they contribute to their community</w:t>
            </w:r>
          </w:p>
        </w:tc>
      </w:tr>
      <w:tr w:rsidR="00056D45" w:rsidRPr="00FB6248" w14:paraId="5C21B3C8" w14:textId="77777777" w:rsidTr="00383A5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06AB8399"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Social Actualization</w:t>
            </w: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7CE4446B" w14:textId="77777777" w:rsidR="00990E2C" w:rsidRPr="00FB6248" w:rsidRDefault="00990E2C" w:rsidP="00D84EF8">
            <w:pPr>
              <w:spacing w:after="0" w:line="240" w:lineRule="auto"/>
              <w:rPr>
                <w:rFonts w:eastAsia="Times New Roman" w:cstheme="minorHAnsi"/>
              </w:rPr>
            </w:pPr>
            <w:r w:rsidRPr="00FB6248">
              <w:rPr>
                <w:rFonts w:eastAsia="Times New Roman" w:cstheme="minorHAnsi"/>
              </w:rPr>
              <w:t>Degree to which respondent feel social progress is being made</w:t>
            </w:r>
          </w:p>
        </w:tc>
      </w:tr>
    </w:tbl>
    <w:p w14:paraId="0F02312F" w14:textId="51736246" w:rsidR="00957C5D" w:rsidRPr="00FB6248" w:rsidRDefault="00957C5D" w:rsidP="00800DEC">
      <w:pPr>
        <w:spacing w:line="480" w:lineRule="auto"/>
        <w:rPr>
          <w:rFonts w:cstheme="minorHAnsi"/>
          <w:b/>
        </w:rPr>
      </w:pPr>
    </w:p>
    <w:p w14:paraId="528DE80D" w14:textId="28EC79B4" w:rsidR="00990E2C" w:rsidRPr="00FB6248" w:rsidRDefault="00990E2C" w:rsidP="00800DEC">
      <w:pPr>
        <w:spacing w:line="480" w:lineRule="auto"/>
        <w:rPr>
          <w:rFonts w:cstheme="minorHAnsi"/>
        </w:rPr>
      </w:pPr>
      <w:r w:rsidRPr="00FB6248">
        <w:rPr>
          <w:rFonts w:cstheme="minorHAnsi"/>
        </w:rPr>
        <w:t>The psychological and social well-being scales were scored identically. Each variable is comprised of three items scored using a 7-point Likert-type scale, with scores ranging from 1 (strongly agree) to 7 (strongly disagree).  Variables are coded so that higher scores on these measures represent greater well-being (Brim et al., 2009). We then summed the scale scores together to create a composite score of psychological and social well-being. Therefore, the psychological well-being scores ranged from 18, indicating the lowest level of psychological well-being, to 126, indicating the highest level of psychological well-being. The social well-being scores ranged from 15, indicating the lowest level of social well-being to 105, indicating the highest level of social well-being.</w:t>
      </w:r>
    </w:p>
    <w:p w14:paraId="1305B01B" w14:textId="77777777" w:rsidR="00383A5C" w:rsidRPr="00FB6248" w:rsidRDefault="00383A5C" w:rsidP="00800DEC">
      <w:pPr>
        <w:spacing w:line="480" w:lineRule="auto"/>
        <w:rPr>
          <w:rFonts w:cstheme="minorHAnsi"/>
          <w:b/>
        </w:rPr>
      </w:pPr>
    </w:p>
    <w:p w14:paraId="2ED44F50" w14:textId="77777777" w:rsidR="002D3C7D" w:rsidRPr="00FB6248" w:rsidRDefault="002D3C7D" w:rsidP="00800DEC">
      <w:pPr>
        <w:spacing w:after="0" w:line="480" w:lineRule="auto"/>
        <w:rPr>
          <w:rFonts w:eastAsia="Times New Roman" w:cstheme="minorHAnsi"/>
          <w:b/>
        </w:rPr>
      </w:pPr>
      <w:r w:rsidRPr="00FB6248">
        <w:rPr>
          <w:rFonts w:eastAsia="Times New Roman" w:cstheme="minorHAnsi"/>
          <w:b/>
          <w:iCs/>
        </w:rPr>
        <w:t>Lifetime Discrimination</w:t>
      </w:r>
    </w:p>
    <w:p w14:paraId="5883AE12" w14:textId="605C5B76" w:rsidR="00957C5D" w:rsidRPr="00FB6248" w:rsidRDefault="002D3C7D" w:rsidP="00800DEC">
      <w:pPr>
        <w:spacing w:line="480" w:lineRule="auto"/>
        <w:rPr>
          <w:rFonts w:eastAsia="Times New Roman" w:cstheme="minorHAnsi"/>
        </w:rPr>
      </w:pPr>
      <w:r w:rsidRPr="00FB6248">
        <w:rPr>
          <w:rFonts w:eastAsia="Times New Roman" w:cstheme="minorHAnsi"/>
        </w:rPr>
        <w:t xml:space="preserve">            Lifetime discrimination was measured using the William</w:t>
      </w:r>
      <w:r w:rsidR="00326CC9" w:rsidRPr="00FB6248">
        <w:rPr>
          <w:rFonts w:eastAsia="Times New Roman" w:cstheme="minorHAnsi"/>
        </w:rPr>
        <w:t>, Jackson &amp; Anderson</w:t>
      </w:r>
      <w:r w:rsidRPr="00FB6248">
        <w:rPr>
          <w:rFonts w:eastAsia="Times New Roman" w:cstheme="minorHAnsi"/>
        </w:rPr>
        <w:t xml:space="preserve"> (1997) perceived discrimination scale, which was distributed as part of the MIDUS 2 questionnaire. This eleven-item self-report scale measures the number of experiences each participant has had with each type of discrimination. Item examples include, “You were hassled by the police”</w:t>
      </w:r>
      <w:r w:rsidR="00525857" w:rsidRPr="00FB6248">
        <w:rPr>
          <w:rFonts w:eastAsia="Times New Roman" w:cstheme="minorHAnsi"/>
        </w:rPr>
        <w:t>,</w:t>
      </w:r>
      <w:r w:rsidRPr="00FB6248">
        <w:rPr>
          <w:rFonts w:eastAsia="Times New Roman" w:cstheme="minorHAnsi"/>
        </w:rPr>
        <w:t xml:space="preserve"> “You were not given a promotion”</w:t>
      </w:r>
      <w:r w:rsidR="0006796D" w:rsidRPr="00FB6248">
        <w:rPr>
          <w:rFonts w:eastAsia="Times New Roman" w:cstheme="minorHAnsi"/>
        </w:rPr>
        <w:t xml:space="preserve"> or “You were denied or provided inferior medical care.”</w:t>
      </w:r>
      <w:r w:rsidRPr="00FB6248">
        <w:rPr>
          <w:rFonts w:eastAsia="Times New Roman" w:cstheme="minorHAnsi"/>
        </w:rPr>
        <w:t xml:space="preserve"> For scaling, items were constructed by summing the number of “1 or higher” responses to the items. Therefore, the perceived lifetime discrimination scale ranges from 0 – 11 with higher scores representing a higher amount of perceived lifetime discrimination.</w:t>
      </w:r>
    </w:p>
    <w:p w14:paraId="522D9F0C" w14:textId="77777777" w:rsidR="00383A5C" w:rsidRPr="00FB6248" w:rsidRDefault="00383A5C" w:rsidP="00800DEC">
      <w:pPr>
        <w:spacing w:line="480" w:lineRule="auto"/>
        <w:rPr>
          <w:rFonts w:eastAsia="Times New Roman" w:cstheme="minorHAnsi"/>
        </w:rPr>
      </w:pPr>
    </w:p>
    <w:p w14:paraId="42782300" w14:textId="77777777" w:rsidR="00EC4643" w:rsidRPr="00FB6248" w:rsidRDefault="00EC4643" w:rsidP="00800DEC">
      <w:pPr>
        <w:spacing w:after="0" w:line="480" w:lineRule="auto"/>
        <w:rPr>
          <w:rFonts w:eastAsia="Times New Roman" w:cstheme="minorHAnsi"/>
        </w:rPr>
      </w:pPr>
      <w:r w:rsidRPr="00FB6248">
        <w:rPr>
          <w:rFonts w:eastAsia="Times New Roman" w:cstheme="minorHAnsi"/>
          <w:b/>
          <w:bCs/>
        </w:rPr>
        <w:t>Study Design &amp; Analytical Procedures</w:t>
      </w:r>
    </w:p>
    <w:p w14:paraId="26EDF778" w14:textId="2C8ED27D" w:rsidR="00865A45" w:rsidRPr="00FB6248" w:rsidRDefault="00EC4643" w:rsidP="00800DEC">
      <w:pPr>
        <w:spacing w:after="0" w:line="480" w:lineRule="auto"/>
        <w:rPr>
          <w:rFonts w:eastAsia="Times New Roman" w:cstheme="minorHAnsi"/>
        </w:rPr>
      </w:pPr>
      <w:r w:rsidRPr="00FB6248">
        <w:rPr>
          <w:rFonts w:eastAsia="Times New Roman" w:cstheme="minorHAnsi"/>
        </w:rPr>
        <w:lastRenderedPageBreak/>
        <w:t xml:space="preserve">            Using the MIDUS 2 dataset, a cross-sectional study design was used to assess the relationship between sexual orientation and well-being outcomes through experiences of lifetime discrimination. Therefore, the goal of this project is to obtain the effects from sexual orientation through lifetime discrimination (</w:t>
      </w:r>
      <w:r w:rsidRPr="00FB6248">
        <w:rPr>
          <w:rFonts w:eastAsia="Times New Roman" w:cstheme="minorHAnsi"/>
          <w:i/>
          <w:iCs/>
        </w:rPr>
        <w:t xml:space="preserve">a </w:t>
      </w:r>
      <w:r w:rsidRPr="00FB6248">
        <w:rPr>
          <w:rFonts w:eastAsia="Times New Roman" w:cstheme="minorHAnsi"/>
        </w:rPr>
        <w:t>path), to our two well-being outcome measures (</w:t>
      </w:r>
      <w:r w:rsidRPr="00FB6248">
        <w:rPr>
          <w:rFonts w:eastAsia="Times New Roman" w:cstheme="minorHAnsi"/>
          <w:i/>
          <w:iCs/>
        </w:rPr>
        <w:t xml:space="preserve">b </w:t>
      </w:r>
      <w:r w:rsidRPr="00FB6248">
        <w:rPr>
          <w:rFonts w:eastAsia="Times New Roman" w:cstheme="minorHAnsi"/>
        </w:rPr>
        <w:t xml:space="preserve">path). Additionally, the </w:t>
      </w:r>
      <w:proofErr w:type="spellStart"/>
      <w:r w:rsidRPr="00FB6248">
        <w:rPr>
          <w:rFonts w:eastAsia="Times New Roman" w:cstheme="minorHAnsi"/>
        </w:rPr>
        <w:t>residualized</w:t>
      </w:r>
      <w:proofErr w:type="spellEnd"/>
      <w:r w:rsidRPr="00FB6248">
        <w:rPr>
          <w:rFonts w:eastAsia="Times New Roman" w:cstheme="minorHAnsi"/>
        </w:rPr>
        <w:t xml:space="preserve"> effect of sexual orientation on the well-being outcomes (</w:t>
      </w:r>
      <w:r w:rsidRPr="00FB6248">
        <w:rPr>
          <w:rFonts w:eastAsia="Times New Roman" w:cstheme="minorHAnsi"/>
          <w:i/>
          <w:iCs/>
        </w:rPr>
        <w:t>c`</w:t>
      </w:r>
      <w:r w:rsidRPr="00FB6248">
        <w:rPr>
          <w:rFonts w:eastAsia="Times New Roman" w:cstheme="minorHAnsi"/>
        </w:rPr>
        <w:t xml:space="preserve"> path) will also be assessed. Two mediation models were used to assess this relationship (Shown in </w:t>
      </w:r>
      <w:r w:rsidRPr="00FB6248">
        <w:rPr>
          <w:rFonts w:eastAsia="Times New Roman" w:cstheme="minorHAnsi"/>
          <w:i/>
          <w:iCs/>
        </w:rPr>
        <w:t>figure 1</w:t>
      </w:r>
      <w:r w:rsidRPr="00FB6248">
        <w:rPr>
          <w:rFonts w:eastAsia="Times New Roman" w:cstheme="minorHAnsi"/>
        </w:rPr>
        <w:t>).</w:t>
      </w:r>
      <w:r w:rsidR="00865A45" w:rsidRPr="00FB6248">
        <w:rPr>
          <w:rFonts w:eastAsia="Times New Roman" w:cstheme="minorHAnsi"/>
        </w:rPr>
        <w:t xml:space="preserve"> Both models controlled for participant race and sex based on prior research</w:t>
      </w:r>
      <w:r w:rsidR="001F6E64" w:rsidRPr="00FB6248">
        <w:rPr>
          <w:rFonts w:eastAsia="Times New Roman" w:cstheme="minorHAnsi"/>
        </w:rPr>
        <w:t xml:space="preserve"> on LGB populations</w:t>
      </w:r>
      <w:r w:rsidR="00865A45" w:rsidRPr="00FB6248">
        <w:rPr>
          <w:rFonts w:eastAsia="Times New Roman" w:cstheme="minorHAnsi"/>
        </w:rPr>
        <w:t xml:space="preserve"> (</w:t>
      </w:r>
      <w:r w:rsidR="00651B75" w:rsidRPr="00FB6248">
        <w:rPr>
          <w:rFonts w:eastAsia="Times New Roman" w:cstheme="minorHAnsi"/>
        </w:rPr>
        <w:t xml:space="preserve">Mays &amp; </w:t>
      </w:r>
      <w:r w:rsidR="007E1CD6" w:rsidRPr="00FB6248">
        <w:rPr>
          <w:rFonts w:eastAsia="Times New Roman" w:cstheme="minorHAnsi"/>
        </w:rPr>
        <w:t>Cochran, 2001</w:t>
      </w:r>
      <w:r w:rsidR="00E17A29" w:rsidRPr="00FB6248">
        <w:rPr>
          <w:rFonts w:eastAsia="Times New Roman" w:cstheme="minorHAnsi"/>
        </w:rPr>
        <w:t xml:space="preserve">; </w:t>
      </w:r>
      <w:proofErr w:type="spellStart"/>
      <w:r w:rsidR="00F25CC8" w:rsidRPr="00FB6248">
        <w:rPr>
          <w:rFonts w:eastAsia="Times New Roman" w:cstheme="minorHAnsi"/>
        </w:rPr>
        <w:t>Riggle</w:t>
      </w:r>
      <w:proofErr w:type="spellEnd"/>
      <w:r w:rsidR="00F25CC8" w:rsidRPr="00FB6248">
        <w:rPr>
          <w:rFonts w:eastAsia="Times New Roman" w:cstheme="minorHAnsi"/>
        </w:rPr>
        <w:t xml:space="preserve">, </w:t>
      </w:r>
      <w:proofErr w:type="spellStart"/>
      <w:r w:rsidR="00F25CC8" w:rsidRPr="00FB6248">
        <w:rPr>
          <w:rFonts w:eastAsia="Times New Roman" w:cstheme="minorHAnsi"/>
        </w:rPr>
        <w:t>Rostosky</w:t>
      </w:r>
      <w:proofErr w:type="spellEnd"/>
      <w:r w:rsidR="00F25CC8" w:rsidRPr="00FB6248">
        <w:rPr>
          <w:rFonts w:eastAsia="Times New Roman" w:cstheme="minorHAnsi"/>
        </w:rPr>
        <w:t xml:space="preserve"> &amp; Danner, 2009</w:t>
      </w:r>
      <w:r w:rsidR="00865A45" w:rsidRPr="00FB6248">
        <w:rPr>
          <w:rFonts w:eastAsia="Times New Roman" w:cstheme="minorHAnsi"/>
        </w:rPr>
        <w:t xml:space="preserve">). </w:t>
      </w:r>
    </w:p>
    <w:p w14:paraId="1A4D823D" w14:textId="77777777" w:rsidR="00275EE5" w:rsidRPr="00FB6248" w:rsidRDefault="00275EE5" w:rsidP="00800DEC">
      <w:pPr>
        <w:spacing w:after="0" w:line="480" w:lineRule="auto"/>
        <w:rPr>
          <w:rFonts w:eastAsia="Times New Roman" w:cstheme="minorHAnsi"/>
        </w:rPr>
      </w:pPr>
      <w:r w:rsidRPr="00FB6248">
        <w:rPr>
          <w:rFonts w:eastAsia="Times New Roman" w:cstheme="minorHAnsi"/>
          <w:i/>
          <w:iCs/>
        </w:rPr>
        <w:t>Figure 1: Proposed mediated pathways from sexual orientation to psychological well-being and social well-being outcomes. Both models also controlled for race and gender.</w:t>
      </w:r>
    </w:p>
    <w:p w14:paraId="05861821" w14:textId="598AB20C" w:rsidR="00275EE5" w:rsidRPr="00FB6248" w:rsidRDefault="00275EE5" w:rsidP="00800DEC">
      <w:pPr>
        <w:spacing w:line="480" w:lineRule="auto"/>
        <w:rPr>
          <w:rFonts w:cstheme="minorHAnsi"/>
          <w:b/>
        </w:rPr>
      </w:pPr>
      <w:r w:rsidRPr="00FB6248">
        <w:rPr>
          <w:rFonts w:cstheme="minorHAnsi"/>
          <w:b/>
        </w:rPr>
        <mc:AlternateContent>
          <mc:Choice Requires="wps">
            <w:drawing>
              <wp:anchor distT="0" distB="0" distL="114300" distR="114300" simplePos="0" relativeHeight="251690496" behindDoc="0" locked="0" layoutInCell="1" allowOverlap="1" wp14:anchorId="47459214" wp14:editId="045204B1">
                <wp:simplePos x="0" y="0"/>
                <wp:positionH relativeFrom="column">
                  <wp:posOffset>1038225</wp:posOffset>
                </wp:positionH>
                <wp:positionV relativeFrom="paragraph">
                  <wp:posOffset>140970</wp:posOffset>
                </wp:positionV>
                <wp:extent cx="672465" cy="335915"/>
                <wp:effectExtent l="0" t="0" r="0" b="6985"/>
                <wp:wrapNone/>
                <wp:docPr id="8" name="Text Box 8"/>
                <wp:cNvGraphicFramePr/>
                <a:graphic xmlns:a="http://schemas.openxmlformats.org/drawingml/2006/main">
                  <a:graphicData uri="http://schemas.microsoft.com/office/word/2010/wordprocessingShape">
                    <wps:wsp>
                      <wps:cNvSpPr txBox="1"/>
                      <wps:spPr>
                        <a:xfrm>
                          <a:off x="0" y="0"/>
                          <a:ext cx="672465" cy="335915"/>
                        </a:xfrm>
                        <a:prstGeom prst="rect">
                          <a:avLst/>
                        </a:prstGeom>
                        <a:solidFill>
                          <a:schemeClr val="lt1"/>
                        </a:solidFill>
                        <a:ln w="6350">
                          <a:noFill/>
                        </a:ln>
                      </wps:spPr>
                      <wps:txbx>
                        <w:txbxContent>
                          <w:p w14:paraId="3E240083" w14:textId="77777777" w:rsidR="00383A5C" w:rsidRPr="00D9231F" w:rsidRDefault="00383A5C" w:rsidP="00275EE5">
                            <w:pPr>
                              <w:rPr>
                                <w:b/>
                              </w:rPr>
                            </w:pPr>
                            <w:r w:rsidRPr="00D9231F">
                              <w:rPr>
                                <w:b/>
                              </w:rPr>
                              <w:t>Model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59214" id="_x0000_t202" coordsize="21600,21600" o:spt="202" path="m,l,21600r21600,l21600,xe">
                <v:stroke joinstyle="miter"/>
                <v:path gradientshapeok="t" o:connecttype="rect"/>
              </v:shapetype>
              <v:shape id="Text Box 8" o:spid="_x0000_s1026" type="#_x0000_t202" style="position:absolute;margin-left:81.75pt;margin-top:11.1pt;width:52.95pt;height:26.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" fillcolor="white [3201]" stroked="f" strokeweight=".5pt">
                <v:textbox>
                  <w:txbxContent>
                    <w:p w14:paraId="3E240083" w14:textId="77777777" w:rsidR="00383A5C" w:rsidRPr="00D9231F" w:rsidRDefault="00383A5C" w:rsidP="00275EE5">
                      <w:pPr>
                        <w:rPr>
                          <w:b/>
                        </w:rPr>
                      </w:pPr>
                      <w:r w:rsidRPr="00D9231F">
                        <w:rPr>
                          <w:b/>
                        </w:rPr>
                        <w:t>Model 1</w:t>
                      </w:r>
                    </w:p>
                  </w:txbxContent>
                </v:textbox>
              </v:shape>
            </w:pict>
          </mc:Fallback>
        </mc:AlternateContent>
      </w:r>
      <w:r w:rsidRPr="00FB6248">
        <w:rPr>
          <w:rFonts w:cstheme="minorHAnsi"/>
          <w:b/>
        </w:rPr>
        <mc:AlternateContent>
          <mc:Choice Requires="wps">
            <w:drawing>
              <wp:anchor distT="0" distB="0" distL="114300" distR="114300" simplePos="0" relativeHeight="251656704" behindDoc="0" locked="0" layoutInCell="1" allowOverlap="1" wp14:anchorId="56D3F6BC" wp14:editId="3152873A">
                <wp:simplePos x="0" y="0"/>
                <wp:positionH relativeFrom="column">
                  <wp:posOffset>4252595</wp:posOffset>
                </wp:positionH>
                <wp:positionV relativeFrom="paragraph">
                  <wp:posOffset>142240</wp:posOffset>
                </wp:positionV>
                <wp:extent cx="672861" cy="336430"/>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672861" cy="336430"/>
                        </a:xfrm>
                        <a:prstGeom prst="rect">
                          <a:avLst/>
                        </a:prstGeom>
                        <a:solidFill>
                          <a:schemeClr val="lt1"/>
                        </a:solidFill>
                        <a:ln w="6350">
                          <a:noFill/>
                        </a:ln>
                      </wps:spPr>
                      <wps:txbx>
                        <w:txbxContent>
                          <w:p w14:paraId="0643F8D5" w14:textId="77777777" w:rsidR="00383A5C" w:rsidRPr="00D9231F" w:rsidRDefault="00383A5C" w:rsidP="00275EE5">
                            <w:pPr>
                              <w:rPr>
                                <w:b/>
                              </w:rPr>
                            </w:pPr>
                            <w:r w:rsidRPr="00D9231F">
                              <w:rPr>
                                <w:b/>
                              </w:rPr>
                              <w:t>Model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3F6BC" id="Text Box 7" o:spid="_x0000_s1027" type="#_x0000_t202" style="position:absolute;margin-left:334.85pt;margin-top:11.2pt;width:53pt;height: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" fillcolor="white [3201]" stroked="f" strokeweight=".5pt">
                <v:textbox>
                  <w:txbxContent>
                    <w:p w14:paraId="0643F8D5" w14:textId="77777777" w:rsidR="00383A5C" w:rsidRPr="00D9231F" w:rsidRDefault="00383A5C" w:rsidP="00275EE5">
                      <w:pPr>
                        <w:rPr>
                          <w:b/>
                        </w:rPr>
                      </w:pPr>
                      <w:r w:rsidRPr="00D9231F">
                        <w:rPr>
                          <w:b/>
                        </w:rPr>
                        <w:t>Model 2</w:t>
                      </w:r>
                    </w:p>
                  </w:txbxContent>
                </v:textbox>
              </v:shape>
            </w:pict>
          </mc:Fallback>
        </mc:AlternateContent>
      </w:r>
      <w:r w:rsidRPr="00FB6248">
        <w:rPr>
          <w:rFonts w:cstheme="minorHAnsi"/>
          <w:i/>
          <w:iCs/>
          <w:noProof/>
        </w:rPr>
        <w:drawing>
          <wp:inline distT="0" distB="0" distL="0" distR="0" wp14:anchorId="7CB859F0" wp14:editId="427F7576">
            <wp:extent cx="5943600" cy="3552825"/>
            <wp:effectExtent l="0" t="0" r="0" b="9525"/>
            <wp:docPr id="4" name="Picture 4" descr="https://lh4.googleusercontent.com/q5Qtlwe__xxqaAwMJp_KCEikhkgLETP8_mpQtDNCE3ZeTwdcXF_bYb-UNuYRUux2VPhu-KatA3Tu9PJT--Kjlg2-oEs4jRwFeUdBS4EnNBaWOW3c35YwAciY_aaCSBP7VbAstA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5Qtlwe__xxqaAwMJp_KCEikhkgLETP8_mpQtDNCE3ZeTwdcXF_bYb-UNuYRUux2VPhu-KatA3Tu9PJT--Kjlg2-oEs4jRwFeUdBS4EnNBaWOW3c35YwAciY_aaCSBP7VbAstAV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44C53F99" w14:textId="77777777" w:rsidR="006144B6" w:rsidRPr="00FB6248" w:rsidRDefault="006144B6" w:rsidP="00800DEC">
      <w:pPr>
        <w:spacing w:after="0" w:line="480" w:lineRule="auto"/>
        <w:rPr>
          <w:rFonts w:eastAsia="Times New Roman" w:cstheme="minorHAnsi"/>
        </w:rPr>
      </w:pPr>
    </w:p>
    <w:p w14:paraId="78521EE2" w14:textId="62A58A81" w:rsidR="00865A45" w:rsidRPr="00FB6248" w:rsidRDefault="009D7097" w:rsidP="00800DEC">
      <w:pPr>
        <w:spacing w:after="0" w:line="480" w:lineRule="auto"/>
        <w:rPr>
          <w:rFonts w:eastAsia="Times New Roman" w:cstheme="minorHAnsi"/>
        </w:rPr>
      </w:pPr>
      <w:r w:rsidRPr="00FB6248">
        <w:rPr>
          <w:rFonts w:eastAsia="Times New Roman" w:cstheme="minorHAnsi"/>
        </w:rPr>
        <w:t xml:space="preserve">To test the mediated effects, the methods </w:t>
      </w:r>
      <w:r w:rsidR="001E5176" w:rsidRPr="00FB6248">
        <w:rPr>
          <w:rFonts w:eastAsia="Times New Roman" w:cstheme="minorHAnsi"/>
        </w:rPr>
        <w:t xml:space="preserve">of path analyses </w:t>
      </w:r>
      <w:r w:rsidRPr="00FB6248">
        <w:rPr>
          <w:rFonts w:eastAsia="Times New Roman" w:cstheme="minorHAnsi"/>
        </w:rPr>
        <w:t xml:space="preserve">proposed by </w:t>
      </w:r>
      <w:r w:rsidR="00CB68F1" w:rsidRPr="00FB6248">
        <w:rPr>
          <w:rFonts w:eastAsia="Times New Roman" w:cstheme="minorHAnsi"/>
        </w:rPr>
        <w:t xml:space="preserve">Hayes, </w:t>
      </w:r>
      <w:r w:rsidR="00D07550" w:rsidRPr="00FB6248">
        <w:rPr>
          <w:rFonts w:eastAsia="Times New Roman" w:cstheme="minorHAnsi"/>
        </w:rPr>
        <w:t xml:space="preserve">Preacher &amp; Myers (2011) were used. </w:t>
      </w:r>
      <w:r w:rsidR="009B01CD" w:rsidRPr="00FB6248">
        <w:rPr>
          <w:rFonts w:eastAsia="Times New Roman" w:cstheme="minorHAnsi"/>
        </w:rPr>
        <w:t>The</w:t>
      </w:r>
      <w:r w:rsidR="0030135A" w:rsidRPr="00FB6248">
        <w:rPr>
          <w:rFonts w:eastAsia="Times New Roman" w:cstheme="minorHAnsi"/>
        </w:rPr>
        <w:t xml:space="preserve"> direct path from sexual orientation</w:t>
      </w:r>
      <w:r w:rsidR="008C2155" w:rsidRPr="00FB6248">
        <w:rPr>
          <w:rFonts w:eastAsia="Times New Roman" w:cstheme="minorHAnsi"/>
        </w:rPr>
        <w:t xml:space="preserve"> to the well-being outcome will first be </w:t>
      </w:r>
      <w:r w:rsidR="008C2155" w:rsidRPr="00FB6248">
        <w:rPr>
          <w:rFonts w:eastAsia="Times New Roman" w:cstheme="minorHAnsi"/>
        </w:rPr>
        <w:lastRenderedPageBreak/>
        <w:t>assessed</w:t>
      </w:r>
      <w:r w:rsidR="0077580E" w:rsidRPr="00FB6248">
        <w:rPr>
          <w:rFonts w:eastAsia="Times New Roman" w:cstheme="minorHAnsi"/>
        </w:rPr>
        <w:t xml:space="preserve"> using a linear regression model</w:t>
      </w:r>
      <w:r w:rsidR="0030135A" w:rsidRPr="00FB6248">
        <w:rPr>
          <w:rFonts w:eastAsia="Times New Roman" w:cstheme="minorHAnsi"/>
        </w:rPr>
        <w:t xml:space="preserve"> (know</w:t>
      </w:r>
      <w:r w:rsidR="00A56C9F" w:rsidRPr="00FB6248">
        <w:rPr>
          <w:rFonts w:eastAsia="Times New Roman" w:cstheme="minorHAnsi"/>
        </w:rPr>
        <w:t>n</w:t>
      </w:r>
      <w:r w:rsidR="0030135A" w:rsidRPr="00FB6248">
        <w:rPr>
          <w:rFonts w:eastAsia="Times New Roman" w:cstheme="minorHAnsi"/>
        </w:rPr>
        <w:t xml:space="preserve"> as the</w:t>
      </w:r>
      <w:r w:rsidR="0030135A" w:rsidRPr="00FB6248">
        <w:rPr>
          <w:rFonts w:eastAsia="Times New Roman" w:cstheme="minorHAnsi"/>
          <w:i/>
        </w:rPr>
        <w:t xml:space="preserve"> c</w:t>
      </w:r>
      <w:r w:rsidR="0030135A" w:rsidRPr="00FB6248">
        <w:rPr>
          <w:rFonts w:eastAsia="Times New Roman" w:cstheme="minorHAnsi"/>
        </w:rPr>
        <w:t xml:space="preserve"> path)</w:t>
      </w:r>
      <w:r w:rsidR="008C2155" w:rsidRPr="00FB6248">
        <w:rPr>
          <w:rFonts w:eastAsia="Times New Roman" w:cstheme="minorHAnsi"/>
        </w:rPr>
        <w:t xml:space="preserve">. </w:t>
      </w:r>
      <w:r w:rsidR="001E5176" w:rsidRPr="00FB6248">
        <w:rPr>
          <w:rFonts w:eastAsia="Times New Roman" w:cstheme="minorHAnsi"/>
        </w:rPr>
        <w:t xml:space="preserve">If </w:t>
      </w:r>
      <w:r w:rsidR="00820FC3" w:rsidRPr="00FB6248">
        <w:rPr>
          <w:rFonts w:eastAsia="Times New Roman" w:cstheme="minorHAnsi"/>
        </w:rPr>
        <w:t>a significant</w:t>
      </w:r>
      <w:r w:rsidR="00820FC3" w:rsidRPr="00FB6248">
        <w:rPr>
          <w:rFonts w:eastAsia="Times New Roman" w:cstheme="minorHAnsi"/>
          <w:i/>
        </w:rPr>
        <w:t xml:space="preserve"> </w:t>
      </w:r>
      <w:r w:rsidR="0021706C" w:rsidRPr="00FB6248">
        <w:rPr>
          <w:rFonts w:eastAsia="Times New Roman" w:cstheme="minorHAnsi"/>
          <w:i/>
        </w:rPr>
        <w:t>c</w:t>
      </w:r>
      <w:r w:rsidR="0021706C" w:rsidRPr="00FB6248">
        <w:rPr>
          <w:rFonts w:eastAsia="Times New Roman" w:cstheme="minorHAnsi"/>
        </w:rPr>
        <w:t xml:space="preserve"> path </w:t>
      </w:r>
      <w:r w:rsidR="00B412AC" w:rsidRPr="00FB6248">
        <w:rPr>
          <w:rFonts w:eastAsia="Times New Roman" w:cstheme="minorHAnsi"/>
        </w:rPr>
        <w:t xml:space="preserve">coefficient is found, then the effect of the mediator will </w:t>
      </w:r>
      <w:r w:rsidR="00F20F9A" w:rsidRPr="00FB6248">
        <w:rPr>
          <w:rFonts w:eastAsia="Times New Roman" w:cstheme="minorHAnsi"/>
        </w:rPr>
        <w:t xml:space="preserve">be calculated using </w:t>
      </w:r>
      <w:r w:rsidR="00700200" w:rsidRPr="00FB6248">
        <w:rPr>
          <w:rFonts w:eastAsia="Times New Roman" w:cstheme="minorHAnsi"/>
        </w:rPr>
        <w:t xml:space="preserve">the path coefficients from sexual orientation to lifetime </w:t>
      </w:r>
      <w:r w:rsidR="00ED3AE0" w:rsidRPr="00FB6248">
        <w:rPr>
          <w:rFonts w:eastAsia="Times New Roman" w:cstheme="minorHAnsi"/>
        </w:rPr>
        <w:t>discrimination</w:t>
      </w:r>
      <w:r w:rsidR="00700200" w:rsidRPr="00FB6248">
        <w:rPr>
          <w:rFonts w:eastAsia="Times New Roman" w:cstheme="minorHAnsi"/>
        </w:rPr>
        <w:t xml:space="preserve"> (</w:t>
      </w:r>
      <w:r w:rsidR="00700200" w:rsidRPr="00FB6248">
        <w:rPr>
          <w:rFonts w:eastAsia="Times New Roman" w:cstheme="minorHAnsi"/>
          <w:i/>
        </w:rPr>
        <w:t>a</w:t>
      </w:r>
      <w:r w:rsidR="00700200" w:rsidRPr="00FB6248">
        <w:rPr>
          <w:rFonts w:eastAsia="Times New Roman" w:cstheme="minorHAnsi"/>
        </w:rPr>
        <w:t xml:space="preserve"> path)</w:t>
      </w:r>
      <w:r w:rsidR="00EB02BB" w:rsidRPr="00FB6248">
        <w:rPr>
          <w:rFonts w:eastAsia="Times New Roman" w:cstheme="minorHAnsi"/>
        </w:rPr>
        <w:t xml:space="preserve">. If </w:t>
      </w:r>
      <w:proofErr w:type="gramStart"/>
      <w:r w:rsidR="00EB02BB" w:rsidRPr="00FB6248">
        <w:rPr>
          <w:rFonts w:eastAsia="Times New Roman" w:cstheme="minorHAnsi"/>
        </w:rPr>
        <w:t xml:space="preserve">the </w:t>
      </w:r>
      <w:r w:rsidR="00EB02BB" w:rsidRPr="00FB6248">
        <w:rPr>
          <w:rFonts w:eastAsia="Times New Roman" w:cstheme="minorHAnsi"/>
          <w:i/>
        </w:rPr>
        <w:t>a</w:t>
      </w:r>
      <w:proofErr w:type="gramEnd"/>
      <w:r w:rsidR="00EB02BB" w:rsidRPr="00FB6248">
        <w:rPr>
          <w:rFonts w:eastAsia="Times New Roman" w:cstheme="minorHAnsi"/>
        </w:rPr>
        <w:t xml:space="preserve"> path produces significant results,</w:t>
      </w:r>
      <w:r w:rsidR="00700200" w:rsidRPr="00FB6248">
        <w:rPr>
          <w:rFonts w:eastAsia="Times New Roman" w:cstheme="minorHAnsi"/>
        </w:rPr>
        <w:t xml:space="preserve"> </w:t>
      </w:r>
      <w:r w:rsidR="009D0068" w:rsidRPr="00FB6248">
        <w:rPr>
          <w:rFonts w:eastAsia="Times New Roman" w:cstheme="minorHAnsi"/>
        </w:rPr>
        <w:t>the path</w:t>
      </w:r>
      <w:r w:rsidR="00F20F9A" w:rsidRPr="00FB6248">
        <w:rPr>
          <w:rFonts w:eastAsia="Times New Roman" w:cstheme="minorHAnsi"/>
        </w:rPr>
        <w:t xml:space="preserve"> coefficient</w:t>
      </w:r>
      <w:r w:rsidR="009D0068" w:rsidRPr="00FB6248">
        <w:rPr>
          <w:rFonts w:eastAsia="Times New Roman" w:cstheme="minorHAnsi"/>
        </w:rPr>
        <w:t xml:space="preserve"> from lifetime discrimination to </w:t>
      </w:r>
      <w:r w:rsidR="008A1D5B" w:rsidRPr="00FB6248">
        <w:rPr>
          <w:rFonts w:eastAsia="Times New Roman" w:cstheme="minorHAnsi"/>
        </w:rPr>
        <w:t>each</w:t>
      </w:r>
      <w:r w:rsidR="00707D56" w:rsidRPr="00FB6248">
        <w:rPr>
          <w:rFonts w:eastAsia="Times New Roman" w:cstheme="minorHAnsi"/>
        </w:rPr>
        <w:t xml:space="preserve"> well-being outcome while holding constant sexual orientation (</w:t>
      </w:r>
      <w:r w:rsidR="00707D56" w:rsidRPr="00FB6248">
        <w:rPr>
          <w:rFonts w:eastAsia="Times New Roman" w:cstheme="minorHAnsi"/>
          <w:i/>
        </w:rPr>
        <w:t>b</w:t>
      </w:r>
      <w:r w:rsidR="00707D56" w:rsidRPr="00FB6248">
        <w:rPr>
          <w:rFonts w:eastAsia="Times New Roman" w:cstheme="minorHAnsi"/>
        </w:rPr>
        <w:t xml:space="preserve"> path)</w:t>
      </w:r>
      <w:r w:rsidR="00EB02BB" w:rsidRPr="00FB6248">
        <w:rPr>
          <w:rFonts w:eastAsia="Times New Roman" w:cstheme="minorHAnsi"/>
        </w:rPr>
        <w:t xml:space="preserve"> will next be computed</w:t>
      </w:r>
      <w:r w:rsidR="00707D56" w:rsidRPr="00FB6248">
        <w:rPr>
          <w:rFonts w:eastAsia="Times New Roman" w:cstheme="minorHAnsi"/>
        </w:rPr>
        <w:t>.</w:t>
      </w:r>
      <w:r w:rsidR="00ED3AE0" w:rsidRPr="00FB6248">
        <w:rPr>
          <w:rFonts w:eastAsia="Times New Roman" w:cstheme="minorHAnsi"/>
        </w:rPr>
        <w:t xml:space="preserve"> </w:t>
      </w:r>
      <w:r w:rsidR="00BD5660" w:rsidRPr="00FB6248">
        <w:rPr>
          <w:rFonts w:eastAsia="Times New Roman" w:cstheme="minorHAnsi"/>
        </w:rPr>
        <w:t xml:space="preserve">Lastly, the indirect effect of sexual orientation </w:t>
      </w:r>
      <w:r w:rsidR="000E6DCC" w:rsidRPr="00FB6248">
        <w:rPr>
          <w:rFonts w:eastAsia="Times New Roman" w:cstheme="minorHAnsi"/>
        </w:rPr>
        <w:t>to each well-being outcome</w:t>
      </w:r>
      <w:r w:rsidR="008A176C" w:rsidRPr="00FB6248">
        <w:rPr>
          <w:rFonts w:eastAsia="Times New Roman" w:cstheme="minorHAnsi"/>
        </w:rPr>
        <w:t xml:space="preserve"> path </w:t>
      </w:r>
      <w:r w:rsidR="00AC23EB" w:rsidRPr="00FB6248">
        <w:rPr>
          <w:rFonts w:eastAsia="Times New Roman" w:cstheme="minorHAnsi"/>
        </w:rPr>
        <w:t>coefficient</w:t>
      </w:r>
      <w:r w:rsidR="000E6DCC" w:rsidRPr="00FB6248">
        <w:rPr>
          <w:rFonts w:eastAsia="Times New Roman" w:cstheme="minorHAnsi"/>
        </w:rPr>
        <w:t xml:space="preserve"> </w:t>
      </w:r>
      <w:r w:rsidR="00AC23EB" w:rsidRPr="00FB6248">
        <w:rPr>
          <w:rFonts w:eastAsia="Times New Roman" w:cstheme="minorHAnsi"/>
        </w:rPr>
        <w:t>(</w:t>
      </w:r>
      <w:r w:rsidR="00AC23EB" w:rsidRPr="00FB6248">
        <w:rPr>
          <w:rFonts w:eastAsia="Times New Roman" w:cstheme="minorHAnsi"/>
          <w:i/>
        </w:rPr>
        <w:t>c’</w:t>
      </w:r>
      <w:r w:rsidR="00AC23EB" w:rsidRPr="00FB6248">
        <w:rPr>
          <w:rFonts w:eastAsia="Times New Roman" w:cstheme="minorHAnsi"/>
        </w:rPr>
        <w:t xml:space="preserve"> path)</w:t>
      </w:r>
      <w:r w:rsidR="00486D8D" w:rsidRPr="00FB6248">
        <w:rPr>
          <w:rFonts w:eastAsia="Times New Roman" w:cstheme="minorHAnsi"/>
        </w:rPr>
        <w:t xml:space="preserve"> and </w:t>
      </w:r>
      <w:r w:rsidR="00BD453C" w:rsidRPr="00FB6248">
        <w:rPr>
          <w:rFonts w:eastAsia="Times New Roman" w:cstheme="minorHAnsi"/>
        </w:rPr>
        <w:t>confidence intervals</w:t>
      </w:r>
      <w:r w:rsidR="00AC23EB" w:rsidRPr="00FB6248">
        <w:rPr>
          <w:rFonts w:eastAsia="Times New Roman" w:cstheme="minorHAnsi"/>
        </w:rPr>
        <w:t xml:space="preserve"> </w:t>
      </w:r>
      <w:r w:rsidR="000E6DCC" w:rsidRPr="00FB6248">
        <w:rPr>
          <w:rFonts w:eastAsia="Times New Roman" w:cstheme="minorHAnsi"/>
        </w:rPr>
        <w:t xml:space="preserve">will </w:t>
      </w:r>
      <w:r w:rsidR="006C2FCB" w:rsidRPr="00FB6248">
        <w:rPr>
          <w:rFonts w:eastAsia="Times New Roman" w:cstheme="minorHAnsi"/>
        </w:rPr>
        <w:t>be computed using the product coefficient approach</w:t>
      </w:r>
      <w:r w:rsidR="00BD453C" w:rsidRPr="00FB6248">
        <w:rPr>
          <w:rFonts w:eastAsia="Times New Roman" w:cstheme="minorHAnsi"/>
        </w:rPr>
        <w:t xml:space="preserve"> and bootstrap methods</w:t>
      </w:r>
      <w:r w:rsidR="0019073F" w:rsidRPr="00FB6248">
        <w:rPr>
          <w:rFonts w:eastAsia="Times New Roman" w:cstheme="minorHAnsi"/>
        </w:rPr>
        <w:t xml:space="preserve"> proposed by </w:t>
      </w:r>
      <w:r w:rsidR="00AC23EB" w:rsidRPr="00FB6248">
        <w:rPr>
          <w:rFonts w:eastAsia="Times New Roman" w:cstheme="minorHAnsi"/>
        </w:rPr>
        <w:t>Hayes, Preacher &amp; Myers</w:t>
      </w:r>
      <w:r w:rsidR="0019073F" w:rsidRPr="00FB6248">
        <w:rPr>
          <w:rFonts w:eastAsia="Times New Roman" w:cstheme="minorHAnsi"/>
        </w:rPr>
        <w:t xml:space="preserve"> (</w:t>
      </w:r>
      <w:r w:rsidR="00865A45" w:rsidRPr="00FB6248">
        <w:rPr>
          <w:rFonts w:eastAsia="Times New Roman" w:cstheme="minorHAnsi"/>
        </w:rPr>
        <w:t>2011</w:t>
      </w:r>
      <w:r w:rsidR="00BD453C" w:rsidRPr="00FB6248">
        <w:rPr>
          <w:rFonts w:eastAsia="Times New Roman" w:cstheme="minorHAnsi"/>
        </w:rPr>
        <w:t xml:space="preserve">). </w:t>
      </w:r>
      <w:r w:rsidR="00385EB6" w:rsidRPr="00FB6248">
        <w:rPr>
          <w:rFonts w:eastAsia="Times New Roman" w:cstheme="minorHAnsi"/>
        </w:rPr>
        <w:t>All analyses performed in in this study were performed using R version 3.4.4 (R Core Team, 2018).</w:t>
      </w:r>
    </w:p>
    <w:p w14:paraId="03BF6EC1" w14:textId="77777777" w:rsidR="00481DB3" w:rsidRPr="00FB6248" w:rsidRDefault="00481DB3" w:rsidP="00800DEC">
      <w:pPr>
        <w:spacing w:after="0" w:line="480" w:lineRule="auto"/>
        <w:rPr>
          <w:rFonts w:eastAsia="Times New Roman" w:cstheme="minorHAnsi"/>
          <w:b/>
          <w:bCs/>
        </w:rPr>
      </w:pPr>
    </w:p>
    <w:p w14:paraId="4FCFAC11" w14:textId="7EDC106C" w:rsidR="0032047A" w:rsidRPr="00FB6248" w:rsidRDefault="0032047A" w:rsidP="00800DEC">
      <w:pPr>
        <w:spacing w:after="0" w:line="480" w:lineRule="auto"/>
        <w:rPr>
          <w:rFonts w:eastAsia="Times New Roman" w:cstheme="minorHAnsi"/>
        </w:rPr>
      </w:pPr>
      <w:r w:rsidRPr="00FB6248">
        <w:rPr>
          <w:rFonts w:eastAsia="Times New Roman" w:cstheme="minorHAnsi"/>
          <w:b/>
          <w:bCs/>
        </w:rPr>
        <w:t>Results</w:t>
      </w:r>
    </w:p>
    <w:p w14:paraId="6D08E635" w14:textId="77777777" w:rsidR="0032047A" w:rsidRPr="00FB6248" w:rsidRDefault="0032047A" w:rsidP="00800DEC">
      <w:pPr>
        <w:spacing w:after="0" w:line="480" w:lineRule="auto"/>
        <w:rPr>
          <w:rFonts w:eastAsia="Times New Roman" w:cstheme="minorHAnsi"/>
          <w:b/>
        </w:rPr>
      </w:pPr>
      <w:r w:rsidRPr="00FB6248">
        <w:rPr>
          <w:rFonts w:eastAsia="Times New Roman" w:cstheme="minorHAnsi"/>
          <w:b/>
          <w:iCs/>
        </w:rPr>
        <w:t>Social Well-Being</w:t>
      </w:r>
    </w:p>
    <w:p w14:paraId="62C63391" w14:textId="258F3EEA" w:rsidR="00FA4D09" w:rsidRPr="00FB6248" w:rsidRDefault="0032047A" w:rsidP="00800DEC">
      <w:pPr>
        <w:spacing w:after="0" w:line="480" w:lineRule="auto"/>
        <w:rPr>
          <w:rFonts w:eastAsia="Times New Roman" w:cstheme="minorHAnsi"/>
        </w:rPr>
      </w:pPr>
      <w:r w:rsidRPr="00FB6248">
        <w:rPr>
          <w:rFonts w:eastAsia="Times New Roman" w:cstheme="minorHAnsi"/>
          <w:i/>
          <w:iCs/>
        </w:rPr>
        <w:t xml:space="preserve">            </w:t>
      </w:r>
      <w:r w:rsidRPr="00FB6248">
        <w:rPr>
          <w:rFonts w:eastAsia="Times New Roman" w:cstheme="minorHAnsi"/>
        </w:rPr>
        <w:t xml:space="preserve">A linear regression model was first used to assess </w:t>
      </w:r>
      <w:r w:rsidR="00A93CA8" w:rsidRPr="00FB6248">
        <w:rPr>
          <w:rFonts w:eastAsia="Times New Roman" w:cstheme="minorHAnsi"/>
          <w:i/>
        </w:rPr>
        <w:t>c</w:t>
      </w:r>
      <w:r w:rsidR="00A93CA8" w:rsidRPr="00FB6248">
        <w:rPr>
          <w:rFonts w:eastAsia="Times New Roman" w:cstheme="minorHAnsi"/>
        </w:rPr>
        <w:t xml:space="preserve"> path</w:t>
      </w:r>
      <w:r w:rsidRPr="00FB6248">
        <w:rPr>
          <w:rFonts w:eastAsia="Times New Roman" w:cstheme="minorHAnsi"/>
        </w:rPr>
        <w:t xml:space="preserve"> </w:t>
      </w:r>
      <w:r w:rsidR="00A93CA8" w:rsidRPr="00FB6248">
        <w:rPr>
          <w:rFonts w:eastAsia="Times New Roman" w:cstheme="minorHAnsi"/>
        </w:rPr>
        <w:t>of</w:t>
      </w:r>
      <w:r w:rsidRPr="00FB6248">
        <w:rPr>
          <w:rFonts w:eastAsia="Times New Roman" w:cstheme="minorHAnsi"/>
        </w:rPr>
        <w:t xml:space="preserve"> sexual orientation</w:t>
      </w:r>
      <w:r w:rsidR="00A93CA8" w:rsidRPr="00FB6248">
        <w:rPr>
          <w:rFonts w:eastAsia="Times New Roman" w:cstheme="minorHAnsi"/>
        </w:rPr>
        <w:t xml:space="preserve"> to</w:t>
      </w:r>
      <w:r w:rsidRPr="00FB6248">
        <w:rPr>
          <w:rFonts w:eastAsia="Times New Roman" w:cstheme="minorHAnsi"/>
        </w:rPr>
        <w:t xml:space="preserve"> social well-being scores. After controlling for race and gender, no significant effect of sexual orientation on social well-being was detected (b = -1.90, p = 0.144). Results from the regression model are reported in </w:t>
      </w:r>
      <w:r w:rsidRPr="00FB6248">
        <w:rPr>
          <w:rFonts w:eastAsia="Times New Roman" w:cstheme="minorHAnsi"/>
          <w:i/>
          <w:iCs/>
        </w:rPr>
        <w:t>Table 4</w:t>
      </w:r>
      <w:r w:rsidRPr="00FB6248">
        <w:rPr>
          <w:rFonts w:eastAsia="Times New Roman" w:cstheme="minorHAnsi"/>
        </w:rPr>
        <w:t>. Because sexual orientation did not significantly predict social well-being scores, this study did not proceed to assess the mediation of lifetime discrimination on the relationship between sexual orientation and social well-being.</w:t>
      </w:r>
    </w:p>
    <w:p w14:paraId="0DDED91C" w14:textId="77777777" w:rsidR="00FA4D09" w:rsidRPr="00FB6248" w:rsidRDefault="00FA4D09" w:rsidP="00800DEC">
      <w:pPr>
        <w:spacing w:after="0" w:line="480" w:lineRule="auto"/>
        <w:rPr>
          <w:rFonts w:eastAsia="Times New Roman" w:cstheme="minorHAnsi"/>
        </w:rPr>
      </w:pPr>
    </w:p>
    <w:p w14:paraId="1E06C2FD" w14:textId="561BC3FD" w:rsidR="00FA4D09" w:rsidRPr="00FB6248" w:rsidRDefault="00FA4D09" w:rsidP="0077362D">
      <w:pPr>
        <w:widowControl w:val="0"/>
        <w:autoSpaceDE w:val="0"/>
        <w:autoSpaceDN w:val="0"/>
        <w:adjustRightInd w:val="0"/>
        <w:spacing w:after="0" w:line="240" w:lineRule="auto"/>
        <w:rPr>
          <w:rFonts w:cstheme="minorHAnsi"/>
        </w:rPr>
      </w:pPr>
      <w:r w:rsidRPr="00FB6248">
        <w:rPr>
          <w:rFonts w:cstheme="minorHAnsi"/>
        </w:rPr>
        <w:t xml:space="preserve">Table 4:  </w:t>
      </w:r>
      <w:r w:rsidR="00911660" w:rsidRPr="00FB6248">
        <w:rPr>
          <w:rFonts w:cstheme="minorHAnsi"/>
          <w:i/>
        </w:rPr>
        <w:t>c path</w:t>
      </w:r>
      <w:r w:rsidR="00911660" w:rsidRPr="00FB6248">
        <w:rPr>
          <w:rFonts w:cstheme="minorHAnsi"/>
        </w:rPr>
        <w:t xml:space="preserve"> r</w:t>
      </w:r>
      <w:r w:rsidRPr="00FB6248">
        <w:rPr>
          <w:rFonts w:cstheme="minorHAnsi"/>
          <w:i/>
          <w:iCs/>
        </w:rPr>
        <w:t>egression results using Social Well-Being as the criterion</w:t>
      </w:r>
    </w:p>
    <w:p w14:paraId="04732447" w14:textId="77777777" w:rsidR="00FA4D09" w:rsidRPr="00FB6248" w:rsidRDefault="00FA4D09" w:rsidP="0077362D">
      <w:pPr>
        <w:widowControl w:val="0"/>
        <w:autoSpaceDE w:val="0"/>
        <w:autoSpaceDN w:val="0"/>
        <w:adjustRightInd w:val="0"/>
        <w:spacing w:after="0" w:line="240" w:lineRule="auto"/>
        <w:rPr>
          <w:rFonts w:cstheme="minorHAnsi"/>
        </w:rPr>
      </w:pPr>
      <w:r w:rsidRPr="00FB6248">
        <w:rPr>
          <w:rFonts w:cstheme="minorHAnsi"/>
        </w:rPr>
        <w:t xml:space="preserve"> </w:t>
      </w:r>
    </w:p>
    <w:tbl>
      <w:tblPr>
        <w:tblW w:w="6626" w:type="dxa"/>
        <w:jc w:val="center"/>
        <w:tblLayout w:type="fixed"/>
        <w:tblCellMar>
          <w:left w:w="100" w:type="dxa"/>
          <w:right w:w="100" w:type="dxa"/>
        </w:tblCellMar>
        <w:tblLook w:val="0000" w:firstRow="0" w:lastRow="0" w:firstColumn="0" w:lastColumn="0" w:noHBand="0" w:noVBand="0"/>
      </w:tblPr>
      <w:tblGrid>
        <w:gridCol w:w="2620"/>
        <w:gridCol w:w="1530"/>
        <w:gridCol w:w="1612"/>
        <w:gridCol w:w="864"/>
      </w:tblGrid>
      <w:tr w:rsidR="00056D45" w:rsidRPr="00FB6248" w14:paraId="24E73E31" w14:textId="77777777" w:rsidTr="00782096">
        <w:trPr>
          <w:jc w:val="center"/>
        </w:trPr>
        <w:tc>
          <w:tcPr>
            <w:tcW w:w="2620" w:type="dxa"/>
            <w:tcBorders>
              <w:top w:val="single" w:sz="6" w:space="0" w:color="auto"/>
              <w:left w:val="nil"/>
              <w:bottom w:val="nil"/>
              <w:right w:val="nil"/>
            </w:tcBorders>
            <w:vAlign w:val="center"/>
          </w:tcPr>
          <w:p w14:paraId="50436C64"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Predictor</w:t>
            </w:r>
          </w:p>
        </w:tc>
        <w:tc>
          <w:tcPr>
            <w:tcW w:w="1530" w:type="dxa"/>
            <w:tcBorders>
              <w:top w:val="single" w:sz="6" w:space="0" w:color="auto"/>
              <w:left w:val="nil"/>
              <w:bottom w:val="nil"/>
              <w:right w:val="nil"/>
            </w:tcBorders>
            <w:vAlign w:val="center"/>
          </w:tcPr>
          <w:p w14:paraId="45A225CC"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i/>
                <w:iCs/>
              </w:rPr>
              <w:t>b</w:t>
            </w:r>
          </w:p>
        </w:tc>
        <w:tc>
          <w:tcPr>
            <w:tcW w:w="1612" w:type="dxa"/>
            <w:tcBorders>
              <w:top w:val="single" w:sz="6" w:space="0" w:color="auto"/>
              <w:left w:val="nil"/>
              <w:bottom w:val="nil"/>
              <w:right w:val="nil"/>
            </w:tcBorders>
            <w:vAlign w:val="center"/>
          </w:tcPr>
          <w:p w14:paraId="7890EB68"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i/>
                <w:iCs/>
              </w:rPr>
              <w:t>b</w:t>
            </w:r>
          </w:p>
          <w:p w14:paraId="6AA3EEFD"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95% CI</w:t>
            </w:r>
          </w:p>
          <w:p w14:paraId="2E1443A4"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[LL, UL]</w:t>
            </w:r>
          </w:p>
        </w:tc>
        <w:tc>
          <w:tcPr>
            <w:tcW w:w="864" w:type="dxa"/>
            <w:tcBorders>
              <w:top w:val="single" w:sz="6" w:space="0" w:color="auto"/>
              <w:left w:val="nil"/>
              <w:bottom w:val="nil"/>
              <w:right w:val="nil"/>
            </w:tcBorders>
            <w:vAlign w:val="center"/>
          </w:tcPr>
          <w:p w14:paraId="5A73BB59"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i/>
                <w:iCs/>
              </w:rPr>
              <w:t>r</w:t>
            </w:r>
          </w:p>
        </w:tc>
      </w:tr>
      <w:tr w:rsidR="00056D45" w:rsidRPr="00FB6248" w14:paraId="5D23937C" w14:textId="77777777" w:rsidTr="00782096">
        <w:trPr>
          <w:jc w:val="center"/>
        </w:trPr>
        <w:tc>
          <w:tcPr>
            <w:tcW w:w="2620" w:type="dxa"/>
            <w:tcBorders>
              <w:top w:val="single" w:sz="6" w:space="0" w:color="auto"/>
              <w:left w:val="nil"/>
              <w:bottom w:val="nil"/>
              <w:right w:val="nil"/>
            </w:tcBorders>
            <w:vAlign w:val="center"/>
          </w:tcPr>
          <w:p w14:paraId="5649B71D"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(Intercept)</w:t>
            </w:r>
          </w:p>
          <w:p w14:paraId="6502C127" w14:textId="77777777" w:rsidR="00FA4D09" w:rsidRPr="00FB6248" w:rsidRDefault="00FA4D09" w:rsidP="0077362D">
            <w:pPr>
              <w:widowControl w:val="0"/>
              <w:autoSpaceDE w:val="0"/>
              <w:autoSpaceDN w:val="0"/>
              <w:adjustRightInd w:val="0"/>
              <w:spacing w:after="0" w:line="240" w:lineRule="auto"/>
              <w:jc w:val="center"/>
              <w:rPr>
                <w:rFonts w:cstheme="minorHAnsi"/>
              </w:rPr>
            </w:pPr>
          </w:p>
        </w:tc>
        <w:tc>
          <w:tcPr>
            <w:tcW w:w="1530" w:type="dxa"/>
            <w:tcBorders>
              <w:top w:val="single" w:sz="6" w:space="0" w:color="auto"/>
              <w:left w:val="nil"/>
              <w:bottom w:val="nil"/>
              <w:right w:val="nil"/>
            </w:tcBorders>
            <w:vAlign w:val="center"/>
          </w:tcPr>
          <w:p w14:paraId="35B8EB68" w14:textId="77777777" w:rsidR="00FA4D09" w:rsidRPr="00FB6248" w:rsidRDefault="00FA4D09" w:rsidP="0077362D">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61.97**</w:t>
            </w:r>
          </w:p>
        </w:tc>
        <w:tc>
          <w:tcPr>
            <w:tcW w:w="1612" w:type="dxa"/>
            <w:tcBorders>
              <w:top w:val="single" w:sz="6" w:space="0" w:color="auto"/>
              <w:left w:val="nil"/>
              <w:bottom w:val="nil"/>
              <w:right w:val="nil"/>
            </w:tcBorders>
            <w:vAlign w:val="center"/>
          </w:tcPr>
          <w:p w14:paraId="122BC063" w14:textId="77777777" w:rsidR="00FA4D09" w:rsidRPr="00FB6248" w:rsidRDefault="00FA4D09" w:rsidP="0077362D">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[60.38, 63.55]</w:t>
            </w:r>
          </w:p>
        </w:tc>
        <w:tc>
          <w:tcPr>
            <w:tcW w:w="864" w:type="dxa"/>
            <w:tcBorders>
              <w:top w:val="single" w:sz="6" w:space="0" w:color="auto"/>
              <w:left w:val="nil"/>
              <w:bottom w:val="nil"/>
              <w:right w:val="nil"/>
            </w:tcBorders>
            <w:vAlign w:val="center"/>
          </w:tcPr>
          <w:p w14:paraId="33805402" w14:textId="77777777" w:rsidR="00FA4D09" w:rsidRPr="00FB6248" w:rsidRDefault="00FA4D09" w:rsidP="0077362D">
            <w:pPr>
              <w:widowControl w:val="0"/>
              <w:tabs>
                <w:tab w:val="decimal" w:leader="dot" w:pos="130"/>
              </w:tabs>
              <w:autoSpaceDE w:val="0"/>
              <w:autoSpaceDN w:val="0"/>
              <w:adjustRightInd w:val="0"/>
              <w:spacing w:after="0" w:line="240" w:lineRule="auto"/>
              <w:jc w:val="center"/>
              <w:rPr>
                <w:rFonts w:cstheme="minorHAnsi"/>
              </w:rPr>
            </w:pPr>
          </w:p>
        </w:tc>
      </w:tr>
      <w:tr w:rsidR="00056D45" w:rsidRPr="00FB6248" w14:paraId="206A4807" w14:textId="77777777" w:rsidTr="00782096">
        <w:trPr>
          <w:jc w:val="center"/>
        </w:trPr>
        <w:tc>
          <w:tcPr>
            <w:tcW w:w="2620" w:type="dxa"/>
            <w:tcBorders>
              <w:top w:val="nil"/>
              <w:left w:val="nil"/>
              <w:bottom w:val="nil"/>
              <w:right w:val="nil"/>
            </w:tcBorders>
            <w:vAlign w:val="center"/>
          </w:tcPr>
          <w:p w14:paraId="38DDF62E"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Sexual Orientation</w:t>
            </w:r>
          </w:p>
          <w:p w14:paraId="363A1F66"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(LGB =1)</w:t>
            </w:r>
          </w:p>
          <w:p w14:paraId="6ED359FA" w14:textId="77777777" w:rsidR="00FA4D09" w:rsidRPr="00FB6248" w:rsidRDefault="00FA4D09" w:rsidP="0077362D">
            <w:pPr>
              <w:widowControl w:val="0"/>
              <w:autoSpaceDE w:val="0"/>
              <w:autoSpaceDN w:val="0"/>
              <w:adjustRightInd w:val="0"/>
              <w:spacing w:after="0" w:line="240" w:lineRule="auto"/>
              <w:jc w:val="center"/>
              <w:rPr>
                <w:rFonts w:cstheme="minorHAnsi"/>
              </w:rPr>
            </w:pPr>
          </w:p>
        </w:tc>
        <w:tc>
          <w:tcPr>
            <w:tcW w:w="1530" w:type="dxa"/>
            <w:tcBorders>
              <w:top w:val="nil"/>
              <w:left w:val="nil"/>
              <w:bottom w:val="nil"/>
              <w:right w:val="nil"/>
            </w:tcBorders>
            <w:vAlign w:val="center"/>
          </w:tcPr>
          <w:p w14:paraId="3D2FC86D" w14:textId="77777777" w:rsidR="00FA4D09" w:rsidRPr="00FB6248" w:rsidRDefault="00FA4D09" w:rsidP="0077362D">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-1.90</w:t>
            </w:r>
          </w:p>
        </w:tc>
        <w:tc>
          <w:tcPr>
            <w:tcW w:w="1612" w:type="dxa"/>
            <w:tcBorders>
              <w:top w:val="nil"/>
              <w:left w:val="nil"/>
              <w:bottom w:val="nil"/>
              <w:right w:val="nil"/>
            </w:tcBorders>
            <w:vAlign w:val="center"/>
          </w:tcPr>
          <w:p w14:paraId="6D28DA22" w14:textId="77777777" w:rsidR="00FA4D09" w:rsidRPr="00FB6248" w:rsidRDefault="00FA4D09" w:rsidP="0077362D">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[-4.44, 0.65]</w:t>
            </w:r>
          </w:p>
        </w:tc>
        <w:tc>
          <w:tcPr>
            <w:tcW w:w="864" w:type="dxa"/>
            <w:tcBorders>
              <w:top w:val="nil"/>
              <w:left w:val="nil"/>
              <w:bottom w:val="nil"/>
              <w:right w:val="nil"/>
            </w:tcBorders>
            <w:vAlign w:val="center"/>
          </w:tcPr>
          <w:p w14:paraId="534530B4" w14:textId="77777777" w:rsidR="00FA4D09" w:rsidRPr="00FB6248" w:rsidRDefault="00FA4D09" w:rsidP="0077362D">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r w:rsidR="00056D45" w:rsidRPr="00FB6248" w14:paraId="10188B38" w14:textId="77777777" w:rsidTr="00782096">
        <w:trPr>
          <w:jc w:val="center"/>
        </w:trPr>
        <w:tc>
          <w:tcPr>
            <w:tcW w:w="2620" w:type="dxa"/>
            <w:tcBorders>
              <w:top w:val="nil"/>
              <w:left w:val="nil"/>
              <w:right w:val="nil"/>
            </w:tcBorders>
            <w:vAlign w:val="center"/>
          </w:tcPr>
          <w:p w14:paraId="2859F7D5"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Race</w:t>
            </w:r>
          </w:p>
          <w:p w14:paraId="1E855E34" w14:textId="3905BE7B"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 xml:space="preserve">(White = 1; </w:t>
            </w:r>
            <w:r w:rsidR="00782096" w:rsidRPr="00FB6248">
              <w:rPr>
                <w:rFonts w:cstheme="minorHAnsi"/>
              </w:rPr>
              <w:t>Non-white</w:t>
            </w:r>
            <w:r w:rsidRPr="00FB6248">
              <w:rPr>
                <w:rFonts w:cstheme="minorHAnsi"/>
              </w:rPr>
              <w:t xml:space="preserve"> = 0)</w:t>
            </w:r>
          </w:p>
          <w:p w14:paraId="7D7BB0BA" w14:textId="77777777" w:rsidR="00FA4D09" w:rsidRPr="00FB6248" w:rsidRDefault="00FA4D09" w:rsidP="0077362D">
            <w:pPr>
              <w:widowControl w:val="0"/>
              <w:autoSpaceDE w:val="0"/>
              <w:autoSpaceDN w:val="0"/>
              <w:adjustRightInd w:val="0"/>
              <w:spacing w:after="0" w:line="240" w:lineRule="auto"/>
              <w:jc w:val="center"/>
              <w:rPr>
                <w:rFonts w:cstheme="minorHAnsi"/>
              </w:rPr>
            </w:pPr>
          </w:p>
        </w:tc>
        <w:tc>
          <w:tcPr>
            <w:tcW w:w="1530" w:type="dxa"/>
            <w:tcBorders>
              <w:top w:val="nil"/>
              <w:left w:val="nil"/>
              <w:right w:val="nil"/>
            </w:tcBorders>
            <w:vAlign w:val="center"/>
          </w:tcPr>
          <w:p w14:paraId="0D37C67C" w14:textId="77777777" w:rsidR="00FA4D09" w:rsidRPr="00FB6248" w:rsidRDefault="00FA4D09" w:rsidP="0077362D">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lastRenderedPageBreak/>
              <w:t>2.77**</w:t>
            </w:r>
          </w:p>
        </w:tc>
        <w:tc>
          <w:tcPr>
            <w:tcW w:w="1612" w:type="dxa"/>
            <w:tcBorders>
              <w:top w:val="nil"/>
              <w:left w:val="nil"/>
              <w:right w:val="nil"/>
            </w:tcBorders>
            <w:vAlign w:val="center"/>
          </w:tcPr>
          <w:p w14:paraId="2FC640B7" w14:textId="77777777" w:rsidR="00FA4D09" w:rsidRPr="00FB6248" w:rsidRDefault="00FA4D09" w:rsidP="0077362D">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[1.17, 4.37]</w:t>
            </w:r>
          </w:p>
        </w:tc>
        <w:tc>
          <w:tcPr>
            <w:tcW w:w="864" w:type="dxa"/>
            <w:tcBorders>
              <w:top w:val="nil"/>
              <w:left w:val="nil"/>
              <w:right w:val="nil"/>
            </w:tcBorders>
            <w:vAlign w:val="center"/>
          </w:tcPr>
          <w:p w14:paraId="63AD72C3" w14:textId="77777777" w:rsidR="00FA4D09" w:rsidRPr="00FB6248" w:rsidRDefault="00FA4D09" w:rsidP="0077362D">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.06**</w:t>
            </w:r>
          </w:p>
        </w:tc>
      </w:tr>
      <w:tr w:rsidR="00056D45" w:rsidRPr="00FB6248" w14:paraId="57A43334" w14:textId="77777777" w:rsidTr="00782096">
        <w:trPr>
          <w:jc w:val="center"/>
        </w:trPr>
        <w:tc>
          <w:tcPr>
            <w:tcW w:w="2620" w:type="dxa"/>
            <w:tcBorders>
              <w:top w:val="nil"/>
              <w:left w:val="nil"/>
              <w:bottom w:val="single" w:sz="4" w:space="0" w:color="auto"/>
              <w:right w:val="nil"/>
            </w:tcBorders>
            <w:vAlign w:val="center"/>
          </w:tcPr>
          <w:p w14:paraId="18A197CC"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Sex</w:t>
            </w:r>
          </w:p>
          <w:p w14:paraId="0A492649" w14:textId="77777777" w:rsidR="00FA4D09" w:rsidRPr="00FB6248" w:rsidRDefault="00FA4D09" w:rsidP="0077362D">
            <w:pPr>
              <w:widowControl w:val="0"/>
              <w:autoSpaceDE w:val="0"/>
              <w:autoSpaceDN w:val="0"/>
              <w:adjustRightInd w:val="0"/>
              <w:spacing w:after="0" w:line="240" w:lineRule="auto"/>
              <w:jc w:val="center"/>
              <w:rPr>
                <w:rFonts w:cstheme="minorHAnsi"/>
              </w:rPr>
            </w:pPr>
            <w:r w:rsidRPr="00FB6248">
              <w:rPr>
                <w:rFonts w:cstheme="minorHAnsi"/>
              </w:rPr>
              <w:t>(Male = 1)</w:t>
            </w:r>
          </w:p>
        </w:tc>
        <w:tc>
          <w:tcPr>
            <w:tcW w:w="1530" w:type="dxa"/>
            <w:tcBorders>
              <w:top w:val="nil"/>
              <w:left w:val="nil"/>
              <w:bottom w:val="single" w:sz="4" w:space="0" w:color="auto"/>
              <w:right w:val="nil"/>
            </w:tcBorders>
            <w:vAlign w:val="center"/>
          </w:tcPr>
          <w:p w14:paraId="334E6256" w14:textId="77777777" w:rsidR="00FA4D09" w:rsidRPr="00FB6248" w:rsidRDefault="00FA4D09" w:rsidP="0077362D">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0.54</w:t>
            </w:r>
          </w:p>
        </w:tc>
        <w:tc>
          <w:tcPr>
            <w:tcW w:w="1612" w:type="dxa"/>
            <w:tcBorders>
              <w:top w:val="nil"/>
              <w:left w:val="nil"/>
              <w:bottom w:val="single" w:sz="4" w:space="0" w:color="auto"/>
              <w:right w:val="nil"/>
            </w:tcBorders>
            <w:vAlign w:val="center"/>
          </w:tcPr>
          <w:p w14:paraId="611F5056" w14:textId="77777777" w:rsidR="00FA4D09" w:rsidRPr="00FB6248" w:rsidRDefault="00FA4D09" w:rsidP="0077362D">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[-0.30, 1.38]</w:t>
            </w:r>
          </w:p>
        </w:tc>
        <w:tc>
          <w:tcPr>
            <w:tcW w:w="864" w:type="dxa"/>
            <w:tcBorders>
              <w:top w:val="nil"/>
              <w:left w:val="nil"/>
              <w:bottom w:val="single" w:sz="4" w:space="0" w:color="auto"/>
              <w:right w:val="nil"/>
            </w:tcBorders>
            <w:vAlign w:val="center"/>
          </w:tcPr>
          <w:p w14:paraId="0959DDF2" w14:textId="77777777" w:rsidR="00FA4D09" w:rsidRPr="00FB6248" w:rsidRDefault="00FA4D09" w:rsidP="0077362D">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bl>
    <w:p w14:paraId="514D24C3" w14:textId="77777777" w:rsidR="00FA4D09" w:rsidRPr="00FB6248" w:rsidRDefault="00FA4D09" w:rsidP="0077362D">
      <w:pPr>
        <w:widowControl w:val="0"/>
        <w:autoSpaceDE w:val="0"/>
        <w:autoSpaceDN w:val="0"/>
        <w:adjustRightInd w:val="0"/>
        <w:spacing w:after="0" w:line="240" w:lineRule="auto"/>
        <w:rPr>
          <w:rFonts w:cstheme="minorHAnsi"/>
        </w:rPr>
      </w:pPr>
      <w:r w:rsidRPr="00FB6248">
        <w:rPr>
          <w:rFonts w:cstheme="minorHAnsi"/>
          <w:i/>
          <w:iCs/>
        </w:rPr>
        <w:t>R</w:t>
      </w:r>
      <w:r w:rsidRPr="00FB6248">
        <w:rPr>
          <w:rFonts w:cstheme="minorHAnsi"/>
          <w:i/>
          <w:iCs/>
          <w:vertAlign w:val="superscript"/>
        </w:rPr>
        <w:t xml:space="preserve">2 </w:t>
      </w:r>
      <w:r w:rsidRPr="00FB6248">
        <w:rPr>
          <w:rFonts w:cstheme="minorHAnsi"/>
        </w:rPr>
        <w:t xml:space="preserve">  = .004**</w:t>
      </w:r>
    </w:p>
    <w:p w14:paraId="178822A3" w14:textId="77777777" w:rsidR="00FA4D09" w:rsidRPr="00FB6248" w:rsidRDefault="00FA4D09" w:rsidP="0077362D">
      <w:pPr>
        <w:widowControl w:val="0"/>
        <w:autoSpaceDE w:val="0"/>
        <w:autoSpaceDN w:val="0"/>
        <w:adjustRightInd w:val="0"/>
        <w:spacing w:after="0" w:line="240" w:lineRule="auto"/>
        <w:rPr>
          <w:rFonts w:cstheme="minorHAnsi"/>
        </w:rPr>
      </w:pPr>
      <w:r w:rsidRPr="00FB6248">
        <w:rPr>
          <w:rFonts w:cstheme="minorHAnsi"/>
          <w:i/>
          <w:iCs/>
        </w:rPr>
        <w:t>Note.</w:t>
      </w:r>
      <w:r w:rsidRPr="00FB6248">
        <w:rPr>
          <w:rFonts w:cstheme="minorHAnsi"/>
        </w:rPr>
        <w:t xml:space="preserve"> A significant </w:t>
      </w:r>
      <w:r w:rsidRPr="00FB6248">
        <w:rPr>
          <w:rFonts w:cstheme="minorHAnsi"/>
          <w:i/>
          <w:iCs/>
        </w:rPr>
        <w:t>b</w:t>
      </w:r>
      <w:r w:rsidRPr="00FB6248">
        <w:rPr>
          <w:rFonts w:cstheme="minorHAnsi"/>
        </w:rPr>
        <w:t xml:space="preserve">-weight indicates the beta-weight and semi-partial correlation are also significant. </w:t>
      </w:r>
      <w:r w:rsidRPr="00FB6248">
        <w:rPr>
          <w:rFonts w:cstheme="minorHAnsi"/>
          <w:i/>
          <w:iCs/>
        </w:rPr>
        <w:t>b</w:t>
      </w:r>
      <w:r w:rsidRPr="00FB6248">
        <w:rPr>
          <w:rFonts w:cstheme="minorHAnsi"/>
        </w:rPr>
        <w:t xml:space="preserve"> represents unstandardized regression weights. </w:t>
      </w:r>
      <w:r w:rsidRPr="00FB6248">
        <w:rPr>
          <w:rFonts w:cstheme="minorHAnsi"/>
          <w:i/>
          <w:iCs/>
        </w:rPr>
        <w:t>r</w:t>
      </w:r>
      <w:r w:rsidRPr="00FB6248">
        <w:rPr>
          <w:rFonts w:cstheme="minorHAnsi"/>
        </w:rPr>
        <w:t xml:space="preserve"> represents the zero-order correlation. </w:t>
      </w:r>
      <w:r w:rsidRPr="00FB6248">
        <w:rPr>
          <w:rFonts w:cstheme="minorHAnsi"/>
          <w:i/>
          <w:iCs/>
        </w:rPr>
        <w:t>LL</w:t>
      </w:r>
      <w:r w:rsidRPr="00FB6248">
        <w:rPr>
          <w:rFonts w:cstheme="minorHAnsi"/>
        </w:rPr>
        <w:t xml:space="preserve"> and </w:t>
      </w:r>
      <w:r w:rsidRPr="00FB6248">
        <w:rPr>
          <w:rFonts w:cstheme="minorHAnsi"/>
          <w:i/>
          <w:iCs/>
        </w:rPr>
        <w:t>UL</w:t>
      </w:r>
      <w:r w:rsidRPr="00FB6248">
        <w:rPr>
          <w:rFonts w:cstheme="minorHAnsi"/>
        </w:rPr>
        <w:t xml:space="preserve"> indicate the lower and upper limits of a confidence interval, respectively.</w:t>
      </w:r>
      <w:r w:rsidRPr="00FB6248">
        <w:rPr>
          <w:rFonts w:cstheme="minorHAnsi"/>
        </w:rPr>
        <w:br/>
        <w:t xml:space="preserve">* indicates </w:t>
      </w:r>
      <w:r w:rsidRPr="00FB6248">
        <w:rPr>
          <w:rFonts w:cstheme="minorHAnsi"/>
          <w:i/>
          <w:iCs/>
        </w:rPr>
        <w:t>p</w:t>
      </w:r>
      <w:r w:rsidRPr="00FB6248">
        <w:rPr>
          <w:rFonts w:cstheme="minorHAnsi"/>
        </w:rPr>
        <w:t xml:space="preserve"> &lt; .05. ** indicates </w:t>
      </w:r>
      <w:r w:rsidRPr="00FB6248">
        <w:rPr>
          <w:rFonts w:cstheme="minorHAnsi"/>
          <w:i/>
          <w:iCs/>
        </w:rPr>
        <w:t>p</w:t>
      </w:r>
      <w:r w:rsidRPr="00FB6248">
        <w:rPr>
          <w:rFonts w:cstheme="minorHAnsi"/>
        </w:rPr>
        <w:t xml:space="preserve"> &lt; .01.</w:t>
      </w:r>
    </w:p>
    <w:p w14:paraId="45AA8EF8" w14:textId="77777777" w:rsidR="00FA4D09" w:rsidRPr="00FB6248" w:rsidRDefault="00FA4D09" w:rsidP="00800DEC">
      <w:pPr>
        <w:spacing w:after="0" w:line="480" w:lineRule="auto"/>
        <w:rPr>
          <w:rFonts w:eastAsia="Times New Roman" w:cstheme="minorHAnsi"/>
        </w:rPr>
      </w:pPr>
    </w:p>
    <w:p w14:paraId="30037F1D" w14:textId="77777777" w:rsidR="0086346D" w:rsidRPr="00FB6248" w:rsidRDefault="0086346D" w:rsidP="00800DEC">
      <w:pPr>
        <w:spacing w:after="0" w:line="480" w:lineRule="auto"/>
        <w:rPr>
          <w:rFonts w:eastAsia="Times New Roman" w:cstheme="minorHAnsi"/>
          <w:b/>
        </w:rPr>
      </w:pPr>
      <w:r w:rsidRPr="00FB6248">
        <w:rPr>
          <w:rFonts w:eastAsia="Times New Roman" w:cstheme="minorHAnsi"/>
          <w:b/>
          <w:iCs/>
        </w:rPr>
        <w:t>Psychological Well-Being</w:t>
      </w:r>
    </w:p>
    <w:p w14:paraId="48B8E585" w14:textId="7562ADC2" w:rsidR="00957C5D" w:rsidRPr="00FB6248" w:rsidRDefault="0086346D" w:rsidP="00800DEC">
      <w:pPr>
        <w:spacing w:line="480" w:lineRule="auto"/>
        <w:rPr>
          <w:rFonts w:cstheme="minorHAnsi"/>
          <w:b/>
        </w:rPr>
      </w:pPr>
      <w:r w:rsidRPr="00FB6248">
        <w:rPr>
          <w:rFonts w:eastAsia="Times New Roman" w:cstheme="minorHAnsi"/>
        </w:rPr>
        <w:t xml:space="preserve">            Another linear regression model was </w:t>
      </w:r>
      <w:r w:rsidR="00562F80" w:rsidRPr="00FB6248">
        <w:rPr>
          <w:rFonts w:eastAsia="Times New Roman" w:cstheme="minorHAnsi"/>
        </w:rPr>
        <w:t>used</w:t>
      </w:r>
      <w:r w:rsidRPr="00FB6248">
        <w:rPr>
          <w:rFonts w:eastAsia="Times New Roman" w:cstheme="minorHAnsi"/>
        </w:rPr>
        <w:t xml:space="preserve"> to determine the </w:t>
      </w:r>
      <w:r w:rsidR="00562F80" w:rsidRPr="00FB6248">
        <w:rPr>
          <w:rFonts w:eastAsia="Times New Roman" w:cstheme="minorHAnsi"/>
        </w:rPr>
        <w:t>c path of</w:t>
      </w:r>
      <w:r w:rsidRPr="00FB6248">
        <w:rPr>
          <w:rFonts w:eastAsia="Times New Roman" w:cstheme="minorHAnsi"/>
        </w:rPr>
        <w:t xml:space="preserve"> sexual orientation </w:t>
      </w:r>
      <w:r w:rsidR="005847A1" w:rsidRPr="00FB6248">
        <w:rPr>
          <w:rFonts w:eastAsia="Times New Roman" w:cstheme="minorHAnsi"/>
        </w:rPr>
        <w:t>to</w:t>
      </w:r>
      <w:r w:rsidRPr="00FB6248">
        <w:rPr>
          <w:rFonts w:eastAsia="Times New Roman" w:cstheme="minorHAnsi"/>
        </w:rPr>
        <w:t xml:space="preserve"> psychological well-being while controlling for participant race and sex. Results for the regression model may be found in </w:t>
      </w:r>
      <w:r w:rsidRPr="00FB6248">
        <w:rPr>
          <w:rFonts w:eastAsia="Times New Roman" w:cstheme="minorHAnsi"/>
          <w:i/>
          <w:iCs/>
        </w:rPr>
        <w:t>Table 5.</w:t>
      </w:r>
    </w:p>
    <w:p w14:paraId="72E73B67" w14:textId="283512D0" w:rsidR="004E4C20" w:rsidRPr="00FB6248" w:rsidRDefault="004E4C20" w:rsidP="0045024F">
      <w:pPr>
        <w:widowControl w:val="0"/>
        <w:autoSpaceDE w:val="0"/>
        <w:autoSpaceDN w:val="0"/>
        <w:adjustRightInd w:val="0"/>
        <w:spacing w:after="0" w:line="240" w:lineRule="auto"/>
        <w:rPr>
          <w:rFonts w:cstheme="minorHAnsi"/>
        </w:rPr>
      </w:pPr>
      <w:r w:rsidRPr="00FB6248">
        <w:rPr>
          <w:rFonts w:cstheme="minorHAnsi"/>
        </w:rPr>
        <w:t xml:space="preserve">Table 5: </w:t>
      </w:r>
      <w:r w:rsidR="00911660" w:rsidRPr="00FB6248">
        <w:rPr>
          <w:rFonts w:cstheme="minorHAnsi"/>
          <w:i/>
        </w:rPr>
        <w:t>c path</w:t>
      </w:r>
      <w:r w:rsidR="00911660" w:rsidRPr="00FB6248">
        <w:rPr>
          <w:rFonts w:cstheme="minorHAnsi"/>
        </w:rPr>
        <w:t xml:space="preserve"> r</w:t>
      </w:r>
      <w:r w:rsidRPr="00FB6248">
        <w:rPr>
          <w:rFonts w:cstheme="minorHAnsi"/>
          <w:i/>
          <w:iCs/>
        </w:rPr>
        <w:t>egression results using Psychological Well-Being as the criterion</w:t>
      </w:r>
    </w:p>
    <w:p w14:paraId="2BDED555" w14:textId="77777777" w:rsidR="004E4C20" w:rsidRPr="00FB6248" w:rsidRDefault="004E4C20" w:rsidP="0045024F">
      <w:pPr>
        <w:widowControl w:val="0"/>
        <w:autoSpaceDE w:val="0"/>
        <w:autoSpaceDN w:val="0"/>
        <w:adjustRightInd w:val="0"/>
        <w:spacing w:after="0" w:line="240" w:lineRule="auto"/>
        <w:rPr>
          <w:rFonts w:cstheme="minorHAnsi"/>
        </w:rPr>
      </w:pPr>
      <w:r w:rsidRPr="00FB6248">
        <w:rPr>
          <w:rFonts w:cstheme="minorHAnsi"/>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610"/>
        <w:gridCol w:w="1170"/>
        <w:gridCol w:w="1800"/>
        <w:gridCol w:w="720"/>
        <w:gridCol w:w="360"/>
      </w:tblGrid>
      <w:tr w:rsidR="00056D45" w:rsidRPr="00FB6248" w14:paraId="1FEB5F03" w14:textId="77777777" w:rsidTr="00782096">
        <w:trPr>
          <w:jc w:val="center"/>
        </w:trPr>
        <w:tc>
          <w:tcPr>
            <w:tcW w:w="2610" w:type="dxa"/>
            <w:tcBorders>
              <w:top w:val="single" w:sz="6" w:space="0" w:color="auto"/>
              <w:left w:val="nil"/>
              <w:bottom w:val="nil"/>
              <w:right w:val="nil"/>
            </w:tcBorders>
            <w:vAlign w:val="center"/>
          </w:tcPr>
          <w:p w14:paraId="1EAADB8C"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Predictor</w:t>
            </w:r>
          </w:p>
        </w:tc>
        <w:tc>
          <w:tcPr>
            <w:tcW w:w="1170" w:type="dxa"/>
            <w:tcBorders>
              <w:top w:val="single" w:sz="6" w:space="0" w:color="auto"/>
              <w:left w:val="nil"/>
              <w:bottom w:val="nil"/>
              <w:right w:val="nil"/>
            </w:tcBorders>
            <w:vAlign w:val="center"/>
          </w:tcPr>
          <w:p w14:paraId="1BB55025"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i/>
                <w:iCs/>
              </w:rPr>
              <w:t>b</w:t>
            </w:r>
          </w:p>
        </w:tc>
        <w:tc>
          <w:tcPr>
            <w:tcW w:w="1800" w:type="dxa"/>
            <w:tcBorders>
              <w:top w:val="single" w:sz="6" w:space="0" w:color="auto"/>
              <w:left w:val="nil"/>
              <w:bottom w:val="nil"/>
              <w:right w:val="nil"/>
            </w:tcBorders>
            <w:vAlign w:val="center"/>
          </w:tcPr>
          <w:p w14:paraId="15D05D75"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i/>
                <w:iCs/>
              </w:rPr>
              <w:t>b</w:t>
            </w:r>
          </w:p>
          <w:p w14:paraId="759E05F3"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95% CI</w:t>
            </w:r>
          </w:p>
          <w:p w14:paraId="4A57412D"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[LL, UL]</w:t>
            </w:r>
          </w:p>
        </w:tc>
        <w:tc>
          <w:tcPr>
            <w:tcW w:w="1080" w:type="dxa"/>
            <w:gridSpan w:val="2"/>
            <w:tcBorders>
              <w:top w:val="single" w:sz="6" w:space="0" w:color="auto"/>
              <w:left w:val="nil"/>
              <w:bottom w:val="nil"/>
              <w:right w:val="nil"/>
            </w:tcBorders>
            <w:vAlign w:val="center"/>
          </w:tcPr>
          <w:p w14:paraId="106C259B"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i/>
                <w:iCs/>
              </w:rPr>
              <w:t>r</w:t>
            </w:r>
          </w:p>
        </w:tc>
      </w:tr>
      <w:tr w:rsidR="00056D45" w:rsidRPr="00FB6248" w14:paraId="62839A14" w14:textId="77777777" w:rsidTr="00782096">
        <w:trPr>
          <w:jc w:val="center"/>
        </w:trPr>
        <w:tc>
          <w:tcPr>
            <w:tcW w:w="2610" w:type="dxa"/>
            <w:tcBorders>
              <w:top w:val="single" w:sz="6" w:space="0" w:color="auto"/>
              <w:left w:val="nil"/>
              <w:bottom w:val="nil"/>
              <w:right w:val="nil"/>
            </w:tcBorders>
            <w:vAlign w:val="center"/>
          </w:tcPr>
          <w:p w14:paraId="23A8B64E"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(Intercept)</w:t>
            </w:r>
          </w:p>
          <w:p w14:paraId="1A669B5D" w14:textId="77777777" w:rsidR="004E4C20" w:rsidRPr="00FB6248" w:rsidRDefault="004E4C20" w:rsidP="0045024F">
            <w:pPr>
              <w:widowControl w:val="0"/>
              <w:autoSpaceDE w:val="0"/>
              <w:autoSpaceDN w:val="0"/>
              <w:adjustRightInd w:val="0"/>
              <w:spacing w:after="0" w:line="240" w:lineRule="auto"/>
              <w:jc w:val="center"/>
              <w:rPr>
                <w:rFonts w:cstheme="minorHAnsi"/>
              </w:rPr>
            </w:pPr>
          </w:p>
        </w:tc>
        <w:tc>
          <w:tcPr>
            <w:tcW w:w="1170" w:type="dxa"/>
            <w:tcBorders>
              <w:top w:val="single" w:sz="6" w:space="0" w:color="auto"/>
              <w:left w:val="nil"/>
              <w:bottom w:val="nil"/>
              <w:right w:val="nil"/>
            </w:tcBorders>
            <w:vAlign w:val="center"/>
          </w:tcPr>
          <w:p w14:paraId="6D630E22" w14:textId="77777777" w:rsidR="004E4C20" w:rsidRPr="00FB6248" w:rsidRDefault="004E4C20" w:rsidP="0045024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228.85**</w:t>
            </w:r>
          </w:p>
        </w:tc>
        <w:tc>
          <w:tcPr>
            <w:tcW w:w="1800" w:type="dxa"/>
            <w:tcBorders>
              <w:top w:val="single" w:sz="6" w:space="0" w:color="auto"/>
              <w:left w:val="nil"/>
              <w:bottom w:val="nil"/>
              <w:right w:val="nil"/>
            </w:tcBorders>
            <w:vAlign w:val="center"/>
          </w:tcPr>
          <w:p w14:paraId="0C2215E8" w14:textId="77777777" w:rsidR="004E4C20" w:rsidRPr="00FB6248" w:rsidRDefault="004E4C20" w:rsidP="0045024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[224.61, 233.09]</w:t>
            </w:r>
          </w:p>
        </w:tc>
        <w:tc>
          <w:tcPr>
            <w:tcW w:w="1080" w:type="dxa"/>
            <w:gridSpan w:val="2"/>
            <w:tcBorders>
              <w:top w:val="single" w:sz="6" w:space="0" w:color="auto"/>
              <w:left w:val="nil"/>
              <w:bottom w:val="nil"/>
              <w:right w:val="nil"/>
            </w:tcBorders>
            <w:vAlign w:val="center"/>
          </w:tcPr>
          <w:p w14:paraId="12AF19F5" w14:textId="77777777" w:rsidR="004E4C20" w:rsidRPr="00FB6248" w:rsidRDefault="004E4C20" w:rsidP="0045024F">
            <w:pPr>
              <w:widowControl w:val="0"/>
              <w:tabs>
                <w:tab w:val="decimal" w:leader="dot" w:pos="130"/>
              </w:tabs>
              <w:autoSpaceDE w:val="0"/>
              <w:autoSpaceDN w:val="0"/>
              <w:adjustRightInd w:val="0"/>
              <w:spacing w:after="0" w:line="240" w:lineRule="auto"/>
              <w:jc w:val="center"/>
              <w:rPr>
                <w:rFonts w:cstheme="minorHAnsi"/>
              </w:rPr>
            </w:pPr>
          </w:p>
        </w:tc>
      </w:tr>
      <w:tr w:rsidR="00056D45" w:rsidRPr="00FB6248" w14:paraId="0A4D6333" w14:textId="77777777" w:rsidTr="00782096">
        <w:trPr>
          <w:jc w:val="center"/>
        </w:trPr>
        <w:tc>
          <w:tcPr>
            <w:tcW w:w="2610" w:type="dxa"/>
            <w:tcBorders>
              <w:top w:val="nil"/>
              <w:left w:val="nil"/>
              <w:bottom w:val="nil"/>
              <w:right w:val="nil"/>
            </w:tcBorders>
            <w:vAlign w:val="center"/>
          </w:tcPr>
          <w:p w14:paraId="6DBAD571"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Sexual Orientation</w:t>
            </w:r>
          </w:p>
          <w:p w14:paraId="339B4AA2"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(LGB =1)</w:t>
            </w:r>
          </w:p>
          <w:p w14:paraId="678B08FC" w14:textId="77777777" w:rsidR="004E4C20" w:rsidRPr="00FB6248" w:rsidRDefault="004E4C20" w:rsidP="0045024F">
            <w:pPr>
              <w:widowControl w:val="0"/>
              <w:autoSpaceDE w:val="0"/>
              <w:autoSpaceDN w:val="0"/>
              <w:adjustRightInd w:val="0"/>
              <w:spacing w:after="0" w:line="240" w:lineRule="auto"/>
              <w:jc w:val="center"/>
              <w:rPr>
                <w:rFonts w:cstheme="minorHAnsi"/>
              </w:rPr>
            </w:pPr>
          </w:p>
        </w:tc>
        <w:tc>
          <w:tcPr>
            <w:tcW w:w="1170" w:type="dxa"/>
            <w:tcBorders>
              <w:top w:val="nil"/>
              <w:left w:val="nil"/>
              <w:bottom w:val="nil"/>
              <w:right w:val="nil"/>
            </w:tcBorders>
            <w:vAlign w:val="center"/>
          </w:tcPr>
          <w:p w14:paraId="5BE4871C" w14:textId="77777777" w:rsidR="004E4C20" w:rsidRPr="00FB6248" w:rsidRDefault="004E4C20" w:rsidP="0045024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-10.36**</w:t>
            </w:r>
          </w:p>
        </w:tc>
        <w:tc>
          <w:tcPr>
            <w:tcW w:w="1800" w:type="dxa"/>
            <w:tcBorders>
              <w:top w:val="nil"/>
              <w:left w:val="nil"/>
              <w:bottom w:val="nil"/>
              <w:right w:val="nil"/>
            </w:tcBorders>
            <w:vAlign w:val="center"/>
          </w:tcPr>
          <w:p w14:paraId="692015A9" w14:textId="77777777" w:rsidR="004E4C20" w:rsidRPr="00FB6248" w:rsidRDefault="004E4C20" w:rsidP="0045024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[-17.17, -3.55]</w:t>
            </w:r>
          </w:p>
        </w:tc>
        <w:tc>
          <w:tcPr>
            <w:tcW w:w="1080" w:type="dxa"/>
            <w:gridSpan w:val="2"/>
            <w:tcBorders>
              <w:top w:val="nil"/>
              <w:left w:val="nil"/>
              <w:bottom w:val="nil"/>
              <w:right w:val="nil"/>
            </w:tcBorders>
            <w:vAlign w:val="center"/>
          </w:tcPr>
          <w:p w14:paraId="0EEBE218" w14:textId="77777777" w:rsidR="004E4C20" w:rsidRPr="00FB6248" w:rsidRDefault="004E4C20" w:rsidP="0045024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-.05**</w:t>
            </w:r>
          </w:p>
        </w:tc>
      </w:tr>
      <w:tr w:rsidR="00056D45" w:rsidRPr="00FB6248" w14:paraId="755FF895" w14:textId="77777777" w:rsidTr="00782096">
        <w:trPr>
          <w:jc w:val="center"/>
        </w:trPr>
        <w:tc>
          <w:tcPr>
            <w:tcW w:w="2610" w:type="dxa"/>
            <w:tcBorders>
              <w:top w:val="nil"/>
              <w:left w:val="nil"/>
              <w:bottom w:val="nil"/>
              <w:right w:val="nil"/>
            </w:tcBorders>
            <w:vAlign w:val="center"/>
          </w:tcPr>
          <w:p w14:paraId="55E36302"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Race</w:t>
            </w:r>
          </w:p>
          <w:p w14:paraId="0F5A2882" w14:textId="0C251BCA"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 xml:space="preserve">(White = 1; </w:t>
            </w:r>
            <w:r w:rsidR="00782096" w:rsidRPr="00FB6248">
              <w:rPr>
                <w:rFonts w:cstheme="minorHAnsi"/>
              </w:rPr>
              <w:t>Non-white</w:t>
            </w:r>
            <w:r w:rsidRPr="00FB6248">
              <w:rPr>
                <w:rFonts w:cstheme="minorHAnsi"/>
              </w:rPr>
              <w:t xml:space="preserve"> = 0)</w:t>
            </w:r>
          </w:p>
          <w:p w14:paraId="10D0C278" w14:textId="77777777" w:rsidR="004E4C20" w:rsidRPr="00FB6248" w:rsidRDefault="004E4C20" w:rsidP="0045024F">
            <w:pPr>
              <w:widowControl w:val="0"/>
              <w:autoSpaceDE w:val="0"/>
              <w:autoSpaceDN w:val="0"/>
              <w:adjustRightInd w:val="0"/>
              <w:spacing w:after="0" w:line="240" w:lineRule="auto"/>
              <w:jc w:val="center"/>
              <w:rPr>
                <w:rFonts w:cstheme="minorHAnsi"/>
              </w:rPr>
            </w:pPr>
          </w:p>
        </w:tc>
        <w:tc>
          <w:tcPr>
            <w:tcW w:w="1170" w:type="dxa"/>
            <w:tcBorders>
              <w:top w:val="nil"/>
              <w:left w:val="nil"/>
              <w:bottom w:val="nil"/>
              <w:right w:val="nil"/>
            </w:tcBorders>
            <w:vAlign w:val="center"/>
          </w:tcPr>
          <w:p w14:paraId="33C134C2" w14:textId="77777777" w:rsidR="004E4C20" w:rsidRPr="00FB6248" w:rsidRDefault="004E4C20" w:rsidP="0045024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2.72</w:t>
            </w:r>
          </w:p>
        </w:tc>
        <w:tc>
          <w:tcPr>
            <w:tcW w:w="1800" w:type="dxa"/>
            <w:tcBorders>
              <w:top w:val="nil"/>
              <w:left w:val="nil"/>
              <w:bottom w:val="nil"/>
              <w:right w:val="nil"/>
            </w:tcBorders>
            <w:vAlign w:val="center"/>
          </w:tcPr>
          <w:p w14:paraId="1611D50A" w14:textId="77777777" w:rsidR="004E4C20" w:rsidRPr="00FB6248" w:rsidRDefault="004E4C20" w:rsidP="0045024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[-1.56, 7.00]</w:t>
            </w:r>
          </w:p>
        </w:tc>
        <w:tc>
          <w:tcPr>
            <w:tcW w:w="1080" w:type="dxa"/>
            <w:gridSpan w:val="2"/>
            <w:tcBorders>
              <w:top w:val="nil"/>
              <w:left w:val="nil"/>
              <w:bottom w:val="nil"/>
              <w:right w:val="nil"/>
            </w:tcBorders>
            <w:vAlign w:val="center"/>
          </w:tcPr>
          <w:p w14:paraId="45269CF3" w14:textId="77777777" w:rsidR="004E4C20" w:rsidRPr="00FB6248" w:rsidRDefault="004E4C20" w:rsidP="0045024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r w:rsidR="00056D45" w:rsidRPr="00FB6248" w14:paraId="1AF5D434" w14:textId="77777777" w:rsidTr="00782096">
        <w:trPr>
          <w:jc w:val="center"/>
        </w:trPr>
        <w:tc>
          <w:tcPr>
            <w:tcW w:w="2610" w:type="dxa"/>
            <w:tcBorders>
              <w:top w:val="nil"/>
              <w:left w:val="nil"/>
              <w:bottom w:val="nil"/>
              <w:right w:val="nil"/>
            </w:tcBorders>
            <w:vAlign w:val="center"/>
          </w:tcPr>
          <w:p w14:paraId="7DD051F4"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Sex</w:t>
            </w:r>
          </w:p>
          <w:p w14:paraId="3BE4F826" w14:textId="77777777" w:rsidR="004E4C20" w:rsidRPr="00FB6248" w:rsidRDefault="004E4C20" w:rsidP="0045024F">
            <w:pPr>
              <w:widowControl w:val="0"/>
              <w:autoSpaceDE w:val="0"/>
              <w:autoSpaceDN w:val="0"/>
              <w:adjustRightInd w:val="0"/>
              <w:spacing w:after="0" w:line="240" w:lineRule="auto"/>
              <w:jc w:val="center"/>
              <w:rPr>
                <w:rFonts w:cstheme="minorHAnsi"/>
              </w:rPr>
            </w:pPr>
            <w:r w:rsidRPr="00FB6248">
              <w:rPr>
                <w:rFonts w:cstheme="minorHAnsi"/>
              </w:rPr>
              <w:t>(Male = 1)</w:t>
            </w:r>
          </w:p>
        </w:tc>
        <w:tc>
          <w:tcPr>
            <w:tcW w:w="1170" w:type="dxa"/>
            <w:tcBorders>
              <w:top w:val="nil"/>
              <w:left w:val="nil"/>
              <w:bottom w:val="nil"/>
              <w:right w:val="nil"/>
            </w:tcBorders>
            <w:vAlign w:val="center"/>
          </w:tcPr>
          <w:p w14:paraId="5A10A30B" w14:textId="77777777" w:rsidR="004E4C20" w:rsidRPr="00FB6248" w:rsidRDefault="004E4C20" w:rsidP="0045024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1.20</w:t>
            </w:r>
          </w:p>
        </w:tc>
        <w:tc>
          <w:tcPr>
            <w:tcW w:w="1800" w:type="dxa"/>
            <w:tcBorders>
              <w:top w:val="nil"/>
              <w:left w:val="nil"/>
              <w:bottom w:val="nil"/>
              <w:right w:val="nil"/>
            </w:tcBorders>
            <w:vAlign w:val="center"/>
          </w:tcPr>
          <w:p w14:paraId="4B4BC3A6" w14:textId="77777777" w:rsidR="004E4C20" w:rsidRPr="00FB6248" w:rsidRDefault="004E4C20" w:rsidP="0045024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[-1.06, 3.46]</w:t>
            </w:r>
          </w:p>
        </w:tc>
        <w:tc>
          <w:tcPr>
            <w:tcW w:w="1080" w:type="dxa"/>
            <w:gridSpan w:val="2"/>
            <w:tcBorders>
              <w:top w:val="nil"/>
              <w:left w:val="nil"/>
              <w:bottom w:val="nil"/>
              <w:right w:val="nil"/>
            </w:tcBorders>
            <w:vAlign w:val="center"/>
          </w:tcPr>
          <w:p w14:paraId="349D8B4D" w14:textId="77777777" w:rsidR="004E4C20" w:rsidRPr="00FB6248" w:rsidRDefault="004E4C20" w:rsidP="0045024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r w:rsidR="00056D45" w:rsidRPr="00FB6248" w14:paraId="390AB8D0" w14:textId="77777777" w:rsidTr="00782096">
        <w:trPr>
          <w:gridAfter w:val="1"/>
          <w:wAfter w:w="360" w:type="dxa"/>
          <w:trHeight w:val="70"/>
          <w:jc w:val="center"/>
        </w:trPr>
        <w:tc>
          <w:tcPr>
            <w:tcW w:w="2610" w:type="dxa"/>
            <w:tcBorders>
              <w:top w:val="nil"/>
              <w:left w:val="nil"/>
              <w:bottom w:val="single" w:sz="6" w:space="0" w:color="auto"/>
              <w:right w:val="nil"/>
            </w:tcBorders>
            <w:vAlign w:val="center"/>
          </w:tcPr>
          <w:p w14:paraId="63DA9073" w14:textId="77777777" w:rsidR="004E4C20" w:rsidRPr="00FB6248" w:rsidRDefault="004E4C20" w:rsidP="0045024F">
            <w:pPr>
              <w:widowControl w:val="0"/>
              <w:autoSpaceDE w:val="0"/>
              <w:autoSpaceDN w:val="0"/>
              <w:adjustRightInd w:val="0"/>
              <w:spacing w:after="0" w:line="240" w:lineRule="auto"/>
              <w:rPr>
                <w:rFonts w:cstheme="minorHAnsi"/>
              </w:rPr>
            </w:pPr>
          </w:p>
        </w:tc>
        <w:tc>
          <w:tcPr>
            <w:tcW w:w="1170" w:type="dxa"/>
            <w:tcBorders>
              <w:top w:val="nil"/>
              <w:left w:val="nil"/>
              <w:bottom w:val="single" w:sz="6" w:space="0" w:color="auto"/>
              <w:right w:val="nil"/>
            </w:tcBorders>
            <w:vAlign w:val="center"/>
          </w:tcPr>
          <w:p w14:paraId="52E48982" w14:textId="77777777" w:rsidR="004E4C20" w:rsidRPr="00FB6248" w:rsidRDefault="004E4C20" w:rsidP="0045024F">
            <w:pPr>
              <w:widowControl w:val="0"/>
              <w:tabs>
                <w:tab w:val="decimal" w:leader="dot" w:pos="547"/>
              </w:tabs>
              <w:autoSpaceDE w:val="0"/>
              <w:autoSpaceDN w:val="0"/>
              <w:adjustRightInd w:val="0"/>
              <w:spacing w:after="0" w:line="240" w:lineRule="auto"/>
              <w:rPr>
                <w:rFonts w:cstheme="minorHAnsi"/>
              </w:rPr>
            </w:pPr>
          </w:p>
        </w:tc>
        <w:tc>
          <w:tcPr>
            <w:tcW w:w="1800" w:type="dxa"/>
            <w:tcBorders>
              <w:top w:val="nil"/>
              <w:left w:val="nil"/>
              <w:bottom w:val="single" w:sz="6" w:space="0" w:color="auto"/>
              <w:right w:val="nil"/>
            </w:tcBorders>
            <w:vAlign w:val="center"/>
          </w:tcPr>
          <w:p w14:paraId="247C1220" w14:textId="77777777" w:rsidR="004E4C20" w:rsidRPr="00FB6248" w:rsidRDefault="004E4C20" w:rsidP="0045024F">
            <w:pPr>
              <w:widowControl w:val="0"/>
              <w:tabs>
                <w:tab w:val="decimal" w:leader="dot" w:pos="277"/>
              </w:tabs>
              <w:autoSpaceDE w:val="0"/>
              <w:autoSpaceDN w:val="0"/>
              <w:adjustRightInd w:val="0"/>
              <w:spacing w:after="0" w:line="240" w:lineRule="auto"/>
              <w:rPr>
                <w:rFonts w:cstheme="minorHAnsi"/>
              </w:rPr>
            </w:pPr>
          </w:p>
        </w:tc>
        <w:tc>
          <w:tcPr>
            <w:tcW w:w="720" w:type="dxa"/>
            <w:tcBorders>
              <w:top w:val="nil"/>
              <w:left w:val="nil"/>
              <w:bottom w:val="single" w:sz="6" w:space="0" w:color="auto"/>
              <w:right w:val="nil"/>
            </w:tcBorders>
            <w:vAlign w:val="center"/>
          </w:tcPr>
          <w:p w14:paraId="46D01D8E" w14:textId="77777777" w:rsidR="004E4C20" w:rsidRPr="00FB6248" w:rsidRDefault="004E4C20" w:rsidP="0045024F">
            <w:pPr>
              <w:widowControl w:val="0"/>
              <w:tabs>
                <w:tab w:val="decimal" w:leader="dot" w:pos="130"/>
              </w:tabs>
              <w:autoSpaceDE w:val="0"/>
              <w:autoSpaceDN w:val="0"/>
              <w:adjustRightInd w:val="0"/>
              <w:spacing w:after="0" w:line="240" w:lineRule="auto"/>
              <w:rPr>
                <w:rFonts w:cstheme="minorHAnsi"/>
              </w:rPr>
            </w:pPr>
          </w:p>
        </w:tc>
      </w:tr>
    </w:tbl>
    <w:p w14:paraId="7C294076" w14:textId="25B84CA4" w:rsidR="004E4C20" w:rsidRPr="00FB6248" w:rsidRDefault="004E4C20" w:rsidP="0045024F">
      <w:pPr>
        <w:widowControl w:val="0"/>
        <w:autoSpaceDE w:val="0"/>
        <w:autoSpaceDN w:val="0"/>
        <w:adjustRightInd w:val="0"/>
        <w:spacing w:after="0" w:line="240" w:lineRule="auto"/>
        <w:rPr>
          <w:rFonts w:cstheme="minorHAnsi"/>
        </w:rPr>
      </w:pPr>
      <w:r w:rsidRPr="00FB6248">
        <w:rPr>
          <w:rFonts w:cstheme="minorHAnsi"/>
          <w:i/>
          <w:iCs/>
        </w:rPr>
        <w:t>R</w:t>
      </w:r>
      <w:r w:rsidRPr="00FB6248">
        <w:rPr>
          <w:rFonts w:cstheme="minorHAnsi"/>
          <w:i/>
          <w:iCs/>
          <w:vertAlign w:val="superscript"/>
        </w:rPr>
        <w:t xml:space="preserve">2 </w:t>
      </w:r>
      <w:r w:rsidRPr="00FB6248">
        <w:rPr>
          <w:rFonts w:cstheme="minorHAnsi"/>
        </w:rPr>
        <w:t xml:space="preserve">  = .003*</w:t>
      </w:r>
    </w:p>
    <w:p w14:paraId="559ADEBC" w14:textId="4F64C560" w:rsidR="004E4C20" w:rsidRPr="00FB6248" w:rsidRDefault="004E4C20" w:rsidP="0045024F">
      <w:pPr>
        <w:widowControl w:val="0"/>
        <w:autoSpaceDE w:val="0"/>
        <w:autoSpaceDN w:val="0"/>
        <w:adjustRightInd w:val="0"/>
        <w:spacing w:after="0" w:line="240" w:lineRule="auto"/>
        <w:rPr>
          <w:rFonts w:cstheme="minorHAnsi"/>
        </w:rPr>
      </w:pPr>
      <w:r w:rsidRPr="00FB6248">
        <w:rPr>
          <w:rFonts w:cstheme="minorHAnsi"/>
          <w:i/>
          <w:iCs/>
        </w:rPr>
        <w:t>Note.</w:t>
      </w:r>
      <w:r w:rsidRPr="00FB6248">
        <w:rPr>
          <w:rFonts w:cstheme="minorHAnsi"/>
        </w:rPr>
        <w:t xml:space="preserve"> A significant </w:t>
      </w:r>
      <w:r w:rsidRPr="00FB6248">
        <w:rPr>
          <w:rFonts w:cstheme="minorHAnsi"/>
          <w:i/>
          <w:iCs/>
        </w:rPr>
        <w:t>b</w:t>
      </w:r>
      <w:r w:rsidRPr="00FB6248">
        <w:rPr>
          <w:rFonts w:cstheme="minorHAnsi"/>
        </w:rPr>
        <w:t xml:space="preserve">-weight indicates the beta-weight and semi-partial correlation are also significant. </w:t>
      </w:r>
      <w:r w:rsidRPr="00FB6248">
        <w:rPr>
          <w:rFonts w:cstheme="minorHAnsi"/>
          <w:i/>
          <w:iCs/>
        </w:rPr>
        <w:t>b</w:t>
      </w:r>
      <w:r w:rsidRPr="00FB6248">
        <w:rPr>
          <w:rFonts w:cstheme="minorHAnsi"/>
        </w:rPr>
        <w:t xml:space="preserve"> represents unstandardized regression weights. </w:t>
      </w:r>
      <w:r w:rsidRPr="00FB6248">
        <w:rPr>
          <w:rFonts w:cstheme="minorHAnsi"/>
          <w:i/>
          <w:iCs/>
        </w:rPr>
        <w:t>r</w:t>
      </w:r>
      <w:r w:rsidRPr="00FB6248">
        <w:rPr>
          <w:rFonts w:cstheme="minorHAnsi"/>
        </w:rPr>
        <w:t xml:space="preserve"> represents the zero-order correlation. </w:t>
      </w:r>
      <w:r w:rsidRPr="00FB6248">
        <w:rPr>
          <w:rFonts w:cstheme="minorHAnsi"/>
          <w:i/>
          <w:iCs/>
        </w:rPr>
        <w:t>LL</w:t>
      </w:r>
      <w:r w:rsidRPr="00FB6248">
        <w:rPr>
          <w:rFonts w:cstheme="minorHAnsi"/>
        </w:rPr>
        <w:t xml:space="preserve"> and </w:t>
      </w:r>
      <w:r w:rsidRPr="00FB6248">
        <w:rPr>
          <w:rFonts w:cstheme="minorHAnsi"/>
          <w:i/>
          <w:iCs/>
        </w:rPr>
        <w:t>UL</w:t>
      </w:r>
      <w:r w:rsidRPr="00FB6248">
        <w:rPr>
          <w:rFonts w:cstheme="minorHAnsi"/>
        </w:rPr>
        <w:t xml:space="preserve"> indicate the lower and upper limits of a confidence interval, respectively.</w:t>
      </w:r>
      <w:r w:rsidRPr="00FB6248">
        <w:rPr>
          <w:rFonts w:cstheme="minorHAnsi"/>
        </w:rPr>
        <w:br/>
        <w:t xml:space="preserve">* indicates </w:t>
      </w:r>
      <w:r w:rsidRPr="00FB6248">
        <w:rPr>
          <w:rFonts w:cstheme="minorHAnsi"/>
          <w:i/>
          <w:iCs/>
        </w:rPr>
        <w:t>p</w:t>
      </w:r>
      <w:r w:rsidRPr="00FB6248">
        <w:rPr>
          <w:rFonts w:cstheme="minorHAnsi"/>
        </w:rPr>
        <w:t xml:space="preserve"> &lt; .05. ** indicates </w:t>
      </w:r>
      <w:r w:rsidRPr="00FB6248">
        <w:rPr>
          <w:rFonts w:cstheme="minorHAnsi"/>
          <w:i/>
          <w:iCs/>
        </w:rPr>
        <w:t>p</w:t>
      </w:r>
      <w:r w:rsidRPr="00FB6248">
        <w:rPr>
          <w:rFonts w:cstheme="minorHAnsi"/>
        </w:rPr>
        <w:t xml:space="preserve"> &lt; .01.</w:t>
      </w:r>
    </w:p>
    <w:p w14:paraId="67F4E564" w14:textId="77777777" w:rsidR="00694D83" w:rsidRPr="00FB6248" w:rsidRDefault="00694D83" w:rsidP="00800DEC">
      <w:pPr>
        <w:widowControl w:val="0"/>
        <w:autoSpaceDE w:val="0"/>
        <w:autoSpaceDN w:val="0"/>
        <w:adjustRightInd w:val="0"/>
        <w:spacing w:after="0" w:line="480" w:lineRule="auto"/>
        <w:rPr>
          <w:rFonts w:cstheme="minorHAnsi"/>
        </w:rPr>
      </w:pPr>
    </w:p>
    <w:p w14:paraId="56068DFB" w14:textId="15263DEC" w:rsidR="0002708D" w:rsidRPr="00FB6248" w:rsidRDefault="0002708D" w:rsidP="00800DEC">
      <w:pPr>
        <w:spacing w:after="0" w:line="480" w:lineRule="auto"/>
        <w:rPr>
          <w:rFonts w:eastAsia="Times New Roman" w:cstheme="minorHAnsi"/>
        </w:rPr>
      </w:pPr>
      <w:r w:rsidRPr="00FB6248">
        <w:rPr>
          <w:rFonts w:eastAsia="Times New Roman" w:cstheme="minorHAnsi"/>
        </w:rPr>
        <w:t xml:space="preserve">Next, because there was a significant association between sexual orientation and psychological well-being after controlling for race and sex, </w:t>
      </w:r>
      <w:proofErr w:type="gramStart"/>
      <w:r w:rsidR="005847A1" w:rsidRPr="00FB6248">
        <w:rPr>
          <w:rFonts w:eastAsia="Times New Roman" w:cstheme="minorHAnsi"/>
        </w:rPr>
        <w:t xml:space="preserve">the </w:t>
      </w:r>
      <w:r w:rsidR="005847A1" w:rsidRPr="00FB6248">
        <w:rPr>
          <w:rFonts w:eastAsia="Times New Roman" w:cstheme="minorHAnsi"/>
          <w:i/>
        </w:rPr>
        <w:t>a</w:t>
      </w:r>
      <w:proofErr w:type="gramEnd"/>
      <w:r w:rsidR="005847A1" w:rsidRPr="00FB6248">
        <w:rPr>
          <w:rFonts w:eastAsia="Times New Roman" w:cstheme="minorHAnsi"/>
        </w:rPr>
        <w:t xml:space="preserve"> path of </w:t>
      </w:r>
      <w:r w:rsidRPr="00FB6248">
        <w:rPr>
          <w:rFonts w:eastAsia="Times New Roman" w:cstheme="minorHAnsi"/>
        </w:rPr>
        <w:t xml:space="preserve">sexual orientation </w:t>
      </w:r>
      <w:r w:rsidR="009E4050" w:rsidRPr="00FB6248">
        <w:rPr>
          <w:rFonts w:eastAsia="Times New Roman" w:cstheme="minorHAnsi"/>
        </w:rPr>
        <w:t>to</w:t>
      </w:r>
      <w:r w:rsidRPr="00FB6248">
        <w:rPr>
          <w:rFonts w:eastAsia="Times New Roman" w:cstheme="minorHAnsi"/>
        </w:rPr>
        <w:t xml:space="preserve"> lifetime discrimination</w:t>
      </w:r>
      <w:r w:rsidR="009E4050" w:rsidRPr="00FB6248">
        <w:rPr>
          <w:rFonts w:eastAsia="Times New Roman" w:cstheme="minorHAnsi"/>
        </w:rPr>
        <w:t xml:space="preserve"> was modeled.</w:t>
      </w:r>
      <w:r w:rsidRPr="00FB6248">
        <w:rPr>
          <w:rFonts w:eastAsia="Times New Roman" w:cstheme="minorHAnsi"/>
        </w:rPr>
        <w:t xml:space="preserve"> Results for this model are shown in </w:t>
      </w:r>
      <w:r w:rsidRPr="00FB6248">
        <w:rPr>
          <w:rFonts w:eastAsia="Times New Roman" w:cstheme="minorHAnsi"/>
          <w:i/>
          <w:iCs/>
        </w:rPr>
        <w:t>Table 6</w:t>
      </w:r>
      <w:r w:rsidRPr="00FB6248">
        <w:rPr>
          <w:rFonts w:eastAsia="Times New Roman" w:cstheme="minorHAnsi"/>
        </w:rPr>
        <w:t>.</w:t>
      </w:r>
    </w:p>
    <w:p w14:paraId="015FDD3F" w14:textId="55B75D07" w:rsidR="008939EA" w:rsidRPr="00FB6248" w:rsidRDefault="008939EA" w:rsidP="00800DEC">
      <w:pPr>
        <w:spacing w:after="0" w:line="480" w:lineRule="auto"/>
        <w:rPr>
          <w:rFonts w:eastAsia="Times New Roman" w:cstheme="minorHAnsi"/>
        </w:rPr>
      </w:pPr>
    </w:p>
    <w:p w14:paraId="1E974335" w14:textId="4B173512" w:rsidR="008939EA" w:rsidRPr="00FB6248" w:rsidRDefault="008939EA" w:rsidP="00E422DF">
      <w:pPr>
        <w:widowControl w:val="0"/>
        <w:autoSpaceDE w:val="0"/>
        <w:autoSpaceDN w:val="0"/>
        <w:adjustRightInd w:val="0"/>
        <w:spacing w:after="0" w:line="240" w:lineRule="auto"/>
        <w:rPr>
          <w:rFonts w:cstheme="minorHAnsi"/>
        </w:rPr>
      </w:pPr>
      <w:r w:rsidRPr="00FB6248">
        <w:rPr>
          <w:rFonts w:cstheme="minorHAnsi"/>
        </w:rPr>
        <w:t>Table 6</w:t>
      </w:r>
      <w:r w:rsidR="00911660" w:rsidRPr="00FB6248">
        <w:rPr>
          <w:rFonts w:cstheme="minorHAnsi"/>
        </w:rPr>
        <w:t>:</w:t>
      </w:r>
      <w:r w:rsidRPr="00FB6248">
        <w:rPr>
          <w:rFonts w:cstheme="minorHAnsi"/>
        </w:rPr>
        <w:t xml:space="preserve"> </w:t>
      </w:r>
      <w:r w:rsidR="00911660" w:rsidRPr="00FB6248">
        <w:rPr>
          <w:rFonts w:cstheme="minorHAnsi"/>
          <w:i/>
          <w:iCs/>
        </w:rPr>
        <w:t>a path r</w:t>
      </w:r>
      <w:r w:rsidRPr="00FB6248">
        <w:rPr>
          <w:rFonts w:cstheme="minorHAnsi"/>
          <w:i/>
          <w:iCs/>
        </w:rPr>
        <w:t>egression results using perceived lifetime discrimination as the criterion</w:t>
      </w:r>
    </w:p>
    <w:p w14:paraId="2BFA19C7" w14:textId="77777777" w:rsidR="008939EA" w:rsidRPr="00FB6248" w:rsidRDefault="008939EA" w:rsidP="00E422DF">
      <w:pPr>
        <w:widowControl w:val="0"/>
        <w:autoSpaceDE w:val="0"/>
        <w:autoSpaceDN w:val="0"/>
        <w:adjustRightInd w:val="0"/>
        <w:spacing w:after="0" w:line="240" w:lineRule="auto"/>
        <w:rPr>
          <w:rFonts w:cstheme="minorHAnsi"/>
        </w:rPr>
      </w:pPr>
      <w:r w:rsidRPr="00FB6248">
        <w:rPr>
          <w:rFonts w:cstheme="minorHAnsi"/>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2610"/>
        <w:gridCol w:w="1080"/>
        <w:gridCol w:w="1710"/>
        <w:gridCol w:w="900"/>
      </w:tblGrid>
      <w:tr w:rsidR="00056D45" w:rsidRPr="00FB6248" w14:paraId="7E2E66E8" w14:textId="77777777" w:rsidTr="008939EA">
        <w:trPr>
          <w:jc w:val="center"/>
        </w:trPr>
        <w:tc>
          <w:tcPr>
            <w:tcW w:w="2610" w:type="dxa"/>
            <w:tcBorders>
              <w:top w:val="single" w:sz="6" w:space="0" w:color="auto"/>
              <w:left w:val="nil"/>
              <w:bottom w:val="nil"/>
              <w:right w:val="nil"/>
            </w:tcBorders>
            <w:vAlign w:val="center"/>
          </w:tcPr>
          <w:p w14:paraId="34BBB2BF"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Predictor</w:t>
            </w:r>
          </w:p>
        </w:tc>
        <w:tc>
          <w:tcPr>
            <w:tcW w:w="1080" w:type="dxa"/>
            <w:tcBorders>
              <w:top w:val="single" w:sz="6" w:space="0" w:color="auto"/>
              <w:left w:val="nil"/>
              <w:bottom w:val="nil"/>
              <w:right w:val="nil"/>
            </w:tcBorders>
            <w:vAlign w:val="center"/>
          </w:tcPr>
          <w:p w14:paraId="1FC51FDB"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i/>
                <w:iCs/>
              </w:rPr>
              <w:t>b</w:t>
            </w:r>
          </w:p>
        </w:tc>
        <w:tc>
          <w:tcPr>
            <w:tcW w:w="1710" w:type="dxa"/>
            <w:tcBorders>
              <w:top w:val="single" w:sz="6" w:space="0" w:color="auto"/>
              <w:left w:val="nil"/>
              <w:bottom w:val="nil"/>
              <w:right w:val="nil"/>
            </w:tcBorders>
            <w:vAlign w:val="center"/>
          </w:tcPr>
          <w:p w14:paraId="6863DF8F"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i/>
                <w:iCs/>
              </w:rPr>
              <w:t>b</w:t>
            </w:r>
          </w:p>
          <w:p w14:paraId="5A846A55"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95% CI</w:t>
            </w:r>
          </w:p>
          <w:p w14:paraId="24F0229C"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[LL, UL]</w:t>
            </w:r>
          </w:p>
        </w:tc>
        <w:tc>
          <w:tcPr>
            <w:tcW w:w="900" w:type="dxa"/>
            <w:tcBorders>
              <w:top w:val="single" w:sz="6" w:space="0" w:color="auto"/>
              <w:left w:val="nil"/>
              <w:bottom w:val="nil"/>
              <w:right w:val="nil"/>
            </w:tcBorders>
            <w:vAlign w:val="center"/>
          </w:tcPr>
          <w:p w14:paraId="2B6C8B72"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i/>
                <w:iCs/>
              </w:rPr>
              <w:t>r</w:t>
            </w:r>
          </w:p>
        </w:tc>
      </w:tr>
      <w:tr w:rsidR="00056D45" w:rsidRPr="00FB6248" w14:paraId="2FEBF4A1" w14:textId="77777777" w:rsidTr="008939EA">
        <w:trPr>
          <w:jc w:val="center"/>
        </w:trPr>
        <w:tc>
          <w:tcPr>
            <w:tcW w:w="2610" w:type="dxa"/>
            <w:tcBorders>
              <w:top w:val="single" w:sz="6" w:space="0" w:color="auto"/>
              <w:left w:val="nil"/>
              <w:bottom w:val="nil"/>
              <w:right w:val="nil"/>
            </w:tcBorders>
            <w:vAlign w:val="center"/>
          </w:tcPr>
          <w:p w14:paraId="552ED1F5"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(Intercept)</w:t>
            </w:r>
          </w:p>
          <w:p w14:paraId="003991A1" w14:textId="77777777" w:rsidR="008939EA" w:rsidRPr="00FB6248" w:rsidRDefault="008939EA" w:rsidP="00E422DF">
            <w:pPr>
              <w:widowControl w:val="0"/>
              <w:autoSpaceDE w:val="0"/>
              <w:autoSpaceDN w:val="0"/>
              <w:adjustRightInd w:val="0"/>
              <w:spacing w:after="0" w:line="240" w:lineRule="auto"/>
              <w:jc w:val="center"/>
              <w:rPr>
                <w:rFonts w:cstheme="minorHAnsi"/>
              </w:rPr>
            </w:pPr>
          </w:p>
        </w:tc>
        <w:tc>
          <w:tcPr>
            <w:tcW w:w="1080" w:type="dxa"/>
            <w:tcBorders>
              <w:top w:val="single" w:sz="6" w:space="0" w:color="auto"/>
              <w:left w:val="nil"/>
              <w:bottom w:val="nil"/>
              <w:right w:val="nil"/>
            </w:tcBorders>
            <w:vAlign w:val="center"/>
          </w:tcPr>
          <w:p w14:paraId="3B947700" w14:textId="77777777" w:rsidR="008939EA" w:rsidRPr="00FB6248" w:rsidRDefault="008939EA" w:rsidP="00E422D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1.58**</w:t>
            </w:r>
          </w:p>
        </w:tc>
        <w:tc>
          <w:tcPr>
            <w:tcW w:w="1710" w:type="dxa"/>
            <w:tcBorders>
              <w:top w:val="single" w:sz="6" w:space="0" w:color="auto"/>
              <w:left w:val="nil"/>
              <w:bottom w:val="nil"/>
              <w:right w:val="nil"/>
            </w:tcBorders>
            <w:vAlign w:val="center"/>
          </w:tcPr>
          <w:p w14:paraId="49A6069B" w14:textId="77777777" w:rsidR="008939EA" w:rsidRPr="00FB6248" w:rsidRDefault="008939EA" w:rsidP="00E422D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[1.41, 1.76]</w:t>
            </w:r>
          </w:p>
        </w:tc>
        <w:tc>
          <w:tcPr>
            <w:tcW w:w="900" w:type="dxa"/>
            <w:tcBorders>
              <w:top w:val="single" w:sz="6" w:space="0" w:color="auto"/>
              <w:left w:val="nil"/>
              <w:bottom w:val="nil"/>
              <w:right w:val="nil"/>
            </w:tcBorders>
            <w:vAlign w:val="center"/>
          </w:tcPr>
          <w:p w14:paraId="015834BD" w14:textId="77777777" w:rsidR="008939EA" w:rsidRPr="00FB6248" w:rsidRDefault="008939EA" w:rsidP="00E422DF">
            <w:pPr>
              <w:widowControl w:val="0"/>
              <w:tabs>
                <w:tab w:val="decimal" w:leader="dot" w:pos="130"/>
              </w:tabs>
              <w:autoSpaceDE w:val="0"/>
              <w:autoSpaceDN w:val="0"/>
              <w:adjustRightInd w:val="0"/>
              <w:spacing w:after="0" w:line="240" w:lineRule="auto"/>
              <w:jc w:val="center"/>
              <w:rPr>
                <w:rFonts w:cstheme="minorHAnsi"/>
              </w:rPr>
            </w:pPr>
          </w:p>
        </w:tc>
      </w:tr>
      <w:tr w:rsidR="00056D45" w:rsidRPr="00FB6248" w14:paraId="79BAD2D5" w14:textId="77777777" w:rsidTr="008939EA">
        <w:trPr>
          <w:jc w:val="center"/>
        </w:trPr>
        <w:tc>
          <w:tcPr>
            <w:tcW w:w="2610" w:type="dxa"/>
            <w:tcBorders>
              <w:top w:val="nil"/>
              <w:left w:val="nil"/>
              <w:bottom w:val="nil"/>
              <w:right w:val="nil"/>
            </w:tcBorders>
            <w:vAlign w:val="center"/>
          </w:tcPr>
          <w:p w14:paraId="0A148049"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Sexual Orientation</w:t>
            </w:r>
          </w:p>
          <w:p w14:paraId="4F8A2D8C"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(LGB =1)</w:t>
            </w:r>
          </w:p>
          <w:p w14:paraId="03023ED3" w14:textId="77777777" w:rsidR="008939EA" w:rsidRPr="00FB6248" w:rsidRDefault="008939EA" w:rsidP="00E422DF">
            <w:pPr>
              <w:widowControl w:val="0"/>
              <w:autoSpaceDE w:val="0"/>
              <w:autoSpaceDN w:val="0"/>
              <w:adjustRightInd w:val="0"/>
              <w:spacing w:after="0" w:line="240" w:lineRule="auto"/>
              <w:jc w:val="center"/>
              <w:rPr>
                <w:rFonts w:cstheme="minorHAnsi"/>
              </w:rPr>
            </w:pPr>
          </w:p>
        </w:tc>
        <w:tc>
          <w:tcPr>
            <w:tcW w:w="1080" w:type="dxa"/>
            <w:tcBorders>
              <w:top w:val="nil"/>
              <w:left w:val="nil"/>
              <w:bottom w:val="nil"/>
              <w:right w:val="nil"/>
            </w:tcBorders>
            <w:vAlign w:val="center"/>
          </w:tcPr>
          <w:p w14:paraId="0830D01D" w14:textId="77777777" w:rsidR="008939EA" w:rsidRPr="00FB6248" w:rsidRDefault="008939EA" w:rsidP="00E422D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0.61**</w:t>
            </w:r>
          </w:p>
        </w:tc>
        <w:tc>
          <w:tcPr>
            <w:tcW w:w="1710" w:type="dxa"/>
            <w:tcBorders>
              <w:top w:val="nil"/>
              <w:left w:val="nil"/>
              <w:bottom w:val="nil"/>
              <w:right w:val="nil"/>
            </w:tcBorders>
            <w:vAlign w:val="center"/>
          </w:tcPr>
          <w:p w14:paraId="53ACA980" w14:textId="77777777" w:rsidR="008939EA" w:rsidRPr="00FB6248" w:rsidRDefault="008939EA" w:rsidP="00E422D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[0.33, 0.89]</w:t>
            </w:r>
          </w:p>
        </w:tc>
        <w:tc>
          <w:tcPr>
            <w:tcW w:w="900" w:type="dxa"/>
            <w:tcBorders>
              <w:top w:val="nil"/>
              <w:left w:val="nil"/>
              <w:bottom w:val="nil"/>
              <w:right w:val="nil"/>
            </w:tcBorders>
            <w:vAlign w:val="center"/>
          </w:tcPr>
          <w:p w14:paraId="21EF707B" w14:textId="77777777" w:rsidR="008939EA" w:rsidRPr="00FB6248" w:rsidRDefault="008939EA" w:rsidP="00E422D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.07**</w:t>
            </w:r>
          </w:p>
        </w:tc>
      </w:tr>
      <w:tr w:rsidR="00056D45" w:rsidRPr="00FB6248" w14:paraId="7CD7D2DF" w14:textId="77777777" w:rsidTr="008939EA">
        <w:trPr>
          <w:jc w:val="center"/>
        </w:trPr>
        <w:tc>
          <w:tcPr>
            <w:tcW w:w="2610" w:type="dxa"/>
            <w:tcBorders>
              <w:top w:val="nil"/>
              <w:left w:val="nil"/>
              <w:bottom w:val="nil"/>
              <w:right w:val="nil"/>
            </w:tcBorders>
            <w:vAlign w:val="center"/>
          </w:tcPr>
          <w:p w14:paraId="0F371F68"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Race</w:t>
            </w:r>
          </w:p>
          <w:p w14:paraId="50BC8D28" w14:textId="29263A25"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(White = 1; Non-white = 0)</w:t>
            </w:r>
          </w:p>
          <w:p w14:paraId="6C801018" w14:textId="77777777" w:rsidR="008939EA" w:rsidRPr="00FB6248" w:rsidRDefault="008939EA" w:rsidP="00E422DF">
            <w:pPr>
              <w:widowControl w:val="0"/>
              <w:autoSpaceDE w:val="0"/>
              <w:autoSpaceDN w:val="0"/>
              <w:adjustRightInd w:val="0"/>
              <w:spacing w:after="0" w:line="240" w:lineRule="auto"/>
              <w:jc w:val="center"/>
              <w:rPr>
                <w:rFonts w:cstheme="minorHAnsi"/>
              </w:rPr>
            </w:pPr>
          </w:p>
        </w:tc>
        <w:tc>
          <w:tcPr>
            <w:tcW w:w="1080" w:type="dxa"/>
            <w:tcBorders>
              <w:top w:val="nil"/>
              <w:left w:val="nil"/>
              <w:bottom w:val="nil"/>
              <w:right w:val="nil"/>
            </w:tcBorders>
            <w:vAlign w:val="center"/>
          </w:tcPr>
          <w:p w14:paraId="07F65D63" w14:textId="77777777" w:rsidR="008939EA" w:rsidRPr="00FB6248" w:rsidRDefault="008939EA" w:rsidP="00E422D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-0.75**</w:t>
            </w:r>
          </w:p>
        </w:tc>
        <w:tc>
          <w:tcPr>
            <w:tcW w:w="1710" w:type="dxa"/>
            <w:tcBorders>
              <w:top w:val="nil"/>
              <w:left w:val="nil"/>
              <w:bottom w:val="nil"/>
              <w:right w:val="nil"/>
            </w:tcBorders>
            <w:vAlign w:val="center"/>
          </w:tcPr>
          <w:p w14:paraId="11694B67" w14:textId="77777777" w:rsidR="008939EA" w:rsidRPr="00FB6248" w:rsidRDefault="008939EA" w:rsidP="00E422D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[-0.93, -0.57]</w:t>
            </w:r>
          </w:p>
        </w:tc>
        <w:tc>
          <w:tcPr>
            <w:tcW w:w="900" w:type="dxa"/>
            <w:tcBorders>
              <w:top w:val="nil"/>
              <w:left w:val="nil"/>
              <w:bottom w:val="nil"/>
              <w:right w:val="nil"/>
            </w:tcBorders>
            <w:vAlign w:val="center"/>
          </w:tcPr>
          <w:p w14:paraId="0F7E56E2" w14:textId="77777777" w:rsidR="008939EA" w:rsidRPr="00FB6248" w:rsidRDefault="008939EA" w:rsidP="00E422D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-.14**</w:t>
            </w:r>
          </w:p>
        </w:tc>
      </w:tr>
      <w:tr w:rsidR="00056D45" w:rsidRPr="00FB6248" w14:paraId="35975341" w14:textId="77777777" w:rsidTr="008939EA">
        <w:trPr>
          <w:jc w:val="center"/>
        </w:trPr>
        <w:tc>
          <w:tcPr>
            <w:tcW w:w="2610" w:type="dxa"/>
            <w:tcBorders>
              <w:top w:val="nil"/>
              <w:left w:val="nil"/>
              <w:bottom w:val="nil"/>
              <w:right w:val="nil"/>
            </w:tcBorders>
            <w:vAlign w:val="center"/>
          </w:tcPr>
          <w:p w14:paraId="7EC1ACBE"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Sex</w:t>
            </w:r>
          </w:p>
          <w:p w14:paraId="670CFF6A" w14:textId="77777777" w:rsidR="008939EA" w:rsidRPr="00FB6248" w:rsidRDefault="008939EA" w:rsidP="00E422DF">
            <w:pPr>
              <w:widowControl w:val="0"/>
              <w:autoSpaceDE w:val="0"/>
              <w:autoSpaceDN w:val="0"/>
              <w:adjustRightInd w:val="0"/>
              <w:spacing w:after="0" w:line="240" w:lineRule="auto"/>
              <w:jc w:val="center"/>
              <w:rPr>
                <w:rFonts w:cstheme="minorHAnsi"/>
              </w:rPr>
            </w:pPr>
            <w:r w:rsidRPr="00FB6248">
              <w:rPr>
                <w:rFonts w:cstheme="minorHAnsi"/>
              </w:rPr>
              <w:t>(Male = 1)</w:t>
            </w:r>
          </w:p>
        </w:tc>
        <w:tc>
          <w:tcPr>
            <w:tcW w:w="1080" w:type="dxa"/>
            <w:tcBorders>
              <w:top w:val="nil"/>
              <w:left w:val="nil"/>
              <w:bottom w:val="nil"/>
              <w:right w:val="nil"/>
            </w:tcBorders>
            <w:vAlign w:val="center"/>
          </w:tcPr>
          <w:p w14:paraId="78AF723A" w14:textId="77777777" w:rsidR="008939EA" w:rsidRPr="00FB6248" w:rsidRDefault="008939EA" w:rsidP="00E422DF">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-0.11*</w:t>
            </w:r>
          </w:p>
        </w:tc>
        <w:tc>
          <w:tcPr>
            <w:tcW w:w="1710" w:type="dxa"/>
            <w:tcBorders>
              <w:top w:val="nil"/>
              <w:left w:val="nil"/>
              <w:bottom w:val="nil"/>
              <w:right w:val="nil"/>
            </w:tcBorders>
            <w:vAlign w:val="center"/>
          </w:tcPr>
          <w:p w14:paraId="7DBE0A69" w14:textId="77777777" w:rsidR="008939EA" w:rsidRPr="00FB6248" w:rsidRDefault="008939EA" w:rsidP="00E422DF">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[-0.20, -0.02]</w:t>
            </w:r>
          </w:p>
        </w:tc>
        <w:tc>
          <w:tcPr>
            <w:tcW w:w="900" w:type="dxa"/>
            <w:tcBorders>
              <w:top w:val="nil"/>
              <w:left w:val="nil"/>
              <w:bottom w:val="nil"/>
              <w:right w:val="nil"/>
            </w:tcBorders>
            <w:vAlign w:val="center"/>
          </w:tcPr>
          <w:p w14:paraId="7EA25B59" w14:textId="77777777" w:rsidR="008939EA" w:rsidRPr="00FB6248" w:rsidRDefault="008939EA" w:rsidP="00E422DF">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-.04*</w:t>
            </w:r>
          </w:p>
        </w:tc>
      </w:tr>
      <w:tr w:rsidR="00056D45" w:rsidRPr="00FB6248" w14:paraId="7A5CBA09" w14:textId="77777777" w:rsidTr="008939EA">
        <w:trPr>
          <w:jc w:val="center"/>
        </w:trPr>
        <w:tc>
          <w:tcPr>
            <w:tcW w:w="2610" w:type="dxa"/>
            <w:tcBorders>
              <w:top w:val="nil"/>
              <w:left w:val="nil"/>
              <w:bottom w:val="single" w:sz="6" w:space="0" w:color="auto"/>
              <w:right w:val="nil"/>
            </w:tcBorders>
            <w:vAlign w:val="center"/>
          </w:tcPr>
          <w:p w14:paraId="0961AA13" w14:textId="77777777" w:rsidR="008939EA" w:rsidRPr="00FB6248" w:rsidRDefault="008939EA" w:rsidP="00E422DF">
            <w:pPr>
              <w:widowControl w:val="0"/>
              <w:autoSpaceDE w:val="0"/>
              <w:autoSpaceDN w:val="0"/>
              <w:adjustRightInd w:val="0"/>
              <w:spacing w:after="0" w:line="240" w:lineRule="auto"/>
              <w:jc w:val="right"/>
              <w:rPr>
                <w:rFonts w:cstheme="minorHAnsi"/>
              </w:rPr>
            </w:pPr>
          </w:p>
        </w:tc>
        <w:tc>
          <w:tcPr>
            <w:tcW w:w="1080" w:type="dxa"/>
            <w:tcBorders>
              <w:top w:val="nil"/>
              <w:left w:val="nil"/>
              <w:bottom w:val="single" w:sz="6" w:space="0" w:color="auto"/>
              <w:right w:val="nil"/>
            </w:tcBorders>
            <w:vAlign w:val="center"/>
          </w:tcPr>
          <w:p w14:paraId="02C65CFE" w14:textId="77777777" w:rsidR="008939EA" w:rsidRPr="00FB6248" w:rsidRDefault="008939EA" w:rsidP="00E422DF">
            <w:pPr>
              <w:widowControl w:val="0"/>
              <w:tabs>
                <w:tab w:val="decimal" w:leader="dot" w:pos="547"/>
              </w:tabs>
              <w:autoSpaceDE w:val="0"/>
              <w:autoSpaceDN w:val="0"/>
              <w:adjustRightInd w:val="0"/>
              <w:spacing w:after="0" w:line="240" w:lineRule="auto"/>
              <w:rPr>
                <w:rFonts w:cstheme="minorHAnsi"/>
              </w:rPr>
            </w:pPr>
          </w:p>
        </w:tc>
        <w:tc>
          <w:tcPr>
            <w:tcW w:w="1710" w:type="dxa"/>
            <w:tcBorders>
              <w:top w:val="nil"/>
              <w:left w:val="nil"/>
              <w:bottom w:val="single" w:sz="6" w:space="0" w:color="auto"/>
              <w:right w:val="nil"/>
            </w:tcBorders>
            <w:vAlign w:val="center"/>
          </w:tcPr>
          <w:p w14:paraId="0EEA37B2" w14:textId="77777777" w:rsidR="008939EA" w:rsidRPr="00FB6248" w:rsidRDefault="008939EA" w:rsidP="00E422DF">
            <w:pPr>
              <w:widowControl w:val="0"/>
              <w:tabs>
                <w:tab w:val="decimal" w:leader="dot" w:pos="277"/>
              </w:tabs>
              <w:autoSpaceDE w:val="0"/>
              <w:autoSpaceDN w:val="0"/>
              <w:adjustRightInd w:val="0"/>
              <w:spacing w:after="0" w:line="240" w:lineRule="auto"/>
              <w:rPr>
                <w:rFonts w:cstheme="minorHAnsi"/>
              </w:rPr>
            </w:pPr>
          </w:p>
        </w:tc>
        <w:tc>
          <w:tcPr>
            <w:tcW w:w="900" w:type="dxa"/>
            <w:tcBorders>
              <w:top w:val="nil"/>
              <w:left w:val="nil"/>
              <w:bottom w:val="single" w:sz="6" w:space="0" w:color="auto"/>
              <w:right w:val="nil"/>
            </w:tcBorders>
            <w:vAlign w:val="center"/>
          </w:tcPr>
          <w:p w14:paraId="4A675CB7" w14:textId="77777777" w:rsidR="008939EA" w:rsidRPr="00FB6248" w:rsidRDefault="008939EA" w:rsidP="00E422DF">
            <w:pPr>
              <w:widowControl w:val="0"/>
              <w:tabs>
                <w:tab w:val="decimal" w:leader="dot" w:pos="130"/>
              </w:tabs>
              <w:autoSpaceDE w:val="0"/>
              <w:autoSpaceDN w:val="0"/>
              <w:adjustRightInd w:val="0"/>
              <w:spacing w:after="0" w:line="240" w:lineRule="auto"/>
              <w:rPr>
                <w:rFonts w:cstheme="minorHAnsi"/>
              </w:rPr>
            </w:pPr>
          </w:p>
        </w:tc>
      </w:tr>
    </w:tbl>
    <w:p w14:paraId="5259D824" w14:textId="77777777" w:rsidR="008939EA" w:rsidRPr="00FB6248" w:rsidRDefault="008939EA" w:rsidP="00E422DF">
      <w:pPr>
        <w:widowControl w:val="0"/>
        <w:autoSpaceDE w:val="0"/>
        <w:autoSpaceDN w:val="0"/>
        <w:adjustRightInd w:val="0"/>
        <w:spacing w:after="0" w:line="240" w:lineRule="auto"/>
        <w:rPr>
          <w:rFonts w:cstheme="minorHAnsi"/>
        </w:rPr>
      </w:pPr>
      <w:r w:rsidRPr="00FB6248">
        <w:rPr>
          <w:rFonts w:cstheme="minorHAnsi"/>
          <w:i/>
          <w:iCs/>
        </w:rPr>
        <w:t>R</w:t>
      </w:r>
      <w:r w:rsidRPr="00FB6248">
        <w:rPr>
          <w:rFonts w:cstheme="minorHAnsi"/>
          <w:i/>
          <w:iCs/>
          <w:vertAlign w:val="superscript"/>
        </w:rPr>
        <w:t xml:space="preserve">2 </w:t>
      </w:r>
      <w:r w:rsidRPr="00FB6248">
        <w:rPr>
          <w:rFonts w:cstheme="minorHAnsi"/>
        </w:rPr>
        <w:t xml:space="preserve">  = .024**</w:t>
      </w:r>
    </w:p>
    <w:p w14:paraId="5BC5B412" w14:textId="77777777" w:rsidR="008939EA" w:rsidRPr="00FB6248" w:rsidRDefault="008939EA" w:rsidP="00E422DF">
      <w:pPr>
        <w:widowControl w:val="0"/>
        <w:autoSpaceDE w:val="0"/>
        <w:autoSpaceDN w:val="0"/>
        <w:adjustRightInd w:val="0"/>
        <w:spacing w:after="0" w:line="240" w:lineRule="auto"/>
        <w:rPr>
          <w:rFonts w:cstheme="minorHAnsi"/>
        </w:rPr>
      </w:pPr>
    </w:p>
    <w:p w14:paraId="4A99EBF5" w14:textId="77777777" w:rsidR="008939EA" w:rsidRPr="00FB6248" w:rsidRDefault="008939EA" w:rsidP="00E422DF">
      <w:pPr>
        <w:widowControl w:val="0"/>
        <w:autoSpaceDE w:val="0"/>
        <w:autoSpaceDN w:val="0"/>
        <w:adjustRightInd w:val="0"/>
        <w:spacing w:after="0" w:line="240" w:lineRule="auto"/>
        <w:rPr>
          <w:rFonts w:cstheme="minorHAnsi"/>
        </w:rPr>
      </w:pPr>
      <w:r w:rsidRPr="00FB6248">
        <w:rPr>
          <w:rFonts w:cstheme="minorHAnsi"/>
          <w:i/>
          <w:iCs/>
        </w:rPr>
        <w:t>Note.</w:t>
      </w:r>
      <w:r w:rsidRPr="00FB6248">
        <w:rPr>
          <w:rFonts w:cstheme="minorHAnsi"/>
        </w:rPr>
        <w:t xml:space="preserve"> A significant </w:t>
      </w:r>
      <w:r w:rsidRPr="00FB6248">
        <w:rPr>
          <w:rFonts w:cstheme="minorHAnsi"/>
          <w:i/>
          <w:iCs/>
        </w:rPr>
        <w:t>b</w:t>
      </w:r>
      <w:r w:rsidRPr="00FB6248">
        <w:rPr>
          <w:rFonts w:cstheme="minorHAnsi"/>
        </w:rPr>
        <w:t xml:space="preserve">-weight indicates the beta-weight and semi-partial correlation are also significant. </w:t>
      </w:r>
      <w:r w:rsidRPr="00FB6248">
        <w:rPr>
          <w:rFonts w:cstheme="minorHAnsi"/>
          <w:i/>
          <w:iCs/>
        </w:rPr>
        <w:t>b</w:t>
      </w:r>
      <w:r w:rsidRPr="00FB6248">
        <w:rPr>
          <w:rFonts w:cstheme="minorHAnsi"/>
        </w:rPr>
        <w:t xml:space="preserve"> represents unstandardized regression weights. </w:t>
      </w:r>
      <w:r w:rsidRPr="00FB6248">
        <w:rPr>
          <w:rFonts w:cstheme="minorHAnsi"/>
          <w:i/>
          <w:iCs/>
        </w:rPr>
        <w:t>r</w:t>
      </w:r>
      <w:r w:rsidRPr="00FB6248">
        <w:rPr>
          <w:rFonts w:cstheme="minorHAnsi"/>
        </w:rPr>
        <w:t xml:space="preserve"> represents the zero-order correlation. </w:t>
      </w:r>
      <w:r w:rsidRPr="00FB6248">
        <w:rPr>
          <w:rFonts w:cstheme="minorHAnsi"/>
          <w:i/>
          <w:iCs/>
        </w:rPr>
        <w:t>LL</w:t>
      </w:r>
      <w:r w:rsidRPr="00FB6248">
        <w:rPr>
          <w:rFonts w:cstheme="minorHAnsi"/>
        </w:rPr>
        <w:t xml:space="preserve"> and </w:t>
      </w:r>
      <w:r w:rsidRPr="00FB6248">
        <w:rPr>
          <w:rFonts w:cstheme="minorHAnsi"/>
          <w:i/>
          <w:iCs/>
        </w:rPr>
        <w:t>UL</w:t>
      </w:r>
      <w:r w:rsidRPr="00FB6248">
        <w:rPr>
          <w:rFonts w:cstheme="minorHAnsi"/>
        </w:rPr>
        <w:t xml:space="preserve"> indicate the lower and upper limits of a confidence interval, respectively.</w:t>
      </w:r>
      <w:r w:rsidRPr="00FB6248">
        <w:rPr>
          <w:rFonts w:cstheme="minorHAnsi"/>
        </w:rPr>
        <w:br/>
        <w:t xml:space="preserve">* indicates </w:t>
      </w:r>
      <w:r w:rsidRPr="00FB6248">
        <w:rPr>
          <w:rFonts w:cstheme="minorHAnsi"/>
          <w:i/>
          <w:iCs/>
        </w:rPr>
        <w:t>p</w:t>
      </w:r>
      <w:r w:rsidRPr="00FB6248">
        <w:rPr>
          <w:rFonts w:cstheme="minorHAnsi"/>
        </w:rPr>
        <w:t xml:space="preserve"> &lt; .05. ** indicates </w:t>
      </w:r>
      <w:r w:rsidRPr="00FB6248">
        <w:rPr>
          <w:rFonts w:cstheme="minorHAnsi"/>
          <w:i/>
          <w:iCs/>
        </w:rPr>
        <w:t>p</w:t>
      </w:r>
      <w:r w:rsidRPr="00FB6248">
        <w:rPr>
          <w:rFonts w:cstheme="minorHAnsi"/>
        </w:rPr>
        <w:t xml:space="preserve"> &lt; .01.</w:t>
      </w:r>
    </w:p>
    <w:p w14:paraId="466E9CFA" w14:textId="77777777" w:rsidR="0002708D" w:rsidRPr="00FB6248" w:rsidRDefault="0002708D" w:rsidP="00800DEC">
      <w:pPr>
        <w:spacing w:after="0" w:line="480" w:lineRule="auto"/>
        <w:rPr>
          <w:rFonts w:eastAsia="Times New Roman" w:cstheme="minorHAnsi"/>
        </w:rPr>
      </w:pPr>
    </w:p>
    <w:p w14:paraId="688F49BA" w14:textId="396832FD" w:rsidR="00607304" w:rsidRPr="00FB6248" w:rsidRDefault="00163616" w:rsidP="00903662">
      <w:pPr>
        <w:spacing w:after="0" w:line="480" w:lineRule="auto"/>
        <w:ind w:firstLine="720"/>
        <w:rPr>
          <w:rFonts w:eastAsia="Times New Roman" w:cstheme="minorHAnsi"/>
        </w:rPr>
      </w:pPr>
      <w:proofErr w:type="gramStart"/>
      <w:r w:rsidRPr="00FB6248">
        <w:rPr>
          <w:rFonts w:eastAsia="Times New Roman" w:cstheme="minorHAnsi"/>
        </w:rPr>
        <w:t>The a</w:t>
      </w:r>
      <w:proofErr w:type="gramEnd"/>
      <w:r w:rsidRPr="00FB6248">
        <w:rPr>
          <w:rFonts w:eastAsia="Times New Roman" w:cstheme="minorHAnsi"/>
        </w:rPr>
        <w:t xml:space="preserve"> path coefficient is shown in </w:t>
      </w:r>
      <w:r w:rsidRPr="00FB6248">
        <w:rPr>
          <w:rFonts w:eastAsia="Times New Roman" w:cstheme="minorHAnsi"/>
          <w:i/>
        </w:rPr>
        <w:t>Table 6</w:t>
      </w:r>
      <w:r w:rsidRPr="00FB6248">
        <w:rPr>
          <w:rFonts w:eastAsia="Times New Roman" w:cstheme="minorHAnsi"/>
        </w:rPr>
        <w:t xml:space="preserve"> as the Sexual Orientation beta-</w:t>
      </w:r>
      <w:r w:rsidR="00F35EF0" w:rsidRPr="00FB6248">
        <w:rPr>
          <w:rFonts w:eastAsia="Times New Roman" w:cstheme="minorHAnsi"/>
        </w:rPr>
        <w:t>coefficient</w:t>
      </w:r>
      <w:r w:rsidR="003C77CD" w:rsidRPr="00FB6248">
        <w:rPr>
          <w:rFonts w:eastAsia="Times New Roman" w:cstheme="minorHAnsi"/>
        </w:rPr>
        <w:t xml:space="preserve"> (b = 0.61, p &lt;0.01). The significant relationship between sexual orientation and lifetime discrimination provided justification to assess the mediated effect (the b</w:t>
      </w:r>
      <w:r w:rsidR="00116FE3" w:rsidRPr="00FB6248">
        <w:rPr>
          <w:rFonts w:eastAsia="Times New Roman" w:cstheme="minorHAnsi"/>
        </w:rPr>
        <w:t xml:space="preserve"> </w:t>
      </w:r>
      <w:r w:rsidR="003C77CD" w:rsidRPr="00FB6248">
        <w:rPr>
          <w:rFonts w:eastAsia="Times New Roman" w:cstheme="minorHAnsi"/>
        </w:rPr>
        <w:t xml:space="preserve">path). </w:t>
      </w:r>
      <w:r w:rsidR="00116FE3" w:rsidRPr="00FB6248">
        <w:rPr>
          <w:rFonts w:eastAsia="Times New Roman" w:cstheme="minorHAnsi"/>
        </w:rPr>
        <w:t xml:space="preserve">The </w:t>
      </w:r>
      <w:r w:rsidR="00116FE3" w:rsidRPr="00FB6248">
        <w:rPr>
          <w:rFonts w:eastAsia="Times New Roman" w:cstheme="minorHAnsi"/>
          <w:i/>
        </w:rPr>
        <w:t>b</w:t>
      </w:r>
      <w:r w:rsidR="00116FE3" w:rsidRPr="00FB6248">
        <w:rPr>
          <w:rFonts w:eastAsia="Times New Roman" w:cstheme="minorHAnsi"/>
        </w:rPr>
        <w:t xml:space="preserve"> path coefficient </w:t>
      </w:r>
      <w:r w:rsidR="00F35EF0" w:rsidRPr="00FB6248">
        <w:rPr>
          <w:rFonts w:eastAsia="Times New Roman" w:cstheme="minorHAnsi"/>
        </w:rPr>
        <w:t xml:space="preserve">was </w:t>
      </w:r>
      <w:r w:rsidR="00991691" w:rsidRPr="00FB6248">
        <w:rPr>
          <w:rFonts w:eastAsia="Times New Roman" w:cstheme="minorHAnsi"/>
        </w:rPr>
        <w:t>estimate</w:t>
      </w:r>
      <w:r w:rsidR="00F35EF0" w:rsidRPr="00FB6248">
        <w:rPr>
          <w:rFonts w:eastAsia="Times New Roman" w:cstheme="minorHAnsi"/>
        </w:rPr>
        <w:t>d using a</w:t>
      </w:r>
      <w:r w:rsidR="003C77CD" w:rsidRPr="00FB6248">
        <w:rPr>
          <w:rFonts w:eastAsia="Times New Roman" w:cstheme="minorHAnsi"/>
        </w:rPr>
        <w:t xml:space="preserve"> linear regression model</w:t>
      </w:r>
      <w:r w:rsidR="0043149E" w:rsidRPr="00FB6248">
        <w:rPr>
          <w:rFonts w:eastAsia="Times New Roman" w:cstheme="minorHAnsi"/>
        </w:rPr>
        <w:t xml:space="preserve"> looking at the relationship of lifetime discrimination and psychological well-being</w:t>
      </w:r>
      <w:r w:rsidR="00607304" w:rsidRPr="00FB6248">
        <w:rPr>
          <w:rFonts w:eastAsia="Times New Roman" w:cstheme="minorHAnsi"/>
        </w:rPr>
        <w:t>, holding constant sexual orientation, race and sex</w:t>
      </w:r>
      <w:r w:rsidR="003C77CD" w:rsidRPr="00FB6248">
        <w:rPr>
          <w:rFonts w:eastAsia="Times New Roman" w:cstheme="minorHAnsi"/>
        </w:rPr>
        <w:t xml:space="preserve">. Results are shown in </w:t>
      </w:r>
      <w:r w:rsidR="003C77CD" w:rsidRPr="00FB6248">
        <w:rPr>
          <w:rFonts w:eastAsia="Times New Roman" w:cstheme="minorHAnsi"/>
          <w:i/>
          <w:iCs/>
        </w:rPr>
        <w:t>Table 7</w:t>
      </w:r>
      <w:r w:rsidR="003C77CD" w:rsidRPr="00FB6248">
        <w:rPr>
          <w:rFonts w:eastAsia="Times New Roman" w:cstheme="minorHAnsi"/>
        </w:rPr>
        <w:t>.</w:t>
      </w:r>
    </w:p>
    <w:p w14:paraId="6D78D851" w14:textId="77777777" w:rsidR="00903662" w:rsidRPr="00FB6248" w:rsidRDefault="00903662" w:rsidP="00903662">
      <w:pPr>
        <w:spacing w:after="0" w:line="480" w:lineRule="auto"/>
        <w:ind w:firstLine="720"/>
        <w:rPr>
          <w:rFonts w:eastAsia="Times New Roman" w:cstheme="minorHAnsi"/>
        </w:rPr>
      </w:pPr>
    </w:p>
    <w:p w14:paraId="7BBFA578" w14:textId="1AD86510" w:rsidR="004B2801" w:rsidRPr="00FB6248" w:rsidRDefault="004B2801" w:rsidP="008E47F4">
      <w:pPr>
        <w:widowControl w:val="0"/>
        <w:autoSpaceDE w:val="0"/>
        <w:autoSpaceDN w:val="0"/>
        <w:adjustRightInd w:val="0"/>
        <w:spacing w:after="0" w:line="240" w:lineRule="auto"/>
        <w:rPr>
          <w:rFonts w:cstheme="minorHAnsi"/>
        </w:rPr>
      </w:pPr>
      <w:r w:rsidRPr="00FB6248">
        <w:rPr>
          <w:rFonts w:cstheme="minorHAnsi"/>
        </w:rPr>
        <w:t xml:space="preserve">Table 7: </w:t>
      </w:r>
      <w:r w:rsidR="00F44BA2" w:rsidRPr="00FB6248">
        <w:rPr>
          <w:rFonts w:cstheme="minorHAnsi"/>
          <w:i/>
        </w:rPr>
        <w:t>b path</w:t>
      </w:r>
      <w:r w:rsidR="00F44BA2" w:rsidRPr="00FB6248">
        <w:rPr>
          <w:rFonts w:cstheme="minorHAnsi"/>
        </w:rPr>
        <w:t xml:space="preserve"> r</w:t>
      </w:r>
      <w:r w:rsidRPr="00FB6248">
        <w:rPr>
          <w:rFonts w:cstheme="minorHAnsi"/>
          <w:i/>
          <w:iCs/>
        </w:rPr>
        <w:t>egression results using Psychological Well-Being as the criterion</w:t>
      </w:r>
    </w:p>
    <w:p w14:paraId="023BEC5A" w14:textId="77777777" w:rsidR="004B2801" w:rsidRPr="00FB6248" w:rsidRDefault="004B2801" w:rsidP="008E47F4">
      <w:pPr>
        <w:widowControl w:val="0"/>
        <w:autoSpaceDE w:val="0"/>
        <w:autoSpaceDN w:val="0"/>
        <w:adjustRightInd w:val="0"/>
        <w:spacing w:after="0" w:line="240" w:lineRule="auto"/>
        <w:jc w:val="center"/>
        <w:rPr>
          <w:rFonts w:cstheme="minorHAnsi"/>
        </w:rPr>
      </w:pPr>
    </w:p>
    <w:tbl>
      <w:tblPr>
        <w:tblW w:w="0" w:type="auto"/>
        <w:tblInd w:w="1080" w:type="dxa"/>
        <w:tblLayout w:type="fixed"/>
        <w:tblCellMar>
          <w:left w:w="100" w:type="dxa"/>
          <w:right w:w="100" w:type="dxa"/>
        </w:tblCellMar>
        <w:tblLook w:val="0000" w:firstRow="0" w:lastRow="0" w:firstColumn="0" w:lastColumn="0" w:noHBand="0" w:noVBand="0"/>
      </w:tblPr>
      <w:tblGrid>
        <w:gridCol w:w="2615"/>
        <w:gridCol w:w="1260"/>
        <w:gridCol w:w="1890"/>
        <w:gridCol w:w="1170"/>
      </w:tblGrid>
      <w:tr w:rsidR="00056D45" w:rsidRPr="00FB6248" w14:paraId="4486870A" w14:textId="77777777" w:rsidTr="009633B0">
        <w:tc>
          <w:tcPr>
            <w:tcW w:w="2615" w:type="dxa"/>
            <w:tcBorders>
              <w:top w:val="single" w:sz="6" w:space="0" w:color="auto"/>
              <w:left w:val="nil"/>
              <w:bottom w:val="nil"/>
              <w:right w:val="nil"/>
            </w:tcBorders>
            <w:vAlign w:val="center"/>
          </w:tcPr>
          <w:p w14:paraId="4FE6E0A2"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Predictor</w:t>
            </w:r>
          </w:p>
        </w:tc>
        <w:tc>
          <w:tcPr>
            <w:tcW w:w="1260" w:type="dxa"/>
            <w:tcBorders>
              <w:top w:val="single" w:sz="6" w:space="0" w:color="auto"/>
              <w:left w:val="nil"/>
              <w:bottom w:val="nil"/>
              <w:right w:val="nil"/>
            </w:tcBorders>
            <w:vAlign w:val="center"/>
          </w:tcPr>
          <w:p w14:paraId="67447993"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i/>
                <w:iCs/>
              </w:rPr>
              <w:t>b</w:t>
            </w:r>
          </w:p>
        </w:tc>
        <w:tc>
          <w:tcPr>
            <w:tcW w:w="1890" w:type="dxa"/>
            <w:tcBorders>
              <w:top w:val="single" w:sz="6" w:space="0" w:color="auto"/>
              <w:left w:val="nil"/>
              <w:bottom w:val="nil"/>
              <w:right w:val="nil"/>
            </w:tcBorders>
            <w:vAlign w:val="center"/>
          </w:tcPr>
          <w:p w14:paraId="48F8DB43"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i/>
                <w:iCs/>
              </w:rPr>
              <w:t>b</w:t>
            </w:r>
          </w:p>
          <w:p w14:paraId="0E007189"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95% CI</w:t>
            </w:r>
          </w:p>
          <w:p w14:paraId="4210403A"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[LL, UL]</w:t>
            </w:r>
          </w:p>
        </w:tc>
        <w:tc>
          <w:tcPr>
            <w:tcW w:w="1170" w:type="dxa"/>
            <w:tcBorders>
              <w:top w:val="single" w:sz="6" w:space="0" w:color="auto"/>
              <w:left w:val="nil"/>
              <w:bottom w:val="nil"/>
              <w:right w:val="nil"/>
            </w:tcBorders>
            <w:vAlign w:val="center"/>
          </w:tcPr>
          <w:p w14:paraId="047CD866"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i/>
                <w:iCs/>
              </w:rPr>
              <w:t>r</w:t>
            </w:r>
          </w:p>
        </w:tc>
      </w:tr>
      <w:tr w:rsidR="00056D45" w:rsidRPr="00FB6248" w14:paraId="47504FAD" w14:textId="77777777" w:rsidTr="009633B0">
        <w:tc>
          <w:tcPr>
            <w:tcW w:w="2615" w:type="dxa"/>
            <w:tcBorders>
              <w:top w:val="single" w:sz="6" w:space="0" w:color="auto"/>
              <w:left w:val="nil"/>
              <w:bottom w:val="nil"/>
              <w:right w:val="nil"/>
            </w:tcBorders>
            <w:vAlign w:val="center"/>
          </w:tcPr>
          <w:p w14:paraId="77F75722"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(Intercept)</w:t>
            </w:r>
          </w:p>
        </w:tc>
        <w:tc>
          <w:tcPr>
            <w:tcW w:w="1260" w:type="dxa"/>
            <w:tcBorders>
              <w:top w:val="single" w:sz="6" w:space="0" w:color="auto"/>
              <w:left w:val="nil"/>
              <w:bottom w:val="nil"/>
              <w:right w:val="nil"/>
            </w:tcBorders>
            <w:vAlign w:val="center"/>
          </w:tcPr>
          <w:p w14:paraId="66D69EA6"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232.34**</w:t>
            </w:r>
          </w:p>
        </w:tc>
        <w:tc>
          <w:tcPr>
            <w:tcW w:w="1890" w:type="dxa"/>
            <w:tcBorders>
              <w:top w:val="single" w:sz="6" w:space="0" w:color="auto"/>
              <w:left w:val="nil"/>
              <w:bottom w:val="nil"/>
              <w:right w:val="nil"/>
            </w:tcBorders>
            <w:vAlign w:val="center"/>
          </w:tcPr>
          <w:p w14:paraId="52912457"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[227.94, 236.74]</w:t>
            </w:r>
          </w:p>
        </w:tc>
        <w:tc>
          <w:tcPr>
            <w:tcW w:w="1170" w:type="dxa"/>
            <w:tcBorders>
              <w:top w:val="single" w:sz="6" w:space="0" w:color="auto"/>
              <w:left w:val="nil"/>
              <w:bottom w:val="nil"/>
              <w:right w:val="nil"/>
            </w:tcBorders>
            <w:vAlign w:val="center"/>
          </w:tcPr>
          <w:p w14:paraId="252BF5DF"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p>
          <w:p w14:paraId="228444CE"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p>
        </w:tc>
      </w:tr>
      <w:tr w:rsidR="00056D45" w:rsidRPr="00FB6248" w14:paraId="286E104C" w14:textId="77777777" w:rsidTr="009633B0">
        <w:tc>
          <w:tcPr>
            <w:tcW w:w="2615" w:type="dxa"/>
            <w:tcBorders>
              <w:top w:val="nil"/>
              <w:left w:val="nil"/>
              <w:bottom w:val="nil"/>
              <w:right w:val="nil"/>
            </w:tcBorders>
            <w:vAlign w:val="center"/>
          </w:tcPr>
          <w:p w14:paraId="6F0D8C91"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Sexual Orientation</w:t>
            </w:r>
          </w:p>
          <w:p w14:paraId="75D68604"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(LGB =1)</w:t>
            </w:r>
          </w:p>
          <w:p w14:paraId="41E044A9" w14:textId="77777777" w:rsidR="004B2801" w:rsidRPr="00FB6248" w:rsidRDefault="004B2801" w:rsidP="008E47F4">
            <w:pPr>
              <w:widowControl w:val="0"/>
              <w:autoSpaceDE w:val="0"/>
              <w:autoSpaceDN w:val="0"/>
              <w:adjustRightInd w:val="0"/>
              <w:spacing w:after="0" w:line="240" w:lineRule="auto"/>
              <w:jc w:val="center"/>
              <w:rPr>
                <w:rFonts w:cstheme="minorHAnsi"/>
              </w:rPr>
            </w:pPr>
          </w:p>
        </w:tc>
        <w:tc>
          <w:tcPr>
            <w:tcW w:w="1260" w:type="dxa"/>
            <w:tcBorders>
              <w:top w:val="nil"/>
              <w:left w:val="nil"/>
              <w:bottom w:val="nil"/>
              <w:right w:val="nil"/>
            </w:tcBorders>
            <w:vAlign w:val="center"/>
          </w:tcPr>
          <w:p w14:paraId="53B6CEF3"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lastRenderedPageBreak/>
              <w:t>-9.02**</w:t>
            </w:r>
          </w:p>
        </w:tc>
        <w:tc>
          <w:tcPr>
            <w:tcW w:w="1890" w:type="dxa"/>
            <w:tcBorders>
              <w:top w:val="nil"/>
              <w:left w:val="nil"/>
              <w:bottom w:val="nil"/>
              <w:right w:val="nil"/>
            </w:tcBorders>
            <w:vAlign w:val="center"/>
          </w:tcPr>
          <w:p w14:paraId="272E2C07"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[-15.81, -2.22]</w:t>
            </w:r>
          </w:p>
        </w:tc>
        <w:tc>
          <w:tcPr>
            <w:tcW w:w="1170" w:type="dxa"/>
            <w:tcBorders>
              <w:top w:val="nil"/>
              <w:left w:val="nil"/>
              <w:bottom w:val="nil"/>
              <w:right w:val="nil"/>
            </w:tcBorders>
            <w:vAlign w:val="center"/>
          </w:tcPr>
          <w:p w14:paraId="315BC3AA"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-.05**</w:t>
            </w:r>
          </w:p>
        </w:tc>
      </w:tr>
      <w:tr w:rsidR="00056D45" w:rsidRPr="00FB6248" w14:paraId="3B6CE46F" w14:textId="77777777" w:rsidTr="009633B0">
        <w:tc>
          <w:tcPr>
            <w:tcW w:w="2615" w:type="dxa"/>
            <w:tcBorders>
              <w:top w:val="nil"/>
              <w:left w:val="nil"/>
              <w:bottom w:val="nil"/>
              <w:right w:val="nil"/>
            </w:tcBorders>
            <w:vAlign w:val="center"/>
          </w:tcPr>
          <w:p w14:paraId="21740EA6"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Lifetime Discrimination</w:t>
            </w:r>
          </w:p>
        </w:tc>
        <w:tc>
          <w:tcPr>
            <w:tcW w:w="1260" w:type="dxa"/>
            <w:tcBorders>
              <w:top w:val="nil"/>
              <w:left w:val="nil"/>
              <w:bottom w:val="nil"/>
              <w:right w:val="nil"/>
            </w:tcBorders>
            <w:vAlign w:val="center"/>
          </w:tcPr>
          <w:p w14:paraId="7C62C460"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-2.21**</w:t>
            </w:r>
          </w:p>
        </w:tc>
        <w:tc>
          <w:tcPr>
            <w:tcW w:w="1890" w:type="dxa"/>
            <w:tcBorders>
              <w:top w:val="nil"/>
              <w:left w:val="nil"/>
              <w:bottom w:val="nil"/>
              <w:right w:val="nil"/>
            </w:tcBorders>
            <w:vAlign w:val="center"/>
          </w:tcPr>
          <w:p w14:paraId="7414A16A"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[-2.99, -1.43]</w:t>
            </w:r>
          </w:p>
        </w:tc>
        <w:tc>
          <w:tcPr>
            <w:tcW w:w="1170" w:type="dxa"/>
            <w:tcBorders>
              <w:top w:val="nil"/>
              <w:left w:val="nil"/>
              <w:bottom w:val="nil"/>
              <w:right w:val="nil"/>
            </w:tcBorders>
            <w:vAlign w:val="center"/>
          </w:tcPr>
          <w:p w14:paraId="56815A2A"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-.10**</w:t>
            </w:r>
          </w:p>
        </w:tc>
      </w:tr>
      <w:tr w:rsidR="00056D45" w:rsidRPr="00FB6248" w14:paraId="6F8599E5" w14:textId="77777777" w:rsidTr="009633B0">
        <w:tc>
          <w:tcPr>
            <w:tcW w:w="2615" w:type="dxa"/>
            <w:tcBorders>
              <w:top w:val="nil"/>
              <w:left w:val="nil"/>
              <w:bottom w:val="nil"/>
              <w:right w:val="nil"/>
            </w:tcBorders>
            <w:vAlign w:val="center"/>
          </w:tcPr>
          <w:p w14:paraId="5B8454BC" w14:textId="77777777" w:rsidR="004B2801" w:rsidRPr="00FB6248" w:rsidRDefault="004B2801" w:rsidP="008E47F4">
            <w:pPr>
              <w:widowControl w:val="0"/>
              <w:autoSpaceDE w:val="0"/>
              <w:autoSpaceDN w:val="0"/>
              <w:adjustRightInd w:val="0"/>
              <w:spacing w:after="0" w:line="240" w:lineRule="auto"/>
              <w:jc w:val="center"/>
              <w:rPr>
                <w:rFonts w:cstheme="minorHAnsi"/>
              </w:rPr>
            </w:pPr>
          </w:p>
          <w:p w14:paraId="7EB3850A"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Race</w:t>
            </w:r>
          </w:p>
          <w:p w14:paraId="4803BB2E" w14:textId="4FECED48"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 xml:space="preserve">(White = 1; </w:t>
            </w:r>
            <w:r w:rsidR="009633B0" w:rsidRPr="00FB6248">
              <w:rPr>
                <w:rFonts w:cstheme="minorHAnsi"/>
              </w:rPr>
              <w:t>Non-white</w:t>
            </w:r>
            <w:r w:rsidRPr="00FB6248">
              <w:rPr>
                <w:rFonts w:cstheme="minorHAnsi"/>
              </w:rPr>
              <w:t xml:space="preserve"> = 0)</w:t>
            </w:r>
          </w:p>
          <w:p w14:paraId="5230B8F0" w14:textId="77777777" w:rsidR="004B2801" w:rsidRPr="00FB6248" w:rsidRDefault="004B2801" w:rsidP="008E47F4">
            <w:pPr>
              <w:widowControl w:val="0"/>
              <w:autoSpaceDE w:val="0"/>
              <w:autoSpaceDN w:val="0"/>
              <w:adjustRightInd w:val="0"/>
              <w:spacing w:after="0" w:line="240" w:lineRule="auto"/>
              <w:jc w:val="center"/>
              <w:rPr>
                <w:rFonts w:cstheme="minorHAnsi"/>
              </w:rPr>
            </w:pPr>
          </w:p>
        </w:tc>
        <w:tc>
          <w:tcPr>
            <w:tcW w:w="1260" w:type="dxa"/>
            <w:tcBorders>
              <w:top w:val="nil"/>
              <w:left w:val="nil"/>
              <w:bottom w:val="nil"/>
              <w:right w:val="nil"/>
            </w:tcBorders>
            <w:vAlign w:val="center"/>
          </w:tcPr>
          <w:p w14:paraId="3233B83D"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1.07</w:t>
            </w:r>
          </w:p>
        </w:tc>
        <w:tc>
          <w:tcPr>
            <w:tcW w:w="1890" w:type="dxa"/>
            <w:tcBorders>
              <w:top w:val="nil"/>
              <w:left w:val="nil"/>
              <w:bottom w:val="nil"/>
              <w:right w:val="nil"/>
            </w:tcBorders>
            <w:vAlign w:val="center"/>
          </w:tcPr>
          <w:p w14:paraId="052FC8F7"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[-3.24, 5.37]</w:t>
            </w:r>
          </w:p>
        </w:tc>
        <w:tc>
          <w:tcPr>
            <w:tcW w:w="1170" w:type="dxa"/>
            <w:tcBorders>
              <w:top w:val="nil"/>
              <w:left w:val="nil"/>
              <w:bottom w:val="nil"/>
              <w:right w:val="nil"/>
            </w:tcBorders>
            <w:vAlign w:val="center"/>
          </w:tcPr>
          <w:p w14:paraId="153D662D"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r w:rsidR="00056D45" w:rsidRPr="00FB6248" w14:paraId="751A289D" w14:textId="77777777" w:rsidTr="009633B0">
        <w:tc>
          <w:tcPr>
            <w:tcW w:w="2615" w:type="dxa"/>
            <w:tcBorders>
              <w:top w:val="nil"/>
              <w:left w:val="nil"/>
              <w:bottom w:val="nil"/>
              <w:right w:val="nil"/>
            </w:tcBorders>
            <w:vAlign w:val="center"/>
          </w:tcPr>
          <w:p w14:paraId="736DE651"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Sex</w:t>
            </w:r>
          </w:p>
          <w:p w14:paraId="5A29A2A4" w14:textId="77777777" w:rsidR="004B2801" w:rsidRPr="00FB6248" w:rsidRDefault="004B2801" w:rsidP="008E47F4">
            <w:pPr>
              <w:widowControl w:val="0"/>
              <w:autoSpaceDE w:val="0"/>
              <w:autoSpaceDN w:val="0"/>
              <w:adjustRightInd w:val="0"/>
              <w:spacing w:after="0" w:line="240" w:lineRule="auto"/>
              <w:jc w:val="center"/>
              <w:rPr>
                <w:rFonts w:cstheme="minorHAnsi"/>
              </w:rPr>
            </w:pPr>
            <w:r w:rsidRPr="00FB6248">
              <w:rPr>
                <w:rFonts w:cstheme="minorHAnsi"/>
              </w:rPr>
              <w:t>(Male = 1)</w:t>
            </w:r>
          </w:p>
        </w:tc>
        <w:tc>
          <w:tcPr>
            <w:tcW w:w="1260" w:type="dxa"/>
            <w:tcBorders>
              <w:top w:val="nil"/>
              <w:left w:val="nil"/>
              <w:bottom w:val="nil"/>
              <w:right w:val="nil"/>
            </w:tcBorders>
            <w:vAlign w:val="center"/>
          </w:tcPr>
          <w:p w14:paraId="0A51591B"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r w:rsidRPr="00FB6248">
              <w:rPr>
                <w:rFonts w:cstheme="minorHAnsi"/>
              </w:rPr>
              <w:t>0.96</w:t>
            </w:r>
          </w:p>
        </w:tc>
        <w:tc>
          <w:tcPr>
            <w:tcW w:w="1890" w:type="dxa"/>
            <w:tcBorders>
              <w:top w:val="nil"/>
              <w:left w:val="nil"/>
              <w:bottom w:val="nil"/>
              <w:right w:val="nil"/>
            </w:tcBorders>
            <w:vAlign w:val="center"/>
          </w:tcPr>
          <w:p w14:paraId="6DD40705"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r w:rsidRPr="00FB6248">
              <w:rPr>
                <w:rFonts w:cstheme="minorHAnsi"/>
              </w:rPr>
              <w:t>[-1.29, 3.21]</w:t>
            </w:r>
          </w:p>
        </w:tc>
        <w:tc>
          <w:tcPr>
            <w:tcW w:w="1170" w:type="dxa"/>
            <w:tcBorders>
              <w:top w:val="nil"/>
              <w:left w:val="nil"/>
              <w:bottom w:val="nil"/>
              <w:right w:val="nil"/>
            </w:tcBorders>
            <w:vAlign w:val="center"/>
          </w:tcPr>
          <w:p w14:paraId="7A1E3D14"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r w:rsidRPr="00FB6248">
              <w:rPr>
                <w:rFonts w:cstheme="minorHAnsi"/>
              </w:rPr>
              <w:t>.02</w:t>
            </w:r>
          </w:p>
        </w:tc>
      </w:tr>
      <w:tr w:rsidR="00056D45" w:rsidRPr="00FB6248" w14:paraId="10953990" w14:textId="77777777" w:rsidTr="009633B0">
        <w:tc>
          <w:tcPr>
            <w:tcW w:w="2615" w:type="dxa"/>
            <w:tcBorders>
              <w:top w:val="nil"/>
              <w:left w:val="nil"/>
              <w:bottom w:val="single" w:sz="6" w:space="0" w:color="auto"/>
              <w:right w:val="nil"/>
            </w:tcBorders>
            <w:vAlign w:val="center"/>
          </w:tcPr>
          <w:p w14:paraId="07951516" w14:textId="77777777" w:rsidR="004B2801" w:rsidRPr="00FB6248" w:rsidRDefault="004B2801" w:rsidP="008E47F4">
            <w:pPr>
              <w:widowControl w:val="0"/>
              <w:autoSpaceDE w:val="0"/>
              <w:autoSpaceDN w:val="0"/>
              <w:adjustRightInd w:val="0"/>
              <w:spacing w:after="0" w:line="240" w:lineRule="auto"/>
              <w:jc w:val="center"/>
              <w:rPr>
                <w:rFonts w:cstheme="minorHAnsi"/>
              </w:rPr>
            </w:pPr>
          </w:p>
        </w:tc>
        <w:tc>
          <w:tcPr>
            <w:tcW w:w="1260" w:type="dxa"/>
            <w:tcBorders>
              <w:top w:val="nil"/>
              <w:left w:val="nil"/>
              <w:bottom w:val="single" w:sz="6" w:space="0" w:color="auto"/>
              <w:right w:val="nil"/>
            </w:tcBorders>
            <w:vAlign w:val="center"/>
          </w:tcPr>
          <w:p w14:paraId="7D569ED1"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p>
        </w:tc>
        <w:tc>
          <w:tcPr>
            <w:tcW w:w="1890" w:type="dxa"/>
            <w:tcBorders>
              <w:top w:val="nil"/>
              <w:left w:val="nil"/>
              <w:bottom w:val="single" w:sz="6" w:space="0" w:color="auto"/>
              <w:right w:val="nil"/>
            </w:tcBorders>
            <w:vAlign w:val="center"/>
          </w:tcPr>
          <w:p w14:paraId="7F17B01B"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p>
        </w:tc>
        <w:tc>
          <w:tcPr>
            <w:tcW w:w="1170" w:type="dxa"/>
            <w:tcBorders>
              <w:top w:val="nil"/>
              <w:left w:val="nil"/>
              <w:bottom w:val="single" w:sz="6" w:space="0" w:color="auto"/>
              <w:right w:val="nil"/>
            </w:tcBorders>
            <w:vAlign w:val="center"/>
          </w:tcPr>
          <w:p w14:paraId="4ACC097F"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p>
        </w:tc>
      </w:tr>
      <w:tr w:rsidR="00056D45" w:rsidRPr="00FB6248" w14:paraId="5B0D733F" w14:textId="77777777" w:rsidTr="009633B0">
        <w:tc>
          <w:tcPr>
            <w:tcW w:w="2615" w:type="dxa"/>
            <w:tcBorders>
              <w:top w:val="nil"/>
              <w:left w:val="nil"/>
              <w:bottom w:val="nil"/>
              <w:right w:val="nil"/>
            </w:tcBorders>
            <w:vAlign w:val="center"/>
          </w:tcPr>
          <w:p w14:paraId="47CDF66B" w14:textId="77777777" w:rsidR="004B2801" w:rsidRPr="00FB6248" w:rsidRDefault="004B2801" w:rsidP="008E47F4">
            <w:pPr>
              <w:widowControl w:val="0"/>
              <w:autoSpaceDE w:val="0"/>
              <w:autoSpaceDN w:val="0"/>
              <w:adjustRightInd w:val="0"/>
              <w:spacing w:after="0" w:line="240" w:lineRule="auto"/>
              <w:jc w:val="center"/>
              <w:rPr>
                <w:rFonts w:cstheme="minorHAnsi"/>
              </w:rPr>
            </w:pPr>
          </w:p>
        </w:tc>
        <w:tc>
          <w:tcPr>
            <w:tcW w:w="1260" w:type="dxa"/>
            <w:tcBorders>
              <w:top w:val="nil"/>
              <w:left w:val="nil"/>
              <w:bottom w:val="nil"/>
              <w:right w:val="nil"/>
            </w:tcBorders>
            <w:vAlign w:val="center"/>
          </w:tcPr>
          <w:p w14:paraId="43734E0C" w14:textId="77777777" w:rsidR="004B2801" w:rsidRPr="00FB6248" w:rsidRDefault="004B2801" w:rsidP="008E47F4">
            <w:pPr>
              <w:widowControl w:val="0"/>
              <w:tabs>
                <w:tab w:val="decimal" w:leader="dot" w:pos="547"/>
              </w:tabs>
              <w:autoSpaceDE w:val="0"/>
              <w:autoSpaceDN w:val="0"/>
              <w:adjustRightInd w:val="0"/>
              <w:spacing w:after="0" w:line="240" w:lineRule="auto"/>
              <w:jc w:val="center"/>
              <w:rPr>
                <w:rFonts w:cstheme="minorHAnsi"/>
              </w:rPr>
            </w:pPr>
          </w:p>
        </w:tc>
        <w:tc>
          <w:tcPr>
            <w:tcW w:w="1890" w:type="dxa"/>
            <w:tcBorders>
              <w:top w:val="nil"/>
              <w:left w:val="nil"/>
              <w:bottom w:val="nil"/>
              <w:right w:val="nil"/>
            </w:tcBorders>
            <w:vAlign w:val="center"/>
          </w:tcPr>
          <w:p w14:paraId="398600C5" w14:textId="77777777" w:rsidR="004B2801" w:rsidRPr="00FB6248" w:rsidRDefault="004B2801" w:rsidP="008E47F4">
            <w:pPr>
              <w:widowControl w:val="0"/>
              <w:tabs>
                <w:tab w:val="decimal" w:leader="dot" w:pos="277"/>
              </w:tabs>
              <w:autoSpaceDE w:val="0"/>
              <w:autoSpaceDN w:val="0"/>
              <w:adjustRightInd w:val="0"/>
              <w:spacing w:after="0" w:line="240" w:lineRule="auto"/>
              <w:jc w:val="center"/>
              <w:rPr>
                <w:rFonts w:cstheme="minorHAnsi"/>
              </w:rPr>
            </w:pPr>
          </w:p>
        </w:tc>
        <w:tc>
          <w:tcPr>
            <w:tcW w:w="1170" w:type="dxa"/>
            <w:tcBorders>
              <w:top w:val="nil"/>
              <w:left w:val="nil"/>
              <w:bottom w:val="nil"/>
              <w:right w:val="nil"/>
            </w:tcBorders>
            <w:vAlign w:val="center"/>
          </w:tcPr>
          <w:p w14:paraId="64D85A4F" w14:textId="77777777" w:rsidR="004B2801" w:rsidRPr="00FB6248" w:rsidRDefault="004B2801" w:rsidP="008E47F4">
            <w:pPr>
              <w:widowControl w:val="0"/>
              <w:tabs>
                <w:tab w:val="decimal" w:leader="dot" w:pos="130"/>
              </w:tabs>
              <w:autoSpaceDE w:val="0"/>
              <w:autoSpaceDN w:val="0"/>
              <w:adjustRightInd w:val="0"/>
              <w:spacing w:after="0" w:line="240" w:lineRule="auto"/>
              <w:jc w:val="center"/>
              <w:rPr>
                <w:rFonts w:cstheme="minorHAnsi"/>
              </w:rPr>
            </w:pPr>
          </w:p>
        </w:tc>
      </w:tr>
    </w:tbl>
    <w:p w14:paraId="7B630AD7" w14:textId="34C41F14" w:rsidR="004B2801" w:rsidRPr="00FB6248" w:rsidRDefault="004B2801" w:rsidP="008E47F4">
      <w:pPr>
        <w:widowControl w:val="0"/>
        <w:autoSpaceDE w:val="0"/>
        <w:autoSpaceDN w:val="0"/>
        <w:adjustRightInd w:val="0"/>
        <w:spacing w:after="0" w:line="240" w:lineRule="auto"/>
        <w:rPr>
          <w:rFonts w:cstheme="minorHAnsi"/>
        </w:rPr>
      </w:pPr>
      <w:r w:rsidRPr="00FB6248">
        <w:rPr>
          <w:rFonts w:cstheme="minorHAnsi"/>
          <w:i/>
          <w:iCs/>
        </w:rPr>
        <w:t>R</w:t>
      </w:r>
      <w:r w:rsidRPr="00FB6248">
        <w:rPr>
          <w:rFonts w:cstheme="minorHAnsi"/>
          <w:i/>
          <w:iCs/>
          <w:vertAlign w:val="superscript"/>
        </w:rPr>
        <w:t xml:space="preserve">2 </w:t>
      </w:r>
      <w:r w:rsidRPr="00FB6248">
        <w:rPr>
          <w:rFonts w:cstheme="minorHAnsi"/>
        </w:rPr>
        <w:t xml:space="preserve">  = .011**</w:t>
      </w:r>
    </w:p>
    <w:p w14:paraId="21A3D584" w14:textId="77777777" w:rsidR="004B2801" w:rsidRPr="00FB6248" w:rsidRDefault="004B2801" w:rsidP="008E47F4">
      <w:pPr>
        <w:widowControl w:val="0"/>
        <w:autoSpaceDE w:val="0"/>
        <w:autoSpaceDN w:val="0"/>
        <w:adjustRightInd w:val="0"/>
        <w:spacing w:after="0" w:line="240" w:lineRule="auto"/>
        <w:rPr>
          <w:rFonts w:cstheme="minorHAnsi"/>
        </w:rPr>
      </w:pPr>
      <w:r w:rsidRPr="00FB6248">
        <w:rPr>
          <w:rFonts w:cstheme="minorHAnsi"/>
          <w:i/>
          <w:iCs/>
        </w:rPr>
        <w:t>Note.</w:t>
      </w:r>
      <w:r w:rsidRPr="00FB6248">
        <w:rPr>
          <w:rFonts w:cstheme="minorHAnsi"/>
        </w:rPr>
        <w:t xml:space="preserve"> A significant </w:t>
      </w:r>
      <w:r w:rsidRPr="00FB6248">
        <w:rPr>
          <w:rFonts w:cstheme="minorHAnsi"/>
          <w:i/>
          <w:iCs/>
        </w:rPr>
        <w:t>b</w:t>
      </w:r>
      <w:r w:rsidRPr="00FB6248">
        <w:rPr>
          <w:rFonts w:cstheme="minorHAnsi"/>
        </w:rPr>
        <w:t xml:space="preserve">-weight indicates the beta-weight and semi-partial correlation are also significant. </w:t>
      </w:r>
      <w:r w:rsidRPr="00FB6248">
        <w:rPr>
          <w:rFonts w:cstheme="minorHAnsi"/>
          <w:i/>
          <w:iCs/>
        </w:rPr>
        <w:t>b</w:t>
      </w:r>
      <w:r w:rsidRPr="00FB6248">
        <w:rPr>
          <w:rFonts w:cstheme="minorHAnsi"/>
        </w:rPr>
        <w:t xml:space="preserve"> represents unstandardized regression weights. </w:t>
      </w:r>
      <w:r w:rsidRPr="00FB6248">
        <w:rPr>
          <w:rFonts w:cstheme="minorHAnsi"/>
          <w:i/>
          <w:iCs/>
        </w:rPr>
        <w:t>r</w:t>
      </w:r>
      <w:r w:rsidRPr="00FB6248">
        <w:rPr>
          <w:rFonts w:cstheme="minorHAnsi"/>
        </w:rPr>
        <w:t xml:space="preserve"> represents the zero-order correlation. </w:t>
      </w:r>
      <w:r w:rsidRPr="00FB6248">
        <w:rPr>
          <w:rFonts w:cstheme="minorHAnsi"/>
          <w:i/>
          <w:iCs/>
        </w:rPr>
        <w:t>LL</w:t>
      </w:r>
      <w:r w:rsidRPr="00FB6248">
        <w:rPr>
          <w:rFonts w:cstheme="minorHAnsi"/>
        </w:rPr>
        <w:t xml:space="preserve"> and </w:t>
      </w:r>
      <w:r w:rsidRPr="00FB6248">
        <w:rPr>
          <w:rFonts w:cstheme="minorHAnsi"/>
          <w:i/>
          <w:iCs/>
        </w:rPr>
        <w:t>UL</w:t>
      </w:r>
      <w:r w:rsidRPr="00FB6248">
        <w:rPr>
          <w:rFonts w:cstheme="minorHAnsi"/>
        </w:rPr>
        <w:t xml:space="preserve"> indicate the lower and upper limits of a confidence interval, respectively.</w:t>
      </w:r>
      <w:r w:rsidRPr="00FB6248">
        <w:rPr>
          <w:rFonts w:cstheme="minorHAnsi"/>
        </w:rPr>
        <w:br/>
        <w:t xml:space="preserve">* indicates </w:t>
      </w:r>
      <w:r w:rsidRPr="00FB6248">
        <w:rPr>
          <w:rFonts w:cstheme="minorHAnsi"/>
          <w:i/>
          <w:iCs/>
        </w:rPr>
        <w:t>p</w:t>
      </w:r>
      <w:r w:rsidRPr="00FB6248">
        <w:rPr>
          <w:rFonts w:cstheme="minorHAnsi"/>
        </w:rPr>
        <w:t xml:space="preserve"> &lt; .05. ** indicates </w:t>
      </w:r>
      <w:r w:rsidRPr="00FB6248">
        <w:rPr>
          <w:rFonts w:cstheme="minorHAnsi"/>
          <w:i/>
          <w:iCs/>
        </w:rPr>
        <w:t>p</w:t>
      </w:r>
      <w:r w:rsidRPr="00FB6248">
        <w:rPr>
          <w:rFonts w:cstheme="minorHAnsi"/>
        </w:rPr>
        <w:t xml:space="preserve"> &lt; .01.</w:t>
      </w:r>
    </w:p>
    <w:p w14:paraId="3C37E488" w14:textId="77777777" w:rsidR="004B2801" w:rsidRPr="00FB6248" w:rsidRDefault="004B2801" w:rsidP="00800DEC">
      <w:pPr>
        <w:spacing w:line="480" w:lineRule="auto"/>
        <w:ind w:firstLine="720"/>
        <w:rPr>
          <w:rFonts w:cstheme="minorHAnsi"/>
          <w:b/>
        </w:rPr>
      </w:pPr>
    </w:p>
    <w:p w14:paraId="1338457F" w14:textId="4889A372" w:rsidR="00F40D6C" w:rsidRPr="00FB6248" w:rsidRDefault="00F40D6C" w:rsidP="00800DEC">
      <w:pPr>
        <w:spacing w:after="0" w:line="480" w:lineRule="auto"/>
        <w:rPr>
          <w:rFonts w:eastAsia="Times New Roman" w:cstheme="minorHAnsi"/>
        </w:rPr>
      </w:pPr>
      <w:r w:rsidRPr="00FB6248">
        <w:rPr>
          <w:rFonts w:eastAsia="Times New Roman" w:cstheme="minorHAnsi"/>
        </w:rPr>
        <w:t xml:space="preserve">Results from </w:t>
      </w:r>
      <w:r w:rsidRPr="00FB6248">
        <w:rPr>
          <w:rFonts w:eastAsia="Times New Roman" w:cstheme="minorHAnsi"/>
          <w:i/>
          <w:iCs/>
        </w:rPr>
        <w:t>Table 7</w:t>
      </w:r>
      <w:r w:rsidRPr="00FB6248">
        <w:rPr>
          <w:rFonts w:eastAsia="Times New Roman" w:cstheme="minorHAnsi"/>
        </w:rPr>
        <w:t xml:space="preserve"> indicate that</w:t>
      </w:r>
      <w:r w:rsidR="00336E87" w:rsidRPr="00FB6248">
        <w:rPr>
          <w:rFonts w:eastAsia="Times New Roman" w:cstheme="minorHAnsi"/>
        </w:rPr>
        <w:t xml:space="preserve">, </w:t>
      </w:r>
      <w:r w:rsidR="001D1B00" w:rsidRPr="00FB6248">
        <w:rPr>
          <w:rFonts w:eastAsia="Times New Roman" w:cstheme="minorHAnsi"/>
        </w:rPr>
        <w:t xml:space="preserve">the </w:t>
      </w:r>
      <w:r w:rsidR="001D1B00" w:rsidRPr="00FB6248">
        <w:rPr>
          <w:rFonts w:eastAsia="Times New Roman" w:cstheme="minorHAnsi"/>
          <w:i/>
        </w:rPr>
        <w:t xml:space="preserve">b </w:t>
      </w:r>
      <w:r w:rsidR="001D1B00" w:rsidRPr="00FB6248">
        <w:rPr>
          <w:rFonts w:eastAsia="Times New Roman" w:cstheme="minorHAnsi"/>
        </w:rPr>
        <w:t>path</w:t>
      </w:r>
      <w:r w:rsidR="00336E87" w:rsidRPr="00FB6248">
        <w:rPr>
          <w:rFonts w:eastAsia="Times New Roman" w:cstheme="minorHAnsi"/>
        </w:rPr>
        <w:t>,</w:t>
      </w:r>
      <w:r w:rsidR="001D1B00" w:rsidRPr="00FB6248">
        <w:rPr>
          <w:rFonts w:eastAsia="Times New Roman" w:cstheme="minorHAnsi"/>
        </w:rPr>
        <w:t xml:space="preserve"> </w:t>
      </w:r>
      <w:r w:rsidR="00280CC7" w:rsidRPr="00FB6248">
        <w:rPr>
          <w:rFonts w:eastAsia="Times New Roman" w:cstheme="minorHAnsi"/>
        </w:rPr>
        <w:t xml:space="preserve">leading from </w:t>
      </w:r>
      <w:r w:rsidRPr="00FB6248">
        <w:rPr>
          <w:rFonts w:eastAsia="Times New Roman" w:cstheme="minorHAnsi"/>
        </w:rPr>
        <w:t xml:space="preserve">lifetime discrimination </w:t>
      </w:r>
      <w:r w:rsidR="00280CC7" w:rsidRPr="00FB6248">
        <w:rPr>
          <w:rFonts w:eastAsia="Times New Roman" w:cstheme="minorHAnsi"/>
        </w:rPr>
        <w:t>to psychological well-being is</w:t>
      </w:r>
      <w:r w:rsidRPr="00FB6248">
        <w:rPr>
          <w:rFonts w:eastAsia="Times New Roman" w:cstheme="minorHAnsi"/>
        </w:rPr>
        <w:t xml:space="preserve"> significant. For every 1-unit increase on an individual’s lifetime discrimination score, a 2.21-unit decrease in their psychological well-being is expected</w:t>
      </w:r>
      <w:r w:rsidR="00D33838" w:rsidRPr="00FB6248">
        <w:rPr>
          <w:rFonts w:eastAsia="Times New Roman" w:cstheme="minorHAnsi"/>
        </w:rPr>
        <w:t xml:space="preserve"> after controlling for sexual orientation, race and sex</w:t>
      </w:r>
      <w:r w:rsidRPr="00FB6248">
        <w:rPr>
          <w:rFonts w:eastAsia="Times New Roman" w:cstheme="minorHAnsi"/>
        </w:rPr>
        <w:t>.</w:t>
      </w:r>
      <w:r w:rsidR="001D1B00" w:rsidRPr="00FB6248">
        <w:rPr>
          <w:rFonts w:eastAsia="Times New Roman" w:cstheme="minorHAnsi"/>
        </w:rPr>
        <w:t xml:space="preserve"> </w:t>
      </w:r>
    </w:p>
    <w:p w14:paraId="70CEDCF2" w14:textId="14941B79" w:rsidR="00F40D6C" w:rsidRPr="00FB6248" w:rsidRDefault="00C74585" w:rsidP="00800DEC">
      <w:pPr>
        <w:spacing w:after="0" w:line="480" w:lineRule="auto"/>
        <w:ind w:firstLine="720"/>
        <w:rPr>
          <w:rFonts w:eastAsia="Times New Roman" w:cstheme="minorHAnsi"/>
        </w:rPr>
      </w:pPr>
      <w:r w:rsidRPr="00FB6248">
        <w:rPr>
          <w:rFonts w:eastAsia="Times New Roman" w:cstheme="minorHAnsi"/>
        </w:rPr>
        <w:t xml:space="preserve">The </w:t>
      </w:r>
      <w:r w:rsidRPr="00FB6248">
        <w:rPr>
          <w:rFonts w:eastAsia="Times New Roman" w:cstheme="minorHAnsi"/>
          <w:i/>
        </w:rPr>
        <w:t>c’</w:t>
      </w:r>
      <w:r w:rsidRPr="00FB6248">
        <w:rPr>
          <w:rFonts w:eastAsia="Times New Roman" w:cstheme="minorHAnsi"/>
        </w:rPr>
        <w:t xml:space="preserve"> path of</w:t>
      </w:r>
      <w:r w:rsidR="00F40D6C" w:rsidRPr="00FB6248">
        <w:rPr>
          <w:rFonts w:eastAsia="Times New Roman" w:cstheme="minorHAnsi"/>
        </w:rPr>
        <w:t xml:space="preserve"> sexual orientation </w:t>
      </w:r>
      <w:r w:rsidR="005E0C8C" w:rsidRPr="00FB6248">
        <w:rPr>
          <w:rFonts w:eastAsia="Times New Roman" w:cstheme="minorHAnsi"/>
        </w:rPr>
        <w:t>to</w:t>
      </w:r>
      <w:r w:rsidR="00F40D6C" w:rsidRPr="00FB6248">
        <w:rPr>
          <w:rFonts w:eastAsia="Times New Roman" w:cstheme="minorHAnsi"/>
        </w:rPr>
        <w:t xml:space="preserve"> psychological well-being, after accounting for the mediated effect of lifetime discrimination, race and sex</w:t>
      </w:r>
      <w:r w:rsidR="0006162C" w:rsidRPr="00FB6248">
        <w:rPr>
          <w:rFonts w:eastAsia="Times New Roman" w:cstheme="minorHAnsi"/>
        </w:rPr>
        <w:t xml:space="preserve"> was</w:t>
      </w:r>
      <w:r w:rsidR="00F40D6C" w:rsidRPr="00FB6248">
        <w:rPr>
          <w:rFonts w:eastAsia="Times New Roman" w:cstheme="minorHAnsi"/>
        </w:rPr>
        <w:t xml:space="preserve"> calculated by obtaining the product of the beta coefficient </w:t>
      </w:r>
      <w:r w:rsidR="00F93EDE" w:rsidRPr="00FB6248">
        <w:rPr>
          <w:rFonts w:eastAsia="Times New Roman" w:cstheme="minorHAnsi"/>
        </w:rPr>
        <w:t xml:space="preserve">from </w:t>
      </w:r>
      <w:proofErr w:type="gramStart"/>
      <w:r w:rsidR="00F93EDE" w:rsidRPr="00FB6248">
        <w:rPr>
          <w:rFonts w:eastAsia="Times New Roman" w:cstheme="minorHAnsi"/>
        </w:rPr>
        <w:t xml:space="preserve">the </w:t>
      </w:r>
      <w:r w:rsidR="00F93EDE" w:rsidRPr="00FB6248">
        <w:rPr>
          <w:rFonts w:eastAsia="Times New Roman" w:cstheme="minorHAnsi"/>
          <w:i/>
        </w:rPr>
        <w:t>a</w:t>
      </w:r>
      <w:proofErr w:type="gramEnd"/>
      <w:r w:rsidR="00F93EDE" w:rsidRPr="00FB6248">
        <w:rPr>
          <w:rFonts w:eastAsia="Times New Roman" w:cstheme="minorHAnsi"/>
          <w:i/>
        </w:rPr>
        <w:t xml:space="preserve"> </w:t>
      </w:r>
      <w:r w:rsidR="00F93EDE" w:rsidRPr="00FB6248">
        <w:rPr>
          <w:rFonts w:eastAsia="Times New Roman" w:cstheme="minorHAnsi"/>
        </w:rPr>
        <w:t xml:space="preserve">path and </w:t>
      </w:r>
      <w:r w:rsidR="00F93EDE" w:rsidRPr="00FB6248">
        <w:rPr>
          <w:rFonts w:eastAsia="Times New Roman" w:cstheme="minorHAnsi"/>
          <w:i/>
        </w:rPr>
        <w:t xml:space="preserve">b </w:t>
      </w:r>
      <w:r w:rsidR="00F93EDE" w:rsidRPr="00FB6248">
        <w:rPr>
          <w:rFonts w:eastAsia="Times New Roman" w:cstheme="minorHAnsi"/>
        </w:rPr>
        <w:t>path</w:t>
      </w:r>
      <w:r w:rsidR="00D33838" w:rsidRPr="00FB6248">
        <w:rPr>
          <w:rFonts w:eastAsia="Times New Roman" w:cstheme="minorHAnsi"/>
        </w:rPr>
        <w:t xml:space="preserve">. </w:t>
      </w:r>
      <w:r w:rsidR="00F40D6C" w:rsidRPr="00FB6248">
        <w:rPr>
          <w:rFonts w:eastAsia="Times New Roman" w:cstheme="minorHAnsi"/>
        </w:rPr>
        <w:t xml:space="preserve">The </w:t>
      </w:r>
      <w:r w:rsidR="00017963" w:rsidRPr="00FB6248">
        <w:rPr>
          <w:rFonts w:eastAsia="Times New Roman" w:cstheme="minorHAnsi"/>
          <w:i/>
        </w:rPr>
        <w:t xml:space="preserve">c’ </w:t>
      </w:r>
      <w:r w:rsidR="00017963" w:rsidRPr="00FB6248">
        <w:rPr>
          <w:rFonts w:eastAsia="Times New Roman" w:cstheme="minorHAnsi"/>
        </w:rPr>
        <w:t>path</w:t>
      </w:r>
      <w:r w:rsidR="00F40D6C" w:rsidRPr="00FB6248">
        <w:rPr>
          <w:rFonts w:eastAsia="Times New Roman" w:cstheme="minorHAnsi"/>
        </w:rPr>
        <w:t xml:space="preserve"> of sexual orientation </w:t>
      </w:r>
      <w:r w:rsidR="00017963" w:rsidRPr="00FB6248">
        <w:rPr>
          <w:rFonts w:eastAsia="Times New Roman" w:cstheme="minorHAnsi"/>
        </w:rPr>
        <w:t>to</w:t>
      </w:r>
      <w:r w:rsidR="00F40D6C" w:rsidRPr="00FB6248">
        <w:rPr>
          <w:rFonts w:eastAsia="Times New Roman" w:cstheme="minorHAnsi"/>
        </w:rPr>
        <w:t xml:space="preserve"> psychological well-being is </w:t>
      </w:r>
      <w:r w:rsidR="00F40D6C" w:rsidRPr="00FB6248">
        <w:rPr>
          <w:rFonts w:eastAsia="Times New Roman" w:cstheme="minorHAnsi"/>
          <w:i/>
          <w:iCs/>
        </w:rPr>
        <w:t>-1.34</w:t>
      </w:r>
      <w:r w:rsidR="00F40D6C" w:rsidRPr="00FB6248">
        <w:rPr>
          <w:rFonts w:eastAsia="Times New Roman" w:cstheme="minorHAnsi"/>
        </w:rPr>
        <w:t xml:space="preserve">. Confidence intervals for the indirect effect were obtained using a bootstrap analysis. </w:t>
      </w:r>
      <w:r w:rsidR="00D33838" w:rsidRPr="00FB6248">
        <w:rPr>
          <w:rFonts w:eastAsia="Times New Roman" w:cstheme="minorHAnsi"/>
        </w:rPr>
        <w:t>The b</w:t>
      </w:r>
      <w:r w:rsidR="00F40D6C" w:rsidRPr="00FB6248">
        <w:rPr>
          <w:rFonts w:eastAsia="Times New Roman" w:cstheme="minorHAnsi"/>
        </w:rPr>
        <w:t xml:space="preserve">ootstrap analysis obtained a 95% confidence interval of LL= -2.57, UL =-0.58. It was concluded that the indirect effect </w:t>
      </w:r>
      <w:r w:rsidR="00017963" w:rsidRPr="00FB6248">
        <w:rPr>
          <w:rFonts w:eastAsia="Times New Roman" w:cstheme="minorHAnsi"/>
        </w:rPr>
        <w:t>(</w:t>
      </w:r>
      <w:r w:rsidR="00017963" w:rsidRPr="00FB6248">
        <w:rPr>
          <w:rFonts w:eastAsia="Times New Roman" w:cstheme="minorHAnsi"/>
          <w:i/>
        </w:rPr>
        <w:t xml:space="preserve">c’ </w:t>
      </w:r>
      <w:r w:rsidR="008820CA" w:rsidRPr="00FB6248">
        <w:rPr>
          <w:rFonts w:eastAsia="Times New Roman" w:cstheme="minorHAnsi"/>
        </w:rPr>
        <w:t xml:space="preserve">path) </w:t>
      </w:r>
      <w:r w:rsidR="00F40D6C" w:rsidRPr="00FB6248">
        <w:rPr>
          <w:rFonts w:eastAsia="Times New Roman" w:cstheme="minorHAnsi"/>
        </w:rPr>
        <w:t xml:space="preserve">of sexual orientation on psychological well-being was significant, after controlling for the mediated effect of lifetime discrimination and additionally controlling for race and sex. A complete diagram of including the path coefficients is shown in </w:t>
      </w:r>
      <w:r w:rsidR="00F40D6C" w:rsidRPr="00FB6248">
        <w:rPr>
          <w:rFonts w:eastAsia="Times New Roman" w:cstheme="minorHAnsi"/>
          <w:i/>
          <w:iCs/>
        </w:rPr>
        <w:t>Figure 2</w:t>
      </w:r>
      <w:r w:rsidR="00F40D6C" w:rsidRPr="00FB6248">
        <w:rPr>
          <w:rFonts w:eastAsia="Times New Roman" w:cstheme="minorHAnsi"/>
        </w:rPr>
        <w:t>. Results from these regression analyses suggest that the lifetime discrimination is a partial mediator between sexual orientation and psychological well-being. Even after controlling for the mediated effects of lifetime discrimination, LGB identity tends to result in lower psychological well-being.</w:t>
      </w:r>
    </w:p>
    <w:p w14:paraId="4A1617A0" w14:textId="16EAB656" w:rsidR="00957C5D" w:rsidRPr="00FB6248" w:rsidRDefault="00996BC5" w:rsidP="00CC72D8">
      <w:pPr>
        <w:spacing w:line="240" w:lineRule="auto"/>
        <w:rPr>
          <w:rFonts w:cstheme="minorHAnsi"/>
          <w:i/>
        </w:rPr>
      </w:pPr>
      <w:r w:rsidRPr="00FB6248">
        <w:rPr>
          <w:rFonts w:cstheme="minorHAnsi"/>
          <w:noProof/>
        </w:rPr>
        <w:lastRenderedPageBreak/>
        <w:drawing>
          <wp:anchor distT="0" distB="0" distL="114300" distR="114300" simplePos="0" relativeHeight="251698688" behindDoc="0" locked="0" layoutInCell="1" allowOverlap="1" wp14:anchorId="3FECB0F1" wp14:editId="764CE1FE">
            <wp:simplePos x="0" y="0"/>
            <wp:positionH relativeFrom="column">
              <wp:posOffset>834390</wp:posOffset>
            </wp:positionH>
            <wp:positionV relativeFrom="paragraph">
              <wp:posOffset>772160</wp:posOffset>
            </wp:positionV>
            <wp:extent cx="4316730" cy="3172460"/>
            <wp:effectExtent l="0" t="0" r="762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730" cy="317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6248">
        <w:rPr>
          <w:rFonts w:cstheme="minorHAnsi"/>
          <w:i/>
        </w:rPr>
        <w:t>Figure 2: Mediated pathways from sexual orientation to psychological well-being outcome. Model also controlled for race and gender.</w:t>
      </w:r>
      <w:r w:rsidRPr="00FB6248">
        <w:rPr>
          <w:rFonts w:cstheme="minorHAnsi"/>
          <w:noProof/>
        </w:rPr>
        <w:t xml:space="preserve"> </w:t>
      </w:r>
    </w:p>
    <w:p w14:paraId="4561C188" w14:textId="77777777" w:rsidR="00CC72D8" w:rsidRPr="00FB6248" w:rsidRDefault="00CC72D8" w:rsidP="00CC72D8">
      <w:pPr>
        <w:spacing w:line="240" w:lineRule="auto"/>
        <w:rPr>
          <w:rFonts w:cstheme="minorHAnsi"/>
          <w:i/>
        </w:rPr>
      </w:pPr>
    </w:p>
    <w:p w14:paraId="45114BD7" w14:textId="77777777" w:rsidR="00FB6248" w:rsidRPr="00FB6248" w:rsidRDefault="00FB6248" w:rsidP="00800DEC">
      <w:pPr>
        <w:spacing w:after="0" w:line="480" w:lineRule="auto"/>
        <w:rPr>
          <w:rFonts w:eastAsia="Times New Roman" w:cstheme="minorHAnsi"/>
          <w:b/>
        </w:rPr>
      </w:pPr>
    </w:p>
    <w:p w14:paraId="05E32124" w14:textId="362BB025" w:rsidR="0091303C" w:rsidRPr="00FB6248" w:rsidRDefault="0091303C" w:rsidP="00800DEC">
      <w:pPr>
        <w:spacing w:after="0" w:line="480" w:lineRule="auto"/>
        <w:rPr>
          <w:rFonts w:eastAsia="Times New Roman" w:cstheme="minorHAnsi"/>
          <w:b/>
        </w:rPr>
      </w:pPr>
      <w:r w:rsidRPr="00FB6248">
        <w:rPr>
          <w:rFonts w:eastAsia="Times New Roman" w:cstheme="minorHAnsi"/>
          <w:b/>
        </w:rPr>
        <w:t xml:space="preserve">Discussion </w:t>
      </w:r>
    </w:p>
    <w:p w14:paraId="757B18B3" w14:textId="77777777" w:rsidR="0091303C" w:rsidRPr="00FB6248" w:rsidRDefault="0091303C" w:rsidP="007D5323">
      <w:pPr>
        <w:spacing w:after="0" w:line="480" w:lineRule="auto"/>
        <w:ind w:firstLine="720"/>
        <w:rPr>
          <w:rFonts w:eastAsia="Times New Roman" w:cstheme="minorHAnsi"/>
        </w:rPr>
      </w:pPr>
      <w:r w:rsidRPr="00FB6248">
        <w:rPr>
          <w:rFonts w:eastAsia="Times New Roman" w:cstheme="minorHAnsi"/>
        </w:rPr>
        <w:t xml:space="preserve">The results of this study pertaining to psychological well-being are consistent with our hypothesis and with existing literature on minority discrimination.  This provides further support for the minority stress framework’s use in interpreting the experiences of the LGB population (Meyer, 1995, 2003), and perceived discrimination as a relevant source of such stress (Almeida, Johnson, Corliss, Molnar &amp; Azrael, 2009; Mays &amp; Cochran, 2011). </w:t>
      </w:r>
    </w:p>
    <w:p w14:paraId="0E6F74D4" w14:textId="77777777" w:rsidR="0091303C" w:rsidRPr="00FB6248" w:rsidRDefault="0091303C" w:rsidP="00800DEC">
      <w:pPr>
        <w:spacing w:after="0" w:line="480" w:lineRule="auto"/>
        <w:rPr>
          <w:rFonts w:eastAsia="Times New Roman" w:cstheme="minorHAnsi"/>
        </w:rPr>
      </w:pPr>
      <w:r w:rsidRPr="00FB6248">
        <w:rPr>
          <w:rFonts w:eastAsia="Times New Roman" w:cstheme="minorHAnsi"/>
        </w:rPr>
        <w:t>Interestingly, the results for the social well-being were inconclusive as no statistically significant effect was found (</w:t>
      </w:r>
      <w:r w:rsidRPr="00FB6248">
        <w:rPr>
          <w:rFonts w:eastAsia="Times New Roman" w:cstheme="minorHAnsi"/>
          <w:i/>
          <w:iCs/>
        </w:rPr>
        <w:t>p = .144)</w:t>
      </w:r>
      <w:r w:rsidRPr="00FB6248">
        <w:rPr>
          <w:rFonts w:eastAsia="Times New Roman" w:cstheme="minorHAnsi"/>
        </w:rPr>
        <w:t>.  There are several factors to consider in assessing this result.  The sample for our LGB population was extremely small (n=104) in comparison to the heterosexual population (n=3597), making it very likely that our models lacked the statistical power needed to find the effect, resulting in a type II error.  Further support for this is found in the extremely small r</w:t>
      </w:r>
      <w:proofErr w:type="gramStart"/>
      <w:r w:rsidRPr="00FB6248">
        <w:rPr>
          <w:rFonts w:eastAsia="Times New Roman" w:cstheme="minorHAnsi"/>
          <w:vertAlign w:val="superscript"/>
        </w:rPr>
        <w:t>2  </w:t>
      </w:r>
      <w:r w:rsidRPr="00FB6248">
        <w:rPr>
          <w:rFonts w:eastAsia="Times New Roman" w:cstheme="minorHAnsi"/>
        </w:rPr>
        <w:t>value</w:t>
      </w:r>
      <w:proofErr w:type="gramEnd"/>
      <w:r w:rsidRPr="00FB6248">
        <w:rPr>
          <w:rFonts w:eastAsia="Times New Roman" w:cstheme="minorHAnsi"/>
        </w:rPr>
        <w:t xml:space="preserve"> (</w:t>
      </w:r>
      <w:r w:rsidRPr="00FB6248">
        <w:rPr>
          <w:rFonts w:eastAsia="Times New Roman" w:cstheme="minorHAnsi"/>
          <w:i/>
          <w:iCs/>
        </w:rPr>
        <w:t>r</w:t>
      </w:r>
      <w:r w:rsidRPr="00FB6248">
        <w:rPr>
          <w:rFonts w:eastAsia="Times New Roman" w:cstheme="minorHAnsi"/>
          <w:i/>
          <w:iCs/>
          <w:vertAlign w:val="superscript"/>
        </w:rPr>
        <w:t>2</w:t>
      </w:r>
      <w:r w:rsidRPr="00FB6248">
        <w:rPr>
          <w:rFonts w:eastAsia="Times New Roman" w:cstheme="minorHAnsi"/>
          <w:i/>
          <w:iCs/>
        </w:rPr>
        <w:t xml:space="preserve"> = .004</w:t>
      </w:r>
      <w:r w:rsidRPr="00FB6248">
        <w:rPr>
          <w:rFonts w:eastAsia="Times New Roman" w:cstheme="minorHAnsi"/>
        </w:rPr>
        <w:t xml:space="preserve">) in our model </w:t>
      </w:r>
      <w:r w:rsidRPr="00FB6248">
        <w:rPr>
          <w:rFonts w:eastAsia="Times New Roman" w:cstheme="minorHAnsi"/>
        </w:rPr>
        <w:lastRenderedPageBreak/>
        <w:t>which regressed social well-being on orientation, race and sex.  Given that the model is only predicting .4% of the variance in social well-being, greater power is needed.</w:t>
      </w:r>
    </w:p>
    <w:p w14:paraId="64E1AEC6" w14:textId="77777777" w:rsidR="0091303C" w:rsidRPr="00FB6248" w:rsidRDefault="0091303C" w:rsidP="00800DEC">
      <w:pPr>
        <w:spacing w:after="0" w:line="480" w:lineRule="auto"/>
        <w:rPr>
          <w:rFonts w:eastAsia="Times New Roman" w:cstheme="minorHAnsi"/>
        </w:rPr>
      </w:pPr>
      <w:r w:rsidRPr="00FB6248">
        <w:rPr>
          <w:rFonts w:eastAsia="Times New Roman" w:cstheme="minorHAnsi"/>
        </w:rPr>
        <w:t>Another issue is found in the way that lifetime discrimination is calculated in the MIDUS 2 dataset.  The measure asks respondents to quantify how many times they have experienced each item’s specific form of discrimination.  In scoring, each value more than one is scored as one, severely restricting the variance captured by this measure.  This scoring mechanism seems to suggest that while the measure can differentiate between those who experience discrimination and those who do not, it cannot accurately capture severity and temporal stability in discrimination experiences.</w:t>
      </w:r>
    </w:p>
    <w:p w14:paraId="40FABFE4" w14:textId="549860F3" w:rsidR="0091303C" w:rsidRDefault="0091303C" w:rsidP="00800DEC">
      <w:pPr>
        <w:spacing w:after="0" w:line="480" w:lineRule="auto"/>
        <w:rPr>
          <w:rFonts w:eastAsia="Times New Roman" w:cstheme="minorHAnsi"/>
        </w:rPr>
      </w:pPr>
      <w:r w:rsidRPr="00FB6248">
        <w:rPr>
          <w:rFonts w:eastAsia="Times New Roman" w:cstheme="minorHAnsi"/>
        </w:rPr>
        <w:t xml:space="preserve">Given our small LGB sample (n=104), the number of respondents who refused to answer the sexual orientation question (n=167) appears significant.  Given that a significant number of respondents are older (n=?) and may be influenced by past norms of hiding a minority sexual orientation, it is possible that many participants did not feel comfortable disclosing their true sexual orientation.  It is also important to note that the MIDUS 2 data set does not ask </w:t>
      </w:r>
      <w:proofErr w:type="gramStart"/>
      <w:r w:rsidRPr="00FB6248">
        <w:rPr>
          <w:rFonts w:eastAsia="Times New Roman" w:cstheme="minorHAnsi"/>
        </w:rPr>
        <w:t>whether or not</w:t>
      </w:r>
      <w:proofErr w:type="gramEnd"/>
      <w:r w:rsidRPr="00FB6248">
        <w:rPr>
          <w:rFonts w:eastAsia="Times New Roman" w:cstheme="minorHAnsi"/>
        </w:rPr>
        <w:t xml:space="preserve"> respondents sexual orientation is open and public in their community.  If one is LGB but not public about their orientation, it might minimize the amount of discrimination that individual would be subject to (which can be understood as an incentive to stay in “the closet”).  Such issues in data collection could be adversely affecting the accuracy of our model and be contributing to type II error.  Future large-scale surveys like the MIDUS 2 should seek to include assessments of whether an individual’s orientation is public or not so that more effective analyses can be made.  It is likely, given current changes in culture and in acceptance of LGB persons, that future surveys will see an increase in LGB identifying respondents, increasing the potential for more conclusive analyses.</w:t>
      </w:r>
    </w:p>
    <w:p w14:paraId="74CC23F7" w14:textId="77777777" w:rsidR="007D0C4F" w:rsidRPr="00FB6248" w:rsidRDefault="007D0C4F" w:rsidP="00800DEC">
      <w:pPr>
        <w:spacing w:after="0" w:line="480" w:lineRule="auto"/>
        <w:rPr>
          <w:rFonts w:eastAsia="Times New Roman" w:cstheme="minorHAnsi"/>
        </w:rPr>
      </w:pPr>
    </w:p>
    <w:p w14:paraId="6EA05F1F" w14:textId="77777777" w:rsidR="0091303C" w:rsidRPr="007D0C4F" w:rsidRDefault="0091303C" w:rsidP="00800DEC">
      <w:pPr>
        <w:spacing w:after="0" w:line="480" w:lineRule="auto"/>
        <w:rPr>
          <w:rFonts w:eastAsia="Times New Roman" w:cstheme="minorHAnsi"/>
          <w:b/>
        </w:rPr>
      </w:pPr>
      <w:r w:rsidRPr="007D0C4F">
        <w:rPr>
          <w:rFonts w:eastAsia="Times New Roman" w:cstheme="minorHAnsi"/>
          <w:b/>
        </w:rPr>
        <w:t>Conclusion</w:t>
      </w:r>
    </w:p>
    <w:p w14:paraId="108E1E8C" w14:textId="43CEA6E3" w:rsidR="00957C5D" w:rsidRPr="00FB6248" w:rsidRDefault="0091303C" w:rsidP="00800DEC">
      <w:pPr>
        <w:spacing w:line="480" w:lineRule="auto"/>
        <w:rPr>
          <w:rFonts w:eastAsia="Times New Roman" w:cstheme="minorHAnsi"/>
        </w:rPr>
      </w:pPr>
      <w:r w:rsidRPr="00FB6248">
        <w:rPr>
          <w:rFonts w:eastAsia="Times New Roman" w:cstheme="minorHAnsi"/>
        </w:rPr>
        <w:lastRenderedPageBreak/>
        <w:t xml:space="preserve">            </w:t>
      </w:r>
      <w:r w:rsidRPr="00FB6248">
        <w:rPr>
          <w:rFonts w:eastAsia="Times New Roman" w:cstheme="minorHAnsi"/>
        </w:rPr>
        <w:tab/>
        <w:t xml:space="preserve">Empirical research, including the partial findings from this study, continue to illuminate the challenges that LGB persons experience </w:t>
      </w:r>
      <w:proofErr w:type="gramStart"/>
      <w:r w:rsidRPr="00FB6248">
        <w:rPr>
          <w:rFonts w:eastAsia="Times New Roman" w:cstheme="minorHAnsi"/>
        </w:rPr>
        <w:t>as a consequence of</w:t>
      </w:r>
      <w:proofErr w:type="gramEnd"/>
      <w:r w:rsidRPr="00FB6248">
        <w:rPr>
          <w:rFonts w:eastAsia="Times New Roman" w:cstheme="minorHAnsi"/>
        </w:rPr>
        <w:t xml:space="preserve"> their minority sexual orientation.  One of these challenges is the experience of discrimination, which creates disparities in psychological well-being when compared to heterosexual persons.  Given these disparities, initiatives to support LGB mental health appear of significant importance.  In addition, further research is needed to establish the valence of social well-being outcomes for LGB persons </w:t>
      </w:r>
      <w:proofErr w:type="gramStart"/>
      <w:r w:rsidRPr="00FB6248">
        <w:rPr>
          <w:rFonts w:eastAsia="Times New Roman" w:cstheme="minorHAnsi"/>
        </w:rPr>
        <w:t>in order to</w:t>
      </w:r>
      <w:proofErr w:type="gramEnd"/>
      <w:r w:rsidRPr="00FB6248">
        <w:rPr>
          <w:rFonts w:eastAsia="Times New Roman" w:cstheme="minorHAnsi"/>
        </w:rPr>
        <w:t xml:space="preserve"> more effectively target interventions.  More knowledge in this domain will allow clinicians, community leaders and individuals to better serve and support this vulnerable population.</w:t>
      </w:r>
    </w:p>
    <w:p w14:paraId="69E52CE7" w14:textId="2518186C" w:rsidR="00E27D32" w:rsidRPr="00FB6248" w:rsidRDefault="00E27D32" w:rsidP="00800DEC">
      <w:pPr>
        <w:spacing w:line="480" w:lineRule="auto"/>
        <w:rPr>
          <w:rFonts w:cstheme="minorHAnsi"/>
          <w:b/>
        </w:rPr>
      </w:pPr>
    </w:p>
    <w:p w14:paraId="286DAC06" w14:textId="126D176B" w:rsidR="00E27D32" w:rsidRPr="00FB6248" w:rsidRDefault="00E27D32" w:rsidP="00800DEC">
      <w:pPr>
        <w:spacing w:line="480" w:lineRule="auto"/>
        <w:rPr>
          <w:rFonts w:cstheme="minorHAnsi"/>
          <w:b/>
        </w:rPr>
      </w:pPr>
    </w:p>
    <w:p w14:paraId="7E282CA9" w14:textId="66464E35" w:rsidR="00E27D32" w:rsidRPr="00FB6248" w:rsidRDefault="00E27D32" w:rsidP="00800DEC">
      <w:pPr>
        <w:spacing w:line="480" w:lineRule="auto"/>
        <w:rPr>
          <w:rFonts w:cstheme="minorHAnsi"/>
          <w:b/>
        </w:rPr>
      </w:pPr>
    </w:p>
    <w:p w14:paraId="323344C3" w14:textId="73E1A9D4" w:rsidR="00E27D32" w:rsidRPr="00FB6248" w:rsidRDefault="00E27D32" w:rsidP="00800DEC">
      <w:pPr>
        <w:spacing w:line="480" w:lineRule="auto"/>
        <w:rPr>
          <w:rFonts w:cstheme="minorHAnsi"/>
          <w:b/>
        </w:rPr>
      </w:pPr>
    </w:p>
    <w:p w14:paraId="333D24AD" w14:textId="4BB4C1A9" w:rsidR="00E27D32" w:rsidRPr="00FB6248" w:rsidRDefault="00E27D32" w:rsidP="00800DEC">
      <w:pPr>
        <w:spacing w:line="480" w:lineRule="auto"/>
        <w:rPr>
          <w:rFonts w:cstheme="minorHAnsi"/>
          <w:b/>
        </w:rPr>
      </w:pPr>
    </w:p>
    <w:p w14:paraId="70764ECD" w14:textId="05BA0995" w:rsidR="00E27D32" w:rsidRPr="00FB6248" w:rsidRDefault="00E27D32" w:rsidP="00800DEC">
      <w:pPr>
        <w:spacing w:line="480" w:lineRule="auto"/>
        <w:rPr>
          <w:rFonts w:cstheme="minorHAnsi"/>
          <w:b/>
        </w:rPr>
      </w:pPr>
    </w:p>
    <w:p w14:paraId="4D0E5D63" w14:textId="3B218B03" w:rsidR="00E27D32" w:rsidRPr="00FB6248" w:rsidRDefault="00E27D32" w:rsidP="00800DEC">
      <w:pPr>
        <w:spacing w:line="480" w:lineRule="auto"/>
        <w:rPr>
          <w:rFonts w:cstheme="minorHAnsi"/>
          <w:b/>
        </w:rPr>
      </w:pPr>
    </w:p>
    <w:p w14:paraId="10DEC916" w14:textId="4DD5000C" w:rsidR="00E27D32" w:rsidRPr="00FB6248" w:rsidRDefault="00E27D32" w:rsidP="00800DEC">
      <w:pPr>
        <w:spacing w:line="480" w:lineRule="auto"/>
        <w:rPr>
          <w:rFonts w:cstheme="minorHAnsi"/>
          <w:b/>
        </w:rPr>
      </w:pPr>
    </w:p>
    <w:p w14:paraId="7F6FA8E4" w14:textId="79AF3F8A" w:rsidR="00E27D32" w:rsidRPr="00FB6248" w:rsidRDefault="00E27D32" w:rsidP="00800DEC">
      <w:pPr>
        <w:spacing w:line="480" w:lineRule="auto"/>
        <w:rPr>
          <w:rFonts w:cstheme="minorHAnsi"/>
          <w:b/>
        </w:rPr>
      </w:pPr>
    </w:p>
    <w:p w14:paraId="53259621" w14:textId="63FD59B6" w:rsidR="00E27D32" w:rsidRPr="00FB6248" w:rsidRDefault="00E27D32" w:rsidP="00800DEC">
      <w:pPr>
        <w:spacing w:line="480" w:lineRule="auto"/>
        <w:rPr>
          <w:rFonts w:cstheme="minorHAnsi"/>
          <w:b/>
        </w:rPr>
      </w:pPr>
    </w:p>
    <w:p w14:paraId="09678046" w14:textId="62B0B925" w:rsidR="00E27D32" w:rsidRPr="00FB6248" w:rsidRDefault="00E27D32" w:rsidP="00800DEC">
      <w:pPr>
        <w:spacing w:line="480" w:lineRule="auto"/>
        <w:rPr>
          <w:rFonts w:cstheme="minorHAnsi"/>
          <w:b/>
        </w:rPr>
      </w:pPr>
    </w:p>
    <w:p w14:paraId="58060CEA" w14:textId="77777777" w:rsidR="00903662" w:rsidRPr="00FB6248" w:rsidRDefault="00903662" w:rsidP="00800DEC">
      <w:pPr>
        <w:spacing w:line="480" w:lineRule="auto"/>
        <w:rPr>
          <w:rFonts w:cstheme="minorHAnsi"/>
          <w:b/>
        </w:rPr>
      </w:pPr>
      <w:bookmarkStart w:id="0" w:name="_GoBack"/>
      <w:bookmarkEnd w:id="0"/>
    </w:p>
    <w:p w14:paraId="7CE4F539" w14:textId="77777777" w:rsidR="00E27D32" w:rsidRPr="00FB6248" w:rsidRDefault="00E27D32" w:rsidP="00800DEC">
      <w:pPr>
        <w:spacing w:after="0" w:line="480" w:lineRule="auto"/>
        <w:jc w:val="center"/>
        <w:rPr>
          <w:rFonts w:eastAsia="Times New Roman" w:cstheme="minorHAnsi"/>
        </w:rPr>
      </w:pPr>
      <w:r w:rsidRPr="00FB6248">
        <w:rPr>
          <w:rFonts w:eastAsia="Times New Roman" w:cstheme="minorHAnsi"/>
        </w:rPr>
        <w:lastRenderedPageBreak/>
        <w:t>References</w:t>
      </w:r>
    </w:p>
    <w:p w14:paraId="76A078BA" w14:textId="4988EFA8"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Aberson</w:t>
      </w:r>
      <w:proofErr w:type="spellEnd"/>
      <w:r w:rsidRPr="00FB6248">
        <w:rPr>
          <w:rFonts w:eastAsia="Times New Roman" w:cstheme="minorHAnsi"/>
        </w:rPr>
        <w:t>, C. L. (2003). Aversive bias toward gay men? Current Research in Social Psychology, 8, 266-274.</w:t>
      </w:r>
    </w:p>
    <w:p w14:paraId="05445C81" w14:textId="6D720078"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Almeida, J., Johnson, R. M., Corliss, H. L., Molnar, B. E., &amp; Azrael, D. (2009). Emotional distress among LGBT youth: The influence of perceived discrimination based on sexual orientation. Journal of Youth and Adolescence, 38, 1001-1014. </w:t>
      </w:r>
    </w:p>
    <w:p w14:paraId="2A9D67C1" w14:textId="255EE7CF"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Balsam K. F., Molina, Y., </w:t>
      </w:r>
      <w:proofErr w:type="spellStart"/>
      <w:r w:rsidRPr="00FB6248">
        <w:rPr>
          <w:rFonts w:eastAsia="Times New Roman" w:cstheme="minorHAnsi"/>
        </w:rPr>
        <w:t>Beadnell</w:t>
      </w:r>
      <w:proofErr w:type="spellEnd"/>
      <w:r w:rsidRPr="00FB6248">
        <w:rPr>
          <w:rFonts w:eastAsia="Times New Roman" w:cstheme="minorHAnsi"/>
        </w:rPr>
        <w:t>, B., Simoni, J., &amp; Walters, K. (2011). Measuring multiple minority stress: The LGBT people of color microaggressions scale. Cultural Diversity &amp; Ethnic Minority Psychology, 17, 163-174.</w:t>
      </w:r>
    </w:p>
    <w:p w14:paraId="73A21500" w14:textId="44EFB9A1"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Bostwick, W. B., Boyd, C. J., Hughes, T. L., &amp; West, B. (2014). Discrimination and mental health among lesbian, gay, and bisexual adults in the United States. American Journal of Orthopsychiatry, 84, 35-45.</w:t>
      </w:r>
    </w:p>
    <w:p w14:paraId="2C0CA28D" w14:textId="3BB12FA1"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Burgess, D., Lee, R., Tran, A., &amp; Van </w:t>
      </w:r>
      <w:proofErr w:type="spellStart"/>
      <w:r w:rsidRPr="00FB6248">
        <w:rPr>
          <w:rFonts w:eastAsia="Times New Roman" w:cstheme="minorHAnsi"/>
        </w:rPr>
        <w:t>Ryn</w:t>
      </w:r>
      <w:proofErr w:type="spellEnd"/>
      <w:r w:rsidRPr="00FB6248">
        <w:rPr>
          <w:rFonts w:eastAsia="Times New Roman" w:cstheme="minorHAnsi"/>
        </w:rPr>
        <w:t>, M. (2008). Effects of perceived discrimination on mental health and mental health services utilization among gay, lesbian, bisexual and transgender persons. Journal of LGBT Health Research, 3, 1-14.</w:t>
      </w:r>
    </w:p>
    <w:p w14:paraId="7BC4D74E" w14:textId="177CFAAC"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Dovidio, J. F., &amp; Gaertner, S. L. (2004). Aversive racism. Advances in Experimental Social Psychology, 36, 1-52.</w:t>
      </w:r>
    </w:p>
    <w:p w14:paraId="4984D49B" w14:textId="30A96164"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Fergusson, D. M., Horwood, J., </w:t>
      </w:r>
      <w:proofErr w:type="spellStart"/>
      <w:r w:rsidRPr="00FB6248">
        <w:rPr>
          <w:rFonts w:eastAsia="Times New Roman" w:cstheme="minorHAnsi"/>
        </w:rPr>
        <w:t>Beautrais</w:t>
      </w:r>
      <w:proofErr w:type="spellEnd"/>
      <w:r w:rsidRPr="00FB6248">
        <w:rPr>
          <w:rFonts w:eastAsia="Times New Roman" w:cstheme="minorHAnsi"/>
        </w:rPr>
        <w:t xml:space="preserve">, A. L. (1999). Is sexual orientation related to mental health problems and suicidality in young people? Archives of General Psychiatry, 56, 876-880. </w:t>
      </w:r>
    </w:p>
    <w:p w14:paraId="07DD0F29" w14:textId="6D0A090D"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Francis, D. A., &amp; </w:t>
      </w:r>
      <w:proofErr w:type="spellStart"/>
      <w:r w:rsidRPr="00FB6248">
        <w:rPr>
          <w:rFonts w:eastAsia="Times New Roman" w:cstheme="minorHAnsi"/>
        </w:rPr>
        <w:t>Reygan</w:t>
      </w:r>
      <w:proofErr w:type="spellEnd"/>
      <w:r w:rsidRPr="00FB6248">
        <w:rPr>
          <w:rFonts w:eastAsia="Times New Roman" w:cstheme="minorHAnsi"/>
        </w:rPr>
        <w:t>, F. (2016). ‘Let’s see if it won’t go away by itself.’ LGBT microaggressions among teachers in South Africa. Education as Change, 20, 180-201.</w:t>
      </w:r>
    </w:p>
    <w:p w14:paraId="469B4AFF" w14:textId="350A1BC1"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Frost, D. M., </w:t>
      </w:r>
      <w:proofErr w:type="spellStart"/>
      <w:r w:rsidRPr="00FB6248">
        <w:rPr>
          <w:rFonts w:eastAsia="Times New Roman" w:cstheme="minorHAnsi"/>
        </w:rPr>
        <w:t>Lehavot</w:t>
      </w:r>
      <w:proofErr w:type="spellEnd"/>
      <w:r w:rsidRPr="00FB6248">
        <w:rPr>
          <w:rFonts w:eastAsia="Times New Roman" w:cstheme="minorHAnsi"/>
        </w:rPr>
        <w:t xml:space="preserve">, K., &amp; Meyer, I. H. (2015). Minority stress and physical health among sexual minority individuals. Journal of Behavioral Medicine, 38, 1-8. </w:t>
      </w:r>
    </w:p>
    <w:p w14:paraId="4E98EDD4" w14:textId="5FD78178"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Galupo</w:t>
      </w:r>
      <w:proofErr w:type="spellEnd"/>
      <w:r w:rsidRPr="00FB6248">
        <w:rPr>
          <w:rFonts w:eastAsia="Times New Roman" w:cstheme="minorHAnsi"/>
        </w:rPr>
        <w:t xml:space="preserve">, M. P., &amp; Resnick, C. A. (2016). Experiences of LGBT microaggressions in the workplace: Implications for policy. In T. </w:t>
      </w:r>
      <w:proofErr w:type="spellStart"/>
      <w:r w:rsidRPr="00FB6248">
        <w:rPr>
          <w:rFonts w:eastAsia="Times New Roman" w:cstheme="minorHAnsi"/>
        </w:rPr>
        <w:t>Köllen</w:t>
      </w:r>
      <w:proofErr w:type="spellEnd"/>
      <w:r w:rsidRPr="00FB6248">
        <w:rPr>
          <w:rFonts w:eastAsia="Times New Roman" w:cstheme="minorHAnsi"/>
        </w:rPr>
        <w:t xml:space="preserve"> (Ed.) Sexual Orientation and Transgender Issues in Organizations (pp. 271-287). </w:t>
      </w:r>
    </w:p>
    <w:p w14:paraId="5BE8CC02" w14:textId="77777777" w:rsidR="00E27D32" w:rsidRPr="00FB6248" w:rsidRDefault="00E27D32" w:rsidP="00CB4428">
      <w:pPr>
        <w:spacing w:after="0" w:line="480" w:lineRule="auto"/>
        <w:ind w:hanging="720"/>
        <w:rPr>
          <w:rFonts w:eastAsia="Times New Roman" w:cstheme="minorHAnsi"/>
        </w:rPr>
      </w:pPr>
    </w:p>
    <w:p w14:paraId="0CE75B72" w14:textId="77777777"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lastRenderedPageBreak/>
        <w:t>Hayes, A. F., Preacher, K. J., &amp; Myers, T. A. (2011). Mediation and the estimation of indirect effects in political communication research. Sourcebook for political communication research: Methods, measures, and analytical techniques, 23, 434-465.</w:t>
      </w:r>
    </w:p>
    <w:p w14:paraId="22ABDB6A" w14:textId="698EC7EF"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Herek</w:t>
      </w:r>
      <w:proofErr w:type="spellEnd"/>
      <w:r w:rsidRPr="00FB6248">
        <w:rPr>
          <w:rFonts w:eastAsia="Times New Roman" w:cstheme="minorHAnsi"/>
        </w:rPr>
        <w:t xml:space="preserve">, G. M., &amp; McLemore, K. A. (2013). Sexual prejudice. Annual Review of Psychology, 64, 309–33. </w:t>
      </w:r>
    </w:p>
    <w:p w14:paraId="360D316C" w14:textId="259918E2"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Institute of Medicine (2011). The health of lesbian, gay, bisexual, and transgender people: Building a foundation for better understanding. Washington, DC: The National Academies Press. </w:t>
      </w:r>
    </w:p>
    <w:p w14:paraId="332DD3C0" w14:textId="7D5C4FA5"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Jorm</w:t>
      </w:r>
      <w:proofErr w:type="spellEnd"/>
      <w:r w:rsidRPr="00FB6248">
        <w:rPr>
          <w:rFonts w:eastAsia="Times New Roman" w:cstheme="minorHAnsi"/>
        </w:rPr>
        <w:t xml:space="preserve">, A. F., </w:t>
      </w:r>
      <w:proofErr w:type="spellStart"/>
      <w:r w:rsidRPr="00FB6248">
        <w:rPr>
          <w:rFonts w:eastAsia="Times New Roman" w:cstheme="minorHAnsi"/>
        </w:rPr>
        <w:t>Korten</w:t>
      </w:r>
      <w:proofErr w:type="spellEnd"/>
      <w:r w:rsidRPr="00FB6248">
        <w:rPr>
          <w:rFonts w:eastAsia="Times New Roman" w:cstheme="minorHAnsi"/>
        </w:rPr>
        <w:t xml:space="preserve">, A. E., Rodgers, B., </w:t>
      </w:r>
      <w:proofErr w:type="spellStart"/>
      <w:r w:rsidRPr="00FB6248">
        <w:rPr>
          <w:rFonts w:eastAsia="Times New Roman" w:cstheme="minorHAnsi"/>
        </w:rPr>
        <w:t>Jacomb</w:t>
      </w:r>
      <w:proofErr w:type="spellEnd"/>
      <w:r w:rsidRPr="00FB6248">
        <w:rPr>
          <w:rFonts w:eastAsia="Times New Roman" w:cstheme="minorHAnsi"/>
        </w:rPr>
        <w:t xml:space="preserve">, P. A., &amp; Christensen, H. (2002). Sexual orientation and mental health: Results from a community survey of young and middle-aged adults. British Journal of Psychiatry, 180, 423-427. </w:t>
      </w:r>
    </w:p>
    <w:p w14:paraId="00214C96" w14:textId="596859F6"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Kelleher, C. (2009). Minority stress and health: Implications for lesbian, gay, bisexual, transgender, and questioning (LGBTQ) young people. Counselling Psychology Quarterly, 22, 373-379. </w:t>
      </w:r>
    </w:p>
    <w:p w14:paraId="00CEC69C" w14:textId="77777777" w:rsidR="00056D45" w:rsidRPr="00FB6248" w:rsidRDefault="00E27D32" w:rsidP="00056D45">
      <w:pPr>
        <w:spacing w:after="0" w:line="480" w:lineRule="auto"/>
        <w:ind w:hanging="720"/>
        <w:rPr>
          <w:rFonts w:eastAsia="Times New Roman" w:cstheme="minorHAnsi"/>
        </w:rPr>
      </w:pPr>
      <w:proofErr w:type="spellStart"/>
      <w:r w:rsidRPr="00FB6248">
        <w:rPr>
          <w:rFonts w:eastAsia="Times New Roman" w:cstheme="minorHAnsi"/>
        </w:rPr>
        <w:t>Kertzner</w:t>
      </w:r>
      <w:proofErr w:type="spellEnd"/>
      <w:r w:rsidRPr="00FB6248">
        <w:rPr>
          <w:rFonts w:eastAsia="Times New Roman" w:cstheme="minorHAnsi"/>
        </w:rPr>
        <w:t xml:space="preserve">, R. M., Meyer, I. H., Frost, D. M., &amp; </w:t>
      </w:r>
      <w:proofErr w:type="spellStart"/>
      <w:r w:rsidRPr="00FB6248">
        <w:rPr>
          <w:rFonts w:eastAsia="Times New Roman" w:cstheme="minorHAnsi"/>
        </w:rPr>
        <w:t>Stirratt</w:t>
      </w:r>
      <w:proofErr w:type="spellEnd"/>
      <w:r w:rsidRPr="00FB6248">
        <w:rPr>
          <w:rFonts w:eastAsia="Times New Roman" w:cstheme="minorHAnsi"/>
        </w:rPr>
        <w:t>, M. J. (2010). Social and psychological well-being in lesbians, gay men, and bisexuals: The effects of race, gender, age, and sexual identity. American Journal of Orthopsychiatry, 79, 500-510.</w:t>
      </w:r>
    </w:p>
    <w:p w14:paraId="38A78F85" w14:textId="27083465" w:rsidR="00C82242" w:rsidRPr="00FB6248" w:rsidRDefault="00C82242" w:rsidP="00056D45">
      <w:pPr>
        <w:spacing w:after="0" w:line="480" w:lineRule="auto"/>
        <w:ind w:hanging="720"/>
        <w:rPr>
          <w:rFonts w:eastAsia="Times New Roman" w:cstheme="minorHAnsi"/>
        </w:rPr>
      </w:pPr>
      <w:r w:rsidRPr="00FB6248">
        <w:rPr>
          <w:rFonts w:cstheme="minorHAnsi"/>
        </w:rPr>
        <w:t xml:space="preserve">Keyes, C. L. M (1995). The social side of psychological well-being. </w:t>
      </w:r>
      <w:r w:rsidRPr="00FB6248">
        <w:rPr>
          <w:rFonts w:cstheme="minorHAnsi"/>
          <w:i/>
          <w:iCs/>
        </w:rPr>
        <w:t xml:space="preserve">Ph. D. Dissertation, </w:t>
      </w:r>
      <w:r w:rsidRPr="00FB6248">
        <w:rPr>
          <w:rFonts w:cstheme="minorHAnsi"/>
        </w:rPr>
        <w:t>Department of Sociology, University of Wisconsin, Madison.</w:t>
      </w:r>
    </w:p>
    <w:p w14:paraId="14BC8BB1" w14:textId="17A5FFD4"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Keyes, C. L. M., &amp; Shapiro, A. D. (2004). Social well-being in the United States: A descriptive epidemiology. In O. G. Brim, C. D. </w:t>
      </w:r>
      <w:proofErr w:type="spellStart"/>
      <w:r w:rsidRPr="00FB6248">
        <w:rPr>
          <w:rFonts w:eastAsia="Times New Roman" w:cstheme="minorHAnsi"/>
        </w:rPr>
        <w:t>Ryff</w:t>
      </w:r>
      <w:proofErr w:type="spellEnd"/>
      <w:r w:rsidRPr="00FB6248">
        <w:rPr>
          <w:rFonts w:eastAsia="Times New Roman" w:cstheme="minorHAnsi"/>
        </w:rPr>
        <w:t>, &amp; R. C. Kessler (Eds.), How healthy are we? A national study of well-being at midlife (pp. 350-372). Chicago, IL: The University of Chicago Press.</w:t>
      </w:r>
    </w:p>
    <w:p w14:paraId="2047B324" w14:textId="5654217C"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Kimmel, S. B., &amp; </w:t>
      </w:r>
      <w:proofErr w:type="spellStart"/>
      <w:r w:rsidRPr="00FB6248">
        <w:rPr>
          <w:rFonts w:eastAsia="Times New Roman" w:cstheme="minorHAnsi"/>
        </w:rPr>
        <w:t>Mahalik</w:t>
      </w:r>
      <w:proofErr w:type="spellEnd"/>
      <w:r w:rsidRPr="00FB6248">
        <w:rPr>
          <w:rFonts w:eastAsia="Times New Roman" w:cstheme="minorHAnsi"/>
        </w:rPr>
        <w:t>, J. R. (2005). Body image concerns of gay men: The roles of minority stress and conformity to masculine norms. The Journal of Consulting and Clinical Psychology, 73, 1185-1190.</w:t>
      </w:r>
    </w:p>
    <w:p w14:paraId="79B02DB2" w14:textId="74958399"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Lauster</w:t>
      </w:r>
      <w:proofErr w:type="spellEnd"/>
      <w:r w:rsidRPr="00FB6248">
        <w:rPr>
          <w:rFonts w:eastAsia="Times New Roman" w:cstheme="minorHAnsi"/>
        </w:rPr>
        <w:t>, N., &amp; Easterbrook, A. (2011). No room for new families? A field experiment measuring rental discrimination against same-sex couples and single parents. Social Problems, 58, 389-409.</w:t>
      </w:r>
    </w:p>
    <w:p w14:paraId="76D5EBDD" w14:textId="26E67C2B"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lastRenderedPageBreak/>
        <w:t>Lehavot</w:t>
      </w:r>
      <w:proofErr w:type="spellEnd"/>
      <w:r w:rsidRPr="00FB6248">
        <w:rPr>
          <w:rFonts w:eastAsia="Times New Roman" w:cstheme="minorHAnsi"/>
        </w:rPr>
        <w:t>, K., &amp; Simoni, J. M. (2011). The impact of minority stress on mental health and substance use</w:t>
      </w:r>
      <w:r w:rsidR="00056D45" w:rsidRPr="00FB6248">
        <w:rPr>
          <w:rFonts w:eastAsia="Times New Roman" w:cstheme="minorHAnsi"/>
        </w:rPr>
        <w:t xml:space="preserve"> </w:t>
      </w:r>
      <w:r w:rsidRPr="00FB6248">
        <w:rPr>
          <w:rFonts w:eastAsia="Times New Roman" w:cstheme="minorHAnsi"/>
        </w:rPr>
        <w:t xml:space="preserve">among sexual minority women. Journal of Consulting and Clinical Psychology, 79, 159-170. </w:t>
      </w:r>
    </w:p>
    <w:p w14:paraId="07C67433" w14:textId="73365390"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Mallory, C., </w:t>
      </w:r>
      <w:proofErr w:type="spellStart"/>
      <w:r w:rsidRPr="00FB6248">
        <w:rPr>
          <w:rFonts w:eastAsia="Times New Roman" w:cstheme="minorHAnsi"/>
        </w:rPr>
        <w:t>Hasenbush</w:t>
      </w:r>
      <w:proofErr w:type="spellEnd"/>
      <w:r w:rsidRPr="00FB6248">
        <w:rPr>
          <w:rFonts w:eastAsia="Times New Roman" w:cstheme="minorHAnsi"/>
        </w:rPr>
        <w:t xml:space="preserve">, A., &amp; Sears, B. (2015). Discrimination and harassment by law enforcement officers in the LGBT community. The Williams Institute. </w:t>
      </w:r>
    </w:p>
    <w:p w14:paraId="63648631" w14:textId="0630A245"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Mays, V. M., &amp; Cochran, S. D. (2011). Mental health correlates of perceived discrimination among lesbian, gay, and bisexual adults in the United States. American Journal of Public Health, 91, 1869-1876. </w:t>
      </w:r>
    </w:p>
    <w:p w14:paraId="227CF273" w14:textId="12CDD45C"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Meyer, I. H. (1995). Minority stress and mental health in gay men. Journal of Health and Social Behavior, 36, 38-56. </w:t>
      </w:r>
    </w:p>
    <w:p w14:paraId="2E6DE7CA" w14:textId="7D589619"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Meyer, I. H. (2003). Prejudice, social stress, and mental health in lesbian, gay, and bisexual populations: Conceptual issues and research evidence. Psychological Bulletin, 129, 674-697. </w:t>
      </w:r>
    </w:p>
    <w:p w14:paraId="49620B32" w14:textId="4A8344A1"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Nadler, J. T., Lowery, M. R., </w:t>
      </w:r>
      <w:proofErr w:type="spellStart"/>
      <w:r w:rsidRPr="00FB6248">
        <w:rPr>
          <w:rFonts w:eastAsia="Times New Roman" w:cstheme="minorHAnsi"/>
        </w:rPr>
        <w:t>Grebinoski</w:t>
      </w:r>
      <w:proofErr w:type="spellEnd"/>
      <w:r w:rsidRPr="00FB6248">
        <w:rPr>
          <w:rFonts w:eastAsia="Times New Roman" w:cstheme="minorHAnsi"/>
        </w:rPr>
        <w:t>, J., &amp; Jones, R. G. (2014). Aversive discrimination in employment interviews: Reducing effects of sexual orientation bias with accountability. Psychology of Sexual Orientation and Gender Diversity, 1, 480-488.</w:t>
      </w:r>
    </w:p>
    <w:p w14:paraId="2C750935" w14:textId="75A078A8" w:rsidR="00E27D32" w:rsidRPr="00FB6248" w:rsidRDefault="00E27D32" w:rsidP="00056D45">
      <w:pPr>
        <w:spacing w:after="0" w:line="480" w:lineRule="auto"/>
        <w:ind w:hanging="720"/>
        <w:rPr>
          <w:rFonts w:eastAsia="Times New Roman" w:cstheme="minorHAnsi"/>
        </w:rPr>
      </w:pPr>
      <w:r w:rsidRPr="00FB6248">
        <w:rPr>
          <w:rFonts w:eastAsia="Times New Roman" w:cstheme="minorHAnsi"/>
        </w:rPr>
        <w:t>Pizer, J. C., Sears, B., Mallory, C., &amp; Hunter, N. D. (2012). Evidence of persistent and pervasive workplace discrimination against LGBT people: The need for federal legislation prohibiting discrimination and providing equal employment benefits. Loyola Law Review Los Angeles, 45, 715-779.</w:t>
      </w:r>
    </w:p>
    <w:p w14:paraId="432467A0" w14:textId="5FC261AA" w:rsidR="00662E9C" w:rsidRPr="00FB6248" w:rsidRDefault="00E27D32" w:rsidP="00056D45">
      <w:pPr>
        <w:spacing w:after="0" w:line="480" w:lineRule="auto"/>
        <w:ind w:hanging="720"/>
        <w:rPr>
          <w:rFonts w:eastAsia="Times New Roman" w:cstheme="minorHAnsi"/>
          <w:shd w:val="clear" w:color="auto" w:fill="FFFFFF"/>
        </w:rPr>
      </w:pPr>
      <w:r w:rsidRPr="00FB6248">
        <w:rPr>
          <w:rFonts w:eastAsia="Times New Roman" w:cstheme="minorHAnsi"/>
          <w:shd w:val="clear" w:color="auto" w:fill="FFFFFF"/>
        </w:rPr>
        <w:t xml:space="preserve">R Core Team (2018). R: A language and environment for statistical computing. R Foundation for Statistical Computing, Vienna, Austria. URL </w:t>
      </w:r>
      <w:hyperlink r:id="rId9" w:history="1">
        <w:r w:rsidR="00662E9C" w:rsidRPr="00FB6248">
          <w:rPr>
            <w:rStyle w:val="Hyperlink"/>
            <w:rFonts w:eastAsia="Times New Roman" w:cstheme="minorHAnsi"/>
            <w:color w:val="auto"/>
            <w:shd w:val="clear" w:color="auto" w:fill="FFFFFF"/>
          </w:rPr>
          <w:t>https://www.R-project.org/</w:t>
        </w:r>
      </w:hyperlink>
      <w:r w:rsidRPr="00FB6248">
        <w:rPr>
          <w:rFonts w:eastAsia="Times New Roman" w:cstheme="minorHAnsi"/>
          <w:shd w:val="clear" w:color="auto" w:fill="FFFFFF"/>
        </w:rPr>
        <w:t>.</w:t>
      </w:r>
    </w:p>
    <w:p w14:paraId="1B15C24C" w14:textId="2B79C8D2" w:rsidR="003D4359" w:rsidRPr="00FB6248" w:rsidRDefault="00662E9C" w:rsidP="00056D45">
      <w:pPr>
        <w:autoSpaceDE w:val="0"/>
        <w:autoSpaceDN w:val="0"/>
        <w:adjustRightInd w:val="0"/>
        <w:spacing w:after="0" w:line="480" w:lineRule="auto"/>
        <w:ind w:hanging="720"/>
        <w:rPr>
          <w:rFonts w:cstheme="minorHAnsi"/>
          <w:shd w:val="clear" w:color="auto" w:fill="FFFFFF"/>
        </w:rPr>
      </w:pPr>
      <w:proofErr w:type="spellStart"/>
      <w:r w:rsidRPr="00FB6248">
        <w:rPr>
          <w:rFonts w:cstheme="minorHAnsi"/>
          <w:shd w:val="clear" w:color="auto" w:fill="FFFFFF"/>
        </w:rPr>
        <w:t>Riggle</w:t>
      </w:r>
      <w:proofErr w:type="spellEnd"/>
      <w:r w:rsidRPr="00FB6248">
        <w:rPr>
          <w:rFonts w:cstheme="minorHAnsi"/>
          <w:shd w:val="clear" w:color="auto" w:fill="FFFFFF"/>
        </w:rPr>
        <w:t xml:space="preserve">, E. D. B., </w:t>
      </w:r>
      <w:proofErr w:type="spellStart"/>
      <w:r w:rsidRPr="00FB6248">
        <w:rPr>
          <w:rFonts w:cstheme="minorHAnsi"/>
          <w:shd w:val="clear" w:color="auto" w:fill="FFFFFF"/>
        </w:rPr>
        <w:t>Rostosky</w:t>
      </w:r>
      <w:proofErr w:type="spellEnd"/>
      <w:r w:rsidRPr="00FB6248">
        <w:rPr>
          <w:rFonts w:cstheme="minorHAnsi"/>
          <w:shd w:val="clear" w:color="auto" w:fill="FFFFFF"/>
        </w:rPr>
        <w:t xml:space="preserve">, S. S., &amp; Danner, F. (2009). LGB identity and </w:t>
      </w:r>
      <w:proofErr w:type="spellStart"/>
      <w:r w:rsidRPr="00FB6248">
        <w:rPr>
          <w:rFonts w:cstheme="minorHAnsi"/>
          <w:shd w:val="clear" w:color="auto" w:fill="FFFFFF"/>
        </w:rPr>
        <w:t>eudaimonic</w:t>
      </w:r>
      <w:proofErr w:type="spellEnd"/>
      <w:r w:rsidRPr="00FB6248">
        <w:rPr>
          <w:rFonts w:cstheme="minorHAnsi"/>
          <w:shd w:val="clear" w:color="auto" w:fill="FFFFFF"/>
        </w:rPr>
        <w:t xml:space="preserve"> </w:t>
      </w:r>
      <w:proofErr w:type="spellStart"/>
      <w:r w:rsidRPr="00FB6248">
        <w:rPr>
          <w:rFonts w:cstheme="minorHAnsi"/>
          <w:shd w:val="clear" w:color="auto" w:fill="FFFFFF"/>
        </w:rPr>
        <w:t>well being</w:t>
      </w:r>
      <w:proofErr w:type="spellEnd"/>
      <w:r w:rsidRPr="00FB6248">
        <w:rPr>
          <w:rFonts w:cstheme="minorHAnsi"/>
          <w:shd w:val="clear" w:color="auto" w:fill="FFFFFF"/>
        </w:rPr>
        <w:t xml:space="preserve"> in midlife. Journal of Homosexuality, 56(6), 786-798.</w:t>
      </w:r>
    </w:p>
    <w:p w14:paraId="1A0259BA" w14:textId="13A5AB1E" w:rsidR="003D4359" w:rsidRPr="00FB6248" w:rsidRDefault="003D4359" w:rsidP="00CB4428">
      <w:pPr>
        <w:autoSpaceDE w:val="0"/>
        <w:autoSpaceDN w:val="0"/>
        <w:adjustRightInd w:val="0"/>
        <w:spacing w:after="0" w:line="480" w:lineRule="auto"/>
        <w:ind w:hanging="720"/>
        <w:rPr>
          <w:rFonts w:cstheme="minorHAnsi"/>
        </w:rPr>
      </w:pPr>
      <w:proofErr w:type="spellStart"/>
      <w:r w:rsidRPr="00FB6248">
        <w:rPr>
          <w:rFonts w:cstheme="minorHAnsi"/>
        </w:rPr>
        <w:t>Ryff</w:t>
      </w:r>
      <w:proofErr w:type="spellEnd"/>
      <w:r w:rsidRPr="00FB6248">
        <w:rPr>
          <w:rFonts w:cstheme="minorHAnsi"/>
        </w:rPr>
        <w:t xml:space="preserve">, C. D. (1989). Happiness is everything, or is it? Explorations on the meaning of psychological wellbeing. </w:t>
      </w:r>
      <w:r w:rsidRPr="00FB6248">
        <w:rPr>
          <w:rFonts w:cstheme="minorHAnsi"/>
          <w:i/>
          <w:iCs/>
        </w:rPr>
        <w:t>Journal of Personality and Social Psychology 57</w:t>
      </w:r>
      <w:r w:rsidRPr="00FB6248">
        <w:rPr>
          <w:rFonts w:cstheme="minorHAnsi"/>
        </w:rPr>
        <w:t>, 1069-1081.</w:t>
      </w:r>
    </w:p>
    <w:p w14:paraId="0D468609" w14:textId="7A19E79E"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Ryff</w:t>
      </w:r>
      <w:proofErr w:type="spellEnd"/>
      <w:r w:rsidRPr="00FB6248">
        <w:rPr>
          <w:rFonts w:eastAsia="Times New Roman" w:cstheme="minorHAnsi"/>
        </w:rPr>
        <w:t xml:space="preserve">, C. D., Almeida, D. M., </w:t>
      </w:r>
      <w:proofErr w:type="spellStart"/>
      <w:r w:rsidRPr="00FB6248">
        <w:rPr>
          <w:rFonts w:eastAsia="Times New Roman" w:cstheme="minorHAnsi"/>
        </w:rPr>
        <w:t>Ayanian</w:t>
      </w:r>
      <w:proofErr w:type="spellEnd"/>
      <w:r w:rsidRPr="00FB6248">
        <w:rPr>
          <w:rFonts w:eastAsia="Times New Roman" w:cstheme="minorHAnsi"/>
        </w:rPr>
        <w:t xml:space="preserve">, J. S., </w:t>
      </w:r>
      <w:proofErr w:type="spellStart"/>
      <w:r w:rsidRPr="00FB6248">
        <w:rPr>
          <w:rFonts w:eastAsia="Times New Roman" w:cstheme="minorHAnsi"/>
        </w:rPr>
        <w:t>Carr</w:t>
      </w:r>
      <w:proofErr w:type="spellEnd"/>
      <w:r w:rsidRPr="00FB6248">
        <w:rPr>
          <w:rFonts w:eastAsia="Times New Roman" w:cstheme="minorHAnsi"/>
        </w:rPr>
        <w:t xml:space="preserve">, D. S., Cleary, P. D., Coe, C., Davidson, R., Krueger, R. F., Lachman, M. E., Marks, N. F., </w:t>
      </w:r>
      <w:proofErr w:type="spellStart"/>
      <w:r w:rsidRPr="00FB6248">
        <w:rPr>
          <w:rFonts w:eastAsia="Times New Roman" w:cstheme="minorHAnsi"/>
        </w:rPr>
        <w:t>Mroczek</w:t>
      </w:r>
      <w:proofErr w:type="spellEnd"/>
      <w:r w:rsidRPr="00FB6248">
        <w:rPr>
          <w:rFonts w:eastAsia="Times New Roman" w:cstheme="minorHAnsi"/>
        </w:rPr>
        <w:t xml:space="preserve">, D. K., Seeman, T., Seltzer, M. M., Singer, B. H., Sloan, R. P., </w:t>
      </w:r>
      <w:proofErr w:type="spellStart"/>
      <w:r w:rsidRPr="00FB6248">
        <w:rPr>
          <w:rFonts w:eastAsia="Times New Roman" w:cstheme="minorHAnsi"/>
        </w:rPr>
        <w:t>Tun</w:t>
      </w:r>
      <w:proofErr w:type="spellEnd"/>
      <w:r w:rsidRPr="00FB6248">
        <w:rPr>
          <w:rFonts w:eastAsia="Times New Roman" w:cstheme="minorHAnsi"/>
        </w:rPr>
        <w:t xml:space="preserve">, P. A., </w:t>
      </w:r>
      <w:r w:rsidRPr="00FB6248">
        <w:rPr>
          <w:rFonts w:eastAsia="Times New Roman" w:cstheme="minorHAnsi"/>
        </w:rPr>
        <w:lastRenderedPageBreak/>
        <w:t xml:space="preserve">Weinstein, M., &amp; Williams, D. (n.d.). National Survey of Midlife Development in the United States (MIDUS II), 2004-2006: Descriptions of MIDUS Samples. Ann Arbor, Michigan: Inter-University Consortium for Political and Social Research. </w:t>
      </w:r>
    </w:p>
    <w:p w14:paraId="6590AD8E" w14:textId="4ED7959A"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Ryff</w:t>
      </w:r>
      <w:proofErr w:type="spellEnd"/>
      <w:r w:rsidRPr="00FB6248">
        <w:rPr>
          <w:rFonts w:eastAsia="Times New Roman" w:cstheme="minorHAnsi"/>
        </w:rPr>
        <w:t xml:space="preserve">, C. D., Almeida, D. M., </w:t>
      </w:r>
      <w:proofErr w:type="spellStart"/>
      <w:r w:rsidRPr="00FB6248">
        <w:rPr>
          <w:rFonts w:eastAsia="Times New Roman" w:cstheme="minorHAnsi"/>
        </w:rPr>
        <w:t>Ayanian</w:t>
      </w:r>
      <w:proofErr w:type="spellEnd"/>
      <w:r w:rsidRPr="00FB6248">
        <w:rPr>
          <w:rFonts w:eastAsia="Times New Roman" w:cstheme="minorHAnsi"/>
        </w:rPr>
        <w:t xml:space="preserve">, J. S., </w:t>
      </w:r>
      <w:proofErr w:type="spellStart"/>
      <w:r w:rsidRPr="00FB6248">
        <w:rPr>
          <w:rFonts w:eastAsia="Times New Roman" w:cstheme="minorHAnsi"/>
        </w:rPr>
        <w:t>Carr</w:t>
      </w:r>
      <w:proofErr w:type="spellEnd"/>
      <w:r w:rsidRPr="00FB6248">
        <w:rPr>
          <w:rFonts w:eastAsia="Times New Roman" w:cstheme="minorHAnsi"/>
        </w:rPr>
        <w:t>, D. S., Cleary, P. D., Coe, C., Davidson, R., Krueger, R. F.,</w:t>
      </w:r>
      <w:r w:rsidR="00CB4428" w:rsidRPr="00FB6248">
        <w:rPr>
          <w:rFonts w:eastAsia="Times New Roman" w:cstheme="minorHAnsi"/>
        </w:rPr>
        <w:t xml:space="preserve"> </w:t>
      </w:r>
      <w:r w:rsidRPr="00FB6248">
        <w:rPr>
          <w:rFonts w:eastAsia="Times New Roman" w:cstheme="minorHAnsi"/>
        </w:rPr>
        <w:t xml:space="preserve">Lachman, M. E., Marks, N. F., </w:t>
      </w:r>
      <w:proofErr w:type="spellStart"/>
      <w:r w:rsidRPr="00FB6248">
        <w:rPr>
          <w:rFonts w:eastAsia="Times New Roman" w:cstheme="minorHAnsi"/>
        </w:rPr>
        <w:t>Mroczek</w:t>
      </w:r>
      <w:proofErr w:type="spellEnd"/>
      <w:r w:rsidRPr="00FB6248">
        <w:rPr>
          <w:rFonts w:eastAsia="Times New Roman" w:cstheme="minorHAnsi"/>
        </w:rPr>
        <w:t xml:space="preserve">, D. K., Seeman, T., Seltzer, M. M., Singer, B. H., Sloan, R. P., </w:t>
      </w:r>
      <w:proofErr w:type="spellStart"/>
      <w:r w:rsidRPr="00FB6248">
        <w:rPr>
          <w:rFonts w:eastAsia="Times New Roman" w:cstheme="minorHAnsi"/>
        </w:rPr>
        <w:t>Tun</w:t>
      </w:r>
      <w:proofErr w:type="spellEnd"/>
      <w:r w:rsidRPr="00FB6248">
        <w:rPr>
          <w:rFonts w:eastAsia="Times New Roman" w:cstheme="minorHAnsi"/>
        </w:rPr>
        <w:t xml:space="preserve">, P. A., Weinstein, M., &amp; Williams, D. (2010). Documentation of Psychosocial Constructs and Composite Variables in MIDUS II Project 1. Ann Arbor, Michigan: Inter-University Consortium for Political and Social Research. </w:t>
      </w:r>
    </w:p>
    <w:p w14:paraId="7A5F19D1" w14:textId="3F9322DE"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Ryff</w:t>
      </w:r>
      <w:proofErr w:type="spellEnd"/>
      <w:r w:rsidRPr="00FB6248">
        <w:rPr>
          <w:rFonts w:eastAsia="Times New Roman" w:cstheme="minorHAnsi"/>
        </w:rPr>
        <w:t xml:space="preserve">, C. D., &amp; Singer, B. H. (2008). Know thyself and become what you are: A </w:t>
      </w:r>
      <w:proofErr w:type="spellStart"/>
      <w:r w:rsidRPr="00FB6248">
        <w:rPr>
          <w:rFonts w:eastAsia="Times New Roman" w:cstheme="minorHAnsi"/>
        </w:rPr>
        <w:t>Eudaimonic</w:t>
      </w:r>
      <w:proofErr w:type="spellEnd"/>
      <w:r w:rsidRPr="00FB6248">
        <w:rPr>
          <w:rFonts w:eastAsia="Times New Roman" w:cstheme="minorHAnsi"/>
        </w:rPr>
        <w:t xml:space="preserve"> approach to psychological well-being. Journal of Happiness Studies, 9, 13-39.</w:t>
      </w:r>
    </w:p>
    <w:p w14:paraId="2D6E6315" w14:textId="0AAD6409"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Schmidt, C. K., Miles, J. R., &amp; Welsh, A. C. (2011). Perceived discrimination and social support: The</w:t>
      </w:r>
      <w:r w:rsidR="000E0175" w:rsidRPr="00FB6248">
        <w:rPr>
          <w:rFonts w:eastAsia="Times New Roman" w:cstheme="minorHAnsi"/>
        </w:rPr>
        <w:t xml:space="preserve"> </w:t>
      </w:r>
      <w:r w:rsidRPr="00FB6248">
        <w:rPr>
          <w:rFonts w:eastAsia="Times New Roman" w:cstheme="minorHAnsi"/>
        </w:rPr>
        <w:t>influences on career development and college adjustment of LGBT college students. Journal of Career Development, 38, 293-309.</w:t>
      </w:r>
    </w:p>
    <w:p w14:paraId="7EDBF5B7" w14:textId="38E36864"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Sears, B., &amp; Mallory, C. (2011). Documented evidence of employment discrimination &amp; its effects on LGBT people. The Williams Institute. </w:t>
      </w:r>
    </w:p>
    <w:p w14:paraId="576E6C8F" w14:textId="072883DF"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Sue, D. W., </w:t>
      </w:r>
      <w:proofErr w:type="spellStart"/>
      <w:r w:rsidRPr="00FB6248">
        <w:rPr>
          <w:rFonts w:eastAsia="Times New Roman" w:cstheme="minorHAnsi"/>
        </w:rPr>
        <w:t>Capodilupo</w:t>
      </w:r>
      <w:proofErr w:type="spellEnd"/>
      <w:r w:rsidRPr="00FB6248">
        <w:rPr>
          <w:rFonts w:eastAsia="Times New Roman" w:cstheme="minorHAnsi"/>
        </w:rPr>
        <w:t xml:space="preserve">, C. M., Torino, G. C., </w:t>
      </w:r>
      <w:proofErr w:type="spellStart"/>
      <w:r w:rsidRPr="00FB6248">
        <w:rPr>
          <w:rFonts w:eastAsia="Times New Roman" w:cstheme="minorHAnsi"/>
        </w:rPr>
        <w:t>Bucceri</w:t>
      </w:r>
      <w:proofErr w:type="spellEnd"/>
      <w:r w:rsidRPr="00FB6248">
        <w:rPr>
          <w:rFonts w:eastAsia="Times New Roman" w:cstheme="minorHAnsi"/>
        </w:rPr>
        <w:t xml:space="preserve">, J. M., Holder, A. M. B., Nadal, K. L., &amp; </w:t>
      </w:r>
      <w:proofErr w:type="spellStart"/>
      <w:r w:rsidRPr="00FB6248">
        <w:rPr>
          <w:rFonts w:eastAsia="Times New Roman" w:cstheme="minorHAnsi"/>
        </w:rPr>
        <w:t>Esquilin</w:t>
      </w:r>
      <w:proofErr w:type="spellEnd"/>
      <w:r w:rsidRPr="00FB6248">
        <w:rPr>
          <w:rFonts w:eastAsia="Times New Roman" w:cstheme="minorHAnsi"/>
        </w:rPr>
        <w:t>, M. (2007). Racial microaggressions in everyday life: Implications for clinical practice. American Psychologist, 62, 271-286.</w:t>
      </w:r>
    </w:p>
    <w:p w14:paraId="42478630" w14:textId="3857B6B0"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Underhill, K., Morrow, K. M., </w:t>
      </w:r>
      <w:proofErr w:type="spellStart"/>
      <w:r w:rsidRPr="00FB6248">
        <w:rPr>
          <w:rFonts w:eastAsia="Times New Roman" w:cstheme="minorHAnsi"/>
        </w:rPr>
        <w:t>Colleran</w:t>
      </w:r>
      <w:proofErr w:type="spellEnd"/>
      <w:r w:rsidRPr="00FB6248">
        <w:rPr>
          <w:rFonts w:eastAsia="Times New Roman" w:cstheme="minorHAnsi"/>
        </w:rPr>
        <w:t xml:space="preserve">, C., Holcomb, R., Calabrese, S. K., </w:t>
      </w:r>
      <w:proofErr w:type="spellStart"/>
      <w:r w:rsidRPr="00FB6248">
        <w:rPr>
          <w:rFonts w:eastAsia="Times New Roman" w:cstheme="minorHAnsi"/>
        </w:rPr>
        <w:t>Operario</w:t>
      </w:r>
      <w:proofErr w:type="spellEnd"/>
      <w:r w:rsidRPr="00FB6248">
        <w:rPr>
          <w:rFonts w:eastAsia="Times New Roman" w:cstheme="minorHAnsi"/>
        </w:rPr>
        <w:t xml:space="preserve">, D., </w:t>
      </w:r>
      <w:proofErr w:type="spellStart"/>
      <w:r w:rsidRPr="00FB6248">
        <w:rPr>
          <w:rFonts w:eastAsia="Times New Roman" w:cstheme="minorHAnsi"/>
        </w:rPr>
        <w:t>Galárraga</w:t>
      </w:r>
      <w:proofErr w:type="spellEnd"/>
      <w:r w:rsidRPr="00FB6248">
        <w:rPr>
          <w:rFonts w:eastAsia="Times New Roman" w:cstheme="minorHAnsi"/>
        </w:rPr>
        <w:t xml:space="preserve">, O., &amp; Mayer, K. H. (2015). A qualitative study of medical mistrust, perceived discrimination, and risk behavior disclosure to clinicians by U.S. </w:t>
      </w:r>
      <w:proofErr w:type="spellStart"/>
      <w:r w:rsidRPr="00FB6248">
        <w:rPr>
          <w:rFonts w:eastAsia="Times New Roman" w:cstheme="minorHAnsi"/>
        </w:rPr>
        <w:t>mle</w:t>
      </w:r>
      <w:proofErr w:type="spellEnd"/>
      <w:r w:rsidRPr="00FB6248">
        <w:rPr>
          <w:rFonts w:eastAsia="Times New Roman" w:cstheme="minorHAnsi"/>
        </w:rPr>
        <w:t xml:space="preserve"> sex workers and other men who have sex with men: Implications for biomedical HIV prevention. Journal of Urban Health, 92, 667-686.</w:t>
      </w:r>
    </w:p>
    <w:p w14:paraId="283D4C66" w14:textId="52A8A21F" w:rsidR="003D4359" w:rsidRPr="00FB6248" w:rsidRDefault="003D4359" w:rsidP="00CB4428">
      <w:pPr>
        <w:spacing w:after="0" w:line="480" w:lineRule="auto"/>
        <w:ind w:hanging="720"/>
        <w:rPr>
          <w:rFonts w:eastAsia="Times New Roman" w:cstheme="minorHAnsi"/>
        </w:rPr>
      </w:pPr>
    </w:p>
    <w:p w14:paraId="4D7DA9A9" w14:textId="77777777" w:rsidR="003D4359" w:rsidRPr="00FB6248" w:rsidRDefault="003D4359" w:rsidP="00CB4428">
      <w:pPr>
        <w:autoSpaceDE w:val="0"/>
        <w:autoSpaceDN w:val="0"/>
        <w:adjustRightInd w:val="0"/>
        <w:spacing w:after="0" w:line="480" w:lineRule="auto"/>
        <w:ind w:hanging="720"/>
        <w:rPr>
          <w:rFonts w:cstheme="minorHAnsi"/>
        </w:rPr>
      </w:pPr>
      <w:r w:rsidRPr="00FB6248">
        <w:rPr>
          <w:rFonts w:cstheme="minorHAnsi"/>
        </w:rPr>
        <w:lastRenderedPageBreak/>
        <w:t xml:space="preserve">Williams, D. R., YU, Y., Jackson, J. S., &amp; Anderson, N. B. (1997). Racial differences in physical and mental health: Socioeconomic status, stress and discrimination. </w:t>
      </w:r>
      <w:r w:rsidRPr="00FB6248">
        <w:rPr>
          <w:rFonts w:cstheme="minorHAnsi"/>
          <w:i/>
          <w:iCs/>
        </w:rPr>
        <w:t>Journal of Health Psycholog</w:t>
      </w:r>
      <w:r w:rsidRPr="00FB6248">
        <w:rPr>
          <w:rFonts w:cstheme="minorHAnsi"/>
        </w:rPr>
        <w:t>y,</w:t>
      </w:r>
    </w:p>
    <w:p w14:paraId="2A605A87" w14:textId="6340814C" w:rsidR="003D4359" w:rsidRPr="00FB6248" w:rsidRDefault="003D4359" w:rsidP="00CB44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720"/>
        <w:rPr>
          <w:rFonts w:eastAsia="Times New Roman" w:cstheme="minorHAnsi"/>
          <w:bdr w:val="none" w:sz="0" w:space="0" w:color="auto" w:frame="1"/>
        </w:rPr>
      </w:pPr>
      <w:r w:rsidRPr="00FB6248">
        <w:rPr>
          <w:rFonts w:cstheme="minorHAnsi"/>
        </w:rPr>
        <w:t>2, 335-351.</w:t>
      </w:r>
    </w:p>
    <w:p w14:paraId="4CF3A9EA" w14:textId="18084C04"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 xml:space="preserve">Wolff, K. B., &amp; </w:t>
      </w:r>
      <w:proofErr w:type="spellStart"/>
      <w:r w:rsidRPr="00FB6248">
        <w:rPr>
          <w:rFonts w:eastAsia="Times New Roman" w:cstheme="minorHAnsi"/>
        </w:rPr>
        <w:t>Cokely</w:t>
      </w:r>
      <w:proofErr w:type="spellEnd"/>
      <w:r w:rsidRPr="00FB6248">
        <w:rPr>
          <w:rFonts w:eastAsia="Times New Roman" w:cstheme="minorHAnsi"/>
        </w:rPr>
        <w:t xml:space="preserve">, C. L. (2007). “To protect and to serve?”: An exploration of police </w:t>
      </w:r>
      <w:proofErr w:type="gramStart"/>
      <w:r w:rsidRPr="00FB6248">
        <w:rPr>
          <w:rFonts w:eastAsia="Times New Roman" w:cstheme="minorHAnsi"/>
        </w:rPr>
        <w:t>conduct</w:t>
      </w:r>
      <w:proofErr w:type="gramEnd"/>
      <w:r w:rsidRPr="00FB6248">
        <w:rPr>
          <w:rFonts w:eastAsia="Times New Roman" w:cstheme="minorHAnsi"/>
        </w:rPr>
        <w:t xml:space="preserve"> in relation to the gay, lesbian, bisexual, and transgender community. Sexuality and Culture, 11, 1-23.</w:t>
      </w:r>
    </w:p>
    <w:p w14:paraId="3ACA64FA" w14:textId="1158F346" w:rsidR="00E27D32" w:rsidRPr="00FB6248" w:rsidRDefault="00E27D32" w:rsidP="00CB4428">
      <w:pPr>
        <w:spacing w:after="0" w:line="480" w:lineRule="auto"/>
        <w:ind w:hanging="720"/>
        <w:rPr>
          <w:rFonts w:eastAsia="Times New Roman" w:cstheme="minorHAnsi"/>
        </w:rPr>
      </w:pPr>
      <w:r w:rsidRPr="00FB6248">
        <w:rPr>
          <w:rFonts w:eastAsia="Times New Roman" w:cstheme="minorHAnsi"/>
        </w:rPr>
        <w:t>Wong, F. Y. (2015). In search for the many faces of community resilience among LGBT individuals. American Journal of Community Psychology, 55, 239-241.</w:t>
      </w:r>
    </w:p>
    <w:p w14:paraId="0190A50A" w14:textId="1C79724A" w:rsidR="00E27D32" w:rsidRPr="00FB6248" w:rsidRDefault="00E27D32" w:rsidP="00CB4428">
      <w:pPr>
        <w:spacing w:after="0" w:line="480" w:lineRule="auto"/>
        <w:ind w:hanging="720"/>
        <w:rPr>
          <w:rFonts w:eastAsia="Times New Roman" w:cstheme="minorHAnsi"/>
        </w:rPr>
      </w:pPr>
      <w:proofErr w:type="spellStart"/>
      <w:r w:rsidRPr="00FB6248">
        <w:rPr>
          <w:rFonts w:eastAsia="Times New Roman" w:cstheme="minorHAnsi"/>
        </w:rPr>
        <w:t>Zakalik</w:t>
      </w:r>
      <w:proofErr w:type="spellEnd"/>
      <w:r w:rsidRPr="00FB6248">
        <w:rPr>
          <w:rFonts w:eastAsia="Times New Roman" w:cstheme="minorHAnsi"/>
        </w:rPr>
        <w:t xml:space="preserve">, R. A., &amp; Wei, M. (2006). Adult attachment, perceived discrimination based on sexual orientation, and depression in gay males: Examining the mediation and moderation effects. Journal of Counseling Psychology, 53, 302-313. </w:t>
      </w:r>
    </w:p>
    <w:p w14:paraId="7C491FBC" w14:textId="77777777" w:rsidR="00481DB3" w:rsidRPr="00FB6248" w:rsidRDefault="00481DB3" w:rsidP="00800DEC">
      <w:pPr>
        <w:autoSpaceDE w:val="0"/>
        <w:autoSpaceDN w:val="0"/>
        <w:adjustRightInd w:val="0"/>
        <w:spacing w:after="0" w:line="480" w:lineRule="auto"/>
        <w:rPr>
          <w:rFonts w:cstheme="minorHAnsi"/>
        </w:rPr>
      </w:pPr>
    </w:p>
    <w:p w14:paraId="48B56A24" w14:textId="77777777" w:rsidR="00481DB3" w:rsidRPr="00FB6248" w:rsidRDefault="00481DB3" w:rsidP="00800DEC">
      <w:pPr>
        <w:autoSpaceDE w:val="0"/>
        <w:autoSpaceDN w:val="0"/>
        <w:adjustRightInd w:val="0"/>
        <w:spacing w:after="0" w:line="480" w:lineRule="auto"/>
        <w:rPr>
          <w:rFonts w:cstheme="minorHAnsi"/>
        </w:rPr>
      </w:pPr>
    </w:p>
    <w:p w14:paraId="40217B47" w14:textId="77777777" w:rsidR="00481DB3" w:rsidRPr="00FB6248" w:rsidRDefault="00481DB3" w:rsidP="00800DEC">
      <w:pPr>
        <w:autoSpaceDE w:val="0"/>
        <w:autoSpaceDN w:val="0"/>
        <w:adjustRightInd w:val="0"/>
        <w:spacing w:after="0" w:line="480" w:lineRule="auto"/>
        <w:rPr>
          <w:rFonts w:cstheme="minorHAnsi"/>
        </w:rPr>
      </w:pPr>
    </w:p>
    <w:p w14:paraId="471D4B78" w14:textId="77777777" w:rsidR="00481DB3" w:rsidRPr="00FB6248" w:rsidRDefault="00481DB3" w:rsidP="00800DEC">
      <w:pPr>
        <w:autoSpaceDE w:val="0"/>
        <w:autoSpaceDN w:val="0"/>
        <w:adjustRightInd w:val="0"/>
        <w:spacing w:after="0" w:line="480" w:lineRule="auto"/>
        <w:rPr>
          <w:rFonts w:cstheme="minorHAnsi"/>
        </w:rPr>
      </w:pPr>
    </w:p>
    <w:p w14:paraId="19B92586" w14:textId="6EE13781" w:rsidR="00957C5D" w:rsidRPr="00FB6248" w:rsidRDefault="00957C5D" w:rsidP="00800DEC">
      <w:pPr>
        <w:spacing w:line="480" w:lineRule="auto"/>
        <w:rPr>
          <w:rFonts w:cstheme="minorHAnsi"/>
          <w:b/>
        </w:rPr>
      </w:pPr>
    </w:p>
    <w:p w14:paraId="1450A21A" w14:textId="4EFA565E" w:rsidR="008B456C" w:rsidRPr="00FB6248" w:rsidRDefault="001D122A" w:rsidP="00800DEC">
      <w:pPr>
        <w:spacing w:line="480" w:lineRule="auto"/>
        <w:rPr>
          <w:rFonts w:cstheme="minorHAnsi"/>
        </w:rPr>
      </w:pPr>
      <w:r w:rsidRPr="00FB6248">
        <w:rPr>
          <w:rFonts w:cstheme="minorHAnsi"/>
        </w:rPr>
        <w:tab/>
        <w:t xml:space="preserve"> </w:t>
      </w:r>
    </w:p>
    <w:p w14:paraId="10360EAD" w14:textId="77777777" w:rsidR="003357B9" w:rsidRPr="00FB6248" w:rsidRDefault="003357B9" w:rsidP="00800DEC">
      <w:pPr>
        <w:spacing w:line="480" w:lineRule="auto"/>
        <w:rPr>
          <w:rFonts w:cstheme="minorHAnsi"/>
        </w:rPr>
      </w:pPr>
    </w:p>
    <w:sectPr w:rsidR="003357B9" w:rsidRPr="00FB624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BB2D7" w14:textId="77777777" w:rsidR="009600D4" w:rsidRDefault="009600D4" w:rsidP="008B456C">
      <w:pPr>
        <w:spacing w:after="0" w:line="240" w:lineRule="auto"/>
      </w:pPr>
      <w:r>
        <w:separator/>
      </w:r>
    </w:p>
  </w:endnote>
  <w:endnote w:type="continuationSeparator" w:id="0">
    <w:p w14:paraId="54F2FA12" w14:textId="77777777" w:rsidR="009600D4" w:rsidRDefault="009600D4" w:rsidP="008B4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917554"/>
      <w:docPartObj>
        <w:docPartGallery w:val="Page Numbers (Bottom of Page)"/>
        <w:docPartUnique/>
      </w:docPartObj>
    </w:sdtPr>
    <w:sdtEndPr>
      <w:rPr>
        <w:noProof/>
      </w:rPr>
    </w:sdtEndPr>
    <w:sdtContent>
      <w:p w14:paraId="02F1DBCE" w14:textId="77777777" w:rsidR="00383A5C" w:rsidRDefault="00383A5C">
        <w:pPr>
          <w:pStyle w:val="Footer"/>
        </w:pPr>
        <w:r>
          <w:fldChar w:fldCharType="begin"/>
        </w:r>
        <w:r>
          <w:instrText xml:space="preserve"> PAGE   \* MERGEFORMAT </w:instrText>
        </w:r>
        <w:r>
          <w:fldChar w:fldCharType="separate"/>
        </w:r>
        <w:r>
          <w:rPr>
            <w:noProof/>
          </w:rPr>
          <w:t>2</w:t>
        </w:r>
        <w:r>
          <w:rPr>
            <w:noProof/>
          </w:rPr>
          <w:fldChar w:fldCharType="end"/>
        </w:r>
      </w:p>
    </w:sdtContent>
  </w:sdt>
  <w:p w14:paraId="138A2729" w14:textId="77777777" w:rsidR="00383A5C" w:rsidRDefault="0038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989A5" w14:textId="77777777" w:rsidR="009600D4" w:rsidRDefault="009600D4" w:rsidP="008B456C">
      <w:pPr>
        <w:spacing w:after="0" w:line="240" w:lineRule="auto"/>
      </w:pPr>
      <w:r>
        <w:separator/>
      </w:r>
    </w:p>
  </w:footnote>
  <w:footnote w:type="continuationSeparator" w:id="0">
    <w:p w14:paraId="4B110A0B" w14:textId="77777777" w:rsidR="009600D4" w:rsidRDefault="009600D4" w:rsidP="008B4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EB610" w14:textId="77777777" w:rsidR="00383A5C" w:rsidRDefault="00383A5C" w:rsidP="00B344CF">
    <w:r>
      <w:t>Running head: SEXUAL ORIENTATION, DISCRIMINATION, AND WELL-BEING</w:t>
    </w:r>
  </w:p>
  <w:p w14:paraId="4E85CC9C" w14:textId="77777777" w:rsidR="00383A5C" w:rsidRDefault="00383A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993"/>
    <w:multiLevelType w:val="hybridMultilevel"/>
    <w:tmpl w:val="04BE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1D"/>
    <w:rsid w:val="000137EC"/>
    <w:rsid w:val="00017963"/>
    <w:rsid w:val="0002708D"/>
    <w:rsid w:val="00030CB5"/>
    <w:rsid w:val="00056D45"/>
    <w:rsid w:val="0006162C"/>
    <w:rsid w:val="0006796D"/>
    <w:rsid w:val="000C19B2"/>
    <w:rsid w:val="000E0175"/>
    <w:rsid w:val="000E6DCC"/>
    <w:rsid w:val="000F1A52"/>
    <w:rsid w:val="00115029"/>
    <w:rsid w:val="00116FE3"/>
    <w:rsid w:val="00127591"/>
    <w:rsid w:val="001447E8"/>
    <w:rsid w:val="00163616"/>
    <w:rsid w:val="00182D4B"/>
    <w:rsid w:val="0018570B"/>
    <w:rsid w:val="0019073F"/>
    <w:rsid w:val="00194E52"/>
    <w:rsid w:val="001960B5"/>
    <w:rsid w:val="001A07E8"/>
    <w:rsid w:val="001A642D"/>
    <w:rsid w:val="001D122A"/>
    <w:rsid w:val="001D1B00"/>
    <w:rsid w:val="001E429E"/>
    <w:rsid w:val="001E5176"/>
    <w:rsid w:val="001F339C"/>
    <w:rsid w:val="001F6E64"/>
    <w:rsid w:val="00207B26"/>
    <w:rsid w:val="00212E33"/>
    <w:rsid w:val="00215D8D"/>
    <w:rsid w:val="0021706C"/>
    <w:rsid w:val="00220F1C"/>
    <w:rsid w:val="00221F16"/>
    <w:rsid w:val="002220B6"/>
    <w:rsid w:val="00236D21"/>
    <w:rsid w:val="00243DC8"/>
    <w:rsid w:val="00275782"/>
    <w:rsid w:val="00275EE5"/>
    <w:rsid w:val="00280CC7"/>
    <w:rsid w:val="002916B7"/>
    <w:rsid w:val="00291EE1"/>
    <w:rsid w:val="00296EEA"/>
    <w:rsid w:val="002A74E6"/>
    <w:rsid w:val="002D3C7D"/>
    <w:rsid w:val="002F42DE"/>
    <w:rsid w:val="002F55BB"/>
    <w:rsid w:val="0030135A"/>
    <w:rsid w:val="003034B0"/>
    <w:rsid w:val="00315D90"/>
    <w:rsid w:val="0032047A"/>
    <w:rsid w:val="00320A70"/>
    <w:rsid w:val="00323449"/>
    <w:rsid w:val="00326CC9"/>
    <w:rsid w:val="00330EAB"/>
    <w:rsid w:val="003357B9"/>
    <w:rsid w:val="00336E87"/>
    <w:rsid w:val="003764E4"/>
    <w:rsid w:val="00383A5C"/>
    <w:rsid w:val="00385EB6"/>
    <w:rsid w:val="003C1E39"/>
    <w:rsid w:val="003C77CD"/>
    <w:rsid w:val="003D4359"/>
    <w:rsid w:val="00403117"/>
    <w:rsid w:val="0043127E"/>
    <w:rsid w:val="0043149E"/>
    <w:rsid w:val="00436AA3"/>
    <w:rsid w:val="004453F0"/>
    <w:rsid w:val="0045024F"/>
    <w:rsid w:val="00462046"/>
    <w:rsid w:val="004644B4"/>
    <w:rsid w:val="00465AEC"/>
    <w:rsid w:val="00481DB3"/>
    <w:rsid w:val="00486D8D"/>
    <w:rsid w:val="004A6185"/>
    <w:rsid w:val="004B2801"/>
    <w:rsid w:val="004E0341"/>
    <w:rsid w:val="004E4C20"/>
    <w:rsid w:val="004E5266"/>
    <w:rsid w:val="00500564"/>
    <w:rsid w:val="00525287"/>
    <w:rsid w:val="00525857"/>
    <w:rsid w:val="005311BB"/>
    <w:rsid w:val="00562F80"/>
    <w:rsid w:val="00573188"/>
    <w:rsid w:val="00580895"/>
    <w:rsid w:val="005847A1"/>
    <w:rsid w:val="005936AC"/>
    <w:rsid w:val="005B2E03"/>
    <w:rsid w:val="005C3AF6"/>
    <w:rsid w:val="005E0C8C"/>
    <w:rsid w:val="005E7050"/>
    <w:rsid w:val="005F2C04"/>
    <w:rsid w:val="005F4E76"/>
    <w:rsid w:val="00607304"/>
    <w:rsid w:val="006144B6"/>
    <w:rsid w:val="00644E3E"/>
    <w:rsid w:val="00651B75"/>
    <w:rsid w:val="0066280E"/>
    <w:rsid w:val="00662E9C"/>
    <w:rsid w:val="00667F84"/>
    <w:rsid w:val="00674C11"/>
    <w:rsid w:val="00682081"/>
    <w:rsid w:val="00694D83"/>
    <w:rsid w:val="006A2493"/>
    <w:rsid w:val="006C2FCB"/>
    <w:rsid w:val="006D4C80"/>
    <w:rsid w:val="006D7E20"/>
    <w:rsid w:val="006E21C1"/>
    <w:rsid w:val="006E4EBA"/>
    <w:rsid w:val="00700200"/>
    <w:rsid w:val="00707D56"/>
    <w:rsid w:val="00725EA5"/>
    <w:rsid w:val="00730C0D"/>
    <w:rsid w:val="00743354"/>
    <w:rsid w:val="0077362D"/>
    <w:rsid w:val="0077580E"/>
    <w:rsid w:val="00782096"/>
    <w:rsid w:val="007D0C4F"/>
    <w:rsid w:val="007D5323"/>
    <w:rsid w:val="007E1CD6"/>
    <w:rsid w:val="007E7314"/>
    <w:rsid w:val="00800DEC"/>
    <w:rsid w:val="00820FC3"/>
    <w:rsid w:val="00833949"/>
    <w:rsid w:val="00851948"/>
    <w:rsid w:val="00862552"/>
    <w:rsid w:val="0086346D"/>
    <w:rsid w:val="00865A45"/>
    <w:rsid w:val="00874BC0"/>
    <w:rsid w:val="008820CA"/>
    <w:rsid w:val="008875CA"/>
    <w:rsid w:val="00890F5F"/>
    <w:rsid w:val="00893935"/>
    <w:rsid w:val="008939EA"/>
    <w:rsid w:val="008A176C"/>
    <w:rsid w:val="008A1D5B"/>
    <w:rsid w:val="008B3CB0"/>
    <w:rsid w:val="008B456C"/>
    <w:rsid w:val="008C2155"/>
    <w:rsid w:val="008D125B"/>
    <w:rsid w:val="008E47F4"/>
    <w:rsid w:val="008E55A9"/>
    <w:rsid w:val="00903662"/>
    <w:rsid w:val="00904A8C"/>
    <w:rsid w:val="00911660"/>
    <w:rsid w:val="0091303C"/>
    <w:rsid w:val="009539DB"/>
    <w:rsid w:val="00957C5D"/>
    <w:rsid w:val="009600D4"/>
    <w:rsid w:val="009633B0"/>
    <w:rsid w:val="00971E0B"/>
    <w:rsid w:val="00975445"/>
    <w:rsid w:val="00990E2C"/>
    <w:rsid w:val="00991691"/>
    <w:rsid w:val="00994B2F"/>
    <w:rsid w:val="00995188"/>
    <w:rsid w:val="00996BC5"/>
    <w:rsid w:val="009A7FD6"/>
    <w:rsid w:val="009B01CD"/>
    <w:rsid w:val="009D0068"/>
    <w:rsid w:val="009D7097"/>
    <w:rsid w:val="009E4050"/>
    <w:rsid w:val="009F0335"/>
    <w:rsid w:val="00A24652"/>
    <w:rsid w:val="00A453AF"/>
    <w:rsid w:val="00A56C9F"/>
    <w:rsid w:val="00A93CA8"/>
    <w:rsid w:val="00AA7D1D"/>
    <w:rsid w:val="00AC23EB"/>
    <w:rsid w:val="00AD061F"/>
    <w:rsid w:val="00AD2548"/>
    <w:rsid w:val="00AD5D3B"/>
    <w:rsid w:val="00AD62C6"/>
    <w:rsid w:val="00B344CF"/>
    <w:rsid w:val="00B412AC"/>
    <w:rsid w:val="00B5104B"/>
    <w:rsid w:val="00B615F0"/>
    <w:rsid w:val="00B64915"/>
    <w:rsid w:val="00BD453C"/>
    <w:rsid w:val="00BD5660"/>
    <w:rsid w:val="00BE3DFB"/>
    <w:rsid w:val="00BE51E9"/>
    <w:rsid w:val="00BE5B53"/>
    <w:rsid w:val="00C30AF3"/>
    <w:rsid w:val="00C32451"/>
    <w:rsid w:val="00C70EBB"/>
    <w:rsid w:val="00C74585"/>
    <w:rsid w:val="00C82242"/>
    <w:rsid w:val="00C85D76"/>
    <w:rsid w:val="00CA75CF"/>
    <w:rsid w:val="00CB4428"/>
    <w:rsid w:val="00CB68F1"/>
    <w:rsid w:val="00CC72D8"/>
    <w:rsid w:val="00CF2AD5"/>
    <w:rsid w:val="00CF36B0"/>
    <w:rsid w:val="00CF7D23"/>
    <w:rsid w:val="00D07550"/>
    <w:rsid w:val="00D13FA6"/>
    <w:rsid w:val="00D33838"/>
    <w:rsid w:val="00D53C0C"/>
    <w:rsid w:val="00D63DFE"/>
    <w:rsid w:val="00D7121D"/>
    <w:rsid w:val="00D84EF8"/>
    <w:rsid w:val="00D9231F"/>
    <w:rsid w:val="00DD2240"/>
    <w:rsid w:val="00E17A29"/>
    <w:rsid w:val="00E266D8"/>
    <w:rsid w:val="00E26CBD"/>
    <w:rsid w:val="00E27D32"/>
    <w:rsid w:val="00E37AD7"/>
    <w:rsid w:val="00E422DF"/>
    <w:rsid w:val="00E52275"/>
    <w:rsid w:val="00E60999"/>
    <w:rsid w:val="00E81D86"/>
    <w:rsid w:val="00EB02BB"/>
    <w:rsid w:val="00EB09BB"/>
    <w:rsid w:val="00EC4643"/>
    <w:rsid w:val="00ED09AF"/>
    <w:rsid w:val="00ED3AE0"/>
    <w:rsid w:val="00F041F3"/>
    <w:rsid w:val="00F20F9A"/>
    <w:rsid w:val="00F25CC8"/>
    <w:rsid w:val="00F32FFA"/>
    <w:rsid w:val="00F35EF0"/>
    <w:rsid w:val="00F40D6C"/>
    <w:rsid w:val="00F44BA2"/>
    <w:rsid w:val="00F60251"/>
    <w:rsid w:val="00F63AC3"/>
    <w:rsid w:val="00F63D14"/>
    <w:rsid w:val="00F93EDE"/>
    <w:rsid w:val="00FA4D09"/>
    <w:rsid w:val="00FB6248"/>
    <w:rsid w:val="00FF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CC536"/>
  <w15:chartTrackingRefBased/>
  <w15:docId w15:val="{E3E5D66F-7713-41E4-9989-55DB91DC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D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35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7B9"/>
    <w:rPr>
      <w:rFonts w:ascii="Courier New" w:eastAsia="Times New Roman" w:hAnsi="Courier New" w:cs="Courier New"/>
      <w:sz w:val="20"/>
      <w:szCs w:val="20"/>
    </w:rPr>
  </w:style>
  <w:style w:type="character" w:customStyle="1" w:styleId="gnkrckgcgsb">
    <w:name w:val="gnkrckgcgsb"/>
    <w:basedOn w:val="DefaultParagraphFont"/>
    <w:rsid w:val="003357B9"/>
  </w:style>
  <w:style w:type="paragraph" w:styleId="Header">
    <w:name w:val="header"/>
    <w:basedOn w:val="Normal"/>
    <w:link w:val="HeaderChar"/>
    <w:uiPriority w:val="99"/>
    <w:unhideWhenUsed/>
    <w:rsid w:val="008B4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56C"/>
  </w:style>
  <w:style w:type="paragraph" w:styleId="Footer">
    <w:name w:val="footer"/>
    <w:basedOn w:val="Normal"/>
    <w:link w:val="FooterChar"/>
    <w:uiPriority w:val="99"/>
    <w:unhideWhenUsed/>
    <w:rsid w:val="008B4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56C"/>
  </w:style>
  <w:style w:type="character" w:customStyle="1" w:styleId="apple-tab-span">
    <w:name w:val="apple-tab-span"/>
    <w:basedOn w:val="DefaultParagraphFont"/>
    <w:rsid w:val="00957C5D"/>
  </w:style>
  <w:style w:type="character" w:styleId="Hyperlink">
    <w:name w:val="Hyperlink"/>
    <w:basedOn w:val="DefaultParagraphFont"/>
    <w:uiPriority w:val="99"/>
    <w:unhideWhenUsed/>
    <w:rsid w:val="00326CC9"/>
    <w:rPr>
      <w:color w:val="0563C1" w:themeColor="hyperlink"/>
      <w:u w:val="single"/>
    </w:rPr>
  </w:style>
  <w:style w:type="character" w:styleId="UnresolvedMention">
    <w:name w:val="Unresolved Mention"/>
    <w:basedOn w:val="DefaultParagraphFont"/>
    <w:uiPriority w:val="99"/>
    <w:semiHidden/>
    <w:unhideWhenUsed/>
    <w:rsid w:val="00326CC9"/>
    <w:rPr>
      <w:color w:val="808080"/>
      <w:shd w:val="clear" w:color="auto" w:fill="E6E6E6"/>
    </w:rPr>
  </w:style>
  <w:style w:type="paragraph" w:styleId="ListParagraph">
    <w:name w:val="List Paragraph"/>
    <w:basedOn w:val="Normal"/>
    <w:uiPriority w:val="34"/>
    <w:qFormat/>
    <w:rsid w:val="00320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420">
      <w:bodyDiv w:val="1"/>
      <w:marLeft w:val="0"/>
      <w:marRight w:val="0"/>
      <w:marTop w:val="0"/>
      <w:marBottom w:val="0"/>
      <w:divBdr>
        <w:top w:val="none" w:sz="0" w:space="0" w:color="auto"/>
        <w:left w:val="none" w:sz="0" w:space="0" w:color="auto"/>
        <w:bottom w:val="none" w:sz="0" w:space="0" w:color="auto"/>
        <w:right w:val="none" w:sz="0" w:space="0" w:color="auto"/>
      </w:divBdr>
    </w:div>
    <w:div w:id="137461296">
      <w:bodyDiv w:val="1"/>
      <w:marLeft w:val="0"/>
      <w:marRight w:val="0"/>
      <w:marTop w:val="0"/>
      <w:marBottom w:val="0"/>
      <w:divBdr>
        <w:top w:val="none" w:sz="0" w:space="0" w:color="auto"/>
        <w:left w:val="none" w:sz="0" w:space="0" w:color="auto"/>
        <w:bottom w:val="none" w:sz="0" w:space="0" w:color="auto"/>
        <w:right w:val="none" w:sz="0" w:space="0" w:color="auto"/>
      </w:divBdr>
    </w:div>
    <w:div w:id="640891497">
      <w:bodyDiv w:val="1"/>
      <w:marLeft w:val="0"/>
      <w:marRight w:val="0"/>
      <w:marTop w:val="0"/>
      <w:marBottom w:val="0"/>
      <w:divBdr>
        <w:top w:val="none" w:sz="0" w:space="0" w:color="auto"/>
        <w:left w:val="none" w:sz="0" w:space="0" w:color="auto"/>
        <w:bottom w:val="none" w:sz="0" w:space="0" w:color="auto"/>
        <w:right w:val="none" w:sz="0" w:space="0" w:color="auto"/>
      </w:divBdr>
    </w:div>
    <w:div w:id="670564900">
      <w:bodyDiv w:val="1"/>
      <w:marLeft w:val="0"/>
      <w:marRight w:val="0"/>
      <w:marTop w:val="0"/>
      <w:marBottom w:val="0"/>
      <w:divBdr>
        <w:top w:val="none" w:sz="0" w:space="0" w:color="auto"/>
        <w:left w:val="none" w:sz="0" w:space="0" w:color="auto"/>
        <w:bottom w:val="none" w:sz="0" w:space="0" w:color="auto"/>
        <w:right w:val="none" w:sz="0" w:space="0" w:color="auto"/>
      </w:divBdr>
    </w:div>
    <w:div w:id="878779600">
      <w:bodyDiv w:val="1"/>
      <w:marLeft w:val="0"/>
      <w:marRight w:val="0"/>
      <w:marTop w:val="0"/>
      <w:marBottom w:val="0"/>
      <w:divBdr>
        <w:top w:val="none" w:sz="0" w:space="0" w:color="auto"/>
        <w:left w:val="none" w:sz="0" w:space="0" w:color="auto"/>
        <w:bottom w:val="none" w:sz="0" w:space="0" w:color="auto"/>
        <w:right w:val="none" w:sz="0" w:space="0" w:color="auto"/>
      </w:divBdr>
    </w:div>
    <w:div w:id="886263501">
      <w:bodyDiv w:val="1"/>
      <w:marLeft w:val="0"/>
      <w:marRight w:val="0"/>
      <w:marTop w:val="0"/>
      <w:marBottom w:val="0"/>
      <w:divBdr>
        <w:top w:val="none" w:sz="0" w:space="0" w:color="auto"/>
        <w:left w:val="none" w:sz="0" w:space="0" w:color="auto"/>
        <w:bottom w:val="none" w:sz="0" w:space="0" w:color="auto"/>
        <w:right w:val="none" w:sz="0" w:space="0" w:color="auto"/>
      </w:divBdr>
    </w:div>
    <w:div w:id="948972847">
      <w:bodyDiv w:val="1"/>
      <w:marLeft w:val="0"/>
      <w:marRight w:val="0"/>
      <w:marTop w:val="0"/>
      <w:marBottom w:val="0"/>
      <w:divBdr>
        <w:top w:val="none" w:sz="0" w:space="0" w:color="auto"/>
        <w:left w:val="none" w:sz="0" w:space="0" w:color="auto"/>
        <w:bottom w:val="none" w:sz="0" w:space="0" w:color="auto"/>
        <w:right w:val="none" w:sz="0" w:space="0" w:color="auto"/>
      </w:divBdr>
    </w:div>
    <w:div w:id="978681004">
      <w:bodyDiv w:val="1"/>
      <w:marLeft w:val="0"/>
      <w:marRight w:val="0"/>
      <w:marTop w:val="0"/>
      <w:marBottom w:val="0"/>
      <w:divBdr>
        <w:top w:val="none" w:sz="0" w:space="0" w:color="auto"/>
        <w:left w:val="none" w:sz="0" w:space="0" w:color="auto"/>
        <w:bottom w:val="none" w:sz="0" w:space="0" w:color="auto"/>
        <w:right w:val="none" w:sz="0" w:space="0" w:color="auto"/>
      </w:divBdr>
    </w:div>
    <w:div w:id="1153913587">
      <w:bodyDiv w:val="1"/>
      <w:marLeft w:val="0"/>
      <w:marRight w:val="0"/>
      <w:marTop w:val="0"/>
      <w:marBottom w:val="0"/>
      <w:divBdr>
        <w:top w:val="none" w:sz="0" w:space="0" w:color="auto"/>
        <w:left w:val="none" w:sz="0" w:space="0" w:color="auto"/>
        <w:bottom w:val="none" w:sz="0" w:space="0" w:color="auto"/>
        <w:right w:val="none" w:sz="0" w:space="0" w:color="auto"/>
      </w:divBdr>
    </w:div>
    <w:div w:id="1261836148">
      <w:bodyDiv w:val="1"/>
      <w:marLeft w:val="0"/>
      <w:marRight w:val="0"/>
      <w:marTop w:val="0"/>
      <w:marBottom w:val="0"/>
      <w:divBdr>
        <w:top w:val="none" w:sz="0" w:space="0" w:color="auto"/>
        <w:left w:val="none" w:sz="0" w:space="0" w:color="auto"/>
        <w:bottom w:val="none" w:sz="0" w:space="0" w:color="auto"/>
        <w:right w:val="none" w:sz="0" w:space="0" w:color="auto"/>
      </w:divBdr>
    </w:div>
    <w:div w:id="1273396889">
      <w:bodyDiv w:val="1"/>
      <w:marLeft w:val="0"/>
      <w:marRight w:val="0"/>
      <w:marTop w:val="0"/>
      <w:marBottom w:val="0"/>
      <w:divBdr>
        <w:top w:val="none" w:sz="0" w:space="0" w:color="auto"/>
        <w:left w:val="none" w:sz="0" w:space="0" w:color="auto"/>
        <w:bottom w:val="none" w:sz="0" w:space="0" w:color="auto"/>
        <w:right w:val="none" w:sz="0" w:space="0" w:color="auto"/>
      </w:divBdr>
    </w:div>
    <w:div w:id="1345748977">
      <w:bodyDiv w:val="1"/>
      <w:marLeft w:val="0"/>
      <w:marRight w:val="0"/>
      <w:marTop w:val="0"/>
      <w:marBottom w:val="0"/>
      <w:divBdr>
        <w:top w:val="none" w:sz="0" w:space="0" w:color="auto"/>
        <w:left w:val="none" w:sz="0" w:space="0" w:color="auto"/>
        <w:bottom w:val="none" w:sz="0" w:space="0" w:color="auto"/>
        <w:right w:val="none" w:sz="0" w:space="0" w:color="auto"/>
      </w:divBdr>
    </w:div>
    <w:div w:id="1412313693">
      <w:bodyDiv w:val="1"/>
      <w:marLeft w:val="0"/>
      <w:marRight w:val="0"/>
      <w:marTop w:val="0"/>
      <w:marBottom w:val="0"/>
      <w:divBdr>
        <w:top w:val="none" w:sz="0" w:space="0" w:color="auto"/>
        <w:left w:val="none" w:sz="0" w:space="0" w:color="auto"/>
        <w:bottom w:val="none" w:sz="0" w:space="0" w:color="auto"/>
        <w:right w:val="none" w:sz="0" w:space="0" w:color="auto"/>
      </w:divBdr>
      <w:divsChild>
        <w:div w:id="2088451505">
          <w:marLeft w:val="0"/>
          <w:marRight w:val="0"/>
          <w:marTop w:val="0"/>
          <w:marBottom w:val="0"/>
          <w:divBdr>
            <w:top w:val="none" w:sz="0" w:space="0" w:color="auto"/>
            <w:left w:val="none" w:sz="0" w:space="0" w:color="auto"/>
            <w:bottom w:val="none" w:sz="0" w:space="0" w:color="auto"/>
            <w:right w:val="none" w:sz="0" w:space="0" w:color="auto"/>
          </w:divBdr>
        </w:div>
      </w:divsChild>
    </w:div>
    <w:div w:id="1517496749">
      <w:bodyDiv w:val="1"/>
      <w:marLeft w:val="0"/>
      <w:marRight w:val="0"/>
      <w:marTop w:val="0"/>
      <w:marBottom w:val="0"/>
      <w:divBdr>
        <w:top w:val="none" w:sz="0" w:space="0" w:color="auto"/>
        <w:left w:val="none" w:sz="0" w:space="0" w:color="auto"/>
        <w:bottom w:val="none" w:sz="0" w:space="0" w:color="auto"/>
        <w:right w:val="none" w:sz="0" w:space="0" w:color="auto"/>
      </w:divBdr>
    </w:div>
    <w:div w:id="1631861856">
      <w:bodyDiv w:val="1"/>
      <w:marLeft w:val="0"/>
      <w:marRight w:val="0"/>
      <w:marTop w:val="0"/>
      <w:marBottom w:val="0"/>
      <w:divBdr>
        <w:top w:val="none" w:sz="0" w:space="0" w:color="auto"/>
        <w:left w:val="none" w:sz="0" w:space="0" w:color="auto"/>
        <w:bottom w:val="none" w:sz="0" w:space="0" w:color="auto"/>
        <w:right w:val="none" w:sz="0" w:space="0" w:color="auto"/>
      </w:divBdr>
    </w:div>
    <w:div w:id="1672875383">
      <w:bodyDiv w:val="1"/>
      <w:marLeft w:val="0"/>
      <w:marRight w:val="0"/>
      <w:marTop w:val="0"/>
      <w:marBottom w:val="0"/>
      <w:divBdr>
        <w:top w:val="none" w:sz="0" w:space="0" w:color="auto"/>
        <w:left w:val="none" w:sz="0" w:space="0" w:color="auto"/>
        <w:bottom w:val="none" w:sz="0" w:space="0" w:color="auto"/>
        <w:right w:val="none" w:sz="0" w:space="0" w:color="auto"/>
      </w:divBdr>
    </w:div>
    <w:div w:id="1877160966">
      <w:bodyDiv w:val="1"/>
      <w:marLeft w:val="0"/>
      <w:marRight w:val="0"/>
      <w:marTop w:val="0"/>
      <w:marBottom w:val="0"/>
      <w:divBdr>
        <w:top w:val="none" w:sz="0" w:space="0" w:color="auto"/>
        <w:left w:val="none" w:sz="0" w:space="0" w:color="auto"/>
        <w:bottom w:val="none" w:sz="0" w:space="0" w:color="auto"/>
        <w:right w:val="none" w:sz="0" w:space="0" w:color="auto"/>
      </w:divBdr>
    </w:div>
    <w:div w:id="1948929488">
      <w:bodyDiv w:val="1"/>
      <w:marLeft w:val="0"/>
      <w:marRight w:val="0"/>
      <w:marTop w:val="0"/>
      <w:marBottom w:val="0"/>
      <w:divBdr>
        <w:top w:val="none" w:sz="0" w:space="0" w:color="auto"/>
        <w:left w:val="none" w:sz="0" w:space="0" w:color="auto"/>
        <w:bottom w:val="none" w:sz="0" w:space="0" w:color="auto"/>
        <w:right w:val="none" w:sz="0" w:space="0" w:color="auto"/>
      </w:divBdr>
      <w:divsChild>
        <w:div w:id="1189366722">
          <w:marLeft w:val="0"/>
          <w:marRight w:val="0"/>
          <w:marTop w:val="0"/>
          <w:marBottom w:val="0"/>
          <w:divBdr>
            <w:top w:val="none" w:sz="0" w:space="0" w:color="auto"/>
            <w:left w:val="none" w:sz="0" w:space="0" w:color="auto"/>
            <w:bottom w:val="none" w:sz="0" w:space="0" w:color="auto"/>
            <w:right w:val="none" w:sz="0" w:space="0" w:color="auto"/>
          </w:divBdr>
        </w:div>
      </w:divsChild>
    </w:div>
    <w:div w:id="2045667108">
      <w:bodyDiv w:val="1"/>
      <w:marLeft w:val="0"/>
      <w:marRight w:val="0"/>
      <w:marTop w:val="0"/>
      <w:marBottom w:val="0"/>
      <w:divBdr>
        <w:top w:val="none" w:sz="0" w:space="0" w:color="auto"/>
        <w:left w:val="none" w:sz="0" w:space="0" w:color="auto"/>
        <w:bottom w:val="none" w:sz="0" w:space="0" w:color="auto"/>
        <w:right w:val="none" w:sz="0" w:space="0" w:color="auto"/>
      </w:divBdr>
      <w:divsChild>
        <w:div w:id="58072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23</Pages>
  <Words>5579</Words>
  <Characters>31802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5</cp:revision>
  <dcterms:created xsi:type="dcterms:W3CDTF">2018-04-26T23:43:00Z</dcterms:created>
  <dcterms:modified xsi:type="dcterms:W3CDTF">2018-04-27T00:04:00Z</dcterms:modified>
</cp:coreProperties>
</file>