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3C6E"/>
          <w:sz w:val="52"/>
        </w:rPr>
        <w:t>NBU RAG Challenge | UzHack 2026</w:t>
      </w:r>
    </w:p>
    <w:p>
      <w:pPr>
        <w:pStyle w:val="Heading1"/>
      </w:pPr>
      <w:r>
        <w:t>Обзор соревнования</w:t>
      </w:r>
    </w:p>
    <w:p>
      <w:r>
        <w:rPr>
          <w:b w:val="0"/>
          <w:i w:val="0"/>
        </w:rPr>
        <w:t>Добро пожаловать в NBU RAG Challenge в рамках международного технологического хакатона UzHack 2026!</w:t>
      </w:r>
    </w:p>
    <w:p>
      <w:r>
        <w:rPr>
          <w:b w:val="0"/>
          <w:i w:val="0"/>
        </w:rPr>
        <w:t>Ваша задача - построить эффективный RAG (Retrieval-Augmented Generation) пайплайн для ответов на вопросы об узбекистанских компаниях на основе их публичных финансовых документов и раскрытий информации.</w:t>
      </w:r>
    </w:p>
    <w:p>
      <w:pPr>
        <w:ind w:left="576"/>
      </w:pPr>
      <w:r>
        <w:rPr>
          <w:i/>
          <w:color w:val="555555"/>
        </w:rPr>
        <w:t>Данный кейс подготовлен при поддержке NBU Bank (Узбекистан) в рамках содействия развитию финтех-экосистемы и поддержки узбекистанской молодежи за рубежом.</w:t>
      </w:r>
    </w:p>
    <w:p>
      <w:pPr>
        <w:pStyle w:val="Heading1"/>
      </w:pPr>
      <w:r>
        <w:t>О хакатоне</w:t>
      </w:r>
    </w:p>
    <w:p>
      <w:r>
        <w:rPr>
          <w:b w:val="0"/>
          <w:i w:val="0"/>
        </w:rPr>
        <w:t>UzHack - международный технологический хакатон, организованный Фондом общественной поддержки граждан совместно со Всемирной ассоциацией молодежи Узбекистана, 27-29 марта 2026 года в Латвийской Республике. Хакатон объединяет узбекистанскую молодежь, обучающуюся и работающую в странах Балтийского региона, а также международных участников для разработки перспективных решений в области цифровой экономики, финтеха и инноваций.</w:t>
      </w:r>
    </w:p>
    <w:p>
      <w:pPr>
        <w:pStyle w:val="Heading1"/>
      </w:pPr>
      <w:r>
        <w:t>Структура датасета</w:t>
      </w:r>
    </w:p>
    <w:p>
      <w:pPr>
        <w:pStyle w:val="Heading2"/>
      </w:pPr>
      <w:r>
        <w:t>Основные компоненты:</w:t>
      </w:r>
    </w:p>
    <w:p>
      <w:pPr>
        <w:pStyle w:val="ListNumber"/>
      </w:pPr>
      <w:r>
        <w:t>Dataset/ - папка содержит файлы с документами о компаниях</w:t>
      </w:r>
    </w:p>
    <w:p>
      <w:pPr>
        <w:pStyle w:val="ListBullet"/>
        <w:ind w:left="1440"/>
      </w:pPr>
      <w:r>
        <w:t>Все данные являются публичными и взяты с Ташкентской Республиканской Фондовой Биржи (uzse.uz)</w:t>
      </w:r>
    </w:p>
    <w:p>
      <w:pPr>
        <w:pStyle w:val="ListBullet"/>
        <w:ind w:left="1440"/>
      </w:pPr>
      <w:r>
        <w:t>Датасет включает 35 компаний различных отраслей: банки, промышленность, сельское хозяйство, энергетика, торговля</w:t>
      </w:r>
    </w:p>
    <w:p>
      <w:pPr>
        <w:pStyle w:val="ListBullet"/>
        <w:ind w:left="1440"/>
      </w:pPr>
      <w:r>
        <w:t>Для каждой компании доступны:</w:t>
      </w:r>
    </w:p>
    <w:p>
      <w:pPr>
        <w:pStyle w:val="ListBullet"/>
        <w:ind w:left="2160"/>
      </w:pPr>
      <w:r>
        <w:t>reports/ - финансовая отчетность по стандартам НСБУ (годовая и квартальная) и МСФО (годовая) в форматах PDF и XLSX</w:t>
      </w:r>
    </w:p>
    <w:p>
      <w:pPr>
        <w:pStyle w:val="ListBullet"/>
        <w:ind w:left="2160"/>
      </w:pPr>
      <w:r>
        <w:t>facts/ - существенные факты и раскрытия информации (решения органов управления, изменения в руководстве и т.д.) в формате PDF</w:t>
      </w:r>
    </w:p>
    <w:p>
      <w:pPr>
        <w:pStyle w:val="ListBullet"/>
        <w:ind w:left="2160"/>
      </w:pPr>
      <w:r>
        <w:t>profile.json - базовая информация о компании (ИНН, адрес, реквизиты)</w:t>
      </w:r>
    </w:p>
    <w:p>
      <w:pPr>
        <w:pStyle w:val="ListBullet"/>
        <w:ind w:left="1440"/>
      </w:pPr>
      <w:r>
        <w:t>Важно: Документы остаются неизменными на протяжении всего соревнования</w:t>
      </w:r>
    </w:p>
    <w:p>
      <w:pPr>
        <w:pStyle w:val="ListNumber"/>
      </w:pPr>
      <w:r>
        <w:t>questions_public.xlsx - список вопросов и форматы ответов для тренировки</w:t>
      </w:r>
    </w:p>
    <w:p>
      <w:pPr>
        <w:pStyle w:val="ListNumber"/>
      </w:pPr>
      <w:r>
        <w:t>submission_format.json - шаблон для файла с ответами в требуемом формате</w:t>
      </w:r>
    </w:p>
    <w:p>
      <w:pPr>
        <w:pStyle w:val="ListNumber"/>
      </w:pPr>
      <w:r>
        <w:t>answers_public.json - примеры ответов на публичные вопросы в правильном формате</w:t>
      </w:r>
    </w:p>
    <w:p>
      <w:pPr>
        <w:pStyle w:val="Heading2"/>
      </w:pPr>
      <w:r>
        <w:t>Особенности датасета:</w:t>
      </w:r>
    </w:p>
    <w:p>
      <w:pPr>
        <w:pStyle w:val="ListBullet"/>
      </w:pPr>
      <w:r>
        <w:t>~750 PDF и ~530 XLSX файлов</w:t>
      </w:r>
    </w:p>
    <w:p>
      <w:pPr>
        <w:pStyle w:val="ListBullet"/>
      </w:pPr>
      <w:r>
        <w:t>Документы на узбекском и русском языках</w:t>
      </w:r>
    </w:p>
    <w:p>
      <w:pPr>
        <w:pStyle w:val="ListBullet"/>
      </w:pPr>
      <w:r>
        <w:t>Финансовая отчетность по стандартам НСБУ (Национальные Стандарты Бухгалтерского Учета) и МСФО (Международные Стандарты Финансовой Отчетности)</w:t>
      </w:r>
    </w:p>
    <w:p>
      <w:pPr>
        <w:pStyle w:val="ListBullet"/>
      </w:pPr>
      <w:r>
        <w:t>Часть файлов представляет собой сканы, часть содержит сложные таблицы</w:t>
      </w:r>
    </w:p>
    <w:p>
      <w:pPr>
        <w:pStyle w:val="ListBullet"/>
      </w:pPr>
      <w:r>
        <w:t>Существенные факты (facts) - это PDF-документы о корпоративных событиях компаний</w:t>
      </w:r>
    </w:p>
    <w:p>
      <w:pPr>
        <w:pStyle w:val="Heading1"/>
      </w:pPr>
      <w:r>
        <w:t>График соревнования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80"/>
            <w:shd w:val="clear" w:color="auto" w:fill="1A3C6E"/>
          </w:tcPr>
          <w:p>
            <w:r/>
            <w:r>
              <w:rPr>
                <w:b/>
                <w:color w:val="FFFFFF"/>
                <w:sz w:val="20"/>
              </w:rPr>
              <w:t>Дата и время</w:t>
            </w:r>
          </w:p>
        </w:tc>
        <w:tc>
          <w:tcPr>
            <w:tcW w:type="dxa" w:w="6480"/>
            <w:shd w:val="clear" w:color="auto" w:fill="1A3C6E"/>
          </w:tcPr>
          <w:p>
            <w:r/>
            <w:r>
              <w:rPr>
                <w:b/>
                <w:color w:val="FFFFFF"/>
                <w:sz w:val="20"/>
              </w:rPr>
              <w:t>Событие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27 марта, утро</w:t>
            </w:r>
          </w:p>
        </w:tc>
        <w:tc>
          <w:tcPr>
            <w:tcW w:type="dxa" w:w="6480"/>
          </w:tcPr>
          <w:p>
            <w:r/>
            <w:r>
              <w:rPr>
                <w:sz w:val="20"/>
              </w:rPr>
              <w:t>Публикация датасета и публичных вопросов, начало работы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29 марта, 10:00</w:t>
            </w:r>
          </w:p>
        </w:tc>
        <w:tc>
          <w:tcPr>
            <w:tcW w:type="dxa" w:w="6480"/>
          </w:tcPr>
          <w:p>
            <w:r/>
            <w:r>
              <w:rPr>
                <w:sz w:val="20"/>
              </w:rPr>
              <w:t>Публикация приватного сета вопросов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29 марта, 10:30</w:t>
            </w:r>
          </w:p>
        </w:tc>
        <w:tc>
          <w:tcPr>
            <w:tcW w:type="dxa" w:w="6480"/>
          </w:tcPr>
          <w:p>
            <w:r/>
            <w:r>
              <w:rPr>
                <w:sz w:val="20"/>
              </w:rPr>
              <w:t>Дедлайн подачи ответов на приватные вопросы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29 марта, TBA</w:t>
            </w:r>
          </w:p>
        </w:tc>
        <w:tc>
          <w:tcPr>
            <w:tcW w:type="dxa" w:w="6480"/>
          </w:tcPr>
          <w:p>
            <w:r/>
            <w:r>
              <w:rPr>
                <w:sz w:val="20"/>
              </w:rPr>
              <w:t>Объявление результатов и награждение</w:t>
            </w:r>
          </w:p>
        </w:tc>
      </w:tr>
    </w:tbl>
    <w:p/>
    <w:p>
      <w:pPr>
        <w:ind w:left="576"/>
      </w:pPr>
      <w:r>
        <w:rPr>
          <w:i/>
          <w:color w:val="555555"/>
        </w:rPr>
        <w:t>Примечание: Приватный датасет содержит только новый сет вопросов. Документы остаются те же, что и в публичном датасете. Используйте первый день для тщательной подготовки пайплайна!</w:t>
      </w:r>
    </w:p>
    <w:p>
      <w:pPr>
        <w:pStyle w:val="Heading1"/>
      </w:pPr>
      <w:r>
        <w:t>Технические требования и правила</w:t>
      </w:r>
    </w:p>
    <w:p>
      <w:pPr>
        <w:pStyle w:val="Heading2"/>
      </w:pPr>
      <w:r>
        <w:t>Разрешенные инструменты для ваших пайплайнов:</w:t>
      </w:r>
    </w:p>
    <w:p>
      <w:pPr>
        <w:pStyle w:val="ListBullet"/>
      </w:pPr>
      <w:r>
        <w:t>Любые LLM модели</w:t>
      </w:r>
    </w:p>
    <w:p>
      <w:pPr>
        <w:pStyle w:val="ListBullet"/>
      </w:pPr>
      <w:r>
        <w:t>Любые эмбеддинг модели</w:t>
      </w:r>
    </w:p>
    <w:p>
      <w:pPr>
        <w:pStyle w:val="ListBullet"/>
      </w:pPr>
      <w:r>
        <w:t>OCR инструменты</w:t>
      </w:r>
    </w:p>
    <w:p>
      <w:pPr>
        <w:pStyle w:val="ListBullet"/>
      </w:pPr>
      <w:r>
        <w:t>Любые другие технические решения</w:t>
      </w:r>
    </w:p>
    <w:p>
      <w:pPr>
        <w:pStyle w:val="Heading2"/>
      </w:pPr>
      <w:r>
        <w:t>Ключевые ограничения:</w:t>
      </w:r>
    </w:p>
    <w:p>
      <w:pPr>
        <w:pStyle w:val="ListBullet"/>
      </w:pPr>
      <w:r>
        <w:t>Запрещено использовать внешние источники (Google, другие сайты) для прямого ответа на вопрос (разрешено использовать внешние модели и API в своих пайплайнах)</w:t>
      </w:r>
    </w:p>
    <w:p>
      <w:pPr>
        <w:pStyle w:val="ListBullet"/>
      </w:pPr>
      <w:r>
        <w:t>Обязательно основывать ответы только на документах из датасета</w:t>
      </w:r>
    </w:p>
    <w:p>
      <w:pPr>
        <w:pStyle w:val="ListBullet"/>
      </w:pPr>
      <w:r>
        <w:t>Обязательно указывать источники (название документа и номер страницы/листа)</w:t>
      </w:r>
    </w:p>
    <w:p>
      <w:pPr>
        <w:pStyle w:val="Heading1"/>
      </w:pPr>
      <w:r>
        <w:t>Правила подачи ответов</w:t>
      </w:r>
    </w:p>
    <w:p>
      <w:pPr>
        <w:pStyle w:val="ListBullet"/>
      </w:pPr>
      <w:r>
        <w:t>Количество попыток: Максимум 3 подачи</w:t>
      </w:r>
    </w:p>
    <w:p>
      <w:pPr>
        <w:pStyle w:val="ListBullet"/>
      </w:pPr>
      <w:r>
        <w:t>Оценка: Учитывается лучший результат из всех попыток</w:t>
      </w:r>
    </w:p>
    <w:p>
      <w:pPr>
        <w:pStyle w:val="ListBullet"/>
      </w:pPr>
      <w:r>
        <w:t>Формат: JSON файл с ответами + исходный код решения (репозиторий или архив)</w:t>
      </w:r>
    </w:p>
    <w:p>
      <w:pPr>
        <w:pStyle w:val="ListBullet"/>
      </w:pPr>
      <w:r>
        <w:t>Проверка: В случае подозрительных результатов может потребоваться объяснение архитектуры решения</w:t>
      </w:r>
    </w:p>
    <w:p>
      <w:pPr>
        <w:pStyle w:val="ListBullet"/>
      </w:pPr>
      <w:r>
        <w:t>Вариации ответов: Если ответ фактически правильный и отличается лишь небольшими нюансами формулировки, он будет засчитан</w:t>
      </w:r>
    </w:p>
    <w:p>
      <w:pPr>
        <w:pStyle w:val="Heading1"/>
      </w:pPr>
      <w:r>
        <w:t>Особенности работы с документами</w:t>
      </w:r>
    </w:p>
    <w:p>
      <w:pPr>
        <w:pStyle w:val="Heading2"/>
      </w:pPr>
      <w:r>
        <w:t>Форматы файлов:</w:t>
      </w:r>
    </w:p>
    <w:p>
      <w:pPr>
        <w:pStyle w:val="ListBullet"/>
      </w:pPr>
      <w:r>
        <w:t>PDF документы: Номер страницы = технический номер страницы (не те номера, что указаны на самой странице, а порядковый номер, считываемый PDF-библиотекой)</w:t>
      </w:r>
    </w:p>
    <w:p>
      <w:pPr>
        <w:pStyle w:val="ListBullet"/>
      </w:pPr>
      <w:r>
        <w:t>XLSX файлы: Номер страницы = порядковый номер листа (sheet), начиная с 1</w:t>
      </w:r>
    </w:p>
    <w:p>
      <w:pPr>
        <w:pStyle w:val="Heading2"/>
      </w:pPr>
      <w:r>
        <w:t>Типы файлов в датасете: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600"/>
            <w:shd w:val="clear" w:color="auto" w:fill="1A3C6E"/>
          </w:tcPr>
          <w:p>
            <w:r/>
            <w:r>
              <w:rPr>
                <w:b/>
                <w:color w:val="FFFFFF"/>
                <w:sz w:val="20"/>
              </w:rPr>
              <w:t>Префикс</w:t>
            </w:r>
          </w:p>
        </w:tc>
        <w:tc>
          <w:tcPr>
            <w:tcW w:type="dxa" w:w="5760"/>
            <w:shd w:val="clear" w:color="auto" w:fill="1A3C6E"/>
          </w:tcPr>
          <w:p>
            <w:r/>
            <w:r>
              <w:rPr>
                <w:b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20"/>
              </w:rPr>
              <w:t>NSBU_annual_*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Годовая отчетность по НСБУ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20"/>
              </w:rPr>
              <w:t>NSBU_quarter_*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Квартальная отчетность по НСБУ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20"/>
              </w:rPr>
              <w:t>MSFO_annual_*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Годовая отчетность по МСФО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20"/>
              </w:rPr>
              <w:t>fact*_*.pdf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Существенные факты (корпоративные раскрытия)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20"/>
              </w:rPr>
              <w:t>profile.json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Метаданные компании</w:t>
            </w:r>
          </w:p>
        </w:tc>
      </w:tr>
    </w:tbl>
    <w:p/>
    <w:p>
      <w:pPr>
        <w:pStyle w:val="Heading2"/>
      </w:pPr>
      <w:r>
        <w:t>Указание источников (relevant_chunks):</w:t>
      </w:r>
    </w:p>
    <w:p>
      <w:r>
        <w:rPr>
          <w:b/>
          <w:i w:val="0"/>
        </w:rPr>
        <w:t>Цели указания чанков:</w:t>
      </w:r>
    </w:p>
    <w:p>
      <w:pPr>
        <w:pStyle w:val="ListNumber"/>
      </w:pPr>
      <w:r>
        <w:t>Выявление случаев использования внешних источников</w:t>
      </w:r>
    </w:p>
    <w:p>
      <w:pPr>
        <w:pStyle w:val="ListNumber"/>
      </w:pPr>
      <w:r>
        <w:t>Обеспечение прозрачности и возможности проверки ответов</w:t>
      </w:r>
    </w:p>
    <w:p>
      <w:r>
        <w:rPr>
          <w:b/>
          <w:i w:val="0"/>
        </w:rPr>
        <w:t>Правила указания:</w:t>
      </w:r>
    </w:p>
    <w:p>
      <w:pPr>
        <w:pStyle w:val="ListBullet"/>
      </w:pPr>
      <w:r>
        <w:t>Связанная информация: Если ответ основан на данных из таблицы/раздела, который начинается на одной странице и заканчивается на другой, можно указать начальную страницу</w:t>
      </w:r>
    </w:p>
    <w:p>
      <w:pPr>
        <w:pStyle w:val="ListBullet"/>
      </w:pPr>
      <w:r>
        <w:t>Независимые чанки: Если ответ требует информации из разных частей документов, указывайте все задействованные чанки</w:t>
      </w:r>
    </w:p>
    <w:p>
      <w:pPr>
        <w:pStyle w:val="ListBullet"/>
      </w:pPr>
      <w:r>
        <w:t>Дублированная информация: При наличии одинаковой информации в разных файлах (например, в PDF и XLSX версии отчета) достаточно сослаться на один из источников</w:t>
      </w:r>
    </w:p>
    <w:p>
      <w:pPr>
        <w:pStyle w:val="Heading3"/>
      </w:pPr>
      <w:r>
        <w:t>Пример работы с дубликатами:</w:t>
      </w:r>
    </w:p>
    <w:p>
      <w:r>
        <w:rPr>
          <w:b w:val="0"/>
          <w:i w:val="0"/>
        </w:rPr>
        <w:t>Если одна и та же таблица присутствует в:</w:t>
      </w:r>
    </w:p>
    <w:p>
      <w:pPr>
        <w:pStyle w:val="ListBullet"/>
      </w:pPr>
      <w:r>
        <w:t>NSBU_annual_2134.pdf (страница 2)</w:t>
      </w:r>
    </w:p>
    <w:p>
      <w:pPr>
        <w:pStyle w:val="ListBullet"/>
      </w:pPr>
      <w:r>
        <w:t>NSBU_annual_2134.xlsx (лист 1)</w:t>
      </w:r>
    </w:p>
    <w:p>
      <w:r>
        <w:rPr>
          <w:b w:val="0"/>
          <w:i w:val="0"/>
        </w:rPr>
        <w:t>Можно указать только один из источников - ответ будет засчитан.</w:t>
      </w:r>
    </w:p>
    <w:p>
      <w:pPr>
        <w:pStyle w:val="Heading1"/>
      </w:pPr>
      <w:r>
        <w:t>Система оценки</w:t>
      </w:r>
    </w:p>
    <w:p>
      <w:pPr>
        <w:pStyle w:val="Heading2"/>
      </w:pPr>
      <w:r>
        <w:t>Метрика:</w:t>
      </w:r>
    </w:p>
    <w:p>
      <w:pPr>
        <w:pStyle w:val="ListBullet"/>
      </w:pPr>
      <w:r>
        <w:t>Точность ответов - основной критерий (70% итоговой оценки)</w:t>
      </w:r>
    </w:p>
    <w:p>
      <w:pPr>
        <w:pStyle w:val="ListBullet"/>
      </w:pPr>
      <w:r>
        <w:t>Полнота источников - корректность указания relevant_chunks (20%)</w:t>
      </w:r>
    </w:p>
    <w:p>
      <w:pPr>
        <w:pStyle w:val="ListBullet"/>
      </w:pPr>
      <w:r>
        <w:t>Скорость - время обработки приватных вопросов (10% бонус)</w:t>
      </w:r>
    </w:p>
    <w:p>
      <w:pPr>
        <w:pStyle w:val="Heading2"/>
      </w:pPr>
      <w:r>
        <w:t>Типы вопросов: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440"/>
            <w:shd w:val="clear" w:color="auto" w:fill="1A3C6E"/>
          </w:tcPr>
          <w:p>
            <w:r/>
            <w:r>
              <w:rPr>
                <w:b/>
                <w:color w:val="FFFFFF"/>
                <w:sz w:val="20"/>
              </w:rPr>
              <w:t>Тип</w:t>
            </w:r>
          </w:p>
        </w:tc>
        <w:tc>
          <w:tcPr>
            <w:tcW w:type="dxa" w:w="7920"/>
            <w:shd w:val="clear" w:color="auto" w:fill="1A3C6E"/>
          </w:tcPr>
          <w:p>
            <w:r/>
            <w:r>
              <w:rPr>
                <w:b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0"/>
              </w:rPr>
              <w:t>OCR</w:t>
            </w:r>
          </w:p>
        </w:tc>
        <w:tc>
          <w:tcPr>
            <w:tcW w:type="dxa" w:w="7920"/>
          </w:tcPr>
          <w:p>
            <w:r/>
            <w:r>
              <w:rPr>
                <w:sz w:val="20"/>
              </w:rPr>
              <w:t>Ответ требует распознавания текста из отсканированных документов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0"/>
              </w:rPr>
              <w:t>AR</w:t>
            </w:r>
          </w:p>
        </w:tc>
        <w:tc>
          <w:tcPr>
            <w:tcW w:type="dxa" w:w="7920"/>
          </w:tcPr>
          <w:p>
            <w:r/>
            <w:r>
              <w:rPr>
                <w:sz w:val="20"/>
              </w:rPr>
              <w:t>Ответ находится в структурированных отчетах (Annual/Quarterly Reports)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0"/>
              </w:rPr>
              <w:t>Both</w:t>
            </w:r>
          </w:p>
        </w:tc>
        <w:tc>
          <w:tcPr>
            <w:tcW w:type="dxa" w:w="7920"/>
          </w:tcPr>
          <w:p>
            <w:r/>
            <w:r>
              <w:rPr>
                <w:sz w:val="20"/>
              </w:rPr>
              <w:t>Ответ требует комбинации OCR и работы с отчетами</w:t>
            </w:r>
          </w:p>
        </w:tc>
      </w:tr>
    </w:tbl>
    <w:p/>
    <w:p>
      <w:pPr>
        <w:pStyle w:val="Heading2"/>
      </w:pPr>
      <w:r>
        <w:t>Типы ответов: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40"/>
            <w:shd w:val="clear" w:color="auto" w:fill="1A3C6E"/>
          </w:tcPr>
          <w:p>
            <w:r/>
            <w:r>
              <w:rPr>
                <w:b/>
                <w:color w:val="FFFFFF"/>
                <w:sz w:val="20"/>
              </w:rPr>
              <w:t>Тип</w:t>
            </w:r>
          </w:p>
        </w:tc>
        <w:tc>
          <w:tcPr>
            <w:tcW w:type="dxa" w:w="3600"/>
            <w:shd w:val="clear" w:color="auto" w:fill="1A3C6E"/>
          </w:tcPr>
          <w:p>
            <w:r/>
            <w:r>
              <w:rPr>
                <w:b/>
                <w:color w:val="FFFFFF"/>
                <w:sz w:val="20"/>
              </w:rPr>
              <w:t>Описание</w:t>
            </w:r>
          </w:p>
        </w:tc>
        <w:tc>
          <w:tcPr>
            <w:tcW w:type="dxa" w:w="4320"/>
            <w:shd w:val="clear" w:color="auto" w:fill="1A3C6E"/>
          </w:tcPr>
          <w:p>
            <w:r/>
            <w:r>
              <w:rPr>
                <w:b/>
                <w:color w:val="FFFFFF"/>
                <w:sz w:val="20"/>
              </w:rPr>
              <w:t>Пример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0"/>
              </w:rPr>
              <w:t>str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Текстовый ответ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Ташкент шахар, Шайхонтохур тумани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0"/>
              </w:rPr>
              <w:t>int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Целое число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42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0"/>
              </w:rPr>
              <w:t>float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Дробное число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12.55</w:t>
            </w:r>
          </w:p>
        </w:tc>
      </w:tr>
    </w:tbl>
    <w:p/>
    <w:p>
      <w:pPr>
        <w:pStyle w:val="Heading1"/>
      </w:pPr>
      <w:r>
        <w:t>Рекомендации для участников</w:t>
      </w:r>
    </w:p>
    <w:p>
      <w:pPr>
        <w:pStyle w:val="ListNumber"/>
      </w:pPr>
      <w:r>
        <w:t>Предобработка: Уделите достаточно времени качественной обработке документов в первый день. NSBU отчеты в XLSX формате проще парсить, чем PDF версии</w:t>
      </w:r>
    </w:p>
    <w:p>
      <w:pPr>
        <w:pStyle w:val="ListNumber"/>
      </w:pPr>
      <w:r>
        <w:t>Мультиязычность: Документы на узбекском и русском - учтите это при выборе LLM и эмбеддинг моделей</w:t>
      </w:r>
    </w:p>
    <w:p>
      <w:pPr>
        <w:pStyle w:val="ListNumber"/>
      </w:pPr>
      <w:r>
        <w:t>Таблицы: Финансовая отчетность содержит сложные таблицы - используйте специализированные инструменты для их обработки</w:t>
      </w:r>
    </w:p>
    <w:p>
      <w:pPr>
        <w:pStyle w:val="ListNumber"/>
      </w:pPr>
      <w:r>
        <w:t>Цитирование: Убедитесь, что ваша система корректно отслеживает источники информации</w:t>
      </w:r>
    </w:p>
    <w:p>
      <w:pPr>
        <w:pStyle w:val="ListNumber"/>
      </w:pPr>
      <w:r>
        <w:t>Архитектура: Продумайте масштабируемое решение, способное быстро обрабатывать новые вопросы</w:t>
      </w:r>
    </w:p>
    <w:p>
      <w:pPr>
        <w:pStyle w:val="Heading1"/>
      </w:pPr>
      <w:r>
        <w:t>После соревнования</w:t>
      </w:r>
    </w:p>
    <w:p>
      <w:r>
        <w:rPr>
          <w:b w:val="0"/>
          <w:i w:val="0"/>
        </w:rPr>
        <w:t>После окончания хакатона приветствуется от участников:</w:t>
      </w:r>
    </w:p>
    <w:p>
      <w:pPr>
        <w:pStyle w:val="ListBullet"/>
      </w:pPr>
      <w:r>
        <w:t>Публикация описаний архитектуры решений</w:t>
      </w:r>
    </w:p>
    <w:p>
      <w:pPr>
        <w:pStyle w:val="ListBullet"/>
      </w:pPr>
      <w:r>
        <w:t>Обмен опытом в социальных сетях</w:t>
      </w:r>
    </w:p>
    <w:p>
      <w:pPr>
        <w:pStyle w:val="ListBullet"/>
      </w:pPr>
      <w:r>
        <w:t>Участие в обсуждениях с другими участниками</w:t>
      </w:r>
    </w:p>
    <w:p>
      <w:r>
        <w:rPr>
          <w:b w:val="0"/>
          <w:i w:val="0"/>
        </w:rPr>
        <w:t>Это отличная возможность для профессионального развития и нетворкинга! Ваш опыт может привлечь внимание потенциальных работодателей или единомышленников для будущих совместных проектов.</w:t>
      </w:r>
    </w:p>
    <w:p/>
    <w:p>
      <w:pPr>
        <w:jc w:val="center"/>
      </w:pPr>
      <w:r>
        <w:rPr>
          <w:b/>
          <w:color w:val="1A3C6E"/>
        </w:rPr>
        <w:t>Кейс подготовлен при поддержке NBU Bank | UzHack 2026, Латвия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3C6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A3C6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A3C6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