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53F39" w14:paraId="1988A2B5" w14:textId="77777777" w:rsidTr="00A341D3">
        <w:trPr>
          <w:jc w:val="right"/>
        </w:trPr>
        <w:tc>
          <w:tcPr>
            <w:tcW w:w="9016" w:type="dxa"/>
          </w:tcPr>
          <w:p>
            <w:pPr>
              <w:jc w:val="both"/>
            </w:pPr>
            <w:r>
              <w:rPr>
                <w:sz w:val="24"/>
              </w:rPr>
              <w:t>Using the latest ethnicity data from 2011 which is in your search range of 2009 to 2022. The table below ranks ethnicity in Dundonald, Merton and London. The ranking is highest to lowest percentage from top to bottom. Where there is a difference in ethnicity the cell is shaded, a darker shade denotes a difference between borough and ward. Values in [] give the percentage value.</w:t>
            </w:r>
          </w:p>
        </w:tc>
      </w:tr>
    </w:tbl>
    <w:p w14:paraId="3245B09C" w14:textId="0404F098"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74796" w14:paraId="118AC2E0" w14:textId="77777777" w:rsidTr="00936947">
        <w:tc>
          <w:tcPr>
            <w:tcW w:w="9016" w:type="dxa"/>
          </w:tcPr>
          <w:tbl>
            <w:tblPr>
              <w:tblStyle w:val="sdmaptablestyle2"/>
              <w:tblW w:type="auto" w:w="0"/>
              <w:tblLayout w:type="autofit"/>
              <w:tblLook w:firstColumn="1" w:firstRow="1" w:lastColumn="0" w:lastRow="0" w:noHBand="0" w:noVBand="1" w:val="04A0"/>
            </w:tblPr>
            <w:tblGrid>
              <w:gridCol w:w="3005"/>
              <w:gridCol w:w="3005"/>
              <w:gridCol w:w="3005"/>
            </w:tblGrid>
            <w:tr>
              <w:tc>
                <w:tcPr>
                  <w:tcW w:type="dxa" w:w="3005"/>
                </w:tcPr>
                <w:p>
                  <w:r>
                    <w:t>Dundonald</w:t>
                  </w:r>
                </w:p>
              </w:tc>
              <w:tc>
                <w:tcPr>
                  <w:tcW w:type="dxa" w:w="3005"/>
                </w:tcPr>
                <w:p>
                  <w:r>
                    <w:t>Merton</w:t>
                  </w:r>
                </w:p>
              </w:tc>
              <w:tc>
                <w:tcPr>
                  <w:tcW w:type="dxa" w:w="3005"/>
                </w:tcPr>
                <w:p>
                  <w:r>
                    <w:t>London</w:t>
                  </w:r>
                </w:p>
              </w:tc>
            </w:tr>
            <w:tr>
              <w:tc>
                <w:tcPr>
                  <w:tcW w:type="dxa" w:w="3005"/>
                </w:tcPr>
                <w:p>
                  <w:r>
                    <w:t>White - [81.89%]</w:t>
                  </w:r>
                </w:p>
              </w:tc>
              <w:tc>
                <w:tcPr>
                  <w:tcW w:type="dxa" w:w="3005"/>
                </w:tcPr>
                <w:p>
                  <w:r>
                    <w:t>White - [64.79%]</w:t>
                  </w:r>
                </w:p>
              </w:tc>
              <w:tc>
                <w:tcPr>
                  <w:tcW w:type="dxa" w:w="3005"/>
                </w:tcPr>
                <w:p>
                  <w:r>
                    <w:t>White - [61.61%]</w:t>
                  </w:r>
                </w:p>
              </w:tc>
            </w:tr>
            <w:tr>
              <w:tc>
                <w:tcPr>
                  <w:tcW w:type="dxa" w:w="3005"/>
                  <w:shd w:fill="D5F5E3"/>
                </w:tcPr>
                <w:p>
                  <w:r>
                    <w:t>Mixed Ethnic - [4.80%]</w:t>
                  </w:r>
                </w:p>
              </w:tc>
              <w:tc>
                <w:tcPr>
                  <w:tcW w:type="dxa" w:w="3005"/>
                </w:tcPr>
                <w:p>
                  <w:r>
                    <w:t>Black African Caribbean - [10.42%]</w:t>
                  </w:r>
                </w:p>
              </w:tc>
              <w:tc>
                <w:tcPr>
                  <w:tcW w:type="dxa" w:w="3005"/>
                </w:tcPr>
                <w:p>
                  <w:r>
                    <w:t>Black African Caribbean - [12.24%]</w:t>
                  </w:r>
                </w:p>
              </w:tc>
            </w:tr>
            <w:tr>
              <w:tc>
                <w:tcPr>
                  <w:tcW w:type="dxa" w:w="3005"/>
                  <w:shd w:fill="EAFAF1"/>
                </w:tcPr>
                <w:p>
                  <w:r>
                    <w:t>British Asian Other - [3.82%]</w:t>
                  </w:r>
                </w:p>
              </w:tc>
              <w:tc>
                <w:tcPr>
                  <w:tcW w:type="dxa" w:w="3005"/>
                  <w:shd w:fill="EAFAF1"/>
                </w:tcPr>
                <w:p>
                  <w:r>
                    <w:t>British Asian Other - [7.95%]</w:t>
                  </w:r>
                </w:p>
              </w:tc>
              <w:tc>
                <w:tcPr>
                  <w:tcW w:type="dxa" w:w="3005"/>
                </w:tcPr>
                <w:p>
                  <w:r>
                    <w:t>British Indian - [6.31%]</w:t>
                  </w:r>
                </w:p>
              </w:tc>
            </w:tr>
            <w:tr>
              <w:tc>
                <w:tcPr>
                  <w:tcW w:type="dxa" w:w="3005"/>
                  <w:shd w:fill="D5F5E3"/>
                </w:tcPr>
                <w:p>
                  <w:r>
                    <w:t>British Indian - [3.59%]</w:t>
                  </w:r>
                </w:p>
              </w:tc>
              <w:tc>
                <w:tcPr>
                  <w:tcW w:type="dxa" w:w="3005"/>
                </w:tcPr>
                <w:p>
                  <w:r>
                    <w:t>Mixed Ethnic - [4.67%]</w:t>
                  </w:r>
                </w:p>
              </w:tc>
              <w:tc>
                <w:tcPr>
                  <w:tcW w:type="dxa" w:w="3005"/>
                </w:tcPr>
                <w:p>
                  <w:r>
                    <w:t>Mixed Ethnic - [4.88%]</w:t>
                  </w:r>
                </w:p>
              </w:tc>
            </w:tr>
            <w:tr>
              <w:tc>
                <w:tcPr>
                  <w:tcW w:type="dxa" w:w="3005"/>
                  <w:shd w:fill="D5F5E3"/>
                </w:tcPr>
                <w:p>
                  <w:r>
                    <w:t>Black African Caribbean - [1.52%]</w:t>
                  </w:r>
                </w:p>
              </w:tc>
              <w:tc>
                <w:tcPr>
                  <w:tcW w:type="dxa" w:w="3005"/>
                  <w:shd w:fill="EAFAF1"/>
                </w:tcPr>
                <w:p>
                  <w:r>
                    <w:t>British Indian - [4.06%]</w:t>
                  </w:r>
                </w:p>
              </w:tc>
              <w:tc>
                <w:tcPr>
                  <w:tcW w:type="dxa" w:w="3005"/>
                </w:tcPr>
                <w:p>
                  <w:r>
                    <w:t>British Asian Other - [4.75%]</w:t>
                  </w:r>
                </w:p>
              </w:tc>
            </w:tr>
            <w:tr>
              <w:tc>
                <w:tcPr>
                  <w:tcW w:type="dxa" w:w="3005"/>
                </w:tcPr>
                <w:p>
                  <w:r>
                    <w:t>Other - [1.40%]</w:t>
                  </w:r>
                </w:p>
              </w:tc>
              <w:tc>
                <w:tcPr>
                  <w:tcW w:type="dxa" w:w="3005"/>
                  <w:shd w:fill="EAFAF1"/>
                </w:tcPr>
                <w:p>
                  <w:r>
                    <w:t>British Pakistani - [3.67%]</w:t>
                  </w:r>
                </w:p>
              </w:tc>
              <w:tc>
                <w:tcPr>
                  <w:tcW w:type="dxa" w:w="3005"/>
                </w:tcPr>
                <w:p>
                  <w:r>
                    <w:t>Other - [3.39%]</w:t>
                  </w:r>
                </w:p>
              </w:tc>
            </w:tr>
            <w:tr>
              <w:tc>
                <w:tcPr>
                  <w:tcW w:type="dxa" w:w="3005"/>
                  <w:shd w:fill="D5F5E3"/>
                </w:tcPr>
                <w:p>
                  <w:r>
                    <w:t>British Chinese - [1.27%]</w:t>
                  </w:r>
                </w:p>
              </w:tc>
              <w:tc>
                <w:tcPr>
                  <w:tcW w:type="dxa" w:w="3005"/>
                  <w:shd w:fill="EAFAF1"/>
                </w:tcPr>
                <w:p>
                  <w:r>
                    <w:t>Other - [1.90%]</w:t>
                  </w:r>
                </w:p>
              </w:tc>
              <w:tc>
                <w:tcPr>
                  <w:tcW w:type="dxa" w:w="3005"/>
                </w:tcPr>
                <w:p>
                  <w:r>
                    <w:t>British Bangladeshi - [2.55%]</w:t>
                  </w:r>
                </w:p>
              </w:tc>
            </w:tr>
            <w:tr>
              <w:tc>
                <w:tcPr>
                  <w:tcW w:type="dxa" w:w="3005"/>
                </w:tcPr>
                <w:p>
                  <w:r>
                    <w:t>British Pakistani - [1.22%]</w:t>
                  </w:r>
                </w:p>
              </w:tc>
              <w:tc>
                <w:tcPr>
                  <w:tcW w:type="dxa" w:w="3005"/>
                  <w:shd w:fill="EAFAF1"/>
                </w:tcPr>
                <w:p>
                  <w:r>
                    <w:t>British Chinese - [1.31%]</w:t>
                  </w:r>
                </w:p>
              </w:tc>
              <w:tc>
                <w:tcPr>
                  <w:tcW w:type="dxa" w:w="3005"/>
                </w:tcPr>
                <w:p>
                  <w:r>
                    <w:t>British Pakistani - [2.50%]</w:t>
                  </w:r>
                </w:p>
              </w:tc>
            </w:tr>
            <w:tr>
              <w:tc>
                <w:tcPr>
                  <w:tcW w:type="dxa" w:w="3005"/>
                  <w:shd w:fill="EAFAF1"/>
                </w:tcPr>
                <w:p>
                  <w:r>
                    <w:t>British Bangladeshi - [0.47%]</w:t>
                  </w:r>
                </w:p>
              </w:tc>
              <w:tc>
                <w:tcPr>
                  <w:tcW w:type="dxa" w:w="3005"/>
                  <w:shd w:fill="EAFAF1"/>
                </w:tcPr>
                <w:p>
                  <w:r>
                    <w:t>British Bangladeshi - [1.11%]</w:t>
                  </w:r>
                </w:p>
              </w:tc>
              <w:tc>
                <w:tcPr>
                  <w:tcW w:type="dxa" w:w="3005"/>
                </w:tcPr>
                <w:p>
                  <w:r>
                    <w:t>British Chinese - [1.67%]</w:t>
                  </w:r>
                </w:p>
              </w:tc>
            </w:tr>
            <w:tr>
              <w:tc>
                <w:tcPr>
                  <w:tcW w:type="dxa" w:w="3005"/>
                </w:tcPr>
                <w:p>
                  <w:r>
                    <w:t>Gypsy Irish Traveller - [0.02%]</w:t>
                  </w:r>
                </w:p>
              </w:tc>
              <w:tc>
                <w:tcPr>
                  <w:tcW w:type="dxa" w:w="3005"/>
                </w:tcPr>
                <w:p>
                  <w:r>
                    <w:t>Gypsy Irish Traveller - [0.11%]</w:t>
                  </w:r>
                </w:p>
              </w:tc>
              <w:tc>
                <w:tcPr>
                  <w:tcW w:type="dxa" w:w="3005"/>
                </w:tcPr>
                <w:p>
                  <w:r>
                    <w:t>Gypsy Irish Traveller - [0.10%]</w:t>
                  </w:r>
                </w:p>
              </w:tc>
            </w:tr>
          </w:tbl>
          <w:p/>
        </w:tc>
      </w:tr>
      <w:tr w:rsidR="006B6BD2" w14:paraId="6CDC1366" w14:textId="77777777" w:rsidTr="00936947">
        <w:tc>
          <w:tcPr>
            <w:tcW w:w="9016" w:type="dxa"/>
          </w:tcPr>
          <w:p w14:paraId="10052950" w14:textId="77777777" w:rsidR="00891F79" w:rsidRDefault="00891F79" w:rsidP="006B6BD2">
            <w:pPr>
              <w:jc w:val="center"/>
            </w:pPr>
          </w:p>
          <w:p w14:paraId="77AAC1DC" w14:textId="5CE5C8F1" w:rsidR="006B6BD2" w:rsidRDefault="00743E37" w:rsidP="006B6BD2">
            <w:pPr>
              <w:jc w:val="center"/>
            </w:pPr>
            <w:r>
              <w:t>Ethnicity</w:t>
            </w:r>
            <w:r w:rsidR="006B6BD2">
              <w:t xml:space="preserve"> Ranking Table</w:t>
            </w:r>
          </w:p>
        </w:tc>
      </w:tr>
      <w:tr w:rsidR="00340DF6" w14:paraId="3BA89ACD" w14:textId="77777777" w:rsidTr="00936947">
        <w:tc>
          <w:tcPr>
            <w:tcW w:w="9016" w:type="dxa"/>
          </w:tcPr>
          <w:p w14:paraId="19D280EC" w14:textId="77777777" w:rsidR="00340DF6" w:rsidRDefault="00340DF6" w:rsidP="006B6BD2">
            <w:pPr>
              <w:jc w:val="center"/>
            </w:pPr>
          </w:p>
        </w:tc>
      </w:tr>
    </w:tbl>
    <w:p w14:paraId="4C8EBA34" w14:textId="399420A2" w:rsidR="00274796" w:rsidRDefault="0027479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61860" w14:paraId="7857A70B" w14:textId="77777777" w:rsidTr="007B4305">
        <w:tc>
          <w:tcPr>
            <w:tcW w:w="9016" w:type="dxa"/>
          </w:tcPr>
          <w:p>
            <w:pPr>
              <w:jc w:val="both"/>
            </w:pPr>
            <w:r>
              <w:rPr>
                <w:sz w:val="24"/>
              </w:rPr>
              <w:t>The table below shows the percentage levels of ethnicity in Dundonald, Merton and London in 2011. The order of ethnicity is alphabetical. Value shading indicates a difference from the city level from 5 to 20 percent in 5 percent intervals. The shade darkens with an increase in difference. Indication of the direction of the difference is intentionally not made.</w:t>
            </w:r>
          </w:p>
        </w:tc>
      </w:tr>
      <w:tr w:rsidR="00761860" w14:paraId="08CB32BF" w14:textId="77777777" w:rsidTr="007B4305">
        <w:tc>
          <w:tcPr>
            <w:tcW w:w="9016" w:type="dxa"/>
          </w:tcPr>
          <w:p w14:paraId="59721637" w14:textId="77777777" w:rsidR="00761860" w:rsidRDefault="00761860" w:rsidP="00B76F3B"/>
        </w:tc>
      </w:tr>
      <w:tr w:rsidR="00B76F3B" w14:paraId="4EC7C8A9" w14:textId="77777777" w:rsidTr="007B4305">
        <w:tc>
          <w:tcPr>
            <w:tcW w:w="9016" w:type="dxa"/>
          </w:tcPr>
          <w:tbl>
            <w:tblPr>
              <w:tblStyle w:val="sdmaptablestyle2"/>
              <w:tblW w:type="auto" w:w="0"/>
              <w:tblLayout w:type="autofit"/>
              <w:tblLook w:firstColumn="1" w:firstRow="1" w:lastColumn="0" w:lastRow="0" w:noHBand="0" w:noVBand="1" w:val="04A0"/>
            </w:tblPr>
            <w:tblGrid>
              <w:gridCol w:w="2254"/>
              <w:gridCol w:w="2254"/>
              <w:gridCol w:w="2254"/>
              <w:gridCol w:w="2254"/>
            </w:tblGrid>
            <w:tr>
              <w:tc>
                <w:tcPr>
                  <w:tcW w:type="dxa" w:w="2254"/>
                </w:tcPr>
                <w:p>
                  <w:r>
                    <w:t>Ethnicity</w:t>
                  </w:r>
                </w:p>
              </w:tc>
              <w:tc>
                <w:tcPr>
                  <w:tcW w:type="dxa" w:w="2254"/>
                </w:tcPr>
                <w:p>
                  <w:r>
                    <w:t>Dundonald</w:t>
                  </w:r>
                </w:p>
              </w:tc>
              <w:tc>
                <w:tcPr>
                  <w:tcW w:type="dxa" w:w="2254"/>
                </w:tcPr>
                <w:p>
                  <w:r>
                    <w:t>Merton</w:t>
                  </w:r>
                </w:p>
              </w:tc>
              <w:tc>
                <w:tcPr>
                  <w:tcW w:type="dxa" w:w="2254"/>
                </w:tcPr>
                <w:p>
                  <w:r>
                    <w:t>London</w:t>
                  </w:r>
                </w:p>
              </w:tc>
            </w:tr>
            <w:tr>
              <w:tc>
                <w:tcPr>
                  <w:tcW w:type="dxa" w:w="2254"/>
                </w:tcPr>
                <w:p>
                  <w:r>
                    <w:t>Black African Caribbean</w:t>
                  </w:r>
                </w:p>
              </w:tc>
              <w:tc>
                <w:tcPr>
                  <w:tcW w:type="dxa" w:w="2254"/>
                  <w:shd w:fill="D5F5E3"/>
                </w:tcPr>
                <w:p>
                  <w:r>
                    <w:t>1.52%</w:t>
                  </w:r>
                </w:p>
              </w:tc>
              <w:tc>
                <w:tcPr>
                  <w:tcW w:type="dxa" w:w="2254"/>
                </w:tcPr>
                <w:p>
                  <w:r>
                    <w:t>10.42%</w:t>
                  </w:r>
                </w:p>
              </w:tc>
              <w:tc>
                <w:tcPr>
                  <w:tcW w:type="dxa" w:w="2254"/>
                </w:tcPr>
                <w:p>
                  <w:r>
                    <w:t>12.24%</w:t>
                  </w:r>
                </w:p>
              </w:tc>
            </w:tr>
            <w:tr>
              <w:tc>
                <w:tcPr>
                  <w:tcW w:type="dxa" w:w="2254"/>
                </w:tcPr>
                <w:p>
                  <w:r>
                    <w:t>British Asian Other</w:t>
                  </w:r>
                </w:p>
              </w:tc>
              <w:tc>
                <w:tcPr>
                  <w:tcW w:type="dxa" w:w="2254"/>
                </w:tcPr>
                <w:p>
                  <w:r>
                    <w:t>3.82%</w:t>
                  </w:r>
                </w:p>
              </w:tc>
              <w:tc>
                <w:tcPr>
                  <w:tcW w:type="dxa" w:w="2254"/>
                </w:tcPr>
                <w:p>
                  <w:r>
                    <w:t>7.95%</w:t>
                  </w:r>
                </w:p>
              </w:tc>
              <w:tc>
                <w:tcPr>
                  <w:tcW w:type="dxa" w:w="2254"/>
                </w:tcPr>
                <w:p>
                  <w:r>
                    <w:t>4.75%</w:t>
                  </w:r>
                </w:p>
              </w:tc>
            </w:tr>
            <w:tr>
              <w:tc>
                <w:tcPr>
                  <w:tcW w:type="dxa" w:w="2254"/>
                </w:tcPr>
                <w:p>
                  <w:r>
                    <w:t>British Bangladeshi</w:t>
                  </w:r>
                </w:p>
              </w:tc>
              <w:tc>
                <w:tcPr>
                  <w:tcW w:type="dxa" w:w="2254"/>
                </w:tcPr>
                <w:p>
                  <w:r>
                    <w:t>0.47%</w:t>
                  </w:r>
                </w:p>
              </w:tc>
              <w:tc>
                <w:tcPr>
                  <w:tcW w:type="dxa" w:w="2254"/>
                </w:tcPr>
                <w:p>
                  <w:r>
                    <w:t>1.11%</w:t>
                  </w:r>
                </w:p>
              </w:tc>
              <w:tc>
                <w:tcPr>
                  <w:tcW w:type="dxa" w:w="2254"/>
                </w:tcPr>
                <w:p>
                  <w:r>
                    <w:t>2.55%</w:t>
                  </w:r>
                </w:p>
              </w:tc>
            </w:tr>
            <w:tr>
              <w:tc>
                <w:tcPr>
                  <w:tcW w:type="dxa" w:w="2254"/>
                </w:tcPr>
                <w:p>
                  <w:r>
                    <w:t>British Chinese</w:t>
                  </w:r>
                </w:p>
              </w:tc>
              <w:tc>
                <w:tcPr>
                  <w:tcW w:type="dxa" w:w="2254"/>
                </w:tcPr>
                <w:p>
                  <w:r>
                    <w:t>1.27%</w:t>
                  </w:r>
                </w:p>
              </w:tc>
              <w:tc>
                <w:tcPr>
                  <w:tcW w:type="dxa" w:w="2254"/>
                </w:tcPr>
                <w:p>
                  <w:r>
                    <w:t>1.31%</w:t>
                  </w:r>
                </w:p>
              </w:tc>
              <w:tc>
                <w:tcPr>
                  <w:tcW w:type="dxa" w:w="2254"/>
                </w:tcPr>
                <w:p>
                  <w:r>
                    <w:t>1.67%</w:t>
                  </w:r>
                </w:p>
              </w:tc>
            </w:tr>
            <w:tr>
              <w:tc>
                <w:tcPr>
                  <w:tcW w:type="dxa" w:w="2254"/>
                </w:tcPr>
                <w:p>
                  <w:r>
                    <w:t>British Indian</w:t>
                  </w:r>
                </w:p>
              </w:tc>
              <w:tc>
                <w:tcPr>
                  <w:tcW w:type="dxa" w:w="2254"/>
                </w:tcPr>
                <w:p>
                  <w:r>
                    <w:t>3.59%</w:t>
                  </w:r>
                </w:p>
              </w:tc>
              <w:tc>
                <w:tcPr>
                  <w:tcW w:type="dxa" w:w="2254"/>
                </w:tcPr>
                <w:p>
                  <w:r>
                    <w:t>4.06%</w:t>
                  </w:r>
                </w:p>
              </w:tc>
              <w:tc>
                <w:tcPr>
                  <w:tcW w:type="dxa" w:w="2254"/>
                </w:tcPr>
                <w:p>
                  <w:r>
                    <w:t>6.31%</w:t>
                  </w:r>
                </w:p>
              </w:tc>
            </w:tr>
            <w:tr>
              <w:tc>
                <w:tcPr>
                  <w:tcW w:type="dxa" w:w="2254"/>
                </w:tcPr>
                <w:p>
                  <w:r>
                    <w:t>British Pakistani</w:t>
                  </w:r>
                </w:p>
              </w:tc>
              <w:tc>
                <w:tcPr>
                  <w:tcW w:type="dxa" w:w="2254"/>
                </w:tcPr>
                <w:p>
                  <w:r>
                    <w:t>1.22%</w:t>
                  </w:r>
                </w:p>
              </w:tc>
              <w:tc>
                <w:tcPr>
                  <w:tcW w:type="dxa" w:w="2254"/>
                </w:tcPr>
                <w:p>
                  <w:r>
                    <w:t>3.67%</w:t>
                  </w:r>
                </w:p>
              </w:tc>
              <w:tc>
                <w:tcPr>
                  <w:tcW w:type="dxa" w:w="2254"/>
                </w:tcPr>
                <w:p>
                  <w:r>
                    <w:t>2.50%</w:t>
                  </w:r>
                </w:p>
              </w:tc>
            </w:tr>
            <w:tr>
              <w:tc>
                <w:tcPr>
                  <w:tcW w:type="dxa" w:w="2254"/>
                </w:tcPr>
                <w:p>
                  <w:r>
                    <w:t>Gypsy Irish Traveller</w:t>
                  </w:r>
                </w:p>
              </w:tc>
              <w:tc>
                <w:tcPr>
                  <w:tcW w:type="dxa" w:w="2254"/>
                </w:tcPr>
                <w:p>
                  <w:r>
                    <w:t>0.02%</w:t>
                  </w:r>
                </w:p>
              </w:tc>
              <w:tc>
                <w:tcPr>
                  <w:tcW w:type="dxa" w:w="2254"/>
                </w:tcPr>
                <w:p>
                  <w:r>
                    <w:t>0.11%</w:t>
                  </w:r>
                </w:p>
              </w:tc>
              <w:tc>
                <w:tcPr>
                  <w:tcW w:type="dxa" w:w="2254"/>
                </w:tcPr>
                <w:p>
                  <w:r>
                    <w:t>0.10%</w:t>
                  </w:r>
                </w:p>
              </w:tc>
            </w:tr>
            <w:tr>
              <w:tc>
                <w:tcPr>
                  <w:tcW w:type="dxa" w:w="2254"/>
                </w:tcPr>
                <w:p>
                  <w:r>
                    <w:t>Mixed Ethnic</w:t>
                  </w:r>
                </w:p>
              </w:tc>
              <w:tc>
                <w:tcPr>
                  <w:tcW w:type="dxa" w:w="2254"/>
                </w:tcPr>
                <w:p>
                  <w:r>
                    <w:t>4.80%</w:t>
                  </w:r>
                </w:p>
              </w:tc>
              <w:tc>
                <w:tcPr>
                  <w:tcW w:type="dxa" w:w="2254"/>
                </w:tcPr>
                <w:p>
                  <w:r>
                    <w:t>4.67%</w:t>
                  </w:r>
                </w:p>
              </w:tc>
              <w:tc>
                <w:tcPr>
                  <w:tcW w:type="dxa" w:w="2254"/>
                </w:tcPr>
                <w:p>
                  <w:r>
                    <w:t>4.88%</w:t>
                  </w:r>
                </w:p>
              </w:tc>
            </w:tr>
            <w:tr>
              <w:tc>
                <w:tcPr>
                  <w:tcW w:type="dxa" w:w="2254"/>
                </w:tcPr>
                <w:p>
                  <w:r>
                    <w:t>Other</w:t>
                  </w:r>
                </w:p>
              </w:tc>
              <w:tc>
                <w:tcPr>
                  <w:tcW w:type="dxa" w:w="2254"/>
                </w:tcPr>
                <w:p>
                  <w:r>
                    <w:t>1.40%</w:t>
                  </w:r>
                </w:p>
              </w:tc>
              <w:tc>
                <w:tcPr>
                  <w:tcW w:type="dxa" w:w="2254"/>
                </w:tcPr>
                <w:p>
                  <w:r>
                    <w:t>1.90%</w:t>
                  </w:r>
                </w:p>
              </w:tc>
              <w:tc>
                <w:tcPr>
                  <w:tcW w:type="dxa" w:w="2254"/>
                </w:tcPr>
                <w:p>
                  <w:r>
                    <w:t>3.39%</w:t>
                  </w:r>
                </w:p>
              </w:tc>
            </w:tr>
            <w:tr>
              <w:tc>
                <w:tcPr>
                  <w:tcW w:type="dxa" w:w="2254"/>
                </w:tcPr>
                <w:p>
                  <w:r>
                    <w:t>White</w:t>
                  </w:r>
                </w:p>
              </w:tc>
              <w:tc>
                <w:tcPr>
                  <w:tcW w:type="dxa" w:w="2254"/>
                  <w:shd w:fill="82E0AA"/>
                </w:tcPr>
                <w:p>
                  <w:r>
                    <w:t>81.89%</w:t>
                  </w:r>
                </w:p>
              </w:tc>
              <w:tc>
                <w:tcPr>
                  <w:tcW w:type="dxa" w:w="2254"/>
                </w:tcPr>
                <w:p>
                  <w:r>
                    <w:t>64.79%</w:t>
                  </w:r>
                </w:p>
              </w:tc>
              <w:tc>
                <w:tcPr>
                  <w:tcW w:type="dxa" w:w="2254"/>
                </w:tcPr>
                <w:p>
                  <w:r>
                    <w:t>61.61%</w:t>
                  </w:r>
                </w:p>
              </w:tc>
            </w:tr>
          </w:tbl>
          <w:p/>
        </w:tc>
      </w:tr>
      <w:tr w:rsidR="00975513" w14:paraId="5F50153C" w14:textId="77777777" w:rsidTr="007B4305">
        <w:tc>
          <w:tcPr>
            <w:tcW w:w="9016" w:type="dxa"/>
          </w:tcPr>
          <w:p w14:paraId="1E668D86" w14:textId="77777777" w:rsidR="00975513" w:rsidRDefault="00975513" w:rsidP="00B76F3B"/>
        </w:tc>
      </w:tr>
      <w:tr w:rsidR="00975513" w14:paraId="7B8077B8" w14:textId="77777777" w:rsidTr="007B4305">
        <w:tc>
          <w:tcPr>
            <w:tcW w:w="9016" w:type="dxa"/>
          </w:tcPr>
          <w:p w14:paraId="530ED7FA" w14:textId="3AD34AEE" w:rsidR="00975513" w:rsidRDefault="00761860" w:rsidP="00975513">
            <w:pPr>
              <w:jc w:val="center"/>
            </w:pPr>
            <w:r>
              <w:t>Ethnicity</w:t>
            </w:r>
            <w:r w:rsidR="00975513">
              <w:t xml:space="preserve"> </w:t>
            </w:r>
            <w:r w:rsidR="006D28A3">
              <w:t>Comparison</w:t>
            </w:r>
            <w:r w:rsidR="00975513">
              <w:t xml:space="preserve"> Table</w:t>
            </w:r>
          </w:p>
        </w:tc>
      </w:tr>
    </w:tbl>
    <w:p w14:paraId="02B4BD53" w14:textId="725E6947" w:rsidR="003E537A" w:rsidRPr="00C61C60" w:rsidRDefault="007B4305" w:rsidP="00C61C60">
      <w:r>
        <w:t xml:space="preserve"> </w:t>
      </w:r>
    </w:p>
    <w:sectPr w:rsidR="003E537A" w:rsidRPr="00C6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658F0"/>
    <w:rsid w:val="00096163"/>
    <w:rsid w:val="0016052E"/>
    <w:rsid w:val="00160AC8"/>
    <w:rsid w:val="001844EE"/>
    <w:rsid w:val="001B5103"/>
    <w:rsid w:val="001C1CFB"/>
    <w:rsid w:val="001F2BEE"/>
    <w:rsid w:val="00274796"/>
    <w:rsid w:val="00280B86"/>
    <w:rsid w:val="002E3476"/>
    <w:rsid w:val="0030634B"/>
    <w:rsid w:val="00334225"/>
    <w:rsid w:val="00340DF6"/>
    <w:rsid w:val="00345688"/>
    <w:rsid w:val="00387BA2"/>
    <w:rsid w:val="003B09D0"/>
    <w:rsid w:val="003E537A"/>
    <w:rsid w:val="003F0CEA"/>
    <w:rsid w:val="003F629F"/>
    <w:rsid w:val="00440CED"/>
    <w:rsid w:val="00441C75"/>
    <w:rsid w:val="00485A46"/>
    <w:rsid w:val="004929D0"/>
    <w:rsid w:val="004C7191"/>
    <w:rsid w:val="00517F73"/>
    <w:rsid w:val="00523C2B"/>
    <w:rsid w:val="0053398B"/>
    <w:rsid w:val="00543749"/>
    <w:rsid w:val="0054726B"/>
    <w:rsid w:val="00547B11"/>
    <w:rsid w:val="00597C53"/>
    <w:rsid w:val="005F61C6"/>
    <w:rsid w:val="006356EC"/>
    <w:rsid w:val="00655048"/>
    <w:rsid w:val="00684C2B"/>
    <w:rsid w:val="006B6BD2"/>
    <w:rsid w:val="006D1464"/>
    <w:rsid w:val="006D28A3"/>
    <w:rsid w:val="006D717F"/>
    <w:rsid w:val="00714E9A"/>
    <w:rsid w:val="00743E37"/>
    <w:rsid w:val="00750D83"/>
    <w:rsid w:val="00753362"/>
    <w:rsid w:val="00761860"/>
    <w:rsid w:val="007B2BF9"/>
    <w:rsid w:val="007B4305"/>
    <w:rsid w:val="007D75F2"/>
    <w:rsid w:val="00836E97"/>
    <w:rsid w:val="008442B3"/>
    <w:rsid w:val="00880406"/>
    <w:rsid w:val="00880AF9"/>
    <w:rsid w:val="00891F79"/>
    <w:rsid w:val="008D378C"/>
    <w:rsid w:val="008E6E50"/>
    <w:rsid w:val="009143E4"/>
    <w:rsid w:val="009209D7"/>
    <w:rsid w:val="00936947"/>
    <w:rsid w:val="00945230"/>
    <w:rsid w:val="00966BAB"/>
    <w:rsid w:val="00970179"/>
    <w:rsid w:val="00975513"/>
    <w:rsid w:val="009B3023"/>
    <w:rsid w:val="009B6612"/>
    <w:rsid w:val="009D2E80"/>
    <w:rsid w:val="009D378C"/>
    <w:rsid w:val="00A00682"/>
    <w:rsid w:val="00A341D3"/>
    <w:rsid w:val="00A35ACB"/>
    <w:rsid w:val="00A76A26"/>
    <w:rsid w:val="00A81B86"/>
    <w:rsid w:val="00A844E1"/>
    <w:rsid w:val="00A857DB"/>
    <w:rsid w:val="00A86932"/>
    <w:rsid w:val="00AA3679"/>
    <w:rsid w:val="00AD2C2F"/>
    <w:rsid w:val="00AF2170"/>
    <w:rsid w:val="00B150DB"/>
    <w:rsid w:val="00B76F3B"/>
    <w:rsid w:val="00B909DC"/>
    <w:rsid w:val="00BE4FE3"/>
    <w:rsid w:val="00C07FB5"/>
    <w:rsid w:val="00C20F3C"/>
    <w:rsid w:val="00C423FD"/>
    <w:rsid w:val="00C5515C"/>
    <w:rsid w:val="00C61C60"/>
    <w:rsid w:val="00C874FC"/>
    <w:rsid w:val="00C972A5"/>
    <w:rsid w:val="00CC5329"/>
    <w:rsid w:val="00CD03AC"/>
    <w:rsid w:val="00D021D4"/>
    <w:rsid w:val="00D052E2"/>
    <w:rsid w:val="00D352C4"/>
    <w:rsid w:val="00DF1057"/>
    <w:rsid w:val="00DF5FA1"/>
    <w:rsid w:val="00E32FBF"/>
    <w:rsid w:val="00E5621F"/>
    <w:rsid w:val="00E914DA"/>
    <w:rsid w:val="00EF69A2"/>
    <w:rsid w:val="00F17E8C"/>
    <w:rsid w:val="00F26BDC"/>
    <w:rsid w:val="00FB625B"/>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334225"/>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334225"/>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334225"/>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8490">
      <w:bodyDiv w:val="1"/>
      <w:marLeft w:val="0"/>
      <w:marRight w:val="0"/>
      <w:marTop w:val="0"/>
      <w:marBottom w:val="0"/>
      <w:divBdr>
        <w:top w:val="none" w:sz="0" w:space="0" w:color="auto"/>
        <w:left w:val="none" w:sz="0" w:space="0" w:color="auto"/>
        <w:bottom w:val="none" w:sz="0" w:space="0" w:color="auto"/>
        <w:right w:val="none" w:sz="0" w:space="0" w:color="auto"/>
      </w:divBdr>
    </w:div>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111</cp:revision>
  <dcterms:created xsi:type="dcterms:W3CDTF">2022-08-24T15:55:00Z</dcterms:created>
  <dcterms:modified xsi:type="dcterms:W3CDTF">2022-08-26T10:52:00Z</dcterms:modified>
</cp:coreProperties>
</file>