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53F39" w14:paraId="1988A2B5" w14:textId="77777777" w:rsidTr="00A341D3">
        <w:trPr>
          <w:jc w:val="right"/>
        </w:trPr>
        <w:tc>
          <w:tcPr>
            <w:tcW w:w="9016" w:type="dxa"/>
          </w:tcPr>
          <w:p>
            <w:pPr>
              <w:jc w:val="both"/>
            </w:pPr>
            <w:r>
              <w:rPr>
                <w:sz w:val="24"/>
              </w:rPr>
              <w:t>Using the latest general health data from 2021 which is in your search range of 2011 to 2021. The table below ranks general health in Holloway, Islington and London. The ranking is highest to lowest percentage from top to bottom. Where there is a difference in general health the cell is shaded, a darker shade denotes a difference between borough and ward. Values in [] give the percentage value.</w:t>
            </w:r>
          </w:p>
        </w:tc>
      </w:tr>
    </w:tbl>
    <w:p w14:paraId="3245B09C" w14:textId="0404F098" w:rsidR="0054726B" w:rsidRDefault="0054726B" w:rsidP="00C61C6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74796" w14:paraId="118AC2E0" w14:textId="77777777" w:rsidTr="00936947">
        <w:tc>
          <w:tcPr>
            <w:tcW w:w="9016" w:type="dxa"/>
          </w:tcPr>
          <w:tbl>
            <w:tblPr>
              <w:tblStyle w:val="sdmaptablestyle3"/>
              <w:tblW w:type="auto" w:w="0"/>
              <w:tblLayout w:type="autofit"/>
              <w:tblLook w:firstColumn="1" w:firstRow="1" w:lastColumn="0" w:lastRow="0" w:noHBand="0" w:noVBand="1" w:val="04A0"/>
            </w:tblPr>
            <w:tblGrid>
              <w:gridCol w:w="3005"/>
              <w:gridCol w:w="3005"/>
              <w:gridCol w:w="3005"/>
            </w:tblGrid>
            <w:tr>
              <w:tc>
                <w:tcPr>
                  <w:tcW w:type="dxa" w:w="3005"/>
                </w:tcPr>
                <w:p>
                  <w:r>
                    <w:t>Holloway</w:t>
                  </w:r>
                </w:p>
              </w:tc>
              <w:tc>
                <w:tcPr>
                  <w:tcW w:type="dxa" w:w="3005"/>
                </w:tcPr>
                <w:p>
                  <w:r>
                    <w:t>Islington</w:t>
                  </w:r>
                </w:p>
              </w:tc>
              <w:tc>
                <w:tcPr>
                  <w:tcW w:type="dxa" w:w="3005"/>
                </w:tcPr>
                <w:p>
                  <w:r>
                    <w:t>London</w:t>
                  </w:r>
                </w:p>
              </w:tc>
            </w:tr>
            <w:tr>
              <w:tc>
                <w:tcPr>
                  <w:tcW w:type="dxa" w:w="3005"/>
                </w:tcPr>
                <w:p>
                  <w:r>
                    <w:t>Very Good - [50.55%]</w:t>
                  </w:r>
                </w:p>
              </w:tc>
              <w:tc>
                <w:tcPr>
                  <w:tcW w:type="dxa" w:w="3005"/>
                </w:tcPr>
                <w:p>
                  <w:r>
                    <w:t>Very Good - [51.63%]</w:t>
                  </w:r>
                </w:p>
              </w:tc>
              <w:tc>
                <w:tcPr>
                  <w:tcW w:type="dxa" w:w="3005"/>
                </w:tcPr>
                <w:p>
                  <w:r>
                    <w:t>Very Good - [50.56%]</w:t>
                  </w:r>
                </w:p>
              </w:tc>
            </w:tr>
            <w:tr>
              <w:tc>
                <w:tcPr>
                  <w:tcW w:type="dxa" w:w="3005"/>
                </w:tcPr>
                <w:p>
                  <w:r>
                    <w:t>Good - [31.12%]</w:t>
                  </w:r>
                </w:p>
              </w:tc>
              <w:tc>
                <w:tcPr>
                  <w:tcW w:type="dxa" w:w="3005"/>
                </w:tcPr>
                <w:p>
                  <w:r>
                    <w:t>Good - [30.75%]</w:t>
                  </w:r>
                </w:p>
              </w:tc>
              <w:tc>
                <w:tcPr>
                  <w:tcW w:type="dxa" w:w="3005"/>
                </w:tcPr>
                <w:p>
                  <w:r>
                    <w:t>Good - [33.22%]</w:t>
                  </w:r>
                </w:p>
              </w:tc>
            </w:tr>
            <w:tr>
              <w:tc>
                <w:tcPr>
                  <w:tcW w:type="dxa" w:w="3005"/>
                </w:tcPr>
                <w:p>
                  <w:r>
                    <w:t>Fair - [11.67%]</w:t>
                  </w:r>
                </w:p>
              </w:tc>
              <w:tc>
                <w:tcPr>
                  <w:tcW w:type="dxa" w:w="3005"/>
                </w:tcPr>
                <w:p>
                  <w:r>
                    <w:t>Fair - [11.20%]</w:t>
                  </w:r>
                </w:p>
              </w:tc>
              <w:tc>
                <w:tcPr>
                  <w:tcW w:type="dxa" w:w="3005"/>
                </w:tcPr>
                <w:p>
                  <w:r>
                    <w:t>Fair - [11.23%]</w:t>
                  </w:r>
                </w:p>
              </w:tc>
            </w:tr>
            <w:tr>
              <w:tc>
                <w:tcPr>
                  <w:tcW w:type="dxa" w:w="3005"/>
                </w:tcPr>
                <w:p>
                  <w:r>
                    <w:t>Bad - [4.82%]</w:t>
                  </w:r>
                </w:p>
              </w:tc>
              <w:tc>
                <w:tcPr>
                  <w:tcW w:type="dxa" w:w="3005"/>
                </w:tcPr>
                <w:p>
                  <w:r>
                    <w:t>Bad - [4.74%]</w:t>
                  </w:r>
                </w:p>
              </w:tc>
              <w:tc>
                <w:tcPr>
                  <w:tcW w:type="dxa" w:w="3005"/>
                </w:tcPr>
                <w:p>
                  <w:r>
                    <w:t>Bad - [3.77%]</w:t>
                  </w:r>
                </w:p>
              </w:tc>
            </w:tr>
            <w:tr>
              <w:tc>
                <w:tcPr>
                  <w:tcW w:type="dxa" w:w="3005"/>
                </w:tcPr>
                <w:p>
                  <w:r>
                    <w:t>Very Bad - [1.85%]</w:t>
                  </w:r>
                </w:p>
              </w:tc>
              <w:tc>
                <w:tcPr>
                  <w:tcW w:type="dxa" w:w="3005"/>
                </w:tcPr>
                <w:p>
                  <w:r>
                    <w:t>Very Bad - [1.68%]</w:t>
                  </w:r>
                </w:p>
              </w:tc>
              <w:tc>
                <w:tcPr>
                  <w:tcW w:type="dxa" w:w="3005"/>
                </w:tcPr>
                <w:p>
                  <w:r>
                    <w:t>Very Bad - [1.23%]</w:t>
                  </w:r>
                </w:p>
              </w:tc>
            </w:tr>
          </w:tbl>
          <w:p/>
        </w:tc>
      </w:tr>
      <w:tr w:rsidR="006B6BD2" w14:paraId="6CDC1366" w14:textId="77777777" w:rsidTr="00936947">
        <w:tc>
          <w:tcPr>
            <w:tcW w:w="9016" w:type="dxa"/>
          </w:tcPr>
          <w:p w14:paraId="10052950" w14:textId="77777777" w:rsidR="00891F79" w:rsidRDefault="00891F79" w:rsidP="006B6BD2">
            <w:pPr>
              <w:jc w:val="center"/>
            </w:pPr>
          </w:p>
          <w:p w14:paraId="77AAC1DC" w14:textId="059336A8" w:rsidR="006B6BD2" w:rsidRDefault="0021122B" w:rsidP="006B6BD2">
            <w:pPr>
              <w:jc w:val="center"/>
            </w:pPr>
            <w:r>
              <w:t>Health</w:t>
            </w:r>
            <w:r w:rsidR="006B6BD2">
              <w:t xml:space="preserve"> Ranking Table</w:t>
            </w:r>
          </w:p>
        </w:tc>
      </w:tr>
      <w:tr w:rsidR="00340DF6" w14:paraId="3BA89ACD" w14:textId="77777777" w:rsidTr="00936947">
        <w:tc>
          <w:tcPr>
            <w:tcW w:w="9016" w:type="dxa"/>
          </w:tcPr>
          <w:p w14:paraId="19D280EC" w14:textId="77777777" w:rsidR="00340DF6" w:rsidRDefault="00340DF6" w:rsidP="006B6BD2">
            <w:pPr>
              <w:jc w:val="center"/>
            </w:pPr>
          </w:p>
        </w:tc>
      </w:tr>
    </w:tbl>
    <w:p w14:paraId="4C8EBA34" w14:textId="399420A2" w:rsidR="00274796" w:rsidRDefault="00274796" w:rsidP="00C61C6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61860" w14:paraId="7857A70B" w14:textId="77777777" w:rsidTr="007B4305">
        <w:tc>
          <w:tcPr>
            <w:tcW w:w="9016" w:type="dxa"/>
          </w:tcPr>
          <w:p>
            <w:pPr>
              <w:jc w:val="both"/>
            </w:pPr>
            <w:r>
              <w:rPr>
                <w:sz w:val="24"/>
              </w:rPr>
              <w:t>The table below shows the percentage levels of general health (Very Good - Very Bad) in Holloway, Islington and London in the year 2021. Value shading indicates a difference from the city level from 1 to 5 percent in 1 percent intervals. The shade darkens with an increase in difference. Increases and decreases use different colours for clarity. Increases in Fair to Very Good are coloured the same as decreases in Bad and Very Bad.</w:t>
            </w:r>
          </w:p>
        </w:tc>
      </w:tr>
      <w:tr w:rsidR="00761860" w14:paraId="08CB32BF" w14:textId="77777777" w:rsidTr="007B4305">
        <w:tc>
          <w:tcPr>
            <w:tcW w:w="9016" w:type="dxa"/>
          </w:tcPr>
          <w:p w14:paraId="59721637" w14:textId="77777777" w:rsidR="00761860" w:rsidRDefault="00761860" w:rsidP="00B76F3B"/>
        </w:tc>
      </w:tr>
      <w:tr w:rsidR="00B76F3B" w14:paraId="4EC7C8A9" w14:textId="77777777" w:rsidTr="007B4305">
        <w:tc>
          <w:tcPr>
            <w:tcW w:w="9016" w:type="dxa"/>
          </w:tcPr>
          <w:tbl>
            <w:tblPr>
              <w:tblStyle w:val="sdmaptablestyle3"/>
              <w:tblW w:type="auto" w:w="0"/>
              <w:tblLayout w:type="autofit"/>
              <w:tblLook w:firstColumn="1" w:firstRow="1" w:lastColumn="0" w:lastRow="0" w:noHBand="0" w:noVBand="1" w:val="04A0"/>
            </w:tblPr>
            <w:tblGrid>
              <w:gridCol w:w="2254"/>
              <w:gridCol w:w="2254"/>
              <w:gridCol w:w="2254"/>
              <w:gridCol w:w="2254"/>
            </w:tblGrid>
            <w:tr>
              <w:tc>
                <w:tcPr>
                  <w:tcW w:type="dxa" w:w="2254"/>
                </w:tcPr>
                <w:p>
                  <w:r>
                    <w:t>Level</w:t>
                  </w:r>
                </w:p>
              </w:tc>
              <w:tc>
                <w:tcPr>
                  <w:tcW w:type="dxa" w:w="2254"/>
                </w:tcPr>
                <w:p>
                  <w:r>
                    <w:t>Holloway</w:t>
                  </w:r>
                </w:p>
              </w:tc>
              <w:tc>
                <w:tcPr>
                  <w:tcW w:type="dxa" w:w="2254"/>
                </w:tcPr>
                <w:p>
                  <w:r>
                    <w:t>Islington</w:t>
                  </w:r>
                </w:p>
              </w:tc>
              <w:tc>
                <w:tcPr>
                  <w:tcW w:type="dxa" w:w="2254"/>
                </w:tcPr>
                <w:p>
                  <w:r>
                    <w:t>London</w:t>
                  </w:r>
                </w:p>
              </w:tc>
            </w:tr>
            <w:tr>
              <w:tc>
                <w:tcPr>
                  <w:tcW w:type="dxa" w:w="2254"/>
                </w:tcPr>
                <w:p>
                  <w:r>
                    <w:t>Very Good</w:t>
                  </w:r>
                </w:p>
              </w:tc>
              <w:tc>
                <w:tcPr>
                  <w:tcW w:type="dxa" w:w="2254"/>
                </w:tcPr>
                <w:p>
                  <w:r>
                    <w:t>50.55%</w:t>
                  </w:r>
                </w:p>
              </w:tc>
              <w:tc>
                <w:tcPr>
                  <w:tcW w:type="dxa" w:w="2254"/>
                  <w:shd w:fill="EAFAF1"/>
                </w:tcPr>
                <w:p>
                  <w:r>
                    <w:t>51.63%</w:t>
                  </w:r>
                </w:p>
              </w:tc>
              <w:tc>
                <w:tcPr>
                  <w:tcW w:type="dxa" w:w="2254"/>
                </w:tcPr>
                <w:p>
                  <w:r>
                    <w:t>50.56%</w:t>
                  </w:r>
                </w:p>
              </w:tc>
            </w:tr>
            <w:tr>
              <w:tc>
                <w:tcPr>
                  <w:tcW w:type="dxa" w:w="2254"/>
                </w:tcPr>
                <w:p>
                  <w:r>
                    <w:t>Good</w:t>
                  </w:r>
                </w:p>
              </w:tc>
              <w:tc>
                <w:tcPr>
                  <w:tcW w:type="dxa" w:w="2254"/>
                </w:tcPr>
                <w:p>
                  <w:r>
                    <w:t>31.12%</w:t>
                  </w:r>
                </w:p>
              </w:tc>
              <w:tc>
                <w:tcPr>
                  <w:tcW w:type="dxa" w:w="2254"/>
                </w:tcPr>
                <w:p>
                  <w:r>
                    <w:t>30.75%</w:t>
                  </w:r>
                </w:p>
              </w:tc>
              <w:tc>
                <w:tcPr>
                  <w:tcW w:type="dxa" w:w="2254"/>
                </w:tcPr>
                <w:p>
                  <w:r>
                    <w:t>33.22%</w:t>
                  </w:r>
                </w:p>
              </w:tc>
            </w:tr>
            <w:tr>
              <w:tc>
                <w:tcPr>
                  <w:tcW w:type="dxa" w:w="2254"/>
                </w:tcPr>
                <w:p>
                  <w:r>
                    <w:t>Fair</w:t>
                  </w:r>
                </w:p>
              </w:tc>
              <w:tc>
                <w:tcPr>
                  <w:tcW w:type="dxa" w:w="2254"/>
                </w:tcPr>
                <w:p>
                  <w:r>
                    <w:t>11.67%</w:t>
                  </w:r>
                </w:p>
              </w:tc>
              <w:tc>
                <w:tcPr>
                  <w:tcW w:type="dxa" w:w="2254"/>
                </w:tcPr>
                <w:p>
                  <w:r>
                    <w:t>11.20%</w:t>
                  </w:r>
                </w:p>
              </w:tc>
              <w:tc>
                <w:tcPr>
                  <w:tcW w:type="dxa" w:w="2254"/>
                </w:tcPr>
                <w:p>
                  <w:r>
                    <w:t>11.23%</w:t>
                  </w:r>
                </w:p>
              </w:tc>
            </w:tr>
            <w:tr>
              <w:tc>
                <w:tcPr>
                  <w:tcW w:type="dxa" w:w="2254"/>
                </w:tcPr>
                <w:p>
                  <w:r>
                    <w:t>Bad</w:t>
                  </w:r>
                </w:p>
              </w:tc>
              <w:tc>
                <w:tcPr>
                  <w:tcW w:type="dxa" w:w="2254"/>
                </w:tcPr>
                <w:p>
                  <w:r>
                    <w:t>4.82%</w:t>
                  </w:r>
                </w:p>
              </w:tc>
              <w:tc>
                <w:tcPr>
                  <w:tcW w:type="dxa" w:w="2254"/>
                </w:tcPr>
                <w:p>
                  <w:r>
                    <w:t>4.74%</w:t>
                  </w:r>
                </w:p>
              </w:tc>
              <w:tc>
                <w:tcPr>
                  <w:tcW w:type="dxa" w:w="2254"/>
                </w:tcPr>
                <w:p>
                  <w:r>
                    <w:t>3.77%</w:t>
                  </w:r>
                </w:p>
              </w:tc>
            </w:tr>
            <w:tr>
              <w:tc>
                <w:tcPr>
                  <w:tcW w:type="dxa" w:w="2254"/>
                </w:tcPr>
                <w:p>
                  <w:r>
                    <w:t>Very Bad</w:t>
                  </w:r>
                </w:p>
              </w:tc>
              <w:tc>
                <w:tcPr>
                  <w:tcW w:type="dxa" w:w="2254"/>
                </w:tcPr>
                <w:p>
                  <w:r>
                    <w:t>1.85%</w:t>
                  </w:r>
                </w:p>
              </w:tc>
              <w:tc>
                <w:tcPr>
                  <w:tcW w:type="dxa" w:w="2254"/>
                </w:tcPr>
                <w:p>
                  <w:r>
                    <w:t>1.68%</w:t>
                  </w:r>
                </w:p>
              </w:tc>
              <w:tc>
                <w:tcPr>
                  <w:tcW w:type="dxa" w:w="2254"/>
                </w:tcPr>
                <w:p>
                  <w:r>
                    <w:t>1.23%</w:t>
                  </w:r>
                </w:p>
              </w:tc>
            </w:tr>
          </w:tbl>
          <w:p/>
        </w:tc>
      </w:tr>
      <w:tr w:rsidR="00975513" w14:paraId="5F50153C" w14:textId="77777777" w:rsidTr="007B4305">
        <w:tc>
          <w:tcPr>
            <w:tcW w:w="9016" w:type="dxa"/>
          </w:tcPr>
          <w:p w14:paraId="1E668D86" w14:textId="77777777" w:rsidR="00975513" w:rsidRDefault="00975513" w:rsidP="00B76F3B"/>
        </w:tc>
      </w:tr>
      <w:tr w:rsidR="00975513" w14:paraId="7B8077B8" w14:textId="77777777" w:rsidTr="007B4305">
        <w:tc>
          <w:tcPr>
            <w:tcW w:w="9016" w:type="dxa"/>
          </w:tcPr>
          <w:p w14:paraId="530ED7FA" w14:textId="34861290" w:rsidR="00975513" w:rsidRDefault="0021122B" w:rsidP="00975513">
            <w:pPr>
              <w:jc w:val="center"/>
            </w:pPr>
            <w:r>
              <w:t>Health</w:t>
            </w:r>
            <w:r w:rsidR="00975513">
              <w:t xml:space="preserve"> </w:t>
            </w:r>
            <w:r w:rsidR="006D28A3">
              <w:t>Comparison</w:t>
            </w:r>
            <w:r w:rsidR="00975513">
              <w:t xml:space="preserve"> Table</w:t>
            </w:r>
          </w:p>
        </w:tc>
      </w:tr>
    </w:tbl>
    <w:p w14:paraId="02B4BD53" w14:textId="725E6947" w:rsidR="003E537A" w:rsidRPr="00C61C60" w:rsidRDefault="007B4305" w:rsidP="00C61C60">
      <w:r>
        <w:t xml:space="preserve"> </w:t>
      </w:r>
    </w:p>
    <w:sectPr w:rsidR="003E537A" w:rsidRPr="00C61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2E2"/>
    <w:rsid w:val="00053F39"/>
    <w:rsid w:val="000658F0"/>
    <w:rsid w:val="00096163"/>
    <w:rsid w:val="0016052E"/>
    <w:rsid w:val="00160AC8"/>
    <w:rsid w:val="001844EE"/>
    <w:rsid w:val="00191D63"/>
    <w:rsid w:val="001B5103"/>
    <w:rsid w:val="001C1CFB"/>
    <w:rsid w:val="0021122B"/>
    <w:rsid w:val="00216521"/>
    <w:rsid w:val="00274796"/>
    <w:rsid w:val="00280B86"/>
    <w:rsid w:val="002E3476"/>
    <w:rsid w:val="0030634B"/>
    <w:rsid w:val="00340DF6"/>
    <w:rsid w:val="00345688"/>
    <w:rsid w:val="00387BA2"/>
    <w:rsid w:val="003B09D0"/>
    <w:rsid w:val="003E537A"/>
    <w:rsid w:val="003F0CEA"/>
    <w:rsid w:val="003F629F"/>
    <w:rsid w:val="00440CED"/>
    <w:rsid w:val="00441C75"/>
    <w:rsid w:val="00485A46"/>
    <w:rsid w:val="004929D0"/>
    <w:rsid w:val="004C7191"/>
    <w:rsid w:val="00517F73"/>
    <w:rsid w:val="00523C2B"/>
    <w:rsid w:val="0053398B"/>
    <w:rsid w:val="00543749"/>
    <w:rsid w:val="0054726B"/>
    <w:rsid w:val="00547B11"/>
    <w:rsid w:val="005534A9"/>
    <w:rsid w:val="00597C53"/>
    <w:rsid w:val="005F61C6"/>
    <w:rsid w:val="006356EC"/>
    <w:rsid w:val="00655048"/>
    <w:rsid w:val="00676E48"/>
    <w:rsid w:val="00684C2B"/>
    <w:rsid w:val="006B6BD2"/>
    <w:rsid w:val="006D1464"/>
    <w:rsid w:val="006D28A3"/>
    <w:rsid w:val="006D717F"/>
    <w:rsid w:val="007003A8"/>
    <w:rsid w:val="00714E9A"/>
    <w:rsid w:val="00743E37"/>
    <w:rsid w:val="00750D83"/>
    <w:rsid w:val="00753362"/>
    <w:rsid w:val="00761860"/>
    <w:rsid w:val="00761ABA"/>
    <w:rsid w:val="007B2BF9"/>
    <w:rsid w:val="007B4305"/>
    <w:rsid w:val="007D75F2"/>
    <w:rsid w:val="00836E97"/>
    <w:rsid w:val="008442B3"/>
    <w:rsid w:val="00880406"/>
    <w:rsid w:val="00880AF9"/>
    <w:rsid w:val="00891F79"/>
    <w:rsid w:val="008E6E50"/>
    <w:rsid w:val="00910BB9"/>
    <w:rsid w:val="009143E4"/>
    <w:rsid w:val="009209D7"/>
    <w:rsid w:val="00936947"/>
    <w:rsid w:val="00945230"/>
    <w:rsid w:val="00966BAB"/>
    <w:rsid w:val="00970179"/>
    <w:rsid w:val="00975513"/>
    <w:rsid w:val="00987304"/>
    <w:rsid w:val="009B3023"/>
    <w:rsid w:val="009B6612"/>
    <w:rsid w:val="009D2E80"/>
    <w:rsid w:val="009D378C"/>
    <w:rsid w:val="00A00682"/>
    <w:rsid w:val="00A341D3"/>
    <w:rsid w:val="00A35ACB"/>
    <w:rsid w:val="00A76A26"/>
    <w:rsid w:val="00A81B86"/>
    <w:rsid w:val="00A844E1"/>
    <w:rsid w:val="00A857DB"/>
    <w:rsid w:val="00A86932"/>
    <w:rsid w:val="00AA3679"/>
    <w:rsid w:val="00AD2C2F"/>
    <w:rsid w:val="00AF2170"/>
    <w:rsid w:val="00B150DB"/>
    <w:rsid w:val="00B76F3B"/>
    <w:rsid w:val="00B909DC"/>
    <w:rsid w:val="00BE4FE3"/>
    <w:rsid w:val="00C07FB5"/>
    <w:rsid w:val="00C20F3C"/>
    <w:rsid w:val="00C423FD"/>
    <w:rsid w:val="00C5515C"/>
    <w:rsid w:val="00C61C60"/>
    <w:rsid w:val="00C874FC"/>
    <w:rsid w:val="00C972A5"/>
    <w:rsid w:val="00CB6355"/>
    <w:rsid w:val="00CC5329"/>
    <w:rsid w:val="00CD03AC"/>
    <w:rsid w:val="00D021D4"/>
    <w:rsid w:val="00D052E2"/>
    <w:rsid w:val="00D352C4"/>
    <w:rsid w:val="00DF1057"/>
    <w:rsid w:val="00DF5FA1"/>
    <w:rsid w:val="00E32FBF"/>
    <w:rsid w:val="00E5621F"/>
    <w:rsid w:val="00E914DA"/>
    <w:rsid w:val="00EF69A2"/>
    <w:rsid w:val="00F17E8C"/>
    <w:rsid w:val="00F26BDC"/>
    <w:rsid w:val="00FB625B"/>
    <w:rsid w:val="00FF59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79AC"/>
  <w15:chartTrackingRefBased/>
  <w15:docId w15:val="{75FB668F-ADD2-4A33-B2EA-316B4E6A0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D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3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437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9209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5">
    <w:name w:val="List Table 3 Accent 5"/>
    <w:basedOn w:val="TableNormal"/>
    <w:uiPriority w:val="48"/>
    <w:rsid w:val="009209D7"/>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5">
    <w:name w:val="List Table 4 Accent 5"/>
    <w:basedOn w:val="TableNormal"/>
    <w:uiPriority w:val="49"/>
    <w:rsid w:val="00B909D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485A4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rsid w:val="00280B8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aliases w:val="sd_map_table_style"/>
    <w:basedOn w:val="TableNormal"/>
    <w:uiPriority w:val="49"/>
    <w:rsid w:val="00E32FB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val="0"/>
        <w:bCs/>
      </w:rPr>
      <w:tblPr/>
      <w:tcPr>
        <w:tcBorders>
          <w:top w:val="double" w:sz="4" w:space="0" w:color="5B9BD5" w:themeColor="accent5"/>
        </w:tcBorders>
      </w:tcPr>
    </w:tblStylePr>
    <w:tblStylePr w:type="firstCol">
      <w:rPr>
        <w:b w:val="0"/>
        <w:bCs/>
      </w:rPr>
    </w:tblStylePr>
    <w:tblStylePr w:type="lastCol">
      <w:rPr>
        <w:b w:val="0"/>
        <w:bCs/>
      </w:rPr>
    </w:tblStylePr>
    <w:tblStylePr w:type="band1Vert">
      <w:tblPr/>
      <w:tcPr>
        <w:shd w:val="clear" w:color="auto" w:fill="FFFFFF" w:themeFill="background1"/>
      </w:tcPr>
    </w:tblStylePr>
    <w:tblStylePr w:type="band1Horz">
      <w:tblPr/>
      <w:tcPr>
        <w:shd w:val="clear" w:color="auto" w:fill="FFFFFF" w:themeFill="background1"/>
      </w:tcPr>
    </w:tblStylePr>
  </w:style>
  <w:style w:type="table" w:customStyle="1" w:styleId="sdmaptablestyle1">
    <w:name w:val="sd_map_table_style_1"/>
    <w:basedOn w:val="TableNormal"/>
    <w:uiPriority w:val="99"/>
    <w:rsid w:val="00216521"/>
    <w:pPr>
      <w:spacing w:after="0" w:line="240" w:lineRule="auto"/>
    </w:pPr>
    <w:rPr>
      <w:sz w:val="16"/>
    </w:rPr>
    <w:tblPr>
      <w:tblBorders>
        <w:top w:val="single" w:sz="4" w:space="0" w:color="auto"/>
        <w:left w:val="single" w:sz="4" w:space="0" w:color="auto"/>
        <w:bottom w:val="single" w:sz="4" w:space="0" w:color="auto"/>
        <w:right w:val="single" w:sz="4" w:space="0" w:color="auto"/>
      </w:tblBorders>
    </w:tblPr>
    <w:tblStylePr w:type="firstRow">
      <w:rPr>
        <w:color w:val="FFFFFF" w:themeColor="background1"/>
      </w:rPr>
      <w:tblPr/>
      <w:tcPr>
        <w:tcBorders>
          <w:top w:val="nil"/>
          <w:left w:val="nil"/>
          <w:bottom w:val="nil"/>
          <w:right w:val="nil"/>
          <w:insideH w:val="nil"/>
          <w:insideV w:val="nil"/>
          <w:tl2br w:val="nil"/>
          <w:tr2bl w:val="nil"/>
        </w:tcBorders>
        <w:shd w:val="clear" w:color="auto" w:fill="5B9BD5" w:themeFill="accent5"/>
      </w:tcPr>
    </w:tblStylePr>
  </w:style>
  <w:style w:type="table" w:customStyle="1" w:styleId="sdmaptablestyle2">
    <w:name w:val="sd_map_table_style_2"/>
    <w:basedOn w:val="sdmaptablestyle1"/>
    <w:uiPriority w:val="99"/>
    <w:rsid w:val="00216521"/>
    <w:rPr>
      <w:sz w:val="20"/>
    </w:rPr>
    <w:tblPr/>
    <w:tblStylePr w:type="firstRow">
      <w:rPr>
        <w:color w:val="FFFFFF" w:themeColor="background1"/>
      </w:rPr>
      <w:tblPr/>
      <w:tcPr>
        <w:tcBorders>
          <w:top w:val="nil"/>
          <w:left w:val="nil"/>
          <w:bottom w:val="nil"/>
          <w:right w:val="nil"/>
          <w:insideH w:val="nil"/>
          <w:insideV w:val="nil"/>
          <w:tl2br w:val="nil"/>
          <w:tr2bl w:val="nil"/>
        </w:tcBorders>
        <w:shd w:val="clear" w:color="auto" w:fill="5B9BD5" w:themeFill="accent5"/>
      </w:tcPr>
    </w:tblStylePr>
  </w:style>
  <w:style w:type="table" w:customStyle="1" w:styleId="sdmaptablestyle3">
    <w:name w:val="sd_map_table_style_3"/>
    <w:basedOn w:val="sdmaptablestyle2"/>
    <w:uiPriority w:val="99"/>
    <w:rsid w:val="00216521"/>
    <w:rPr>
      <w:sz w:val="24"/>
    </w:rPr>
    <w:tblPr/>
    <w:tblStylePr w:type="firstRow">
      <w:rPr>
        <w:color w:val="FFFFFF" w:themeColor="background1"/>
      </w:rPr>
      <w:tblPr/>
      <w:tcPr>
        <w:tcBorders>
          <w:top w:val="nil"/>
          <w:left w:val="nil"/>
          <w:bottom w:val="nil"/>
          <w:right w:val="nil"/>
          <w:insideH w:val="nil"/>
          <w:insideV w:val="nil"/>
          <w:tl2br w:val="nil"/>
          <w:tr2bl w:val="nil"/>
        </w:tcBorders>
        <w:shd w:val="clear" w:color="auto" w:fill="5B9BD5" w:themeFill="accent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098490">
      <w:bodyDiv w:val="1"/>
      <w:marLeft w:val="0"/>
      <w:marRight w:val="0"/>
      <w:marTop w:val="0"/>
      <w:marBottom w:val="0"/>
      <w:divBdr>
        <w:top w:val="none" w:sz="0" w:space="0" w:color="auto"/>
        <w:left w:val="none" w:sz="0" w:space="0" w:color="auto"/>
        <w:bottom w:val="none" w:sz="0" w:space="0" w:color="auto"/>
        <w:right w:val="none" w:sz="0" w:space="0" w:color="auto"/>
      </w:divBdr>
    </w:div>
    <w:div w:id="170586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A53EC-9165-40AE-B82D-617D607CD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70</Words>
  <Characters>404</Characters>
  <Application>Microsoft Office Word</Application>
  <DocSecurity>0</DocSecurity>
  <Lines>3</Lines>
  <Paragraphs>1</Paragraphs>
  <ScaleCrop>false</ScaleCrop>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Bamford</dc:creator>
  <cp:keywords/>
  <dc:description/>
  <cp:lastModifiedBy>Neal Bamford</cp:lastModifiedBy>
  <cp:revision>118</cp:revision>
  <dcterms:created xsi:type="dcterms:W3CDTF">2022-08-24T15:55:00Z</dcterms:created>
  <dcterms:modified xsi:type="dcterms:W3CDTF">2022-08-26T10:53:00Z</dcterms:modified>
</cp:coreProperties>
</file>