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D2A34" w14:paraId="66D88088" w14:textId="77777777" w:rsidTr="00C96762">
        <w:trPr>
          <w:jc w:val="right"/>
        </w:trPr>
        <w:tc>
          <w:tcPr>
            <w:tcW w:w="9016" w:type="dxa"/>
          </w:tcPr>
          <w:p>
            <w:pPr>
              <w:jc w:val="both"/>
            </w:pPr>
            <w:r>
              <w:rPr>
                <w:sz w:val="24"/>
              </w:rPr>
              <w:t>Your original search dates were changed to match the date range of the earnings data. The new dates are 2010 to 2021. The 2021 earnings in Croydon are £33,552. This is comparable to the average for London in the same period of £36,348 and is significantly below the average maximum of £91,232. It is above the average minimum of £24,416 and is comparable to the country average of £31,772. Over the period 2010 to 2021 average earnings in Croydon has slightly increased. Please note that the earnings for the year 2016 is estimated.</w:t>
            </w:r>
          </w:p>
        </w:tc>
      </w:tr>
    </w:tbl>
    <w:p w14:paraId="3245B09C" w14:textId="1500EE91"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21B16" w14:paraId="4DC9F56E" w14:textId="77777777" w:rsidTr="00C96762">
        <w:tc>
          <w:tcPr>
            <w:tcW w:w="9016" w:type="dxa"/>
          </w:tcPr>
          <w:p>
            <w:r/>
          </w:p>
          <w:p>
            <w:pPr>
              <w:jc w:val="left"/>
            </w:pPr>
            <w:r>
              <w:drawing>
                <wp:inline xmlns:a="http://schemas.openxmlformats.org/drawingml/2006/main" xmlns:pic="http://schemas.openxmlformats.org/drawingml/2006/picture">
                  <wp:extent cx="5486400" cy="2902818"/>
                  <wp:docPr id="1" name="Picture 1"/>
                  <wp:cNvGraphicFramePr>
                    <a:graphicFrameLocks noChangeAspect="1"/>
                  </wp:cNvGraphicFramePr>
                  <a:graphic>
                    <a:graphicData uri="http://schemas.openxmlformats.org/drawingml/2006/picture">
                      <pic:pic>
                        <pic:nvPicPr>
                          <pic:cNvPr id="0" name="SECTION_TEST_06_EARNINGS_earnings_time_series_plot_London_2009_2021.png"/>
                          <pic:cNvPicPr/>
                        </pic:nvPicPr>
                        <pic:blipFill>
                          <a:blip r:embed="rId7"/>
                          <a:stretch>
                            <a:fillRect/>
                          </a:stretch>
                        </pic:blipFill>
                        <pic:spPr>
                          <a:xfrm>
                            <a:off x="0" y="0"/>
                            <a:ext cx="5486400" cy="2902818"/>
                          </a:xfrm>
                          <a:prstGeom prst="rect"/>
                        </pic:spPr>
                      </pic:pic>
                    </a:graphicData>
                  </a:graphic>
                </wp:inline>
              </w:drawing>
            </w:r>
          </w:p>
        </w:tc>
      </w:tr>
      <w:tr w:rsidR="00F21B16" w14:paraId="4759CE5A" w14:textId="77777777" w:rsidTr="00C96762">
        <w:tc>
          <w:tcPr>
            <w:tcW w:w="9016" w:type="dxa"/>
          </w:tcPr>
          <w:p w14:paraId="57D95334" w14:textId="77777777" w:rsidR="00F21B16" w:rsidRDefault="00F21B16" w:rsidP="00C61C60"/>
        </w:tc>
      </w:tr>
      <w:tr w:rsidR="00F21B16" w14:paraId="43131230" w14:textId="77777777" w:rsidTr="00C96762">
        <w:tc>
          <w:tcPr>
            <w:tcW w:w="9016" w:type="dxa"/>
          </w:tcPr>
          <w:p w14:paraId="716ECF49" w14:textId="7F6C36B6" w:rsidR="00F21B16" w:rsidRDefault="00236859" w:rsidP="00F21B16">
            <w:pPr>
              <w:jc w:val="center"/>
            </w:pPr>
            <w:r>
              <w:t xml:space="preserve">Yearly </w:t>
            </w:r>
            <w:r w:rsidR="00F21B16">
              <w:t xml:space="preserve">Earnings </w:t>
            </w:r>
            <w:r>
              <w:t>Comparison</w:t>
            </w:r>
          </w:p>
        </w:tc>
      </w:tr>
      <w:tr w:rsidR="00DD2A34" w14:paraId="57E336AE" w14:textId="77777777" w:rsidTr="00C96762">
        <w:tc>
          <w:tcPr>
            <w:tcW w:w="9016" w:type="dxa"/>
          </w:tcPr>
          <w:p w14:paraId="5176DC03" w14:textId="77777777" w:rsidR="00DD2A34" w:rsidRDefault="00DD2A34" w:rsidP="00F21B16">
            <w:pPr>
              <w:jc w:val="center"/>
            </w:pPr>
          </w:p>
        </w:tc>
      </w:tr>
      <w:tr w:rsidR="00DD2A34" w14:paraId="434FE22A" w14:textId="77777777" w:rsidTr="00C96762">
        <w:tc>
          <w:tcPr>
            <w:tcW w:w="9016" w:type="dxa"/>
          </w:tcPr>
          <w:p>
            <w:pPr>
              <w:jc w:val="both"/>
            </w:pPr>
            <w:r>
              <w:rPr>
                <w:sz w:val="24"/>
              </w:rPr>
              <w:t>The graph above compares the average earnings in the London borough of Croydon between 2010 and 2021 with the London maximum, minimum and average and with the country average.</w:t>
            </w:r>
          </w:p>
        </w:tc>
      </w:tr>
    </w:tbl>
    <w:p w14:paraId="5FCCF250" w14:textId="77777777" w:rsidR="00F21B16" w:rsidRDefault="00F21B1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1085" w14:paraId="5B96CFA6" w14:textId="77777777" w:rsidTr="00C96762">
        <w:tc>
          <w:tcPr>
            <w:tcW w:w="9016" w:type="dxa"/>
          </w:tcPr>
          <w:p>
            <w:r/>
          </w:p>
          <w:p>
            <w:pPr>
              <w:jc w:val="left"/>
            </w:pPr>
            <w:r>
              <w:drawing>
                <wp:inline xmlns:a="http://schemas.openxmlformats.org/drawingml/2006/main" xmlns:pic="http://schemas.openxmlformats.org/drawingml/2006/picture">
                  <wp:extent cx="5486400" cy="2489728"/>
                  <wp:docPr id="2" name="Picture 2"/>
                  <wp:cNvGraphicFramePr>
                    <a:graphicFrameLocks noChangeAspect="1"/>
                  </wp:cNvGraphicFramePr>
                  <a:graphic>
                    <a:graphicData uri="http://schemas.openxmlformats.org/drawingml/2006/picture">
                      <pic:pic>
                        <pic:nvPicPr>
                          <pic:cNvPr id="0" name="SECTION_TEST_06_EARNINGS_earnings_bump_chart_plot_London_2009_2021.png"/>
                          <pic:cNvPicPr/>
                        </pic:nvPicPr>
                        <pic:blipFill>
                          <a:blip r:embed="rId8"/>
                          <a:stretch>
                            <a:fillRect/>
                          </a:stretch>
                        </pic:blipFill>
                        <pic:spPr>
                          <a:xfrm>
                            <a:off x="0" y="0"/>
                            <a:ext cx="5486400" cy="2489728"/>
                          </a:xfrm>
                          <a:prstGeom prst="rect"/>
                        </pic:spPr>
                      </pic:pic>
                    </a:graphicData>
                  </a:graphic>
                </wp:inline>
              </w:drawing>
            </w:r>
          </w:p>
        </w:tc>
      </w:tr>
      <w:tr w:rsidR="00AE1085" w14:paraId="585D6F75" w14:textId="77777777" w:rsidTr="00C96762">
        <w:tc>
          <w:tcPr>
            <w:tcW w:w="9016" w:type="dxa"/>
          </w:tcPr>
          <w:p w14:paraId="3148FEA3" w14:textId="77777777" w:rsidR="00AE1085" w:rsidRPr="00F21B16" w:rsidRDefault="00AE1085" w:rsidP="00AE1085">
            <w:pPr>
              <w:rPr>
                <w:sz w:val="24"/>
                <w:szCs w:val="24"/>
              </w:rPr>
            </w:pPr>
          </w:p>
        </w:tc>
      </w:tr>
      <w:tr w:rsidR="00AE1085" w14:paraId="0DE86E90" w14:textId="77777777" w:rsidTr="00C96762">
        <w:tc>
          <w:tcPr>
            <w:tcW w:w="9016" w:type="dxa"/>
          </w:tcPr>
          <w:p>
            <w:pPr>
              <w:jc w:val="both"/>
            </w:pPr>
            <w:r>
              <w:rPr>
                <w:sz w:val="24"/>
              </w:rPr>
              <w:t>How Croydon ranks with the other London boroughs over the period 2010 to 2021 can be seen above. Ranking is top to bottom, with the top representing the highest earnings.</w:t>
            </w:r>
          </w:p>
        </w:tc>
      </w:tr>
    </w:tbl>
    <w:p w14:paraId="33DE20A9" w14:textId="77777777" w:rsidR="00AE1085" w:rsidRDefault="00AE1085"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8773C" w14:paraId="48641955" w14:textId="77777777" w:rsidTr="00C96762">
        <w:tc>
          <w:tcPr>
            <w:tcW w:w="9016" w:type="dxa"/>
          </w:tcPr>
          <w:p>
            <w:pPr>
              <w:jc w:val="both"/>
            </w:pPr>
            <w:r>
              <w:rPr>
                <w:sz w:val="24"/>
              </w:rPr>
              <w:t>The following table shows the boroughs with the lowest and highest average earning boroughs in the same period. The middle column shows the average earnings in Croydon for the same year.</w:t>
            </w:r>
          </w:p>
        </w:tc>
      </w:tr>
      <w:tr w:rsidR="00D8773C" w14:paraId="1383C086" w14:textId="77777777" w:rsidTr="00C96762">
        <w:tc>
          <w:tcPr>
            <w:tcW w:w="9016" w:type="dxa"/>
          </w:tcPr>
          <w:p w14:paraId="5B1D70F8" w14:textId="77777777" w:rsidR="00D8773C" w:rsidRPr="007B5F4D" w:rsidRDefault="00D8773C" w:rsidP="00B76F3B">
            <w:pPr>
              <w:rPr>
                <w:sz w:val="24"/>
                <w:szCs w:val="24"/>
              </w:rPr>
            </w:pPr>
          </w:p>
        </w:tc>
      </w:tr>
      <w:tr w:rsidR="00B76F3B" w14:paraId="4EC7C8A9" w14:textId="77777777" w:rsidTr="00C96762">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Year</w:t>
                  </w:r>
                </w:p>
              </w:tc>
              <w:tc>
                <w:tcPr>
                  <w:tcW w:type="dxa" w:w="2254"/>
                </w:tcPr>
                <w:p>
                  <w:pPr>
                    <w:jc w:val="left"/>
                  </w:pPr>
                  <w:r>
                    <w:t>Borough with Lowest Avg. Earnings</w:t>
                  </w:r>
                </w:p>
              </w:tc>
              <w:tc>
                <w:tcPr>
                  <w:tcW w:type="dxa" w:w="2254"/>
                </w:tcPr>
                <w:p>
                  <w:pPr>
                    <w:jc w:val="center"/>
                  </w:pPr>
                  <w:r>
                    <w:t>Croydon Avg. Earnings</w:t>
                  </w:r>
                </w:p>
              </w:tc>
              <w:tc>
                <w:tcPr>
                  <w:tcW w:type="dxa" w:w="2254"/>
                </w:tcPr>
                <w:p>
                  <w:pPr>
                    <w:jc w:val="left"/>
                  </w:pPr>
                  <w:r>
                    <w:t>Borough with Highest Avg. Earnings</w:t>
                  </w:r>
                </w:p>
              </w:tc>
            </w:tr>
            <w:tr>
              <w:tc>
                <w:tcPr>
                  <w:tcW w:type="dxa" w:w="2254"/>
                </w:tcPr>
                <w:p>
                  <w:pPr>
                    <w:jc w:val="left"/>
                  </w:pPr>
                  <w:r>
                    <w:t>2021</w:t>
                  </w:r>
                </w:p>
              </w:tc>
              <w:tc>
                <w:tcPr>
                  <w:tcW w:type="dxa" w:w="2254"/>
                </w:tcPr>
                <w:p>
                  <w:pPr>
                    <w:jc w:val="left"/>
                  </w:pPr>
                  <w:r>
                    <w:t>Redbridge - £24,416</w:t>
                  </w:r>
                </w:p>
              </w:tc>
              <w:tc>
                <w:tcPr>
                  <w:tcW w:type="dxa" w:w="2254"/>
                </w:tcPr>
                <w:p>
                  <w:pPr>
                    <w:jc w:val="center"/>
                  </w:pPr>
                  <w:r>
                    <w:t>£33,552</w:t>
                  </w:r>
                </w:p>
              </w:tc>
              <w:tc>
                <w:tcPr>
                  <w:tcW w:type="dxa" w:w="2254"/>
                </w:tcPr>
                <w:p>
                  <w:pPr>
                    <w:jc w:val="left"/>
                  </w:pPr>
                  <w:r>
                    <w:t>City of London - £91,232</w:t>
                  </w:r>
                </w:p>
              </w:tc>
            </w:tr>
            <w:tr>
              <w:tc>
                <w:tcPr>
                  <w:tcW w:type="dxa" w:w="2254"/>
                </w:tcPr>
                <w:p>
                  <w:pPr>
                    <w:jc w:val="left"/>
                  </w:pPr>
                  <w:r>
                    <w:t>2020</w:t>
                  </w:r>
                </w:p>
              </w:tc>
              <w:tc>
                <w:tcPr>
                  <w:tcW w:type="dxa" w:w="2254"/>
                </w:tcPr>
                <w:p>
                  <w:pPr>
                    <w:jc w:val="left"/>
                  </w:pPr>
                  <w:r>
                    <w:t>Redbridge - £27,123</w:t>
                  </w:r>
                </w:p>
              </w:tc>
              <w:tc>
                <w:tcPr>
                  <w:tcW w:type="dxa" w:w="2254"/>
                </w:tcPr>
                <w:p>
                  <w:pPr>
                    <w:jc w:val="center"/>
                  </w:pPr>
                  <w:r>
                    <w:t>£29,132</w:t>
                  </w:r>
                </w:p>
              </w:tc>
              <w:tc>
                <w:tcPr>
                  <w:tcW w:type="dxa" w:w="2254"/>
                </w:tcPr>
                <w:p>
                  <w:pPr>
                    <w:jc w:val="left"/>
                  </w:pPr>
                  <w:r>
                    <w:t>City of London - £84,822</w:t>
                  </w:r>
                </w:p>
              </w:tc>
            </w:tr>
            <w:tr>
              <w:tc>
                <w:tcPr>
                  <w:tcW w:type="dxa" w:w="2254"/>
                </w:tcPr>
                <w:p>
                  <w:pPr>
                    <w:jc w:val="left"/>
                  </w:pPr>
                  <w:r>
                    <w:t>2019</w:t>
                  </w:r>
                </w:p>
              </w:tc>
              <w:tc>
                <w:tcPr>
                  <w:tcW w:type="dxa" w:w="2254"/>
                </w:tcPr>
                <w:p>
                  <w:pPr>
                    <w:jc w:val="left"/>
                  </w:pPr>
                  <w:r>
                    <w:t>Redbridge - £25,831</w:t>
                  </w:r>
                </w:p>
              </w:tc>
              <w:tc>
                <w:tcPr>
                  <w:tcW w:type="dxa" w:w="2254"/>
                </w:tcPr>
                <w:p>
                  <w:pPr>
                    <w:jc w:val="center"/>
                  </w:pPr>
                  <w:r>
                    <w:t>£31,953</w:t>
                  </w:r>
                </w:p>
              </w:tc>
              <w:tc>
                <w:tcPr>
                  <w:tcW w:type="dxa" w:w="2254"/>
                </w:tcPr>
                <w:p>
                  <w:pPr>
                    <w:jc w:val="left"/>
                  </w:pPr>
                  <w:r>
                    <w:t>City of London - £84,234</w:t>
                  </w:r>
                </w:p>
              </w:tc>
            </w:tr>
            <w:tr>
              <w:tc>
                <w:tcPr>
                  <w:tcW w:type="dxa" w:w="2254"/>
                </w:tcPr>
                <w:p>
                  <w:pPr>
                    <w:jc w:val="left"/>
                  </w:pPr>
                  <w:r>
                    <w:t>2018</w:t>
                  </w:r>
                </w:p>
              </w:tc>
              <w:tc>
                <w:tcPr>
                  <w:tcW w:type="dxa" w:w="2254"/>
                </w:tcPr>
                <w:p>
                  <w:pPr>
                    <w:jc w:val="left"/>
                  </w:pPr>
                  <w:r>
                    <w:t>Redbridge - £23,480</w:t>
                  </w:r>
                </w:p>
              </w:tc>
              <w:tc>
                <w:tcPr>
                  <w:tcW w:type="dxa" w:w="2254"/>
                </w:tcPr>
                <w:p>
                  <w:pPr>
                    <w:jc w:val="center"/>
                  </w:pPr>
                  <w:r>
                    <w:t>£30,431</w:t>
                  </w:r>
                </w:p>
              </w:tc>
              <w:tc>
                <w:tcPr>
                  <w:tcW w:type="dxa" w:w="2254"/>
                </w:tcPr>
                <w:p>
                  <w:pPr>
                    <w:jc w:val="left"/>
                  </w:pPr>
                  <w:r>
                    <w:t>City of London - £84,609</w:t>
                  </w:r>
                </w:p>
              </w:tc>
            </w:tr>
            <w:tr>
              <w:tc>
                <w:tcPr>
                  <w:tcW w:type="dxa" w:w="2254"/>
                </w:tcPr>
                <w:p>
                  <w:pPr>
                    <w:jc w:val="left"/>
                  </w:pPr>
                  <w:r>
                    <w:t>2017</w:t>
                  </w:r>
                </w:p>
              </w:tc>
              <w:tc>
                <w:tcPr>
                  <w:tcW w:type="dxa" w:w="2254"/>
                </w:tcPr>
                <w:p>
                  <w:pPr>
                    <w:jc w:val="left"/>
                  </w:pPr>
                  <w:r>
                    <w:t>Redbridge - £24,006</w:t>
                  </w:r>
                </w:p>
              </w:tc>
              <w:tc>
                <w:tcPr>
                  <w:tcW w:type="dxa" w:w="2254"/>
                </w:tcPr>
                <w:p>
                  <w:pPr>
                    <w:jc w:val="center"/>
                  </w:pPr>
                  <w:r>
                    <w:t>£30,019</w:t>
                  </w:r>
                </w:p>
              </w:tc>
              <w:tc>
                <w:tcPr>
                  <w:tcW w:type="dxa" w:w="2254"/>
                </w:tcPr>
                <w:p>
                  <w:pPr>
                    <w:jc w:val="left"/>
                  </w:pPr>
                  <w:r>
                    <w:t>City of London - £75,996</w:t>
                  </w:r>
                </w:p>
              </w:tc>
            </w:tr>
            <w:tr>
              <w:tc>
                <w:tcPr>
                  <w:tcW w:type="dxa" w:w="2254"/>
                </w:tcPr>
                <w:p>
                  <w:pPr>
                    <w:jc w:val="left"/>
                  </w:pPr>
                  <w:r>
                    <w:t>2016</w:t>
                  </w:r>
                </w:p>
              </w:tc>
              <w:tc>
                <w:tcPr>
                  <w:tcW w:type="dxa" w:w="2254"/>
                </w:tcPr>
                <w:p>
                  <w:pPr>
                    <w:jc w:val="left"/>
                  </w:pPr>
                  <w:r>
                    <w:t>Waltham Forest - £24,414</w:t>
                  </w:r>
                </w:p>
              </w:tc>
              <w:tc>
                <w:tcPr>
                  <w:tcW w:type="dxa" w:w="2254"/>
                </w:tcPr>
                <w:p>
                  <w:pPr>
                    <w:jc w:val="center"/>
                  </w:pPr>
                  <w:r>
                    <w:t>£28,940</w:t>
                  </w:r>
                </w:p>
              </w:tc>
              <w:tc>
                <w:tcPr>
                  <w:tcW w:type="dxa" w:w="2254"/>
                </w:tcPr>
                <w:p>
                  <w:pPr>
                    <w:jc w:val="left"/>
                  </w:pPr>
                  <w:r>
                    <w:t>City of London - £75,524</w:t>
                  </w:r>
                </w:p>
              </w:tc>
            </w:tr>
            <w:tr>
              <w:tc>
                <w:tcPr>
                  <w:tcW w:type="dxa" w:w="2254"/>
                </w:tcPr>
                <w:p>
                  <w:pPr>
                    <w:jc w:val="left"/>
                  </w:pPr>
                  <w:r>
                    <w:t>2015</w:t>
                  </w:r>
                </w:p>
              </w:tc>
              <w:tc>
                <w:tcPr>
                  <w:tcW w:type="dxa" w:w="2254"/>
                </w:tcPr>
                <w:p>
                  <w:pPr>
                    <w:jc w:val="left"/>
                  </w:pPr>
                  <w:r>
                    <w:t>Harrow - £22,851</w:t>
                  </w:r>
                </w:p>
              </w:tc>
              <w:tc>
                <w:tcPr>
                  <w:tcW w:type="dxa" w:w="2254"/>
                </w:tcPr>
                <w:p>
                  <w:pPr>
                    <w:jc w:val="center"/>
                  </w:pPr>
                  <w:r>
                    <w:t>£27,861</w:t>
                  </w:r>
                </w:p>
              </w:tc>
              <w:tc>
                <w:tcPr>
                  <w:tcW w:type="dxa" w:w="2254"/>
                </w:tcPr>
                <w:p>
                  <w:pPr>
                    <w:jc w:val="left"/>
                  </w:pPr>
                  <w:r>
                    <w:t>City of London - £73,479</w:t>
                  </w:r>
                </w:p>
              </w:tc>
            </w:tr>
            <w:tr>
              <w:tc>
                <w:tcPr>
                  <w:tcW w:type="dxa" w:w="2254"/>
                </w:tcPr>
                <w:p>
                  <w:pPr>
                    <w:jc w:val="left"/>
                  </w:pPr>
                  <w:r>
                    <w:t>2014</w:t>
                  </w:r>
                </w:p>
              </w:tc>
              <w:tc>
                <w:tcPr>
                  <w:tcW w:type="dxa" w:w="2254"/>
                </w:tcPr>
                <w:p>
                  <w:pPr>
                    <w:jc w:val="left"/>
                  </w:pPr>
                  <w:r>
                    <w:t>Waltham Forest - £21,760</w:t>
                  </w:r>
                </w:p>
              </w:tc>
              <w:tc>
                <w:tcPr>
                  <w:tcW w:type="dxa" w:w="2254"/>
                </w:tcPr>
                <w:p>
                  <w:pPr>
                    <w:jc w:val="center"/>
                  </w:pPr>
                  <w:r>
                    <w:t>£28,408</w:t>
                  </w:r>
                </w:p>
              </w:tc>
              <w:tc>
                <w:tcPr>
                  <w:tcW w:type="dxa" w:w="2254"/>
                </w:tcPr>
                <w:p>
                  <w:pPr>
                    <w:jc w:val="left"/>
                  </w:pPr>
                  <w:r>
                    <w:t>City of London - £78,999</w:t>
                  </w:r>
                </w:p>
              </w:tc>
            </w:tr>
            <w:tr>
              <w:tc>
                <w:tcPr>
                  <w:tcW w:type="dxa" w:w="2254"/>
                </w:tcPr>
                <w:p>
                  <w:pPr>
                    <w:jc w:val="left"/>
                  </w:pPr>
                  <w:r>
                    <w:t>2013</w:t>
                  </w:r>
                </w:p>
              </w:tc>
              <w:tc>
                <w:tcPr>
                  <w:tcW w:type="dxa" w:w="2254"/>
                </w:tcPr>
                <w:p>
                  <w:pPr>
                    <w:jc w:val="left"/>
                  </w:pPr>
                  <w:r>
                    <w:t>Harrow - £23,549</w:t>
                  </w:r>
                </w:p>
              </w:tc>
              <w:tc>
                <w:tcPr>
                  <w:tcW w:type="dxa" w:w="2254"/>
                </w:tcPr>
                <w:p>
                  <w:pPr>
                    <w:jc w:val="center"/>
                  </w:pPr>
                  <w:r>
                    <w:t>£28,663</w:t>
                  </w:r>
                </w:p>
              </w:tc>
              <w:tc>
                <w:tcPr>
                  <w:tcW w:type="dxa" w:w="2254"/>
                </w:tcPr>
                <w:p>
                  <w:pPr>
                    <w:jc w:val="left"/>
                  </w:pPr>
                  <w:r>
                    <w:t>City of London - £79,149</w:t>
                  </w:r>
                </w:p>
              </w:tc>
            </w:tr>
            <w:tr>
              <w:tc>
                <w:tcPr>
                  <w:tcW w:type="dxa" w:w="2254"/>
                </w:tcPr>
                <w:p>
                  <w:pPr>
                    <w:jc w:val="left"/>
                  </w:pPr>
                  <w:r>
                    <w:t>2012</w:t>
                  </w:r>
                </w:p>
              </w:tc>
              <w:tc>
                <w:tcPr>
                  <w:tcW w:type="dxa" w:w="2254"/>
                </w:tcPr>
                <w:p>
                  <w:pPr>
                    <w:jc w:val="left"/>
                  </w:pPr>
                  <w:r>
                    <w:t>Redbridge - £23,876</w:t>
                  </w:r>
                </w:p>
              </w:tc>
              <w:tc>
                <w:tcPr>
                  <w:tcW w:type="dxa" w:w="2254"/>
                </w:tcPr>
                <w:p>
                  <w:pPr>
                    <w:jc w:val="center"/>
                  </w:pPr>
                  <w:r>
                    <w:t>£28,166</w:t>
                  </w:r>
                </w:p>
              </w:tc>
              <w:tc>
                <w:tcPr>
                  <w:tcW w:type="dxa" w:w="2254"/>
                </w:tcPr>
                <w:p>
                  <w:pPr>
                    <w:jc w:val="left"/>
                  </w:pPr>
                  <w:r>
                    <w:t>City of London - £83,750</w:t>
                  </w:r>
                </w:p>
              </w:tc>
            </w:tr>
            <w:tr>
              <w:tc>
                <w:tcPr>
                  <w:tcW w:type="dxa" w:w="2254"/>
                </w:tcPr>
                <w:p>
                  <w:pPr>
                    <w:jc w:val="left"/>
                  </w:pPr>
                  <w:r>
                    <w:t>2011</w:t>
                  </w:r>
                </w:p>
              </w:tc>
              <w:tc>
                <w:tcPr>
                  <w:tcW w:type="dxa" w:w="2254"/>
                </w:tcPr>
                <w:p>
                  <w:pPr>
                    <w:jc w:val="left"/>
                  </w:pPr>
                  <w:r>
                    <w:t>Sutton - £24,026</w:t>
                  </w:r>
                </w:p>
              </w:tc>
              <w:tc>
                <w:tcPr>
                  <w:tcW w:type="dxa" w:w="2254"/>
                </w:tcPr>
                <w:p>
                  <w:pPr>
                    <w:jc w:val="center"/>
                  </w:pPr>
                  <w:r>
                    <w:t>£27,279</w:t>
                  </w:r>
                </w:p>
              </w:tc>
              <w:tc>
                <w:tcPr>
                  <w:tcW w:type="dxa" w:w="2254"/>
                </w:tcPr>
                <w:p>
                  <w:pPr>
                    <w:jc w:val="left"/>
                  </w:pPr>
                  <w:r>
                    <w:t>City of London - £88,064</w:t>
                  </w:r>
                </w:p>
              </w:tc>
            </w:tr>
            <w:tr>
              <w:tc>
                <w:tcPr>
                  <w:tcW w:type="dxa" w:w="2254"/>
                </w:tcPr>
                <w:p>
                  <w:pPr>
                    <w:jc w:val="left"/>
                  </w:pPr>
                  <w:r>
                    <w:t>2010</w:t>
                  </w:r>
                </w:p>
              </w:tc>
              <w:tc>
                <w:tcPr>
                  <w:tcW w:type="dxa" w:w="2254"/>
                </w:tcPr>
                <w:p>
                  <w:pPr>
                    <w:jc w:val="left"/>
                  </w:pPr>
                  <w:r>
                    <w:t>Sutton - £24,279</w:t>
                  </w:r>
                </w:p>
              </w:tc>
              <w:tc>
                <w:tcPr>
                  <w:tcW w:type="dxa" w:w="2254"/>
                </w:tcPr>
                <w:p>
                  <w:pPr>
                    <w:jc w:val="center"/>
                  </w:pPr>
                  <w:r>
                    <w:t>£27,713</w:t>
                  </w:r>
                </w:p>
              </w:tc>
              <w:tc>
                <w:tcPr>
                  <w:tcW w:type="dxa" w:w="2254"/>
                </w:tcPr>
                <w:p>
                  <w:pPr>
                    <w:jc w:val="left"/>
                  </w:pPr>
                  <w:r>
                    <w:t>City of London - £82,218</w:t>
                  </w:r>
                </w:p>
              </w:tc>
            </w:tr>
          </w:tbl>
          <w:p/>
        </w:tc>
      </w:tr>
      <w:tr w:rsidR="00975513" w14:paraId="5F50153C" w14:textId="77777777" w:rsidTr="00C96762">
        <w:tc>
          <w:tcPr>
            <w:tcW w:w="9016" w:type="dxa"/>
          </w:tcPr>
          <w:p w14:paraId="1E668D86" w14:textId="77777777" w:rsidR="00975513" w:rsidRDefault="00975513" w:rsidP="00B76F3B"/>
        </w:tc>
      </w:tr>
      <w:tr w:rsidR="00975513" w14:paraId="7B8077B8" w14:textId="77777777" w:rsidTr="00C96762">
        <w:tc>
          <w:tcPr>
            <w:tcW w:w="9016" w:type="dxa"/>
          </w:tcPr>
          <w:p w14:paraId="530ED7FA" w14:textId="7BC16405" w:rsidR="00975513" w:rsidRDefault="00AE1085" w:rsidP="00975513">
            <w:pPr>
              <w:jc w:val="center"/>
            </w:pPr>
            <w:r>
              <w:t>Earnings Benchmark Table</w:t>
            </w:r>
          </w:p>
        </w:tc>
      </w:tr>
    </w:tbl>
    <w:p w14:paraId="02B4BD53" w14:textId="725E6947" w:rsidR="003E537A" w:rsidRPr="00C61C60" w:rsidRDefault="007B4305" w:rsidP="00C61C60">
      <w:r>
        <w:t xml:space="preserve"> </w:t>
      </w:r>
    </w:p>
    <w:sectPr w:rsidR="003E537A" w:rsidRPr="00C6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57D44"/>
    <w:rsid w:val="000658F0"/>
    <w:rsid w:val="00087D4A"/>
    <w:rsid w:val="00096163"/>
    <w:rsid w:val="000F4F97"/>
    <w:rsid w:val="000F761A"/>
    <w:rsid w:val="0016052E"/>
    <w:rsid w:val="00160AC8"/>
    <w:rsid w:val="001844EE"/>
    <w:rsid w:val="001B5103"/>
    <w:rsid w:val="001C1CFB"/>
    <w:rsid w:val="00236859"/>
    <w:rsid w:val="00274796"/>
    <w:rsid w:val="00280B86"/>
    <w:rsid w:val="00296C07"/>
    <w:rsid w:val="002E3476"/>
    <w:rsid w:val="0030634B"/>
    <w:rsid w:val="00340DF6"/>
    <w:rsid w:val="00345688"/>
    <w:rsid w:val="00387BA2"/>
    <w:rsid w:val="003A12AA"/>
    <w:rsid w:val="003B09D0"/>
    <w:rsid w:val="003E0EB3"/>
    <w:rsid w:val="003E537A"/>
    <w:rsid w:val="003F0CEA"/>
    <w:rsid w:val="003F54EC"/>
    <w:rsid w:val="003F629F"/>
    <w:rsid w:val="00440CED"/>
    <w:rsid w:val="00441C75"/>
    <w:rsid w:val="0048218C"/>
    <w:rsid w:val="00485A46"/>
    <w:rsid w:val="004929D0"/>
    <w:rsid w:val="004A3CAF"/>
    <w:rsid w:val="004C4D99"/>
    <w:rsid w:val="004C7191"/>
    <w:rsid w:val="004E7A0B"/>
    <w:rsid w:val="00511CED"/>
    <w:rsid w:val="00517F73"/>
    <w:rsid w:val="00523C2B"/>
    <w:rsid w:val="0053398B"/>
    <w:rsid w:val="00543749"/>
    <w:rsid w:val="0054726B"/>
    <w:rsid w:val="00547B11"/>
    <w:rsid w:val="005F61C6"/>
    <w:rsid w:val="006356EC"/>
    <w:rsid w:val="00655048"/>
    <w:rsid w:val="00684C2B"/>
    <w:rsid w:val="006B6BD2"/>
    <w:rsid w:val="006D1464"/>
    <w:rsid w:val="006D28A3"/>
    <w:rsid w:val="006D717F"/>
    <w:rsid w:val="00714E9A"/>
    <w:rsid w:val="00750D83"/>
    <w:rsid w:val="00753362"/>
    <w:rsid w:val="007B2BF9"/>
    <w:rsid w:val="007B4305"/>
    <w:rsid w:val="007B5F4D"/>
    <w:rsid w:val="007D75F2"/>
    <w:rsid w:val="00836E97"/>
    <w:rsid w:val="008442B3"/>
    <w:rsid w:val="00846DEE"/>
    <w:rsid w:val="00864636"/>
    <w:rsid w:val="00880406"/>
    <w:rsid w:val="00880AF9"/>
    <w:rsid w:val="0089086B"/>
    <w:rsid w:val="00891F79"/>
    <w:rsid w:val="008E6E50"/>
    <w:rsid w:val="00910932"/>
    <w:rsid w:val="009130BF"/>
    <w:rsid w:val="009143E4"/>
    <w:rsid w:val="009209D7"/>
    <w:rsid w:val="00936947"/>
    <w:rsid w:val="00945230"/>
    <w:rsid w:val="0095492B"/>
    <w:rsid w:val="00966BAB"/>
    <w:rsid w:val="00970179"/>
    <w:rsid w:val="00975513"/>
    <w:rsid w:val="009B3023"/>
    <w:rsid w:val="009B6612"/>
    <w:rsid w:val="009D2E80"/>
    <w:rsid w:val="009D378C"/>
    <w:rsid w:val="009D7E16"/>
    <w:rsid w:val="009F4A51"/>
    <w:rsid w:val="00A00682"/>
    <w:rsid w:val="00A341D3"/>
    <w:rsid w:val="00A35ACB"/>
    <w:rsid w:val="00A5400E"/>
    <w:rsid w:val="00A76A26"/>
    <w:rsid w:val="00A81B86"/>
    <w:rsid w:val="00A844E1"/>
    <w:rsid w:val="00A857DB"/>
    <w:rsid w:val="00A86932"/>
    <w:rsid w:val="00AA3679"/>
    <w:rsid w:val="00AD2C2F"/>
    <w:rsid w:val="00AE1085"/>
    <w:rsid w:val="00AF2170"/>
    <w:rsid w:val="00AF4D72"/>
    <w:rsid w:val="00B150DB"/>
    <w:rsid w:val="00B26F69"/>
    <w:rsid w:val="00B76F3B"/>
    <w:rsid w:val="00B909DC"/>
    <w:rsid w:val="00B9535A"/>
    <w:rsid w:val="00BE4FE3"/>
    <w:rsid w:val="00C07FB5"/>
    <w:rsid w:val="00C20F3C"/>
    <w:rsid w:val="00C31566"/>
    <w:rsid w:val="00C41000"/>
    <w:rsid w:val="00C423FD"/>
    <w:rsid w:val="00C5515C"/>
    <w:rsid w:val="00C56149"/>
    <w:rsid w:val="00C61C60"/>
    <w:rsid w:val="00C727E9"/>
    <w:rsid w:val="00C874FC"/>
    <w:rsid w:val="00C96762"/>
    <w:rsid w:val="00C972A5"/>
    <w:rsid w:val="00CB60D4"/>
    <w:rsid w:val="00CC5329"/>
    <w:rsid w:val="00CD03AC"/>
    <w:rsid w:val="00D021D4"/>
    <w:rsid w:val="00D052E2"/>
    <w:rsid w:val="00D352C4"/>
    <w:rsid w:val="00D8773C"/>
    <w:rsid w:val="00DA0614"/>
    <w:rsid w:val="00DD2A34"/>
    <w:rsid w:val="00DF1057"/>
    <w:rsid w:val="00DF5B54"/>
    <w:rsid w:val="00DF5FA1"/>
    <w:rsid w:val="00E32FBF"/>
    <w:rsid w:val="00E5621F"/>
    <w:rsid w:val="00E604E6"/>
    <w:rsid w:val="00E914DA"/>
    <w:rsid w:val="00EF69A2"/>
    <w:rsid w:val="00F17E8C"/>
    <w:rsid w:val="00F21B16"/>
    <w:rsid w:val="00F26BDC"/>
    <w:rsid w:val="00F36EF8"/>
    <w:rsid w:val="00F96AFF"/>
    <w:rsid w:val="00F96CDE"/>
    <w:rsid w:val="00FB3E50"/>
    <w:rsid w:val="00FC5FAD"/>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F54EC"/>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F54EC"/>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F54EC"/>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148</cp:revision>
  <dcterms:created xsi:type="dcterms:W3CDTF">2022-08-24T15:55:00Z</dcterms:created>
  <dcterms:modified xsi:type="dcterms:W3CDTF">2022-08-28T12:50:00Z</dcterms:modified>
</cp:coreProperties>
</file>