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53F39" w14:paraId="1988A2B5" w14:textId="77777777" w:rsidTr="00A341D3">
        <w:trPr>
          <w:jc w:val="right"/>
        </w:trPr>
        <w:tc>
          <w:tcPr>
            <w:tcW w:w="9016" w:type="dxa"/>
          </w:tcPr>
          <w:p>
            <w:pPr>
              <w:jc w:val="both"/>
            </w:pPr>
            <w:r>
              <w:rPr>
                <w:sz w:val="24"/>
              </w:rPr>
              <w:t>Using the latest qualifications data from 2011 which is outside your search range of 2012 to 2020. The table below ranks qualifications in Holloway, Islington and London. The ranking is highest to lowest percentage from top to bottom. Where there is a difference in qualification the cell is shaded, a darker shade denotes a difference between borough and ward. Values in [] give the percentage value.</w:t>
            </w:r>
          </w:p>
        </w:tc>
      </w:tr>
    </w:tbl>
    <w:p w14:paraId="3245B09C" w14:textId="0404F098" w:rsidR="0054726B" w:rsidRDefault="0054726B"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74796" w14:paraId="118AC2E0" w14:textId="77777777" w:rsidTr="00936947">
        <w:tc>
          <w:tcPr>
            <w:tcW w:w="9016" w:type="dxa"/>
          </w:tcPr>
          <w:tbl>
            <w:tblPr>
              <w:tblStyle w:val="sdmaptablestyle1"/>
              <w:tblW w:type="auto" w:w="0"/>
              <w:tblLayout w:type="autofit"/>
              <w:tblLook w:firstColumn="1" w:firstRow="1" w:lastColumn="0" w:lastRow="0" w:noHBand="0" w:noVBand="1" w:val="04A0"/>
            </w:tblPr>
            <w:tblGrid>
              <w:gridCol w:w="3005"/>
              <w:gridCol w:w="3005"/>
              <w:gridCol w:w="3005"/>
            </w:tblGrid>
            <w:tr>
              <w:tc>
                <w:tcPr>
                  <w:tcW w:type="dxa" w:w="3005"/>
                </w:tcPr>
                <w:p>
                  <w:r>
                    <w:t>Holloway</w:t>
                  </w:r>
                </w:p>
              </w:tc>
              <w:tc>
                <w:tcPr>
                  <w:tcW w:type="dxa" w:w="3005"/>
                </w:tcPr>
                <w:p>
                  <w:r>
                    <w:t>Islington</w:t>
                  </w:r>
                </w:p>
              </w:tc>
              <w:tc>
                <w:tcPr>
                  <w:tcW w:type="dxa" w:w="3005"/>
                </w:tcPr>
                <w:p>
                  <w:r>
                    <w:t>London</w:t>
                  </w:r>
                </w:p>
              </w:tc>
            </w:tr>
            <w:tr>
              <w:tc>
                <w:tcPr>
                  <w:tcW w:type="dxa" w:w="3005"/>
                </w:tcPr>
                <w:p>
                  <w:r>
                    <w:t>Level 4 - [43.34%]</w:t>
                  </w:r>
                </w:p>
              </w:tc>
              <w:tc>
                <w:tcPr>
                  <w:tcW w:type="dxa" w:w="3005"/>
                </w:tcPr>
                <w:p>
                  <w:r>
                    <w:t>Level 4 - [48.07%]</w:t>
                  </w:r>
                </w:p>
              </w:tc>
              <w:tc>
                <w:tcPr>
                  <w:tcW w:type="dxa" w:w="3005"/>
                </w:tcPr>
                <w:p>
                  <w:r>
                    <w:t>Level 4 - [39.40%]</w:t>
                  </w:r>
                </w:p>
              </w:tc>
            </w:tr>
            <w:tr>
              <w:tc>
                <w:tcPr>
                  <w:tcW w:type="dxa" w:w="3005"/>
                </w:tcPr>
                <w:p>
                  <w:r>
                    <w:t>None - [18.81%]</w:t>
                  </w:r>
                </w:p>
              </w:tc>
              <w:tc>
                <w:tcPr>
                  <w:tcW w:type="dxa" w:w="3005"/>
                </w:tcPr>
                <w:p>
                  <w:r>
                    <w:t>None - [16.98%]</w:t>
                  </w:r>
                </w:p>
              </w:tc>
              <w:tc>
                <w:tcPr>
                  <w:tcW w:type="dxa" w:w="3005"/>
                </w:tcPr>
                <w:p>
                  <w:r>
                    <w:t>None - [16.93%]</w:t>
                  </w:r>
                </w:p>
              </w:tc>
            </w:tr>
            <w:tr>
              <w:tc>
                <w:tcPr>
                  <w:tcW w:type="dxa" w:w="3005"/>
                  <w:shd w:fill="EAFAF1"/>
                </w:tcPr>
                <w:p>
                  <w:r>
                    <w:t>FT Student 18+ - [14.92%]</w:t>
                  </w:r>
                </w:p>
              </w:tc>
              <w:tc>
                <w:tcPr>
                  <w:tcW w:type="dxa" w:w="3005"/>
                  <w:shd w:fill="EAFAF1"/>
                </w:tcPr>
                <w:p>
                  <w:r>
                    <w:t>FT Student 18+ - [10.71%]</w:t>
                  </w:r>
                </w:p>
              </w:tc>
              <w:tc>
                <w:tcPr>
                  <w:tcW w:type="dxa" w:w="3005"/>
                </w:tcPr>
                <w:p>
                  <w:r>
                    <w:t>Level 2 - [11.56%]</w:t>
                  </w:r>
                </w:p>
              </w:tc>
            </w:tr>
            <w:tr>
              <w:tc>
                <w:tcPr>
                  <w:tcW w:type="dxa" w:w="3005"/>
                  <w:shd w:fill="EAFAF1"/>
                </w:tcPr>
                <w:p>
                  <w:r>
                    <w:t>Level 3 - [11.15%]</w:t>
                  </w:r>
                </w:p>
              </w:tc>
              <w:tc>
                <w:tcPr>
                  <w:tcW w:type="dxa" w:w="3005"/>
                  <w:shd w:fill="EAFAF1"/>
                </w:tcPr>
                <w:p>
                  <w:r>
                    <w:t>Level 3 - [9.75%]</w:t>
                  </w:r>
                </w:p>
              </w:tc>
              <w:tc>
                <w:tcPr>
                  <w:tcW w:type="dxa" w:w="3005"/>
                </w:tcPr>
                <w:p>
                  <w:r>
                    <w:t>Level 1 - [10.36%]</w:t>
                  </w:r>
                </w:p>
              </w:tc>
            </w:tr>
            <w:tr>
              <w:tc>
                <w:tcPr>
                  <w:tcW w:type="dxa" w:w="3005"/>
                  <w:shd w:fill="EAFAF1"/>
                </w:tcPr>
                <w:p>
                  <w:r>
                    <w:t>Level 2 - [8.69%]</w:t>
                  </w:r>
                </w:p>
              </w:tc>
              <w:tc>
                <w:tcPr>
                  <w:tcW w:type="dxa" w:w="3005"/>
                  <w:shd w:fill="EAFAF1"/>
                </w:tcPr>
                <w:p>
                  <w:r>
                    <w:t>Level 2 - [8.40%]</w:t>
                  </w:r>
                </w:p>
              </w:tc>
              <w:tc>
                <w:tcPr>
                  <w:tcW w:type="dxa" w:w="3005"/>
                </w:tcPr>
                <w:p>
                  <w:r>
                    <w:t>Level 3 - [10.32%]</w:t>
                  </w:r>
                </w:p>
              </w:tc>
            </w:tr>
            <w:tr>
              <w:tc>
                <w:tcPr>
                  <w:tcW w:type="dxa" w:w="3005"/>
                </w:tcPr>
                <w:p>
                  <w:r>
                    <w:t>Other - [8.63%]</w:t>
                  </w:r>
                </w:p>
              </w:tc>
              <w:tc>
                <w:tcPr>
                  <w:tcW w:type="dxa" w:w="3005"/>
                  <w:shd w:fill="EAFAF1"/>
                </w:tcPr>
                <w:p>
                  <w:r>
                    <w:t>Level 1 - [8.04%]</w:t>
                  </w:r>
                </w:p>
              </w:tc>
              <w:tc>
                <w:tcPr>
                  <w:tcW w:type="dxa" w:w="3005"/>
                </w:tcPr>
                <w:p>
                  <w:r>
                    <w:t>Other - [9.81%]</w:t>
                  </w:r>
                </w:p>
              </w:tc>
            </w:tr>
            <w:tr>
              <w:tc>
                <w:tcPr>
                  <w:tcW w:type="dxa" w:w="3005"/>
                  <w:shd w:fill="D5F5E3"/>
                </w:tcPr>
                <w:p>
                  <w:r>
                    <w:t>Level 1 - [8.42%]</w:t>
                  </w:r>
                </w:p>
              </w:tc>
              <w:tc>
                <w:tcPr>
                  <w:tcW w:type="dxa" w:w="3005"/>
                  <w:shd w:fill="EAFAF1"/>
                </w:tcPr>
                <w:p>
                  <w:r>
                    <w:t>Other - [7.76%]</w:t>
                  </w:r>
                </w:p>
              </w:tc>
              <w:tc>
                <w:tcPr>
                  <w:tcW w:type="dxa" w:w="3005"/>
                </w:tcPr>
                <w:p>
                  <w:r>
                    <w:t>FT Student 18+ - [7.85%]</w:t>
                  </w:r>
                </w:p>
              </w:tc>
            </w:tr>
            <w:tr>
              <w:tc>
                <w:tcPr>
                  <w:tcW w:type="dxa" w:w="3005"/>
                  <w:shd w:fill="EAFAF1"/>
                </w:tcPr>
                <w:p>
                  <w:r>
                    <w:t>FT Student 18+ Employed - [3.35%]</w:t>
                  </w:r>
                </w:p>
              </w:tc>
              <w:tc>
                <w:tcPr>
                  <w:tcW w:type="dxa" w:w="3005"/>
                  <w:shd w:fill="EAFAF1"/>
                </w:tcPr>
                <w:p>
                  <w:r>
                    <w:t>FT Student 18+ Employed - [2.45%]</w:t>
                  </w:r>
                </w:p>
              </w:tc>
              <w:tc>
                <w:tcPr>
                  <w:tcW w:type="dxa" w:w="3005"/>
                </w:tcPr>
                <w:p>
                  <w:r>
                    <w:t>FT Student 16 17 - [2.51%]</w:t>
                  </w:r>
                </w:p>
              </w:tc>
            </w:tr>
            <w:tr>
              <w:tc>
                <w:tcPr>
                  <w:tcW w:type="dxa" w:w="3005"/>
                  <w:shd w:fill="EAFAF1"/>
                </w:tcPr>
                <w:p>
                  <w:r>
                    <w:t>FT Student 16 17 - [2.30%]</w:t>
                  </w:r>
                </w:p>
              </w:tc>
              <w:tc>
                <w:tcPr>
                  <w:tcW w:type="dxa" w:w="3005"/>
                  <w:shd w:fill="EAFAF1"/>
                </w:tcPr>
                <w:p>
                  <w:r>
                    <w:t>FT Student 16 17 - [1.86%]</w:t>
                  </w:r>
                </w:p>
              </w:tc>
              <w:tc>
                <w:tcPr>
                  <w:tcW w:type="dxa" w:w="3005"/>
                </w:tcPr>
                <w:p>
                  <w:r>
                    <w:t>FT Student 18+ Employed - [2.42%]</w:t>
                  </w:r>
                </w:p>
              </w:tc>
            </w:tr>
            <w:tr>
              <w:tc>
                <w:tcPr>
                  <w:tcW w:type="dxa" w:w="3005"/>
                  <w:shd w:fill="D5F5E3"/>
                </w:tcPr>
                <w:p>
                  <w:r>
                    <w:t>FT Student 18+ Unemployed - [1.34%]</w:t>
                  </w:r>
                </w:p>
              </w:tc>
              <w:tc>
                <w:tcPr>
                  <w:tcW w:type="dxa" w:w="3005"/>
                </w:tcPr>
                <w:p>
                  <w:r>
                    <w:t>Apprenticeship - [1.01%]</w:t>
                  </w:r>
                </w:p>
              </w:tc>
              <w:tc>
                <w:tcPr>
                  <w:tcW w:type="dxa" w:w="3005"/>
                </w:tcPr>
                <w:p>
                  <w:r>
                    <w:t>Apprenticeship - [1.61%]</w:t>
                  </w:r>
                </w:p>
              </w:tc>
            </w:tr>
            <w:tr>
              <w:tc>
                <w:tcPr>
                  <w:tcW w:type="dxa" w:w="3005"/>
                  <w:shd w:fill="D5F5E3"/>
                </w:tcPr>
                <w:p>
                  <w:r>
                    <w:t>Apprenticeship - [0.97%]</w:t>
                  </w:r>
                </w:p>
              </w:tc>
              <w:tc>
                <w:tcPr>
                  <w:tcW w:type="dxa" w:w="3005"/>
                </w:tcPr>
                <w:p>
                  <w:r>
                    <w:t>FT Student 18+ Unemployed - [0.87%]</w:t>
                  </w:r>
                </w:p>
              </w:tc>
              <w:tc>
                <w:tcPr>
                  <w:tcW w:type="dxa" w:w="3005"/>
                </w:tcPr>
                <w:p>
                  <w:r>
                    <w:t>FT Student 18+ Unemployed - [0.75%]</w:t>
                  </w:r>
                </w:p>
              </w:tc>
            </w:tr>
          </w:tbl>
          <w:p/>
        </w:tc>
      </w:tr>
      <w:tr w:rsidR="006B6BD2" w14:paraId="6CDC1366" w14:textId="77777777" w:rsidTr="00936947">
        <w:tc>
          <w:tcPr>
            <w:tcW w:w="9016" w:type="dxa"/>
          </w:tcPr>
          <w:p w14:paraId="10052950" w14:textId="77777777" w:rsidR="00891F79" w:rsidRDefault="00891F79" w:rsidP="006B6BD2">
            <w:pPr>
              <w:jc w:val="center"/>
            </w:pPr>
          </w:p>
          <w:p w14:paraId="77AAC1DC" w14:textId="70C9A1E7" w:rsidR="006B6BD2" w:rsidRDefault="006B6BD2" w:rsidP="006B6BD2">
            <w:pPr>
              <w:jc w:val="center"/>
            </w:pPr>
            <w:r>
              <w:t>Education Ranking Table</w:t>
            </w:r>
          </w:p>
        </w:tc>
      </w:tr>
      <w:tr w:rsidR="00C07FB5" w14:paraId="7140C97F" w14:textId="77777777" w:rsidTr="00936947">
        <w:tc>
          <w:tcPr>
            <w:tcW w:w="9016" w:type="dxa"/>
          </w:tcPr>
          <w:p w14:paraId="240BBC3A" w14:textId="77777777" w:rsidR="00C07FB5" w:rsidRDefault="00C07FB5" w:rsidP="006B6BD2">
            <w:pPr>
              <w:jc w:val="center"/>
            </w:pPr>
          </w:p>
        </w:tc>
      </w:tr>
      <w:tr w:rsidR="00340DF6" w14:paraId="0C2DDEE9" w14:textId="77777777" w:rsidTr="00936947">
        <w:tc>
          <w:tcPr>
            <w:tcW w:w="9016" w:type="dxa"/>
          </w:tcPr>
          <w:p>
            <w:pPr>
              <w:jc w:val="both"/>
            </w:pPr>
            <w:r>
              <w:rPr>
                <w:sz w:val="24"/>
              </w:rPr>
              <w:t>For the borough Islington and ward Holloway, the Level 4 education level (post secondary school including university) is high, which is similar at the borough level. Levels of no education (None) is high for the ward and also at the borough level. Both ward and borough have high levels of full time 18+ students. Indicating that both are student areas.</w:t>
            </w:r>
          </w:p>
        </w:tc>
      </w:tr>
      <w:tr w:rsidR="00340DF6" w14:paraId="3BA89ACD" w14:textId="77777777" w:rsidTr="00936947">
        <w:tc>
          <w:tcPr>
            <w:tcW w:w="9016" w:type="dxa"/>
          </w:tcPr>
          <w:p w14:paraId="19D280EC" w14:textId="77777777" w:rsidR="00340DF6" w:rsidRDefault="00340DF6" w:rsidP="006B6BD2">
            <w:pPr>
              <w:jc w:val="center"/>
            </w:pPr>
          </w:p>
        </w:tc>
      </w:tr>
      <w:tr w:rsidR="00C07FB5" w14:paraId="26CA7915" w14:textId="77777777" w:rsidTr="00530908">
        <w:tc>
          <w:tcPr>
            <w:tcW w:w="9016" w:type="dxa"/>
          </w:tcPr>
          <w:p>
            <w:pPr>
              <w:jc w:val="both"/>
            </w:pPr>
            <w:r>
              <w:rPr>
                <w:sz w:val="24"/>
              </w:rPr>
              <w:t>The table below shows the comparison of qualifications (highest to lowest) achieved in Holloway, Islington and London for the year 2011. Value shading indicates a difference from the city level from 1 to 5 percent in 1 percent intervals. The shade darkens with an increase in difference. Increases and decreases use different colours for clarity only.</w:t>
            </w:r>
          </w:p>
        </w:tc>
      </w:tr>
    </w:tbl>
    <w:p w14:paraId="4C8EBA34" w14:textId="399420A2" w:rsidR="00274796" w:rsidRDefault="00274796"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76F3B" w14:paraId="4EC7C8A9" w14:textId="77777777" w:rsidTr="007B4305">
        <w:tc>
          <w:tcPr>
            <w:tcW w:w="9016" w:type="dxa"/>
          </w:tcPr>
          <w:tbl>
            <w:tblPr>
              <w:tblStyle w:val="sdmaptablestyle1"/>
              <w:tblW w:type="auto" w:w="0"/>
              <w:tblLayout w:type="autofit"/>
              <w:tblLook w:firstColumn="1" w:firstRow="1" w:lastColumn="0" w:lastRow="0" w:noHBand="0" w:noVBand="1" w:val="04A0"/>
            </w:tblPr>
            <w:tblGrid>
              <w:gridCol w:w="2254"/>
              <w:gridCol w:w="2254"/>
              <w:gridCol w:w="2254"/>
              <w:gridCol w:w="2254"/>
            </w:tblGrid>
            <w:tr>
              <w:tc>
                <w:tcPr>
                  <w:tcW w:type="dxa" w:w="2254"/>
                </w:tcPr>
                <w:p>
                  <w:r>
                    <w:t>Level</w:t>
                  </w:r>
                </w:p>
              </w:tc>
              <w:tc>
                <w:tcPr>
                  <w:tcW w:type="dxa" w:w="2254"/>
                </w:tcPr>
                <w:p>
                  <w:r>
                    <w:t>Holloway</w:t>
                  </w:r>
                </w:p>
              </w:tc>
              <w:tc>
                <w:tcPr>
                  <w:tcW w:type="dxa" w:w="2254"/>
                </w:tcPr>
                <w:p>
                  <w:r>
                    <w:t>Islington</w:t>
                  </w:r>
                </w:p>
              </w:tc>
              <w:tc>
                <w:tcPr>
                  <w:tcW w:type="dxa" w:w="2254"/>
                </w:tcPr>
                <w:p>
                  <w:r>
                    <w:t>London</w:t>
                  </w:r>
                </w:p>
              </w:tc>
            </w:tr>
            <w:tr>
              <w:tc>
                <w:tcPr>
                  <w:tcW w:type="dxa" w:w="2254"/>
                </w:tcPr>
                <w:p>
                  <w:r>
                    <w:t>Level 4</w:t>
                  </w:r>
                </w:p>
              </w:tc>
              <w:tc>
                <w:tcPr>
                  <w:tcW w:type="dxa" w:w="2254"/>
                  <w:shd w:fill="ABEBC6"/>
                </w:tcPr>
                <w:p>
                  <w:r>
                    <w:t>43.34%</w:t>
                  </w:r>
                </w:p>
              </w:tc>
              <w:tc>
                <w:tcPr>
                  <w:tcW w:type="dxa" w:w="2254"/>
                  <w:shd w:fill="58D68D"/>
                </w:tcPr>
                <w:p>
                  <w:r>
                    <w:t>48.07%</w:t>
                  </w:r>
                </w:p>
              </w:tc>
              <w:tc>
                <w:tcPr>
                  <w:tcW w:type="dxa" w:w="2254"/>
                </w:tcPr>
                <w:p>
                  <w:r>
                    <w:t>39.40%</w:t>
                  </w:r>
                </w:p>
              </w:tc>
            </w:tr>
            <w:tr>
              <w:tc>
                <w:tcPr>
                  <w:tcW w:type="dxa" w:w="2254"/>
                </w:tcPr>
                <w:p>
                  <w:r>
                    <w:t>None</w:t>
                  </w:r>
                </w:p>
              </w:tc>
              <w:tc>
                <w:tcPr>
                  <w:tcW w:type="dxa" w:w="2254"/>
                  <w:shd w:fill="EAFAF1"/>
                </w:tcPr>
                <w:p>
                  <w:r>
                    <w:t>18.81%</w:t>
                  </w:r>
                </w:p>
              </w:tc>
              <w:tc>
                <w:tcPr>
                  <w:tcW w:type="dxa" w:w="2254"/>
                </w:tcPr>
                <w:p>
                  <w:r>
                    <w:t>16.98%</w:t>
                  </w:r>
                </w:p>
              </w:tc>
              <w:tc>
                <w:tcPr>
                  <w:tcW w:type="dxa" w:w="2254"/>
                </w:tcPr>
                <w:p>
                  <w:r>
                    <w:t>16.93%</w:t>
                  </w:r>
                </w:p>
              </w:tc>
            </w:tr>
            <w:tr>
              <w:tc>
                <w:tcPr>
                  <w:tcW w:type="dxa" w:w="2254"/>
                </w:tcPr>
                <w:p>
                  <w:r>
                    <w:t>FT Student 18+</w:t>
                  </w:r>
                </w:p>
              </w:tc>
              <w:tc>
                <w:tcPr>
                  <w:tcW w:type="dxa" w:w="2254"/>
                  <w:shd w:fill="ABEBC6"/>
                </w:tcPr>
                <w:p>
                  <w:r>
                    <w:t>14.92%</w:t>
                  </w:r>
                </w:p>
              </w:tc>
              <w:tc>
                <w:tcPr>
                  <w:tcW w:type="dxa" w:w="2254"/>
                </w:tcPr>
                <w:p>
                  <w:r>
                    <w:t>10.71%</w:t>
                  </w:r>
                </w:p>
              </w:tc>
              <w:tc>
                <w:tcPr>
                  <w:tcW w:type="dxa" w:w="2254"/>
                </w:tcPr>
                <w:p>
                  <w:r>
                    <w:t>11.56%</w:t>
                  </w:r>
                </w:p>
              </w:tc>
            </w:tr>
            <w:tr>
              <w:tc>
                <w:tcPr>
                  <w:tcW w:type="dxa" w:w="2254"/>
                </w:tcPr>
                <w:p>
                  <w:r>
                    <w:t>Level 3</w:t>
                  </w:r>
                </w:p>
              </w:tc>
              <w:tc>
                <w:tcPr>
                  <w:tcW w:type="dxa" w:w="2254"/>
                </w:tcPr>
                <w:p>
                  <w:r>
                    <w:t>11.15%</w:t>
                  </w:r>
                </w:p>
              </w:tc>
              <w:tc>
                <w:tcPr>
                  <w:tcW w:type="dxa" w:w="2254"/>
                </w:tcPr>
                <w:p>
                  <w:r>
                    <w:t>9.75%</w:t>
                  </w:r>
                </w:p>
              </w:tc>
              <w:tc>
                <w:tcPr>
                  <w:tcW w:type="dxa" w:w="2254"/>
                </w:tcPr>
                <w:p>
                  <w:r>
                    <w:t>10.36%</w:t>
                  </w:r>
                </w:p>
              </w:tc>
            </w:tr>
            <w:tr>
              <w:tc>
                <w:tcPr>
                  <w:tcW w:type="dxa" w:w="2254"/>
                </w:tcPr>
                <w:p>
                  <w:r>
                    <w:t>Level 2</w:t>
                  </w:r>
                </w:p>
              </w:tc>
              <w:tc>
                <w:tcPr>
                  <w:tcW w:type="dxa" w:w="2254"/>
                  <w:shd w:fill="F5EEF8"/>
                </w:tcPr>
                <w:p>
                  <w:r>
                    <w:t>8.69%</w:t>
                  </w:r>
                </w:p>
              </w:tc>
              <w:tc>
                <w:tcPr>
                  <w:tcW w:type="dxa" w:w="2254"/>
                  <w:shd w:fill="F5EEF8"/>
                </w:tcPr>
                <w:p>
                  <w:r>
                    <w:t>8.40%</w:t>
                  </w:r>
                </w:p>
              </w:tc>
              <w:tc>
                <w:tcPr>
                  <w:tcW w:type="dxa" w:w="2254"/>
                </w:tcPr>
                <w:p>
                  <w:r>
                    <w:t>10.32%</w:t>
                  </w:r>
                </w:p>
              </w:tc>
            </w:tr>
            <w:tr>
              <w:tc>
                <w:tcPr>
                  <w:tcW w:type="dxa" w:w="2254"/>
                </w:tcPr>
                <w:p>
                  <w:r>
                    <w:t>Other</w:t>
                  </w:r>
                </w:p>
              </w:tc>
              <w:tc>
                <w:tcPr>
                  <w:tcW w:type="dxa" w:w="2254"/>
                  <w:shd w:fill="F5EEF8"/>
                </w:tcPr>
                <w:p>
                  <w:r>
                    <w:t>8.63%</w:t>
                  </w:r>
                </w:p>
              </w:tc>
              <w:tc>
                <w:tcPr>
                  <w:tcW w:type="dxa" w:w="2254"/>
                  <w:shd w:fill="F5EEF8"/>
                </w:tcPr>
                <w:p>
                  <w:r>
                    <w:t>8.04%</w:t>
                  </w:r>
                </w:p>
              </w:tc>
              <w:tc>
                <w:tcPr>
                  <w:tcW w:type="dxa" w:w="2254"/>
                </w:tcPr>
                <w:p>
                  <w:r>
                    <w:t>9.81%</w:t>
                  </w:r>
                </w:p>
              </w:tc>
            </w:tr>
            <w:tr>
              <w:tc>
                <w:tcPr>
                  <w:tcW w:type="dxa" w:w="2254"/>
                </w:tcPr>
                <w:p>
                  <w:r>
                    <w:t>Level 1</w:t>
                  </w:r>
                </w:p>
              </w:tc>
              <w:tc>
                <w:tcPr>
                  <w:tcW w:type="dxa" w:w="2254"/>
                </w:tcPr>
                <w:p>
                  <w:r>
                    <w:t>8.42%</w:t>
                  </w:r>
                </w:p>
              </w:tc>
              <w:tc>
                <w:tcPr>
                  <w:tcW w:type="dxa" w:w="2254"/>
                </w:tcPr>
                <w:p>
                  <w:r>
                    <w:t>7.76%</w:t>
                  </w:r>
                </w:p>
              </w:tc>
              <w:tc>
                <w:tcPr>
                  <w:tcW w:type="dxa" w:w="2254"/>
                </w:tcPr>
                <w:p>
                  <w:r>
                    <w:t>7.85%</w:t>
                  </w:r>
                </w:p>
              </w:tc>
            </w:tr>
            <w:tr>
              <w:tc>
                <w:tcPr>
                  <w:tcW w:type="dxa" w:w="2254"/>
                </w:tcPr>
                <w:p>
                  <w:r>
                    <w:t>FT Student 18+ Employed</w:t>
                  </w:r>
                </w:p>
              </w:tc>
              <w:tc>
                <w:tcPr>
                  <w:tcW w:type="dxa" w:w="2254"/>
                </w:tcPr>
                <w:p>
                  <w:r>
                    <w:t>3.35%</w:t>
                  </w:r>
                </w:p>
              </w:tc>
              <w:tc>
                <w:tcPr>
                  <w:tcW w:type="dxa" w:w="2254"/>
                </w:tcPr>
                <w:p>
                  <w:r>
                    <w:t>2.45%</w:t>
                  </w:r>
                </w:p>
              </w:tc>
              <w:tc>
                <w:tcPr>
                  <w:tcW w:type="dxa" w:w="2254"/>
                </w:tcPr>
                <w:p>
                  <w:r>
                    <w:t>2.51%</w:t>
                  </w:r>
                </w:p>
              </w:tc>
            </w:tr>
            <w:tr>
              <w:tc>
                <w:tcPr>
                  <w:tcW w:type="dxa" w:w="2254"/>
                </w:tcPr>
                <w:p>
                  <w:r>
                    <w:t>FT Student 16 17</w:t>
                  </w:r>
                </w:p>
              </w:tc>
              <w:tc>
                <w:tcPr>
                  <w:tcW w:type="dxa" w:w="2254"/>
                </w:tcPr>
                <w:p>
                  <w:r>
                    <w:t>2.30%</w:t>
                  </w:r>
                </w:p>
              </w:tc>
              <w:tc>
                <w:tcPr>
                  <w:tcW w:type="dxa" w:w="2254"/>
                </w:tcPr>
                <w:p>
                  <w:r>
                    <w:t>1.86%</w:t>
                  </w:r>
                </w:p>
              </w:tc>
              <w:tc>
                <w:tcPr>
                  <w:tcW w:type="dxa" w:w="2254"/>
                </w:tcPr>
                <w:p>
                  <w:r>
                    <w:t>2.42%</w:t>
                  </w:r>
                </w:p>
              </w:tc>
            </w:tr>
            <w:tr>
              <w:tc>
                <w:tcPr>
                  <w:tcW w:type="dxa" w:w="2254"/>
                </w:tcPr>
                <w:p>
                  <w:r>
                    <w:t>FT Student 18+ Unemployed</w:t>
                  </w:r>
                </w:p>
              </w:tc>
              <w:tc>
                <w:tcPr>
                  <w:tcW w:type="dxa" w:w="2254"/>
                </w:tcPr>
                <w:p>
                  <w:r>
                    <w:t>1.34%</w:t>
                  </w:r>
                </w:p>
              </w:tc>
              <w:tc>
                <w:tcPr>
                  <w:tcW w:type="dxa" w:w="2254"/>
                </w:tcPr>
                <w:p>
                  <w:r>
                    <w:t>1.01%</w:t>
                  </w:r>
                </w:p>
              </w:tc>
              <w:tc>
                <w:tcPr>
                  <w:tcW w:type="dxa" w:w="2254"/>
                </w:tcPr>
                <w:p>
                  <w:r>
                    <w:t>1.61%</w:t>
                  </w:r>
                </w:p>
              </w:tc>
            </w:tr>
            <w:tr>
              <w:tc>
                <w:tcPr>
                  <w:tcW w:type="dxa" w:w="2254"/>
                </w:tcPr>
                <w:p>
                  <w:r>
                    <w:t>Apprenticeship</w:t>
                  </w:r>
                </w:p>
              </w:tc>
              <w:tc>
                <w:tcPr>
                  <w:tcW w:type="dxa" w:w="2254"/>
                </w:tcPr>
                <w:p>
                  <w:r>
                    <w:t>0.97%</w:t>
                  </w:r>
                </w:p>
              </w:tc>
              <w:tc>
                <w:tcPr>
                  <w:tcW w:type="dxa" w:w="2254"/>
                </w:tcPr>
                <w:p>
                  <w:r>
                    <w:t>0.87%</w:t>
                  </w:r>
                </w:p>
              </w:tc>
              <w:tc>
                <w:tcPr>
                  <w:tcW w:type="dxa" w:w="2254"/>
                </w:tcPr>
                <w:p>
                  <w:r>
                    <w:t>0.75%</w:t>
                  </w:r>
                </w:p>
              </w:tc>
            </w:tr>
          </w:tbl>
          <w:p/>
        </w:tc>
      </w:tr>
      <w:tr w:rsidR="00975513" w14:paraId="5F50153C" w14:textId="77777777" w:rsidTr="007B4305">
        <w:tc>
          <w:tcPr>
            <w:tcW w:w="9016" w:type="dxa"/>
          </w:tcPr>
          <w:p w14:paraId="1E668D86" w14:textId="77777777" w:rsidR="00975513" w:rsidRDefault="00975513" w:rsidP="00B76F3B"/>
        </w:tc>
      </w:tr>
      <w:tr w:rsidR="00975513" w14:paraId="7B8077B8" w14:textId="77777777" w:rsidTr="007B4305">
        <w:tc>
          <w:tcPr>
            <w:tcW w:w="9016" w:type="dxa"/>
          </w:tcPr>
          <w:p w14:paraId="530ED7FA" w14:textId="70D0AD02" w:rsidR="00975513" w:rsidRDefault="00975513" w:rsidP="00975513">
            <w:pPr>
              <w:jc w:val="center"/>
            </w:pPr>
            <w:r>
              <w:t xml:space="preserve">Education </w:t>
            </w:r>
            <w:r w:rsidR="006D28A3">
              <w:t>Comparison</w:t>
            </w:r>
            <w:r>
              <w:t xml:space="preserve"> Table</w:t>
            </w:r>
          </w:p>
        </w:tc>
      </w:tr>
    </w:tbl>
    <w:p w14:paraId="02B4BD53" w14:textId="725E6947" w:rsidR="003E537A" w:rsidRPr="00C61C60" w:rsidRDefault="007B4305" w:rsidP="00C61C60">
      <w:r>
        <w:t xml:space="preserve"> </w:t>
      </w:r>
    </w:p>
    <w:sectPr w:rsidR="003E537A" w:rsidRPr="00C61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E2"/>
    <w:rsid w:val="00053F39"/>
    <w:rsid w:val="000658F0"/>
    <w:rsid w:val="00096163"/>
    <w:rsid w:val="0016052E"/>
    <w:rsid w:val="00160AC8"/>
    <w:rsid w:val="001844EE"/>
    <w:rsid w:val="001B5103"/>
    <w:rsid w:val="001C1CFB"/>
    <w:rsid w:val="00274796"/>
    <w:rsid w:val="00280B86"/>
    <w:rsid w:val="002E3476"/>
    <w:rsid w:val="0030634B"/>
    <w:rsid w:val="00340DF6"/>
    <w:rsid w:val="00345688"/>
    <w:rsid w:val="00387BA2"/>
    <w:rsid w:val="003B09D0"/>
    <w:rsid w:val="003E537A"/>
    <w:rsid w:val="003F0CEA"/>
    <w:rsid w:val="003F629F"/>
    <w:rsid w:val="00440CED"/>
    <w:rsid w:val="00441C75"/>
    <w:rsid w:val="00485A46"/>
    <w:rsid w:val="004929D0"/>
    <w:rsid w:val="004C7191"/>
    <w:rsid w:val="00517F73"/>
    <w:rsid w:val="00523C2B"/>
    <w:rsid w:val="0053398B"/>
    <w:rsid w:val="00543749"/>
    <w:rsid w:val="0054726B"/>
    <w:rsid w:val="00547B11"/>
    <w:rsid w:val="005F61C6"/>
    <w:rsid w:val="006356EC"/>
    <w:rsid w:val="00655048"/>
    <w:rsid w:val="00684C2B"/>
    <w:rsid w:val="006B6BD2"/>
    <w:rsid w:val="006D1464"/>
    <w:rsid w:val="006D28A3"/>
    <w:rsid w:val="006D717F"/>
    <w:rsid w:val="00714E9A"/>
    <w:rsid w:val="00750D83"/>
    <w:rsid w:val="00753362"/>
    <w:rsid w:val="007B2BF9"/>
    <w:rsid w:val="007B4305"/>
    <w:rsid w:val="007D75F2"/>
    <w:rsid w:val="00836E97"/>
    <w:rsid w:val="008442B3"/>
    <w:rsid w:val="00880406"/>
    <w:rsid w:val="00880AF9"/>
    <w:rsid w:val="00891F79"/>
    <w:rsid w:val="008E6E50"/>
    <w:rsid w:val="009143E4"/>
    <w:rsid w:val="009209D7"/>
    <w:rsid w:val="00936947"/>
    <w:rsid w:val="00945230"/>
    <w:rsid w:val="00966BAB"/>
    <w:rsid w:val="00970179"/>
    <w:rsid w:val="00975513"/>
    <w:rsid w:val="009B3023"/>
    <w:rsid w:val="009B6612"/>
    <w:rsid w:val="009D2E80"/>
    <w:rsid w:val="009D378C"/>
    <w:rsid w:val="00A00682"/>
    <w:rsid w:val="00A341D3"/>
    <w:rsid w:val="00A35ACB"/>
    <w:rsid w:val="00A76A26"/>
    <w:rsid w:val="00A81B86"/>
    <w:rsid w:val="00A844E1"/>
    <w:rsid w:val="00A857DB"/>
    <w:rsid w:val="00A86932"/>
    <w:rsid w:val="00AA3679"/>
    <w:rsid w:val="00AD2C2F"/>
    <w:rsid w:val="00AF2170"/>
    <w:rsid w:val="00B150DB"/>
    <w:rsid w:val="00B76F3B"/>
    <w:rsid w:val="00B909DC"/>
    <w:rsid w:val="00BE4FE3"/>
    <w:rsid w:val="00C07FB5"/>
    <w:rsid w:val="00C20F3C"/>
    <w:rsid w:val="00C423FD"/>
    <w:rsid w:val="00C5515C"/>
    <w:rsid w:val="00C61C60"/>
    <w:rsid w:val="00C874FC"/>
    <w:rsid w:val="00C972A5"/>
    <w:rsid w:val="00CC5329"/>
    <w:rsid w:val="00CD03AC"/>
    <w:rsid w:val="00D021D4"/>
    <w:rsid w:val="00D052E2"/>
    <w:rsid w:val="00D352C4"/>
    <w:rsid w:val="00DF1057"/>
    <w:rsid w:val="00DF5FA1"/>
    <w:rsid w:val="00E32FBF"/>
    <w:rsid w:val="00E5621F"/>
    <w:rsid w:val="00E914DA"/>
    <w:rsid w:val="00EF69A2"/>
    <w:rsid w:val="00F17E8C"/>
    <w:rsid w:val="00F26BDC"/>
    <w:rsid w:val="00FF5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79AC"/>
  <w15:chartTrackingRefBased/>
  <w15:docId w15:val="{75FB668F-ADD2-4A33-B2EA-316B4E6A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D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37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9209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5">
    <w:name w:val="List Table 3 Accent 5"/>
    <w:basedOn w:val="TableNormal"/>
    <w:uiPriority w:val="48"/>
    <w:rsid w:val="009209D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B909D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485A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280B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aliases w:val="sd_map_table_style"/>
    <w:basedOn w:val="TableNormal"/>
    <w:uiPriority w:val="49"/>
    <w:rsid w:val="00E32FB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val="0"/>
        <w:bCs/>
      </w:rPr>
      <w:tblPr/>
      <w:tcPr>
        <w:tcBorders>
          <w:top w:val="double" w:sz="4" w:space="0" w:color="5B9BD5" w:themeColor="accent5"/>
        </w:tcBorders>
      </w:tcPr>
    </w:tblStylePr>
    <w:tblStylePr w:type="firstCol">
      <w:rPr>
        <w:b w:val="0"/>
        <w:bCs/>
      </w:rPr>
    </w:tblStylePr>
    <w:tblStylePr w:type="lastCol">
      <w:rPr>
        <w:b w:val="0"/>
        <w:bCs/>
      </w:rPr>
    </w:tblStylePr>
    <w:tblStylePr w:type="band1Vert">
      <w:tblPr/>
      <w:tcPr>
        <w:shd w:val="clear" w:color="auto" w:fill="FFFFFF" w:themeFill="background1"/>
      </w:tcPr>
    </w:tblStylePr>
    <w:tblStylePr w:type="band1Horz">
      <w:tblPr/>
      <w:tcPr>
        <w:shd w:val="clear" w:color="auto" w:fill="FFFFFF" w:themeFill="background1"/>
      </w:tcPr>
    </w:tblStylePr>
  </w:style>
  <w:style w:type="table" w:customStyle="1" w:styleId="sdmaptablestyle1">
    <w:name w:val="sd_map_table_style_1"/>
    <w:basedOn w:val="TableNormal"/>
    <w:uiPriority w:val="99"/>
    <w:rsid w:val="00DF1057"/>
    <w:pPr>
      <w:spacing w:after="0" w:line="240" w:lineRule="auto"/>
    </w:pPr>
    <w:rPr>
      <w:sz w:val="16"/>
    </w:rPr>
    <w:tblPr>
      <w:tblBorders>
        <w:top w:val="single" w:sz="4" w:space="0" w:color="auto"/>
        <w:left w:val="single" w:sz="4" w:space="0" w:color="auto"/>
        <w:bottom w:val="single" w:sz="4" w:space="0" w:color="auto"/>
        <w:right w:val="single" w:sz="4" w:space="0" w:color="auto"/>
      </w:tblBorders>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86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A53EC-9165-40AE-B82D-617D607CD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Bamford</dc:creator>
  <cp:keywords/>
  <dc:description/>
  <cp:lastModifiedBy>Neal Bamford</cp:lastModifiedBy>
  <cp:revision>104</cp:revision>
  <dcterms:created xsi:type="dcterms:W3CDTF">2022-08-24T15:55:00Z</dcterms:created>
  <dcterms:modified xsi:type="dcterms:W3CDTF">2022-08-25T17:56:00Z</dcterms:modified>
</cp:coreProperties>
</file>