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r>
        <w:t xml:space="preserve"/>
      </w:r>
    </w:p>
    <w:p>
      <w:pPr/>
      <w:r>
        <w:t xml:space="preserve"/>
      </w:r>
    </w:p>
    <w:p>
      <w:pPr/>
      <w:r>
        <w:t xml:space="preserve"/>
      </w:r>
    </w:p>
    <w:p>
      <w:pPr/>
      <w:r>
        <w:t xml:space="preserve"/>
      </w:r>
    </w:p>
    <w:p>
      <w:pPr>
        <w:jc w:val="center"/>
        <w:spacing w:after="120"/>
      </w:pPr>
      <w:r>
        <w:rPr>
          <w:b/>
          <w:sz w:val="40"/>
          <w:color w:val="14243A"/>
        </w:rPr>
        <w:t xml:space="preserve">STATISTICAL ANALYSIS PLAN</w:t>
      </w:r>
    </w:p>
    <w:p>
      <w:pPr>
        <w:jc w:val="center"/>
        <w:spacing w:after="360"/>
      </w:pPr>
      <w:r>
        <w:rPr>
          <w:b/>
          <w:sz w:val="30"/>
          <w:color w:val="14243A"/>
        </w:rPr>
        <w:t xml:space="preserve">nab-Paclitaxel (Abraxane) plus Gemcitabine in Subjects with Locally Advanced Pancreatic Cancer (LAPC): An International, Open-Label, Multi-Center, Phase 2 Study (LAPACT)</w:t>
      </w:r>
    </w:p>
    <w:p>
      <w:pPr/>
      <w:r>
        <w:t xml:space="preserve"/>
      </w:r>
    </w:p>
    <w:p>
      <w:pPr>
        <w:jc w:val="center"/>
        <w:spacing w:after="40"/>
      </w:pPr>
      <w:r>
        <w:rPr>
          <w:sz w:val="24"/>
        </w:rPr>
        <w:t xml:space="preserve">Protocol Number:  Prot_000</w:t>
      </w:r>
    </w:p>
    <w:p>
      <w:pPr>
        <w:jc w:val="center"/>
        <w:spacing w:after="40"/>
      </w:pPr>
      <w:r>
        <w:rPr>
          <w:sz w:val="24"/>
        </w:rPr>
        <w:t xml:space="preserve">Phase:  2</w:t>
      </w:r>
    </w:p>
    <w:p>
      <w:pPr>
        <w:jc w:val="center"/>
        <w:spacing w:after="40"/>
      </w:pPr>
      <w:r>
        <w:rPr>
          <w:sz w:val="24"/>
        </w:rPr>
        <w:t xml:space="preserve">Sponsor:  Celgene Corporation</w:t>
      </w:r>
    </w:p>
    <w:p>
      <w:pPr>
        <w:jc w:val="center"/>
        <w:spacing w:after="40"/>
      </w:pPr>
      <w:r>
        <w:rPr>
          <w:sz w:val="24"/>
        </w:rPr>
        <w:t xml:space="preserve">SAP Version:  1.0</w:t>
      </w:r>
    </w:p>
    <w:p>
      <w:pPr>
        <w:jc w:val="center"/>
        <w:spacing w:after="40"/>
      </w:pPr>
      <w:r>
        <w:rPr>
          <w:sz w:val="24"/>
        </w:rPr>
        <w:t xml:space="preserve">Date:  02 Jul 2026</w:t>
      </w:r>
    </w:p>
    <w:p>
      <w:pPr>
        <w:jc w:val="center"/>
        <w:spacing w:after="40"/>
      </w:pPr>
      <w:r>
        <w:rPr>
          <w:sz w:val="24"/>
        </w:rPr>
        <w:t xml:space="preserve">Document Status:  Final</w:t>
      </w:r>
    </w:p>
    <w:p>
      <w:pPr/>
      <w:r>
        <w:t xml:space="preserve"/>
      </w:r>
    </w:p>
    <w:p>
      <w:pPr/>
      <w:r>
        <w:t xml:space="preserve"/>
      </w:r>
    </w:p>
    <w:p>
      <w:pPr/>
      <w:r>
        <w:t xml:space="preserve"/>
      </w:r>
    </w:p>
    <w:p>
      <w:pPr/>
      <w:r>
        <w:t xml:space="preserve"/>
      </w:r>
    </w:p>
    <w:p>
      <w:pPr>
        <w:jc w:val="center"/>
      </w:pPr>
      <w:r>
        <w:rPr>
          <w:b/>
          <w:sz w:val="22"/>
          <w:color w:val="9A3B3B"/>
        </w:rPr>
        <w:t xml:space="preserve">CONFIDENTIAL</w:t>
      </w:r>
    </w:p>
    <w:p>
      <w:pPr>
        <w:pStyle w:val="Heading1"/>
        <w:pageBreakBefore/>
      </w:pPr>
      <w:r>
        <w:t xml:space="preserve">Approval Signatures</w:t>
      </w:r>
    </w:p>
    <w:tbl>
      <w:tblPr>
        <w:tblW w:type="auto" w:w="0"/>
        <w:tblLook w:firstColumn="1" w:firstRow="1" w:lastColumn="0" w:lastRow="0" w:noHBand="0" w:noVBand="1" w:val="04A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2340"/>
        <w:gridCol w:w="2340"/>
        <w:gridCol w:w="2340"/>
        <w:gridCol w:w="2340"/>
      </w:tblGrid>
      <w:tr>
        <w:trPr>
          <w:cantSplit/>
        </w:trPr>
        <w:tc>
          <w:tcPr>
            <w:tcW w:type="dxa" w:w="2340"/>
            <w:shd w:val="clear" w:fill="EEF0F4"/>
          </w:tcPr>
          <w:p>
            <w:r>
              <w:rPr>
                <w:b/>
                <w:color w:val="14243A"/>
              </w:rPr>
              <w:t>Role</w:t>
            </w:r>
          </w:p>
        </w:tc>
        <w:tc>
          <w:tcPr>
            <w:tcW w:type="dxa" w:w="2340"/>
            <w:shd w:val="clear" w:fill="EEF0F4"/>
          </w:tcPr>
          <w:p>
            <w:r>
              <w:rPr>
                <w:b/>
                <w:color w:val="14243A"/>
              </w:rPr>
              <w:t>Name</w:t>
            </w:r>
          </w:p>
        </w:tc>
        <w:tc>
          <w:tcPr>
            <w:tcW w:type="dxa" w:w="2340"/>
            <w:shd w:val="clear" w:fill="EEF0F4"/>
          </w:tcPr>
          <w:p>
            <w:r>
              <w:rPr>
                <w:b/>
                <w:color w:val="14243A"/>
              </w:rPr>
              <w:t>Signature</w:t>
            </w:r>
          </w:p>
        </w:tc>
        <w:tc>
          <w:tcPr>
            <w:tcW w:type="dxa" w:w="2340"/>
            <w:shd w:val="clear" w:fill="EEF0F4"/>
          </w:tcPr>
          <w:p>
            <w:r>
              <w:rPr>
                <w:b/>
                <w:color w:val="14243A"/>
              </w:rPr>
              <w:t>Date</w:t>
            </w:r>
          </w:p>
        </w:tc>
      </w:tr>
      <w:tr>
        <w:trPr>
          <w:cantSplit/>
        </w:trPr>
        <w:tc>
          <w:tcPr>
            <w:tcW w:type="dxa" w:w="2340"/>
          </w:tcPr>
          <w:p>
            <w:r>
              <w:t>Sponsor Statistician</w:t>
            </w:r>
          </w:p>
        </w:tc>
        <w:tc>
          <w:tcPr>
            <w:tcW w:type="dxa" w:w="2340"/>
          </w:tcPr>
          <w:p/>
        </w:tc>
        <w:tc>
          <w:tcPr>
            <w:tcW w:type="dxa" w:w="2340"/>
          </w:tcPr>
          <w:p/>
        </w:tc>
        <w:tc>
          <w:tcPr>
            <w:tcW w:type="dxa" w:w="2340"/>
          </w:tcPr>
          <w:p/>
        </w:tc>
      </w:tr>
      <w:tr>
        <w:trPr>
          <w:cantSplit/>
        </w:trPr>
        <w:tc>
          <w:tcPr>
            <w:tcW w:type="dxa" w:w="2340"/>
          </w:tcPr>
          <w:p>
            <w:r>
              <w:t>Medical Monitor</w:t>
            </w:r>
          </w:p>
        </w:tc>
        <w:tc>
          <w:tcPr>
            <w:tcW w:type="dxa" w:w="2340"/>
          </w:tcPr>
          <w:p/>
        </w:tc>
        <w:tc>
          <w:tcPr>
            <w:tcW w:type="dxa" w:w="2340"/>
          </w:tcPr>
          <w:p/>
        </w:tc>
        <w:tc>
          <w:tcPr>
            <w:tcW w:type="dxa" w:w="2340"/>
          </w:tcPr>
          <w:p/>
        </w:tc>
      </w:tr>
      <w:tr>
        <w:trPr>
          <w:cantSplit/>
        </w:trPr>
        <w:tc>
          <w:tcPr>
            <w:tcW w:type="dxa" w:w="2340"/>
          </w:tcPr>
          <w:p>
            <w:r>
              <w:t>Sponsor Representative</w:t>
            </w:r>
          </w:p>
        </w:tc>
        <w:tc>
          <w:tcPr>
            <w:tcW w:type="dxa" w:w="2340"/>
          </w:tcPr>
          <w:p/>
        </w:tc>
        <w:tc>
          <w:tcPr>
            <w:tcW w:type="dxa" w:w="2340"/>
          </w:tcPr>
          <w:p/>
        </w:tc>
        <w:tc>
          <w:tcPr>
            <w:tcW w:type="dxa" w:w="2340"/>
          </w:tcPr>
          <w:p/>
        </w:tc>
      </w:tr>
      <w:tr>
        <w:trPr>
          <w:cantSplit/>
        </w:trPr>
        <w:tc>
          <w:tcPr>
            <w:tcW w:type="dxa" w:w="2340"/>
          </w:tcPr>
          <w:p>
            <w:r>
              <w:t>Regulatory Affairs</w:t>
            </w:r>
          </w:p>
        </w:tc>
        <w:tc>
          <w:tcPr>
            <w:tcW w:type="dxa" w:w="2340"/>
          </w:tcPr>
          <w:p/>
        </w:tc>
        <w:tc>
          <w:tcPr>
            <w:tcW w:type="dxa" w:w="2340"/>
          </w:tcPr>
          <w:p/>
        </w:tc>
        <w:tc>
          <w:tcPr>
            <w:tcW w:type="dxa" w:w="2340"/>
          </w:tcPr>
          <w:p/>
        </w:tc>
      </w:tr>
    </w:tbl>
    <w:p>
      <w:pPr>
        <w:pStyle w:val="Heading1"/>
        <w:pageBreakBefore/>
      </w:pPr>
      <w:r>
        <w:t xml:space="preserve">SAP Revision History</w:t>
      </w:r>
    </w:p>
    <w:tbl>
      <w:tblPr>
        <w:tblW w:type="auto" w:w="0"/>
        <w:tblLook w:firstColumn="1" w:firstRow="1" w:lastColumn="0" w:lastRow="0" w:noHBand="0" w:noVBand="1" w:val="04A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2340"/>
        <w:gridCol w:w="2340"/>
        <w:gridCol w:w="2340"/>
        <w:gridCol w:w="2340"/>
      </w:tblGrid>
      <w:tr>
        <w:tc>
          <w:tcPr>
            <w:tcW w:type="dxa" w:w="2340"/>
            <w:shd w:val="clear" w:fill="EEF0F4"/>
          </w:tcPr>
          <w:p>
            <w:r>
              <w:rPr>
                <w:b/>
                <w:color w:val="14243A"/>
              </w:rPr>
              <w:t>Version</w:t>
            </w:r>
          </w:p>
        </w:tc>
        <w:tc>
          <w:tcPr>
            <w:tcW w:type="dxa" w:w="2340"/>
            <w:shd w:val="clear" w:fill="EEF0F4"/>
          </w:tcPr>
          <w:p>
            <w:r>
              <w:rPr>
                <w:b/>
                <w:color w:val="14243A"/>
              </w:rPr>
              <w:t>Date</w:t>
            </w:r>
          </w:p>
        </w:tc>
        <w:tc>
          <w:tcPr>
            <w:tcW w:type="dxa" w:w="2340"/>
            <w:shd w:val="clear" w:fill="EEF0F4"/>
          </w:tcPr>
          <w:p>
            <w:r>
              <w:rPr>
                <w:b/>
                <w:color w:val="14243A"/>
              </w:rPr>
              <w:t>Author</w:t>
            </w:r>
          </w:p>
        </w:tc>
        <w:tc>
          <w:tcPr>
            <w:tcW w:type="dxa" w:w="2340"/>
            <w:shd w:val="clear" w:fill="EEF0F4"/>
          </w:tcPr>
          <w:p>
            <w:r>
              <w:rPr>
                <w:b/>
                <w:color w:val="14243A"/>
              </w:rPr>
              <w:t>Description</w:t>
            </w:r>
          </w:p>
        </w:tc>
      </w:tr>
      <w:tr>
        <w:tc>
          <w:tcPr>
            <w:tcW w:type="dxa" w:w="2340"/>
          </w:tcPr>
          <w:p>
            <w:r>
              <w:t>1.0</w:t>
            </w:r>
          </w:p>
        </w:tc>
        <w:tc>
          <w:tcPr>
            <w:tcW w:type="dxa" w:w="2340"/>
          </w:tcPr>
          <w:p>
            <w:r>
              <w:t>02 Jul 2026</w:t>
            </w:r>
          </w:p>
        </w:tc>
        <w:tc>
          <w:tcPr>
            <w:tcW w:type="dxa" w:w="2340"/>
          </w:tcPr>
          <w:p>
            <w:r>
              <w:t>SAP Generator</w:t>
            </w:r>
          </w:p>
        </w:tc>
        <w:tc>
          <w:tcPr>
            <w:tcW w:type="dxa" w:w="2340"/>
          </w:tcPr>
          <w:p>
            <w:r>
              <w:t>Initial version</w:t>
            </w:r>
          </w:p>
        </w:tc>
      </w:tr>
    </w:tbl>
    <w:p>
      <w:pPr>
        <w:pStyle w:val="Heading1"/>
        <w:pageBreakBefore/>
      </w:pPr>
      <w:r>
        <w:t>Table of Contents</w:t>
      </w:r>
    </w:p>
    <w:p>
      <w:r>
        <w:fldChar w:fldCharType="begin"/>
      </w:r>
      <w:r>
        <w:instrText xml:space="preserve"> TOC \o "1-3" \h \z \u </w:instrText>
      </w:r>
      <w:r>
        <w:fldChar w:fldCharType="separate"/>
      </w:r>
      <w:r>
        <w:t>Table of Contents (update this field in Word)</w:t>
      </w:r>
      <w:r>
        <w:fldChar w:fldCharType="end"/>
      </w:r>
    </w:p>
    <w:p>
      <w:pPr>
        <w:pStyle w:val="Heading1"/>
        <w:pageBreakBefore/>
      </w:pPr>
      <w:r>
        <w:t xml:space="preserve">List of Abbreviations</w:t>
      </w:r>
    </w:p>
    <w:tbl>
      <w:tblPr>
        <w:tblW w:type="auto" w:w="0"/>
        <w:tblLook w:firstColumn="1" w:firstRow="1" w:lastColumn="0" w:lastRow="0" w:noHBand="0" w:noVBand="1" w:val="04A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4680"/>
        <w:gridCol w:w="4680"/>
      </w:tblGrid>
      <w:tr>
        <w:tc>
          <w:tcPr>
            <w:tcW w:type="dxa" w:w="4680"/>
            <w:shd w:val="clear" w:fill="EEF0F4"/>
          </w:tcPr>
          <w:p>
            <w:r>
              <w:rPr>
                <w:b/>
                <w:color w:val="14243A"/>
              </w:rPr>
              <w:t>Abbreviation</w:t>
            </w:r>
          </w:p>
        </w:tc>
        <w:tc>
          <w:tcPr>
            <w:tcW w:type="dxa" w:w="4680"/>
            <w:shd w:val="clear" w:fill="EEF0F4"/>
          </w:tcPr>
          <w:p>
            <w:r>
              <w:rPr>
                <w:b/>
                <w:color w:val="14243A"/>
              </w:rPr>
              <w:t>Definition</w:t>
            </w:r>
          </w:p>
        </w:tc>
      </w:tr>
      <w:tr>
        <w:tc>
          <w:tcPr>
            <w:tcW w:type="dxa" w:w="4680"/>
          </w:tcPr>
          <w:p>
            <w:r>
              <w:t>AE</w:t>
            </w:r>
          </w:p>
        </w:tc>
        <w:tc>
          <w:tcPr>
            <w:tcW w:type="dxa" w:w="4680"/>
          </w:tcPr>
          <w:p>
            <w:r>
              <w:t>Adverse event</w:t>
            </w:r>
          </w:p>
        </w:tc>
      </w:tr>
      <w:tr>
        <w:tc>
          <w:tcPr>
            <w:tcW w:type="dxa" w:w="4680"/>
          </w:tcPr>
          <w:p>
            <w:r>
              <w:t>ADaM</w:t>
            </w:r>
          </w:p>
        </w:tc>
        <w:tc>
          <w:tcPr>
            <w:tcW w:type="dxa" w:w="4680"/>
          </w:tcPr>
          <w:p>
            <w:r>
              <w:t>Analysis Data Model</w:t>
            </w:r>
          </w:p>
        </w:tc>
      </w:tr>
      <w:tr>
        <w:tc>
          <w:tcPr>
            <w:tcW w:type="dxa" w:w="4680"/>
          </w:tcPr>
          <w:p>
            <w:r>
              <w:t>BSA</w:t>
            </w:r>
          </w:p>
        </w:tc>
        <w:tc>
          <w:tcPr>
            <w:tcW w:type="dxa" w:w="4680"/>
          </w:tcPr>
          <w:p>
            <w:r>
              <w:t>Body surface area</w:t>
            </w:r>
          </w:p>
        </w:tc>
      </w:tr>
      <w:tr>
        <w:tc>
          <w:tcPr>
            <w:tcW w:type="dxa" w:w="4680"/>
          </w:tcPr>
          <w:p>
            <w:r>
              <w:t>CI</w:t>
            </w:r>
          </w:p>
        </w:tc>
        <w:tc>
          <w:tcPr>
            <w:tcW w:type="dxa" w:w="4680"/>
          </w:tcPr>
          <w:p>
            <w:r>
              <w:t>Confidence interval</w:t>
            </w:r>
          </w:p>
        </w:tc>
      </w:tr>
      <w:tr>
        <w:tc>
          <w:tcPr>
            <w:tcW w:type="dxa" w:w="4680"/>
          </w:tcPr>
          <w:p>
            <w:r>
              <w:t>CR</w:t>
            </w:r>
          </w:p>
        </w:tc>
        <w:tc>
          <w:tcPr>
            <w:tcW w:type="dxa" w:w="4680"/>
          </w:tcPr>
          <w:p>
            <w:r>
              <w:t>Complete response</w:t>
            </w:r>
          </w:p>
        </w:tc>
      </w:tr>
      <w:tr>
        <w:tc>
          <w:tcPr>
            <w:tcW w:type="dxa" w:w="4680"/>
          </w:tcPr>
          <w:p>
            <w:r>
              <w:t>CSR</w:t>
            </w:r>
          </w:p>
        </w:tc>
        <w:tc>
          <w:tcPr>
            <w:tcW w:type="dxa" w:w="4680"/>
          </w:tcPr>
          <w:p>
            <w:r>
              <w:t>Clinical Study Report</w:t>
            </w:r>
          </w:p>
        </w:tc>
      </w:tr>
      <w:tr>
        <w:tc>
          <w:tcPr>
            <w:tcW w:type="dxa" w:w="4680"/>
          </w:tcPr>
          <w:p>
            <w:r>
              <w:t>CT</w:t>
            </w:r>
          </w:p>
        </w:tc>
        <w:tc>
          <w:tcPr>
            <w:tcW w:type="dxa" w:w="4680"/>
          </w:tcPr>
          <w:p>
            <w:r>
              <w:t>Computed tomography</w:t>
            </w:r>
          </w:p>
        </w:tc>
      </w:tr>
      <w:tr>
        <w:tc>
          <w:tcPr>
            <w:tcW w:type="dxa" w:w="4680"/>
          </w:tcPr>
          <w:p>
            <w:r>
              <w:t>CTCAE</w:t>
            </w:r>
          </w:p>
        </w:tc>
        <w:tc>
          <w:tcPr>
            <w:tcW w:type="dxa" w:w="4680"/>
          </w:tcPr>
          <w:p>
            <w:r>
              <w:t>Common Terminology Criteria for Adverse Events</w:t>
            </w:r>
          </w:p>
        </w:tc>
      </w:tr>
      <w:tr>
        <w:tc>
          <w:tcPr>
            <w:tcW w:type="dxa" w:w="4680"/>
          </w:tcPr>
          <w:p>
            <w:r>
              <w:t>DCR</w:t>
            </w:r>
          </w:p>
        </w:tc>
        <w:tc>
          <w:tcPr>
            <w:tcW w:type="dxa" w:w="4680"/>
          </w:tcPr>
          <w:p>
            <w:r>
              <w:t>Disease control rate</w:t>
            </w:r>
          </w:p>
        </w:tc>
      </w:tr>
      <w:tr>
        <w:tc>
          <w:tcPr>
            <w:tcW w:type="dxa" w:w="4680"/>
          </w:tcPr>
          <w:p>
            <w:r>
              <w:t>ECOG</w:t>
            </w:r>
          </w:p>
        </w:tc>
        <w:tc>
          <w:tcPr>
            <w:tcW w:type="dxa" w:w="4680"/>
          </w:tcPr>
          <w:p>
            <w:r>
              <w:t>Eastern Cooperative Oncology Group</w:t>
            </w:r>
          </w:p>
        </w:tc>
      </w:tr>
      <w:tr>
        <w:tc>
          <w:tcPr>
            <w:tcW w:type="dxa" w:w="4680"/>
          </w:tcPr>
          <w:p>
            <w:r>
              <w:t>EORTC</w:t>
            </w:r>
          </w:p>
        </w:tc>
        <w:tc>
          <w:tcPr>
            <w:tcW w:type="dxa" w:w="4680"/>
          </w:tcPr>
          <w:p>
            <w:r>
              <w:t>European Organisation for Research and Treatment of Cancer</w:t>
            </w:r>
          </w:p>
        </w:tc>
      </w:tr>
      <w:tr>
        <w:tc>
          <w:tcPr>
            <w:tcW w:type="dxa" w:w="4680"/>
          </w:tcPr>
          <w:p>
            <w:r>
              <w:t>EOT</w:t>
            </w:r>
          </w:p>
        </w:tc>
        <w:tc>
          <w:tcPr>
            <w:tcW w:type="dxa" w:w="4680"/>
          </w:tcPr>
          <w:p>
            <w:r>
              <w:t>End of treatment</w:t>
            </w:r>
          </w:p>
        </w:tc>
      </w:tr>
      <w:tr>
        <w:tc>
          <w:tcPr>
            <w:tcW w:type="dxa" w:w="4680"/>
          </w:tcPr>
          <w:p>
            <w:r>
              <w:t>FAS</w:t>
            </w:r>
          </w:p>
        </w:tc>
        <w:tc>
          <w:tcPr>
            <w:tcW w:type="dxa" w:w="4680"/>
          </w:tcPr>
          <w:p>
            <w:r>
              <w:t>Full Analysis Set</w:t>
            </w:r>
          </w:p>
        </w:tc>
      </w:tr>
      <w:tr>
        <w:tc>
          <w:tcPr>
            <w:tcW w:type="dxa" w:w="4680"/>
          </w:tcPr>
          <w:p>
            <w:r>
              <w:t>HR</w:t>
            </w:r>
          </w:p>
        </w:tc>
        <w:tc>
          <w:tcPr>
            <w:tcW w:type="dxa" w:w="4680"/>
          </w:tcPr>
          <w:p>
            <w:r>
              <w:t>Hazard ratio</w:t>
            </w:r>
          </w:p>
        </w:tc>
      </w:tr>
      <w:tr>
        <w:tc>
          <w:tcPr>
            <w:tcW w:type="dxa" w:w="4680"/>
          </w:tcPr>
          <w:p>
            <w:r>
              <w:t>HRQoL</w:t>
            </w:r>
          </w:p>
        </w:tc>
        <w:tc>
          <w:tcPr>
            <w:tcW w:type="dxa" w:w="4680"/>
          </w:tcPr>
          <w:p>
            <w:r>
              <w:t>Health-related quality of life</w:t>
            </w:r>
          </w:p>
        </w:tc>
      </w:tr>
      <w:tr>
        <w:tc>
          <w:tcPr>
            <w:tcW w:type="dxa" w:w="4680"/>
          </w:tcPr>
          <w:p>
            <w:r>
              <w:t>ICE</w:t>
            </w:r>
          </w:p>
        </w:tc>
        <w:tc>
          <w:tcPr>
            <w:tcW w:type="dxa" w:w="4680"/>
          </w:tcPr>
          <w:p>
            <w:r>
              <w:t>Intercurrent event</w:t>
            </w:r>
          </w:p>
        </w:tc>
      </w:tr>
      <w:tr>
        <w:tc>
          <w:tcPr>
            <w:tcW w:type="dxa" w:w="4680"/>
          </w:tcPr>
          <w:p>
            <w:r>
              <w:t>ICF</w:t>
            </w:r>
          </w:p>
        </w:tc>
        <w:tc>
          <w:tcPr>
            <w:tcW w:type="dxa" w:w="4680"/>
          </w:tcPr>
          <w:p>
            <w:r>
              <w:t>Informed consent form</w:t>
            </w:r>
          </w:p>
        </w:tc>
      </w:tr>
      <w:tr>
        <w:tc>
          <w:tcPr>
            <w:tcW w:type="dxa" w:w="4680"/>
          </w:tcPr>
          <w:p>
            <w:r>
              <w:t>IP</w:t>
            </w:r>
          </w:p>
        </w:tc>
        <w:tc>
          <w:tcPr>
            <w:tcW w:type="dxa" w:w="4680"/>
          </w:tcPr>
          <w:p>
            <w:r>
              <w:t>Investigational product</w:t>
            </w:r>
          </w:p>
        </w:tc>
      </w:tr>
      <w:tr>
        <w:tc>
          <w:tcPr>
            <w:tcW w:type="dxa" w:w="4680"/>
          </w:tcPr>
          <w:p>
            <w:r>
              <w:t>ITT</w:t>
            </w:r>
          </w:p>
        </w:tc>
        <w:tc>
          <w:tcPr>
            <w:tcW w:type="dxa" w:w="4680"/>
          </w:tcPr>
          <w:p>
            <w:r>
              <w:t>Intent-to-treat</w:t>
            </w:r>
          </w:p>
        </w:tc>
      </w:tr>
      <w:tr>
        <w:tc>
          <w:tcPr>
            <w:tcW w:type="dxa" w:w="4680"/>
          </w:tcPr>
          <w:p>
            <w:r>
              <w:t>KM</w:t>
            </w:r>
          </w:p>
        </w:tc>
        <w:tc>
          <w:tcPr>
            <w:tcW w:type="dxa" w:w="4680"/>
          </w:tcPr>
          <w:p>
            <w:r>
              <w:t>Kaplan-Meier</w:t>
            </w:r>
          </w:p>
        </w:tc>
      </w:tr>
      <w:tr>
        <w:tc>
          <w:tcPr>
            <w:tcW w:type="dxa" w:w="4680"/>
          </w:tcPr>
          <w:p>
            <w:r>
              <w:t>LAPC</w:t>
            </w:r>
          </w:p>
        </w:tc>
        <w:tc>
          <w:tcPr>
            <w:tcW w:type="dxa" w:w="4680"/>
          </w:tcPr>
          <w:p>
            <w:r>
              <w:t>Locally advanced pancreatic cancer</w:t>
            </w:r>
          </w:p>
        </w:tc>
      </w:tr>
      <w:tr>
        <w:tc>
          <w:tcPr>
            <w:tcW w:type="dxa" w:w="4680"/>
          </w:tcPr>
          <w:p>
            <w:r>
              <w:t>MedDRA</w:t>
            </w:r>
          </w:p>
        </w:tc>
        <w:tc>
          <w:tcPr>
            <w:tcW w:type="dxa" w:w="4680"/>
          </w:tcPr>
          <w:p>
            <w:r>
              <w:t>Medical Dictionary for Regulatory Activities</w:t>
            </w:r>
          </w:p>
        </w:tc>
      </w:tr>
      <w:tr>
        <w:tc>
          <w:tcPr>
            <w:tcW w:type="dxa" w:w="4680"/>
          </w:tcPr>
          <w:p>
            <w:r>
              <w:t>MMRM</w:t>
            </w:r>
          </w:p>
        </w:tc>
        <w:tc>
          <w:tcPr>
            <w:tcW w:type="dxa" w:w="4680"/>
          </w:tcPr>
          <w:p>
            <w:r>
              <w:t>Mixed model for repeated measures</w:t>
            </w:r>
          </w:p>
        </w:tc>
      </w:tr>
      <w:tr>
        <w:tc>
          <w:tcPr>
            <w:tcW w:type="dxa" w:w="4680"/>
          </w:tcPr>
          <w:p>
            <w:r>
              <w:t>MRI</w:t>
            </w:r>
          </w:p>
        </w:tc>
        <w:tc>
          <w:tcPr>
            <w:tcW w:type="dxa" w:w="4680"/>
          </w:tcPr>
          <w:p>
            <w:r>
              <w:t>Magnetic resonance imaging</w:t>
            </w:r>
          </w:p>
        </w:tc>
      </w:tr>
      <w:tr>
        <w:tc>
          <w:tcPr>
            <w:tcW w:type="dxa" w:w="4680"/>
          </w:tcPr>
          <w:p>
            <w:r>
              <w:t>ORR</w:t>
            </w:r>
          </w:p>
        </w:tc>
        <w:tc>
          <w:tcPr>
            <w:tcW w:type="dxa" w:w="4680"/>
          </w:tcPr>
          <w:p>
            <w:r>
              <w:t>Overall response rate</w:t>
            </w:r>
          </w:p>
        </w:tc>
      </w:tr>
      <w:tr>
        <w:tc>
          <w:tcPr>
            <w:tcW w:type="dxa" w:w="4680"/>
          </w:tcPr>
          <w:p>
            <w:r>
              <w:t>OS</w:t>
            </w:r>
          </w:p>
        </w:tc>
        <w:tc>
          <w:tcPr>
            <w:tcW w:type="dxa" w:w="4680"/>
          </w:tcPr>
          <w:p>
            <w:r>
              <w:t>Overall survival</w:t>
            </w:r>
          </w:p>
        </w:tc>
      </w:tr>
      <w:tr>
        <w:tc>
          <w:tcPr>
            <w:tcW w:type="dxa" w:w="4680"/>
          </w:tcPr>
          <w:p>
            <w:r>
              <w:t>PD</w:t>
            </w:r>
          </w:p>
        </w:tc>
        <w:tc>
          <w:tcPr>
            <w:tcW w:type="dxa" w:w="4680"/>
          </w:tcPr>
          <w:p>
            <w:r>
              <w:t>Progressive disease</w:t>
            </w:r>
          </w:p>
        </w:tc>
      </w:tr>
      <w:tr>
        <w:tc>
          <w:tcPr>
            <w:tcW w:type="dxa" w:w="4680"/>
          </w:tcPr>
          <w:p>
            <w:r>
              <w:t>PFS</w:t>
            </w:r>
          </w:p>
        </w:tc>
        <w:tc>
          <w:tcPr>
            <w:tcW w:type="dxa" w:w="4680"/>
          </w:tcPr>
          <w:p>
            <w:r>
              <w:t>Progression-free survival</w:t>
            </w:r>
          </w:p>
        </w:tc>
      </w:tr>
      <w:tr>
        <w:tc>
          <w:tcPr>
            <w:tcW w:type="dxa" w:w="4680"/>
          </w:tcPr>
          <w:p>
            <w:r>
              <w:t>PP</w:t>
            </w:r>
          </w:p>
        </w:tc>
        <w:tc>
          <w:tcPr>
            <w:tcW w:type="dxa" w:w="4680"/>
          </w:tcPr>
          <w:p>
            <w:r>
              <w:t>Per-protocol</w:t>
            </w:r>
          </w:p>
        </w:tc>
      </w:tr>
      <w:tr>
        <w:tc>
          <w:tcPr>
            <w:tcW w:type="dxa" w:w="4680"/>
          </w:tcPr>
          <w:p>
            <w:r>
              <w:t>PR</w:t>
            </w:r>
          </w:p>
        </w:tc>
        <w:tc>
          <w:tcPr>
            <w:tcW w:type="dxa" w:w="4680"/>
          </w:tcPr>
          <w:p>
            <w:r>
              <w:t>Partial response</w:t>
            </w:r>
          </w:p>
        </w:tc>
      </w:tr>
      <w:tr>
        <w:tc>
          <w:tcPr>
            <w:tcW w:type="dxa" w:w="4680"/>
          </w:tcPr>
          <w:p>
            <w:r>
              <w:t>PRO</w:t>
            </w:r>
          </w:p>
        </w:tc>
        <w:tc>
          <w:tcPr>
            <w:tcW w:type="dxa" w:w="4680"/>
          </w:tcPr>
          <w:p>
            <w:r>
              <w:t>Patient-reported outcome</w:t>
            </w:r>
          </w:p>
        </w:tc>
      </w:tr>
      <w:tr>
        <w:tc>
          <w:tcPr>
            <w:tcW w:type="dxa" w:w="4680"/>
          </w:tcPr>
          <w:p>
            <w:r>
              <w:t>QoL</w:t>
            </w:r>
          </w:p>
        </w:tc>
        <w:tc>
          <w:tcPr>
            <w:tcW w:type="dxa" w:w="4680"/>
          </w:tcPr>
          <w:p>
            <w:r>
              <w:t>Quality of life</w:t>
            </w:r>
          </w:p>
        </w:tc>
      </w:tr>
      <w:tr>
        <w:tc>
          <w:tcPr>
            <w:tcW w:type="dxa" w:w="4680"/>
          </w:tcPr>
          <w:p>
            <w:r>
              <w:t>RECIST</w:t>
            </w:r>
          </w:p>
        </w:tc>
        <w:tc>
          <w:tcPr>
            <w:tcW w:type="dxa" w:w="4680"/>
          </w:tcPr>
          <w:p>
            <w:r>
              <w:t>Response Evaluation Criteria In Solid Tumors</w:t>
            </w:r>
          </w:p>
        </w:tc>
      </w:tr>
      <w:tr>
        <w:tc>
          <w:tcPr>
            <w:tcW w:type="dxa" w:w="4680"/>
          </w:tcPr>
          <w:p>
            <w:r>
              <w:t>SAE</w:t>
            </w:r>
          </w:p>
        </w:tc>
        <w:tc>
          <w:tcPr>
            <w:tcW w:type="dxa" w:w="4680"/>
          </w:tcPr>
          <w:p>
            <w:r>
              <w:t>Serious adverse event</w:t>
            </w:r>
          </w:p>
        </w:tc>
      </w:tr>
      <w:tr>
        <w:tc>
          <w:tcPr>
            <w:tcW w:type="dxa" w:w="4680"/>
          </w:tcPr>
          <w:p>
            <w:r>
              <w:t>SAP</w:t>
            </w:r>
          </w:p>
        </w:tc>
        <w:tc>
          <w:tcPr>
            <w:tcW w:type="dxa" w:w="4680"/>
          </w:tcPr>
          <w:p>
            <w:r>
              <w:t>Statistical Analysis Plan</w:t>
            </w:r>
          </w:p>
        </w:tc>
      </w:tr>
      <w:tr>
        <w:tc>
          <w:tcPr>
            <w:tcW w:type="dxa" w:w="4680"/>
          </w:tcPr>
          <w:p>
            <w:r>
              <w:t>SD</w:t>
            </w:r>
          </w:p>
        </w:tc>
        <w:tc>
          <w:tcPr>
            <w:tcW w:type="dxa" w:w="4680"/>
          </w:tcPr>
          <w:p>
            <w:r>
              <w:t>Stable disease</w:t>
            </w:r>
          </w:p>
        </w:tc>
      </w:tr>
      <w:tr>
        <w:tc>
          <w:tcPr>
            <w:tcW w:type="dxa" w:w="4680"/>
          </w:tcPr>
          <w:p>
            <w:r>
              <w:t>SOC</w:t>
            </w:r>
          </w:p>
        </w:tc>
        <w:tc>
          <w:tcPr>
            <w:tcW w:type="dxa" w:w="4680"/>
          </w:tcPr>
          <w:p>
            <w:r>
              <w:t>System organ class</w:t>
            </w:r>
          </w:p>
        </w:tc>
      </w:tr>
      <w:tr>
        <w:tc>
          <w:tcPr>
            <w:tcW w:type="dxa" w:w="4680"/>
          </w:tcPr>
          <w:p>
            <w:r>
              <w:t>TEAE</w:t>
            </w:r>
          </w:p>
        </w:tc>
        <w:tc>
          <w:tcPr>
            <w:tcW w:type="dxa" w:w="4680"/>
          </w:tcPr>
          <w:p>
            <w:r>
              <w:t>Treatment-emergent adverse event</w:t>
            </w:r>
          </w:p>
        </w:tc>
      </w:tr>
      <w:tr>
        <w:tc>
          <w:tcPr>
            <w:tcW w:type="dxa" w:w="4680"/>
          </w:tcPr>
          <w:p>
            <w:r>
              <w:t>TLF</w:t>
            </w:r>
          </w:p>
        </w:tc>
        <w:tc>
          <w:tcPr>
            <w:tcW w:type="dxa" w:w="4680"/>
          </w:tcPr>
          <w:p>
            <w:r>
              <w:t>Tables, listings, and figures</w:t>
            </w:r>
          </w:p>
        </w:tc>
      </w:tr>
      <w:tr>
        <w:tc>
          <w:tcPr>
            <w:tcW w:type="dxa" w:w="4680"/>
          </w:tcPr>
          <w:p>
            <w:r>
              <w:t>TTF</w:t>
            </w:r>
          </w:p>
        </w:tc>
        <w:tc>
          <w:tcPr>
            <w:tcW w:type="dxa" w:w="4680"/>
          </w:tcPr>
          <w:p>
            <w:r>
              <w:t>Time to treatment failure</w:t>
            </w:r>
          </w:p>
        </w:tc>
      </w:tr>
    </w:tbl>
    <w:p>
      <w:r>
        <w:br w:type="page"/>
      </w:r>
    </w:p>
    <w:bookmarkStart w:id="21" w:name="introduction"/>
    <w:p>
      <w:pPr>
        <w:pStyle w:val="Heading2"/>
      </w:pPr>
      <w:r>
        <w:t xml:space="preserve">1. Introduction</w:t>
      </w:r>
    </w:p>
    <w:p>
      <w:pPr>
        <w:pStyle w:val="FirstParagraph"/>
      </w:pPr>
      <w:r>
        <w:t xml:space="preserve">Locally advanced pancreatic cancer (LAPC) represents an unresectable, non-metastatic disease stage for which treatment options are limited and prognosis remains poor. The LAPACT study evaluates an induction regimen of nab-paclitaxel plus gemcitabine administered for six 28-day cycles, followed by an Investigator’s Choice of continued chemotherapy, chemoradiation, or surgery, with the aim of characterizing the antitumor activity, survival outcomes, safety, and quality-of-life impact of this approach in the LAPC setting.</w:t>
      </w:r>
    </w:p>
    <w:p>
      <w:pPr>
        <w:pStyle w:val="BodyText"/>
      </w:pPr>
      <w:r>
        <w:t xml:space="preserve">This Statistical Analysis Plan translates the protocol-defined design into a prespecified statistical blueprint that fixes the operational definitions, estimand structure, population derivations, analysis methods, missing-data handling, and reporting specifications governing the analysis. Consistent with the exploratory, single-arm design, the analytical philosophy is estimation-focused: efficacy quantities are characterized by point estimates and confidence intervals rather than by formal hypothesis tests.</w:t>
      </w:r>
    </w:p>
    <w:bookmarkStart w:id="19" w:name="purpose"/>
    <w:p>
      <w:pPr>
        <w:pStyle w:val="Heading3"/>
      </w:pPr>
      <w:r>
        <w:t xml:space="preserve">1.1 Purpose</w:t>
      </w:r>
    </w:p>
    <w:p>
      <w:pPr>
        <w:pStyle w:val="FirstParagraph"/>
      </w:pPr>
      <w:r>
        <w:t xml:space="preserve">This SAP prespecifies, in advance of database lock, the complete set of statistical analyses supporting the study objectives. It defines the primary and secondary endpoints and their operational derivations, the estimand targeted by each analysis, the populations on which analyses are performed, the statistical methods and their justifications, the handling of missing data and intercurrent events, and the tables, listings, and figures that constitute the reporting deliverables. Fixing these choices prior to unblinding of results ensures that the reported estimates are prespecified and reproducible.</w:t>
      </w:r>
    </w:p>
    <w:bookmarkEnd w:id="19"/>
    <w:bookmarkStart w:id="20" w:name="scope-and-relationship-to-protocol"/>
    <w:p>
      <w:pPr>
        <w:pStyle w:val="Heading3"/>
      </w:pPr>
      <w:r>
        <w:t xml:space="preserve">1.2 Scope and Relationship to Protocol</w:t>
      </w:r>
    </w:p>
    <w:p>
      <w:pPr>
        <w:pStyle w:val="FirstParagraph"/>
      </w:pPr>
      <w:r>
        <w:t xml:space="preserve">This SAP governs the analysis of all efficacy and safety data collected in the LAPACT study, including the primary endpoint (time to treatment failure), the secondary efficacy endpoints (disease control rate at 6 months, overall response rate, progression-free survival, and overall survival), and the safety profile. Health-related quality-of-life analyses using the EORTC QLQ-C30 and QLQ-PAN26 instruments are exploratory; this SAP specifies their estimand, high-level modeling framework, and missing-data strategy, while detailed scoring and programming specifications are deferred to a separate HRQoL analysis plan. Consistent with the study’s non-registrational, estimation-focused positioning, any comparison to the historical median from the CA046/MPACT study is supportive and descriptive only.</w:t>
      </w:r>
    </w:p>
    <w:bookmarkEnd w:id="20"/>
    <w:bookmarkEnd w:id="21"/>
    <w:bookmarkStart w:id="24" w:name="study-objectives"/>
    <w:p>
      <w:pPr>
        <w:pStyle w:val="Heading2"/>
      </w:pPr>
      <w:r>
        <w:t xml:space="preserve">2. Study Objectives</w:t>
      </w:r>
    </w:p>
    <w:p>
      <w:pPr>
        <w:pStyle w:val="FirstParagraph"/>
      </w:pPr>
      <w:r>
        <w:t xml:space="preserve">The study objectives establish the analytical hierarchy that flows through the endpoints, estimands, and methods in the subsequent sections. The primary objective concerns antitumor durability as captured by time to treatment failure; secondary objectives address response, progression-free and overall survival, safety, and quality of life. Because the design is single-arm and exploratory, all objectives are framed as estimation of treatment-associated outcomes rather than as confirmatory demonstrations of a treatment effect against a concurrent control.</w:t>
      </w:r>
    </w:p>
    <w:bookmarkStart w:id="22" w:name="primary-objectives"/>
    <w:p>
      <w:pPr>
        <w:pStyle w:val="Heading3"/>
      </w:pPr>
      <w:r>
        <w:t xml:space="preserve">2.1 Primary Objective(s)</w:t>
      </w:r>
    </w:p>
    <w:p>
      <w:pPr>
        <w:pStyle w:val="FirstParagraph"/>
      </w:pPr>
      <w:r>
        <w:t xml:space="preserve">The primary objective is to estimate the efficacy of nab-paclitaxel plus gemcitabine, as induction therapy in subjects with LAPC, in terms of time to treatment failure (TTF). Efficacy is characterized by the Kaplan-Meier median TTF and its associated confidence interval. The historical median TTF of 5.1 months observed in the CA046/MPACT study informs the sample-size justification and serves as an exploratory descriptive reference, but does not constitute a confirmatory decision boundary.</w:t>
      </w:r>
    </w:p>
    <w:bookmarkEnd w:id="22"/>
    <w:bookmarkStart w:id="23" w:name="secondary-objectives"/>
    <w:p>
      <w:pPr>
        <w:pStyle w:val="Heading3"/>
      </w:pPr>
      <w:r>
        <w:t xml:space="preserve">2.2 Secondary Objectives</w:t>
      </w:r>
    </w:p>
    <w:p>
      <w:pPr>
        <w:pStyle w:val="FirstParagraph"/>
      </w:pPr>
      <w:r>
        <w:t xml:space="preserve">The secondary objectives are to estimate: (i) the disease control rate (DCR) at 6 months, defined as the combined incidence of complete response, partial response, and stable disease lasting at least 16 weeks; (ii) the overall response rate (ORR), defined as the combined incidence of complete and partial response per RECIST v1.1; (iii) progression-free survival (PFS); (iv) overall survival (OS); and (v) the overall safety profile of the regimen. An exploratory objective is to describe the effect of treatment on health-related quality of life using the EORTC QLQ-C30 and QLQ-PAN26 instruments. All efficacy objectives are estimation objectives, reported with two-sided 90% confidence intervals.</w:t>
      </w:r>
    </w:p>
    <w:bookmarkEnd w:id="23"/>
    <w:bookmarkEnd w:id="24"/>
    <w:bookmarkStart w:id="30" w:name="study-endpoints"/>
    <w:p>
      <w:pPr>
        <w:pStyle w:val="Heading2"/>
      </w:pPr>
      <w:r>
        <w:t xml:space="preserve">3. Study Endpoints</w:t>
      </w:r>
    </w:p>
    <w:p>
      <w:pPr>
        <w:pStyle w:val="FirstParagraph"/>
      </w:pPr>
      <w:r>
        <w:t xml:space="preserve">This section defines each endpoint together with its executable derivation. Definitions established here are the single source of truth: the estimand framework (Section 7), the hypothesis framing used for sizing (Section 5.2), and the analysis methods (Section 8) reference these definitions rather than restating them. Tumor response throughout is determined by the Investigator according to RECIST v1.1 (Eisenhauer, 2009) based on CT or MRI evaluations; no independent review committee is used.</w:t>
      </w:r>
    </w:p>
    <w:bookmarkStart w:id="25" w:name="primary-endpoints"/>
    <w:p>
      <w:pPr>
        <w:pStyle w:val="Heading3"/>
      </w:pPr>
      <w:r>
        <w:t xml:space="preserve">3.1 Primary Endpoint(s)</w:t>
      </w:r>
    </w:p>
    <w:p>
      <w:pPr>
        <w:pStyle w:val="FirstParagraph"/>
      </w:pPr>
      <w:r>
        <w:t xml:space="preserve">The primary endpoint is</w:t>
      </w:r>
      <w:r>
        <w:t xml:space="preserve"> </w:t>
      </w:r>
      <w:r>
        <w:rPr>
          <w:b/>
          <w:bCs/>
        </w:rPr>
        <w:t xml:space="preserve">time to treatment failure (TTF)</w:t>
      </w:r>
      <w:r>
        <w:t xml:space="preserve">, a composite time-to-event endpoint measured from the first dose of study therapy to the earliest of the following failure events:</w:t>
      </w:r>
    </w:p>
    <w:p>
      <w:pPr>
        <w:pStyle w:val="Compact"/>
        <w:numPr>
          <w:ilvl w:val="0"/>
          <w:numId w:val="1001"/>
        </w:numPr>
      </w:pPr>
      <w:r>
        <w:t xml:space="preserve">Discontinuation of study therapy due to disease progression (RECIST v1.1, Investigator-assessed);</w:t>
      </w:r>
    </w:p>
    <w:p>
      <w:pPr>
        <w:pStyle w:val="Compact"/>
        <w:numPr>
          <w:ilvl w:val="0"/>
          <w:numId w:val="1001"/>
        </w:numPr>
      </w:pPr>
      <w:r>
        <w:t xml:space="preserve">Death from any cause;</w:t>
      </w:r>
    </w:p>
    <w:p>
      <w:pPr>
        <w:pStyle w:val="Compact"/>
        <w:numPr>
          <w:ilvl w:val="0"/>
          <w:numId w:val="1001"/>
        </w:numPr>
      </w:pPr>
      <w:r>
        <w:t xml:space="preserve">Start of a new non-protocol-defined anticancer therapy.</w:t>
      </w:r>
    </w:p>
    <w:p>
      <w:pPr>
        <w:pStyle w:val="FirstParagraph"/>
      </w:pPr>
      <w:r>
        <w:t xml:space="preserve">Subjects who do not experience a failure event, or who discontinue study therapy without a failure event, are censored at the date of the last tumor assessment. The summary parameter of interest is the median TTF (months), estimated by the Kaplan-Meier product-limit method. The design targets an improvement in median TTF from the historical 5.1 months to 6.6 months. Tumor response is assessed by CT/MRI every 56 days (window −3/+7 days) until documented progression, withdrawal of consent, loss to follow-up, or death. The complete event and censoring rules, including precedence for concurrent events, are specified in Section 8.2 and Appendix D.</w:t>
      </w:r>
    </w:p>
    <w:bookmarkEnd w:id="25"/>
    <w:bookmarkStart w:id="26" w:name="secondary-endpoints"/>
    <w:p>
      <w:pPr>
        <w:pStyle w:val="Heading3"/>
      </w:pPr>
      <w:r>
        <w:t xml:space="preserve">3.2 Secondary Endpoints</w:t>
      </w:r>
    </w:p>
    <w:p>
      <w:pPr>
        <w:pStyle w:val="FirstParagraph"/>
      </w:pPr>
      <w:r>
        <w:rPr>
          <w:b/>
          <w:bCs/>
        </w:rPr>
        <w:t xml:space="preserve">Disease Control Rate (DCR) at 6 months</w:t>
      </w:r>
      <w:r>
        <w:t xml:space="preserve"> </w:t>
      </w:r>
      <w:r>
        <w:t xml:space="preserve">is a secondary binary endpoint defined as the combined incidence of complete response (CR), partial response (PR), and stable disease (SD) assessed at the End of Treatment visit after 6 cycles of induction, where SD must be sustained for at least 16 weeks to qualify. Subjects who discontinue due to disease progression, die from any cause, or start a new non-protocol-defined anticancer therapy prior to the assessment are counted as non-responders (non-disease-control). DCR is summarized as a proportion with a two-sided 90% exact (Clopper-Pearson) confidence interval and is the subject of the prespecified operational interim analysis (Section 11).</w:t>
      </w:r>
    </w:p>
    <w:bookmarkEnd w:id="26"/>
    <w:bookmarkStart w:id="27" w:name="X40104779f89cc83fd079e569667dbe79b98ce37"/>
    <w:p>
      <w:pPr>
        <w:pStyle w:val="Heading3"/>
      </w:pPr>
      <w:r>
        <w:t xml:space="preserve">3.3 Other Secondary Efficacy Endpoints (ORR, PFS, OS)</w:t>
      </w:r>
    </w:p>
    <w:p>
      <w:pPr>
        <w:pStyle w:val="FirstParagraph"/>
      </w:pPr>
      <w:r>
        <w:t xml:space="preserve">The remaining secondary efficacy endpoints are:</w:t>
      </w:r>
    </w:p>
    <w:p>
      <w:pPr>
        <w:pStyle w:val="Compact"/>
        <w:numPr>
          <w:ilvl w:val="0"/>
          <w:numId w:val="1002"/>
        </w:numPr>
      </w:pPr>
      <w:r>
        <w:rPr>
          <w:b/>
          <w:bCs/>
        </w:rPr>
        <w:t xml:space="preserve">Overall Response Rate (ORR):</w:t>
      </w:r>
      <w:r>
        <w:t xml:space="preserve"> </w:t>
      </w:r>
      <w:r>
        <w:t xml:space="preserve">the combined incidence of Investigator-determined CR and PR per RECIST v1.1. Subjects discontinuing due to progression, death, or start of new anticancer therapy are non-responders. Summarized as a proportion with two-sided 90% exact Clopper-Pearson CI.</w:t>
      </w:r>
    </w:p>
    <w:p>
      <w:pPr>
        <w:pStyle w:val="Compact"/>
        <w:numPr>
          <w:ilvl w:val="0"/>
          <w:numId w:val="1002"/>
        </w:numPr>
      </w:pPr>
      <w:r>
        <w:rPr>
          <w:b/>
          <w:bCs/>
        </w:rPr>
        <w:t xml:space="preserve">Progression-Free Survival (PFS):</w:t>
      </w:r>
      <w:r>
        <w:t xml:space="preserve"> </w:t>
      </w:r>
      <w:r>
        <w:t xml:space="preserve">time from first dose to documented progression or death from any cause, whichever occurs first. Subjects without progression/death are censored at the last progression-free assessment; subjects who start new anticancer therapy or palliative radiotherapy/surgery at a lesion site before progression/death are censored at the last progression-free assessment prior to that intervention; subjects with two or more consecutive missing assessments before a visit with documented progression/death are censored at the last date documented progression-free. Analyzed by Kaplan-Meier; median PFS with two-sided 90% CI and KM curve.</w:t>
      </w:r>
    </w:p>
    <w:p>
      <w:pPr>
        <w:pStyle w:val="Compact"/>
        <w:numPr>
          <w:ilvl w:val="0"/>
          <w:numId w:val="1002"/>
        </w:numPr>
      </w:pPr>
      <w:r>
        <w:rPr>
          <w:b/>
          <w:bCs/>
        </w:rPr>
        <w:t xml:space="preserve">Overall Survival (OS):</w:t>
      </w:r>
      <w:r>
        <w:t xml:space="preserve"> </w:t>
      </w:r>
      <w:r>
        <w:t xml:space="preserve">time from first dose to death from any cause. Subjects alive are censored at the last known alive date. OS follow-up occurs approximately every 90 days by telephone or medical-record review. Analyzed by Kaplan-Meier; median OS with two-sided 90% CI and KM curve.</w:t>
      </w:r>
    </w:p>
    <w:bookmarkEnd w:id="27"/>
    <w:bookmarkStart w:id="28" w:name="proqol-endpoints"/>
    <w:p>
      <w:pPr>
        <w:pStyle w:val="Heading3"/>
      </w:pPr>
      <w:r>
        <w:t xml:space="preserve">3.4 PRO/QoL Endpoints</w:t>
      </w:r>
    </w:p>
    <w:p>
      <w:pPr>
        <w:pStyle w:val="FirstParagraph"/>
      </w:pPr>
      <w:r>
        <w:t xml:space="preserve">Health-related quality of life is an exploratory endpoint assessed using two EORTC instruments:</w:t>
      </w:r>
    </w:p>
    <w:p>
      <w:pPr>
        <w:pStyle w:val="Compact"/>
        <w:numPr>
          <w:ilvl w:val="0"/>
          <w:numId w:val="1003"/>
        </w:numPr>
      </w:pPr>
      <w:r>
        <w:rPr>
          <w:b/>
          <w:bCs/>
        </w:rPr>
        <w:t xml:space="preserve">EORTC QLQ-C30</w:t>
      </w:r>
      <w:r>
        <w:t xml:space="preserve"> </w:t>
      </w:r>
      <w:r>
        <w:t xml:space="preserve">– the 30-item core questionnaire yielding a global health status/QoL scale, functional scales, and symptom scales, scored per the EORTC scoring manual.</w:t>
      </w:r>
    </w:p>
    <w:p>
      <w:pPr>
        <w:pStyle w:val="Compact"/>
        <w:numPr>
          <w:ilvl w:val="0"/>
          <w:numId w:val="1003"/>
        </w:numPr>
      </w:pPr>
      <w:r>
        <w:rPr>
          <w:b/>
          <w:bCs/>
        </w:rPr>
        <w:t xml:space="preserve">EORTC QLQ-PAN26</w:t>
      </w:r>
      <w:r>
        <w:t xml:space="preserve"> </w:t>
      </w:r>
      <w:r>
        <w:t xml:space="preserve">– the pancreatic cancer-specific module.</w:t>
      </w:r>
    </w:p>
    <w:p>
      <w:pPr>
        <w:pStyle w:val="FirstParagraph"/>
      </w:pPr>
      <w:r>
        <w:t xml:space="preserve">Both instruments are administered at baseline, during treatment, and after treatment. The endpoint of interest is change from baseline in scale scores over time. Consistent with the protocol, HRQoL is exploratory and no multiplicity adjustment is applied; the estimand and high-level modeling framework are given in Section 8.6, while detailed scoring algorithms and programming specifications reside in a separate HRQoL analysis plan.</w:t>
      </w:r>
    </w:p>
    <w:bookmarkEnd w:id="28"/>
    <w:bookmarkStart w:id="29" w:name="safety-endpoint"/>
    <w:p>
      <w:pPr>
        <w:pStyle w:val="Heading3"/>
      </w:pPr>
      <w:r>
        <w:t xml:space="preserve">3.5 Safety Endpoint</w:t>
      </w:r>
    </w:p>
    <w:p>
      <w:pPr>
        <w:pStyle w:val="FirstParagraph"/>
      </w:pPr>
      <w:r>
        <w:t xml:space="preserve">The safety endpoint is the overall safety profile of nab-paclitaxel plus gemcitabine, characterized by the incidence of treatment-emergent adverse events (TEAEs), serious adverse events (SAEs), laboratory abnormalities, and other safety parameters. TEAEs are defined by onset from the first dose of study therapy through 28 days after the last dose (Section 12). AEs are coded using MedDRA and graded by NCI-CTCAE; laboratory abnormalities are evaluated by CTCAE grade with shift-from-baseline summaries. Safety endpoints are summarized descriptively on the Treated population.</w:t>
      </w:r>
    </w:p>
    <w:bookmarkEnd w:id="29"/>
    <w:bookmarkEnd w:id="30"/>
    <w:bookmarkStart w:id="33" w:name="study-design"/>
    <w:p>
      <w:pPr>
        <w:pStyle w:val="Heading2"/>
      </w:pPr>
      <w:r>
        <w:t xml:space="preserve">4. Study Design</w:t>
      </w:r>
    </w:p>
    <w:p>
      <w:pPr>
        <w:pStyle w:val="FirstParagraph"/>
      </w:pPr>
      <w:r>
        <w:t xml:space="preserve">This section summarizes the study design as the structural context for the statistical methods. The design is an international, non-randomized, open-label, multi-center Phase 2 study comprising a fixed single-arm induction phase followed by an Investigator’s Choice component.</w:t>
      </w:r>
    </w:p>
    <w:bookmarkStart w:id="31" w:name="overall-design"/>
    <w:p>
      <w:pPr>
        <w:pStyle w:val="Heading3"/>
      </w:pPr>
      <w:r>
        <w:t xml:space="preserve">4.1 Overall Design</w:t>
      </w:r>
    </w:p>
    <w:p>
      <w:pPr>
        <w:pStyle w:val="FirstParagraph"/>
      </w:pPr>
      <w:r>
        <w:t xml:space="preserve">Approximately 110 subjects with LAPC are enrolled at multiple international centers. All subjects receive a common induction regimen:</w:t>
      </w:r>
      <w:r>
        <w:t xml:space="preserve"> </w:t>
      </w:r>
      <w:r>
        <w:rPr>
          <w:b/>
          <w:bCs/>
        </w:rPr>
        <w:t xml:space="preserve">nab-paclitaxel 125 mg/m² IV plus gemcitabine 1000 mg/m² IV on Days 1, 8, and 15 of each 28-day cycle for 6 cycles.</w:t>
      </w:r>
      <w:r>
        <w:t xml:space="preserve"> </w:t>
      </w:r>
      <w:r>
        <w:t xml:space="preserve">Following induction, subjects proceed to an Investigator’s Choice component—continued chemotherapy, chemoradiation, or surgery—selected on clinical grounds. There is no concurrent control arm; the historical median TTF of 5.1 months from CA046/MPACT provides an external descriptive reference. The open-label design has no bearing on the primary analysis because no formal comparative test is performed and the primary endpoint events (progression per RECIST, death, new therapy) are objectively ascertained.</w:t>
      </w:r>
    </w:p>
    <w:p>
      <w:pPr>
        <w:pStyle w:val="BodyText"/>
      </w:pPr>
      <w:r>
        <w:t xml:space="preserve">Protocol-defined Investigator’s Choice continuation (surgery or chemoradiation) is not treated as a new non-protocol anticancer therapy and therefore does not by itself constitute a TTF event; such subjects are censored at the last tumor assessment if no failure event has occurred (Section 8.2).</w:t>
      </w:r>
    </w:p>
    <w:bookmarkEnd w:id="31"/>
    <w:bookmarkStart w:id="32" w:name="treatment-arms-and-dosing"/>
    <w:p>
      <w:pPr>
        <w:pStyle w:val="Heading3"/>
      </w:pPr>
      <w:r>
        <w:t xml:space="preserve">4.2 Treatment Arms and Dosing</w:t>
      </w:r>
    </w:p>
    <w:p>
      <w:pPr>
        <w:pStyle w:val="FirstParagraph"/>
      </w:pPr>
      <w:r>
        <w:t xml:space="preserve">The assessment schedule underpins the event-time derivations:</w:t>
      </w:r>
    </w:p>
    <w:p>
      <w:pPr>
        <w:pStyle w:val="Compact"/>
        <w:numPr>
          <w:ilvl w:val="0"/>
          <w:numId w:val="1004"/>
        </w:numPr>
      </w:pPr>
      <w:r>
        <w:t xml:space="preserve">A 14-day screening period precedes Cycle 1 Day 1; the screening CT/MRI is the RECIST reference scan.</w:t>
      </w:r>
    </w:p>
    <w:p>
      <w:pPr>
        <w:pStyle w:val="Compact"/>
        <w:numPr>
          <w:ilvl w:val="0"/>
          <w:numId w:val="1004"/>
        </w:numPr>
      </w:pPr>
      <w:r>
        <w:t xml:space="preserve">Study therapy is administered on Days 1, 8, and 15 of each 28-day cycle for 6 induction cycles.</w:t>
      </w:r>
    </w:p>
    <w:p>
      <w:pPr>
        <w:pStyle w:val="Compact"/>
        <w:numPr>
          <w:ilvl w:val="0"/>
          <w:numId w:val="1004"/>
        </w:numPr>
      </w:pPr>
      <w:r>
        <w:t xml:space="preserve">Tumor evaluations (CT/MRI) are performed every 56 days (window −3/+7 days) until documented progression, withdrawal of consent, loss to follow-up, or death; subjects who discontinue treatment without progression continue tumor assessments on the same 56-day schedule until progression.</w:t>
      </w:r>
    </w:p>
    <w:p>
      <w:pPr>
        <w:pStyle w:val="Compact"/>
        <w:numPr>
          <w:ilvl w:val="0"/>
          <w:numId w:val="1004"/>
        </w:numPr>
      </w:pPr>
      <w:r>
        <w:t xml:space="preserve">Survival follow-up occurs approximately every 90 days by telephone or medical-record review.</w:t>
      </w:r>
    </w:p>
    <w:p>
      <w:pPr>
        <w:pStyle w:val="Compact"/>
        <w:numPr>
          <w:ilvl w:val="0"/>
          <w:numId w:val="1004"/>
        </w:numPr>
      </w:pPr>
      <w:r>
        <w:t xml:space="preserve">Adverse events are followed through 28 days after the last dose (or after PFS/early discontinuation).</w:t>
      </w:r>
    </w:p>
    <w:p>
      <w:pPr>
        <w:pStyle w:val="FirstParagraph"/>
      </w:pPr>
      <w:r>
        <w:t xml:space="preserve">These windows and their handling for analysis are specified in Section 13 and Appendix F.</w:t>
      </w:r>
    </w:p>
    <w:bookmarkEnd w:id="32"/>
    <w:bookmarkEnd w:id="33"/>
    <w:bookmarkStart w:id="38" w:name="sample-size-determination"/>
    <w:p>
      <w:pPr>
        <w:pStyle w:val="Heading2"/>
      </w:pPr>
      <w:r>
        <w:t xml:space="preserve">5. Sample Size Determination</w:t>
      </w:r>
    </w:p>
    <w:p>
      <w:pPr>
        <w:pStyle w:val="FirstParagraph"/>
      </w:pPr>
      <w:r>
        <w:t xml:space="preserve">The sample size is a design justification for an estimation-focused study. It quantifies the precision with which the median TTF can be characterized under stated assumptions; it is not the basis for a confirmatory decision. The hypotheses stated below are expressed in survival terms and are used solely to derive the required sample size.</w:t>
      </w:r>
    </w:p>
    <w:bookmarkStart w:id="34" w:name="sample-size-and-power"/>
    <w:p>
      <w:pPr>
        <w:pStyle w:val="Heading3"/>
      </w:pPr>
      <w:r>
        <w:t xml:space="preserve">5.1 Sample Size and Power</w:t>
      </w:r>
    </w:p>
    <w:p>
      <w:pPr>
        <w:pStyle w:val="FirstParagraph"/>
      </w:pPr>
      <w:r>
        <w:t xml:space="preserve">A total evaluable sample size of 100 subjects provides 80% power to detect a 30% increase in median TTF, from the historical 5.1 months (CA046/MPACT) to a design alternative of 6.6 months, using a one-sided α of 0.05. The calculation assumes exponential survival for TTF (constant hazard, used to convert median TTF to a rate for the single-sample survival power computation), a 24-month accrual period, and a minimum of 12 months of follow-up per subject; total study duration is approximately 3.5 years, or until up to 95% of survival data are collected, whichever comes first. Allowing for an approximate 10% dropout rate, 110 subjects are enrolled to yield 100 evaluable subjects. The number of TTF events accrues from progression, death, and new-therapy events over the accrual and follow-up period; because the analysis is estimation rather than event-driven testing, no fixed event count is targeted. The one-sided α and the power are properties of the sizing calculation only; the reported analysis is Kaplan-Meier estimation of the median TTF with a two-sided 90% confidence interval.</w:t>
      </w:r>
    </w:p>
    <w:bookmarkEnd w:id="34"/>
    <w:bookmarkStart w:id="35" w:name="statistical-hypotheses"/>
    <w:p>
      <w:pPr>
        <w:pStyle w:val="Heading3"/>
      </w:pPr>
      <w:r>
        <w:t xml:space="preserve">5.2 Statistical Hypotheses</w:t>
      </w:r>
    </w:p>
    <w:p>
      <w:pPr>
        <w:pStyle w:val="FirstParagraph"/>
      </w:pPr>
      <w:r>
        <w:t xml:space="preserve">For sample-size derivation only, the primary endpoint hypotheses are expressed in terms of the median TTF (denoted M), where 5.1 months is the median TTF observed in the CA046/MPACT study:</w:t>
      </w:r>
    </w:p>
    <w:p>
      <w:pPr>
        <w:pStyle w:val="Compact"/>
        <w:numPr>
          <w:ilvl w:val="0"/>
          <w:numId w:val="1005"/>
        </w:numPr>
      </w:pPr>
      <w:r>
        <w:rPr>
          <w:b/>
          <w:bCs/>
        </w:rPr>
        <w:t xml:space="preserve">H0:</w:t>
      </w:r>
      <w:r>
        <w:t xml:space="preserve"> </w:t>
      </w:r>
      <w:r>
        <w:t xml:space="preserve">M ≤ 5.1 months</w:t>
      </w:r>
    </w:p>
    <w:p>
      <w:pPr>
        <w:pStyle w:val="Compact"/>
        <w:numPr>
          <w:ilvl w:val="0"/>
          <w:numId w:val="1005"/>
        </w:numPr>
      </w:pPr>
      <w:r>
        <w:rPr>
          <w:b/>
          <w:bCs/>
        </w:rPr>
        <w:t xml:space="preserve">H1:</w:t>
      </w:r>
      <w:r>
        <w:t xml:space="preserve"> </w:t>
      </w:r>
      <w:r>
        <w:t xml:space="preserve">M &gt; 5.1 months (design alternative M = 6.6 months, a 30% increase)</w:t>
      </w:r>
    </w:p>
    <w:p>
      <w:pPr>
        <w:pStyle w:val="FirstParagraph"/>
      </w:pPr>
      <w:r>
        <w:t xml:space="preserve">The framing is one-sided at α = 0.05 for sizing purposes. No formal statistical test of these hypotheses is performed in the analysis. Consistent with the estimation-only positioning, the primary analysis reports the Kaplan-Meier median TTF with a two-sided 90% confidence interval; a median TTF whose confidence interval lies above the 5.1-month historical reference is regarded as descriptively favorable. No null hypothesis is formally rejected and no Type I error is controlled (Sections 8, 9, and the decision interpretation in Section 8.11).</w:t>
      </w:r>
    </w:p>
    <w:bookmarkEnd w:id="35"/>
    <w:bookmarkStart w:id="36" w:name="sample-size-assumptions-tte"/>
    <w:p>
      <w:pPr>
        <w:pStyle w:val="Heading3"/>
      </w:pPr>
      <w:r>
        <w:t xml:space="preserve">5.3 Sample Size Assumptions (TTE)</w:t>
      </w:r>
    </w:p>
    <w:p>
      <w:pPr>
        <w:pStyle w:val="FirstParagraph"/>
      </w:pPr>
      <w:r>
        <w:t xml:space="preserve">The design assumptions and their linkage to the analysis are summarized below:</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3350"/>
        <w:gridCol w:w="4569"/>
      </w:tblGrid>
      <w:tr>
        <w:trPr>
          <w:tblHeader w:val="on"/>
        </w:trPr>
        <w:tc>
          <w:tcPr>
            <w:shd w:val="clear" w:fill="EEF0F4"/>
          </w:tcPr>
          <w:p>
            <w:pPr>
              <w:pStyle w:val="Compact"/>
            </w:pPr>
            <w:r>
              <w:rPr>
                <w:b/>
              </w:rPr>
              <w:t xml:space="preserve">Component</w:t>
            </w:r>
          </w:p>
        </w:tc>
        <w:tc>
          <w:tcPr>
            <w:shd w:val="clear" w:fill="EEF0F4"/>
          </w:tcPr>
          <w:p>
            <w:pPr>
              <w:pStyle w:val="Compact"/>
            </w:pPr>
            <w:r>
              <w:rPr>
                <w:b/>
              </w:rPr>
              <w:t xml:space="preserve">Specification</w:t>
            </w:r>
          </w:p>
        </w:tc>
      </w:tr>
      <w:tr>
        <w:tc>
          <w:tcPr/>
          <w:p>
            <w:pPr>
              <w:pStyle w:val="Compact"/>
            </w:pPr>
            <w:r>
              <w:t xml:space="preserve">Distributional assumption</w:t>
            </w:r>
          </w:p>
        </w:tc>
        <w:tc>
          <w:tcPr/>
          <w:p>
            <w:pPr>
              <w:pStyle w:val="Compact"/>
            </w:pPr>
            <w:r>
              <w:t xml:space="preserve">Exponential survival for TTF (constant hazard)</w:t>
            </w:r>
          </w:p>
        </w:tc>
      </w:tr>
      <w:tr>
        <w:tc>
          <w:tcPr/>
          <w:p>
            <w:pPr>
              <w:pStyle w:val="Compact"/>
            </w:pPr>
            <w:r>
              <w:t xml:space="preserve">Historical reference median</w:t>
            </w:r>
          </w:p>
        </w:tc>
        <w:tc>
          <w:tcPr/>
          <w:p>
            <w:pPr>
              <w:pStyle w:val="Compact"/>
            </w:pPr>
            <w:r>
              <w:t xml:space="preserve">5.1 months (CA046/MPACT)</w:t>
            </w:r>
          </w:p>
        </w:tc>
      </w:tr>
      <w:tr>
        <w:tc>
          <w:tcPr/>
          <w:p>
            <w:pPr>
              <w:pStyle w:val="Compact"/>
            </w:pPr>
            <w:r>
              <w:t xml:space="preserve">Design alternative median</w:t>
            </w:r>
          </w:p>
        </w:tc>
        <w:tc>
          <w:tcPr/>
          <w:p>
            <w:pPr>
              <w:pStyle w:val="Compact"/>
            </w:pPr>
            <w:r>
              <w:t xml:space="preserve">6.6 months (30% increase)</w:t>
            </w:r>
          </w:p>
        </w:tc>
      </w:tr>
      <w:tr>
        <w:tc>
          <w:tcPr/>
          <w:p>
            <w:pPr>
              <w:pStyle w:val="Compact"/>
            </w:pPr>
            <w:r>
              <w:t xml:space="preserve">Accrual duration</w:t>
            </w:r>
          </w:p>
        </w:tc>
        <w:tc>
          <w:tcPr/>
          <w:p>
            <w:pPr>
              <w:pStyle w:val="Compact"/>
            </w:pPr>
            <w:r>
              <w:t xml:space="preserve">24 months</w:t>
            </w:r>
          </w:p>
        </w:tc>
      </w:tr>
      <w:tr>
        <w:tc>
          <w:tcPr/>
          <w:p>
            <w:pPr>
              <w:pStyle w:val="Compact"/>
            </w:pPr>
            <w:r>
              <w:t xml:space="preserve">Minimum follow-up</w:t>
            </w:r>
          </w:p>
        </w:tc>
        <w:tc>
          <w:tcPr/>
          <w:p>
            <w:pPr>
              <w:pStyle w:val="Compact"/>
            </w:pPr>
            <w:r>
              <w:t xml:space="preserve">12 months per subject</w:t>
            </w:r>
          </w:p>
        </w:tc>
      </w:tr>
      <w:tr>
        <w:tc>
          <w:tcPr/>
          <w:p>
            <w:pPr>
              <w:pStyle w:val="Compact"/>
            </w:pPr>
            <w:r>
              <w:t xml:space="preserve">Dropout assumption</w:t>
            </w:r>
          </w:p>
        </w:tc>
        <w:tc>
          <w:tcPr/>
          <w:p>
            <w:pPr>
              <w:pStyle w:val="Compact"/>
            </w:pPr>
            <w:r>
              <w:t xml:space="preserve">10%</w:t>
            </w:r>
          </w:p>
        </w:tc>
      </w:tr>
      <w:tr>
        <w:tc>
          <w:tcPr/>
          <w:p>
            <w:pPr>
              <w:pStyle w:val="Compact"/>
            </w:pPr>
            <w:r>
              <w:t xml:space="preserve">Evaluable / enrolled</w:t>
            </w:r>
          </w:p>
        </w:tc>
        <w:tc>
          <w:tcPr/>
          <w:p>
            <w:pPr>
              <w:pStyle w:val="Compact"/>
            </w:pPr>
            <w:r>
              <w:t xml:space="preserve">100 / 110</w:t>
            </w:r>
          </w:p>
        </w:tc>
      </w:tr>
      <w:tr>
        <w:tc>
          <w:tcPr/>
          <w:p>
            <w:pPr>
              <w:pStyle w:val="Compact"/>
            </w:pPr>
            <w:r>
              <w:t xml:space="preserve">Power</w:t>
            </w:r>
          </w:p>
        </w:tc>
        <w:tc>
          <w:tcPr/>
          <w:p>
            <w:pPr>
              <w:pStyle w:val="Compact"/>
            </w:pPr>
            <w:r>
              <w:t xml:space="preserve">80%</w:t>
            </w:r>
          </w:p>
        </w:tc>
      </w:tr>
      <w:tr>
        <w:tc>
          <w:tcPr/>
          <w:p>
            <w:pPr>
              <w:pStyle w:val="Compact"/>
            </w:pPr>
            <w:r>
              <w:t xml:space="preserve">Sizing α</w:t>
            </w:r>
          </w:p>
        </w:tc>
        <w:tc>
          <w:tcPr/>
          <w:p>
            <w:pPr>
              <w:pStyle w:val="Compact"/>
            </w:pPr>
            <w:r>
              <w:t xml:space="preserve">One-sided 0.05</w:t>
            </w:r>
          </w:p>
        </w:tc>
      </w:tr>
      <w:tr>
        <w:tc>
          <w:tcPr/>
          <w:p>
            <w:pPr>
              <w:pStyle w:val="Compact"/>
            </w:pPr>
            <w:r>
              <w:t xml:space="preserve">Power method</w:t>
            </w:r>
          </w:p>
        </w:tc>
        <w:tc>
          <w:tcPr/>
          <w:p>
            <w:pPr>
              <w:pStyle w:val="Compact"/>
            </w:pPr>
            <w:r>
              <w:t xml:space="preserve">Single-sample exponential survival calculation vs. fixed historical median</w:t>
            </w:r>
          </w:p>
        </w:tc>
      </w:tr>
    </w:tbl>
    <w:p>
      <w:pPr>
        <w:pStyle w:val="BodyText"/>
      </w:pPr>
      <w:r>
        <w:t xml:space="preserve">The analysis linked to these assumptions is unadjusted Kaplan-Meier estimation of median TTF with a two-sided 90% CI (Section 8.2).</w:t>
      </w:r>
    </w:p>
    <w:bookmarkEnd w:id="36"/>
    <w:bookmarkStart w:id="37" w:name="historical-benchmark"/>
    <w:p>
      <w:pPr>
        <w:pStyle w:val="Heading3"/>
      </w:pPr>
      <w:r>
        <w:t xml:space="preserve">5.4 Historical Benchmark</w:t>
      </w:r>
    </w:p>
    <w:p>
      <w:pPr>
        <w:pStyle w:val="FirstParagraph"/>
      </w:pPr>
      <w:r>
        <w:t xml:space="preserve">Because no comparator arm exists and no confirmatory test is performed, the sample size is best understood as governing estimation precision: 100 evaluable subjects yield a sufficiently narrow 90% confidence interval around the median TTF to permit a meaningful descriptive comparison to the 5.1-month historical benchmark. This positioning is non-registrational; any comparison to historical data is supportive only and carries no confirmatory inferential claim.</w:t>
      </w:r>
    </w:p>
    <w:bookmarkEnd w:id="37"/>
    <w:bookmarkEnd w:id="38"/>
    <w:bookmarkStart w:id="44" w:name="analysis-populations"/>
    <w:p>
      <w:pPr>
        <w:pStyle w:val="Heading2"/>
      </w:pPr>
      <w:r>
        <w:t xml:space="preserve">6. Analysis Populations</w:t>
      </w:r>
    </w:p>
    <w:p>
      <w:pPr>
        <w:pStyle w:val="FirstParagraph"/>
      </w:pPr>
      <w:r>
        <w:t xml:space="preserve">Three analysis populations are used. Their definitions follow the protocol; disposition tables (Section 6.5) reconcile subject counts across populations for traceability. The primary efficacy analysis uses the ITT population, secondary efficacy analyses additionally use the Per-Protocol (PP) population, and safety analyses use the Treated population.</w:t>
      </w:r>
    </w:p>
    <w:bookmarkStart w:id="39" w:name="intent-to-treat-full-analysis-set"/>
    <w:p>
      <w:pPr>
        <w:pStyle w:val="Heading3"/>
      </w:pPr>
      <w:r>
        <w:t xml:space="preserve">6.1 Intent-to-Treat / Full Analysis Set</w:t>
      </w:r>
    </w:p>
    <w:p>
      <w:pPr>
        <w:pStyle w:val="FirstParagraph"/>
      </w:pPr>
      <w:r>
        <w:t xml:space="preserve">The</w:t>
      </w:r>
      <w:r>
        <w:t xml:space="preserve"> </w:t>
      </w:r>
      <w:r>
        <w:rPr>
          <w:b/>
          <w:bCs/>
        </w:rPr>
        <w:t xml:space="preserve">Intent-to-Treat (ITT) population</w:t>
      </w:r>
      <w:r>
        <w:t xml:space="preserve"> </w:t>
      </w:r>
      <w:r>
        <w:t xml:space="preserve">comprises all subjects enrolled in the study who receive at least one dose of investigational product. The ITT population serves as the Full Analysis Set (FAS) for this study. Because the protocol defines ITT in terms of treated-enrolled subjects, ITT and FAS are synonymous here; this synonymy is stated explicitly for traceability rather than to redefine the standard ITT concept. All primary and secondary efficacy analyses are conducted on the ITT population; the primary TTF analysis is performed on ITT.</w:t>
      </w:r>
    </w:p>
    <w:bookmarkEnd w:id="39"/>
    <w:bookmarkStart w:id="40" w:name="per-protocol-population"/>
    <w:p>
      <w:pPr>
        <w:pStyle w:val="Heading3"/>
      </w:pPr>
      <w:r>
        <w:t xml:space="preserve">6.2 Per-Protocol Population</w:t>
      </w:r>
    </w:p>
    <w:p>
      <w:pPr>
        <w:pStyle w:val="FirstParagraph"/>
      </w:pPr>
      <w:r>
        <w:t xml:space="preserve">The</w:t>
      </w:r>
      <w:r>
        <w:t xml:space="preserve"> </w:t>
      </w:r>
      <w:r>
        <w:rPr>
          <w:b/>
          <w:bCs/>
        </w:rPr>
        <w:t xml:space="preserve">Per-Protocol (PP) population</w:t>
      </w:r>
      <w:r>
        <w:t xml:space="preserve"> </w:t>
      </w:r>
      <w:r>
        <w:t xml:space="preserve">comprises all ITT subjects who additionally fulfill the study enrollment criteria without major eligibility deviations. The PP population is used for supportive secondary efficacy analyses and, where indicated, for additional analyses specified in this SAP. Concordance between ITT and PP results serves as an informal robustness check on the influence of eligibility deviations.</w:t>
      </w:r>
    </w:p>
    <w:bookmarkEnd w:id="40"/>
    <w:bookmarkStart w:id="41" w:name="safety-population"/>
    <w:p>
      <w:pPr>
        <w:pStyle w:val="Heading3"/>
      </w:pPr>
      <w:r>
        <w:t xml:space="preserve">6.3 Safety Population</w:t>
      </w:r>
    </w:p>
    <w:p>
      <w:pPr>
        <w:pStyle w:val="FirstParagraph"/>
      </w:pPr>
      <w:r>
        <w:t xml:space="preserve">The</w:t>
      </w:r>
      <w:r>
        <w:t xml:space="preserve"> </w:t>
      </w:r>
      <w:r>
        <w:rPr>
          <w:b/>
          <w:bCs/>
        </w:rPr>
        <w:t xml:space="preserve">Treated (Safety) population</w:t>
      </w:r>
      <w:r>
        <w:t xml:space="preserve"> </w:t>
      </w:r>
      <w:r>
        <w:t xml:space="preserve">comprises all subjects who receive at least one dose of both nab-paclitaxel and gemcitabine. All safety analyses—adverse events, laboratory abnormalities, exposure, and dose intensity—are performed on the Treated population. For DCR evaluability, a subject must additionally have had the opportunity to reach the 6-month/End-of-Treatment assessment (i.e., completed 6 cycles, or discontinued for progression/death/new therapy before completion, consistent with the interim DCR trigger).</w:t>
      </w:r>
    </w:p>
    <w:bookmarkEnd w:id="41"/>
    <w:bookmarkStart w:id="42" w:name="other-populations"/>
    <w:p>
      <w:pPr>
        <w:pStyle w:val="Heading3"/>
      </w:pPr>
      <w:r>
        <w:t xml:space="preserve">6.4 Other Populations</w:t>
      </w:r>
    </w:p>
    <w:p>
      <w:pPr>
        <w:pStyle w:val="FirstParagraph"/>
      </w:pPr>
      <w:r>
        <w:t xml:space="preserve">The relationship among populations is nested: Treated ⊆ ITT (Treated requires both drugs; ITT requires ≥1 dose of any IP) and PP ⊆ ITT. In practice, because the induction regimen is administered as a doublet, the ITT and Treated populations are expected to be nearly identical; any discrepancies (e.g., a subject receiving only one of the two drugs) are enumerated in the disposition reconciliation. Population membership is derived programmatically from dosing records and eligibility review and is flagged in the analysis datasets.</w:t>
      </w:r>
    </w:p>
    <w:bookmarkEnd w:id="42"/>
    <w:bookmarkStart w:id="43" w:name="subject-disposition"/>
    <w:p>
      <w:pPr>
        <w:pStyle w:val="Heading3"/>
      </w:pPr>
      <w:r>
        <w:t xml:space="preserve">6.5 Subject Disposition</w:t>
      </w:r>
    </w:p>
    <w:p>
      <w:pPr>
        <w:pStyle w:val="FirstParagraph"/>
      </w:pPr>
      <w:r>
        <w:t xml:space="preserve">Subject disposition is summarized on all enrolled subjects and reconciled across the ITT, PP, and Treated populations. The disposition summary reports the number of subjects screened, enrolled, treated, and completing versus discontinuing induction, together with primary reason for discontinuation (disease progression, adverse event, death, withdrawal of consent, loss to follow-up, physician decision, other). Completion status of the 6-cycle induction phase and transition to each Investigator’s Choice option (continuation, chemoradiation, surgery) are tabulated. Reasons for exclusion from the PP population (major eligibility deviations) are itemized. Disposition is presented in Table 14.1.1.</w:t>
      </w:r>
    </w:p>
    <w:bookmarkEnd w:id="43"/>
    <w:bookmarkEnd w:id="44"/>
    <w:bookmarkStart w:id="49" w:name="estimands-ich-e9-r1"/>
    <w:p>
      <w:pPr>
        <w:pStyle w:val="Heading2"/>
      </w:pPr>
      <w:r>
        <w:t xml:space="preserve">7. Estimands (ICH E9 R1)</w:t>
      </w:r>
    </w:p>
    <w:p>
      <w:pPr>
        <w:pStyle w:val="FirstParagraph"/>
      </w:pPr>
      <w:r>
        <w:t xml:space="preserve">The estimand framework follows ICH E9(R1) and makes explicit, for each endpoint, the population, the variable, the strategy for handling intercurrent events, and the population-level summary measure. Because the design is single-arm and estimation-focused, each estimand targets a treatment-associated outcome (a median survival time or a response proportion) rather than a between-arm contrast. Intercurrent-event strategies are intrinsic to the endpoint definitions given in Section 3 and are not re-derived here.</w:t>
      </w:r>
    </w:p>
    <w:bookmarkStart w:id="45" w:name="primary-estimand"/>
    <w:p>
      <w:pPr>
        <w:pStyle w:val="Heading3"/>
      </w:pPr>
      <w:r>
        <w:t xml:space="preserve">7.1 Primary Estimand</w:t>
      </w:r>
    </w:p>
    <w:p>
      <w:pPr>
        <w:pStyle w:val="FirstParagraph"/>
      </w:pPr>
      <w:r>
        <w:t xml:space="preserve">The</w:t>
      </w:r>
      <w:r>
        <w:t xml:space="preserve"> </w:t>
      </w:r>
      <w:r>
        <w:rPr>
          <w:b/>
          <w:bCs/>
        </w:rPr>
        <w:t xml:space="preserve">primary estimand</w:t>
      </w:r>
      <w:r>
        <w:t xml:space="preserve"> </w:t>
      </w:r>
      <w:r>
        <w:t xml:space="preserve">targets the time from first dose of study therapy to treatment failure in the ITT population of enrolled LAPC subjects receiving at least one dose of investigational product. Treatment failure is the earliest occurrence of RECIST-defined disease progression leading to discontinuation, death from any cause, or start of a new non-protocol-defined anticancer therapy. Progression, death, and start of new anticancer therapy are handled by a composite strategy because each constitutes the failure event itself; treatment discontinuation without a failure event is handled by a hypothetical strategy, with such subjects censored at the last tumor assessment as though observation had continued. The summary measure is the Kaplan-Meier median TTF (months) with a two-sided 90% confidence interval. The historical median of 5.1 months is an exploratory descriptive reference informing sizing, not a confirmatory target.</w:t>
      </w:r>
    </w:p>
    <w:bookmarkEnd w:id="45"/>
    <w:bookmarkStart w:id="46" w:name="secondary-estimands-dcr-orr"/>
    <w:p>
      <w:pPr>
        <w:pStyle w:val="Heading3"/>
      </w:pPr>
      <w:r>
        <w:t xml:space="preserve">7.2 Secondary Estimands (DCR, ORR)</w:t>
      </w:r>
    </w:p>
    <w:p>
      <w:pPr>
        <w:pStyle w:val="FirstParagraph"/>
      </w:pPr>
      <w:r>
        <w:t xml:space="preserve">The</w:t>
      </w:r>
      <w:r>
        <w:t xml:space="preserve"> </w:t>
      </w:r>
      <w:r>
        <w:rPr>
          <w:b/>
          <w:bCs/>
        </w:rPr>
        <w:t xml:space="preserve">DCR estimand</w:t>
      </w:r>
      <w:r>
        <w:t xml:space="preserve"> </w:t>
      </w:r>
      <w:r>
        <w:t xml:space="preserve">targets the proportion of ITT subjects achieving disease control (CR, PR, or SD sustained ≥16 weeks) at the End-of-Treatment assessment after 6 cycles per RECIST v1.1. Progression, death, and start of new anticancer therapy are handled by a composite strategy, counting affected subjects as non-responders and thereby avoiding optimistic bias. The summary measure is the disease-control proportion with a two-sided 90% exact Clopper-Pearson confidence interval. The</w:t>
      </w:r>
      <w:r>
        <w:t xml:space="preserve"> </w:t>
      </w:r>
      <w:r>
        <w:rPr>
          <w:b/>
          <w:bCs/>
        </w:rPr>
        <w:t xml:space="preserve">ORR estimand</w:t>
      </w:r>
      <w:r>
        <w:t xml:space="preserve"> </w:t>
      </w:r>
      <w:r>
        <w:t xml:space="preserve">is defined analogously for the CR+PR proportion with the same composite non-responder handling and the same interval methodology, ensuring coherence across the binary endpoints. The PP population provides supportive estimates for both.</w:t>
      </w:r>
    </w:p>
    <w:bookmarkEnd w:id="46"/>
    <w:bookmarkStart w:id="47" w:name="additional-estimands"/>
    <w:p>
      <w:pPr>
        <w:pStyle w:val="Heading3"/>
      </w:pPr>
      <w:r>
        <w:t xml:space="preserve">7.3 Additional Estimands</w:t>
      </w:r>
    </w:p>
    <w:p>
      <w:pPr>
        <w:pStyle w:val="FirstParagraph"/>
      </w:pPr>
      <w:r>
        <w:t xml:space="preserve">The</w:t>
      </w:r>
      <w:r>
        <w:t xml:space="preserve"> </w:t>
      </w:r>
      <w:r>
        <w:rPr>
          <w:b/>
          <w:bCs/>
        </w:rPr>
        <w:t xml:space="preserve">PFS estimand</w:t>
      </w:r>
      <w:r>
        <w:t xml:space="preserve"> </w:t>
      </w:r>
      <w:r>
        <w:t xml:space="preserve">targets the time from first dose to documented progression or death, whichever occurs first, in the ITT population. Progression and death are handled by a composite strategy; start of new anticancer therapy or palliative radiotherapy/surgery at a lesion site before progression is handled by a hypothetical strategy (censoring at the last progression-free assessment prior to intervention); two or more consecutive missing assessments before a documented event are handled by censoring at the last progression-free date. The summary measure is the Kaplan-Meier median PFS with a two-sided 90% CI. The</w:t>
      </w:r>
      <w:r>
        <w:t xml:space="preserve"> </w:t>
      </w:r>
      <w:r>
        <w:rPr>
          <w:b/>
          <w:bCs/>
        </w:rPr>
        <w:t xml:space="preserve">OS estimand</w:t>
      </w:r>
      <w:r>
        <w:t xml:space="preserve"> </w:t>
      </w:r>
      <w:r>
        <w:t xml:space="preserve">targets the time from first dose to death from any cause under a treatment-policy strategy—all deaths are counted regardless of intervening intercurrent events (subsequent therapy, discontinuation)—with subjects alive censored at the last known alive date. The summary measure is the Kaplan-Meier median OS with a two-sided 90% CI. OS is robust to intercurrent events because deaths are always ascertained through the ~90-day survival follow-up.</w:t>
      </w:r>
    </w:p>
    <w:bookmarkEnd w:id="47"/>
    <w:bookmarkStart w:id="48" w:name="Xbdeac4df47767ef8a77f4f395346be8639b22e3"/>
    <w:p>
      <w:pPr>
        <w:pStyle w:val="Heading3"/>
      </w:pPr>
      <w:r>
        <w:t xml:space="preserve">7.4 Intercurrent Events and Strategies (Structured Table)</w:t>
      </w:r>
    </w:p>
    <w:p>
      <w:pPr>
        <w:pStyle w:val="FirstParagraph"/>
      </w:pPr>
      <w:r>
        <w:t xml:space="preserve">The mapping of intercurrent events to handling strategies across endpoints is summarized below.</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3443"/>
        <w:gridCol w:w="860"/>
        <w:gridCol w:w="860"/>
        <w:gridCol w:w="860"/>
        <w:gridCol w:w="1893"/>
      </w:tblGrid>
      <w:tr>
        <w:trPr>
          <w:tblHeader w:val="on"/>
        </w:trPr>
        <w:tc>
          <w:tcPr>
            <w:shd w:val="clear" w:fill="EEF0F4"/>
          </w:tcPr>
          <w:p>
            <w:pPr>
              <w:pStyle w:val="Compact"/>
            </w:pPr>
            <w:r>
              <w:rPr>
                <w:b/>
              </w:rPr>
              <w:t xml:space="preserve">Intercurrent event</w:t>
            </w:r>
          </w:p>
        </w:tc>
        <w:tc>
          <w:tcPr>
            <w:shd w:val="clear" w:fill="EEF0F4"/>
          </w:tcPr>
          <w:p>
            <w:pPr>
              <w:pStyle w:val="Compact"/>
            </w:pPr>
            <w:r>
              <w:rPr>
                <w:b/>
              </w:rPr>
              <w:t xml:space="preserve">TTF</w:t>
            </w:r>
          </w:p>
        </w:tc>
        <w:tc>
          <w:tcPr>
            <w:shd w:val="clear" w:fill="EEF0F4"/>
          </w:tcPr>
          <w:p>
            <w:pPr>
              <w:pStyle w:val="Compact"/>
            </w:pPr>
            <w:r>
              <w:rPr>
                <w:b/>
              </w:rPr>
              <w:t xml:space="preserve">PFS</w:t>
            </w:r>
          </w:p>
        </w:tc>
        <w:tc>
          <w:tcPr>
            <w:shd w:val="clear" w:fill="EEF0F4"/>
          </w:tcPr>
          <w:p>
            <w:pPr>
              <w:pStyle w:val="Compact"/>
            </w:pPr>
            <w:r>
              <w:rPr>
                <w:b/>
              </w:rPr>
              <w:t xml:space="preserve">OS</w:t>
            </w:r>
          </w:p>
        </w:tc>
        <w:tc>
          <w:tcPr>
            <w:shd w:val="clear" w:fill="EEF0F4"/>
          </w:tcPr>
          <w:p>
            <w:pPr>
              <w:pStyle w:val="Compact"/>
            </w:pPr>
            <w:r>
              <w:rPr>
                <w:b/>
              </w:rPr>
              <w:t xml:space="preserve">DCR / ORR</w:t>
            </w:r>
          </w:p>
        </w:tc>
      </w:tr>
      <w:tr>
        <w:tc>
          <w:tcPr/>
          <w:p>
            <w:pPr>
              <w:pStyle w:val="Compact"/>
            </w:pPr>
            <w:r>
              <w:t xml:space="preserve">Disease progression (RECIST v1.1)</w:t>
            </w:r>
          </w:p>
        </w:tc>
        <w:tc>
          <w:tcPr/>
          <w:p>
            <w:pPr>
              <w:pStyle w:val="Compact"/>
            </w:pPr>
            <w:r>
              <w:t xml:space="preserve">Composite (event)</w:t>
            </w:r>
          </w:p>
        </w:tc>
        <w:tc>
          <w:tcPr/>
          <w:p>
            <w:pPr>
              <w:pStyle w:val="Compact"/>
            </w:pPr>
            <w:r>
              <w:t xml:space="preserve">Composite (event)</w:t>
            </w:r>
          </w:p>
        </w:tc>
        <w:tc>
          <w:tcPr/>
          <w:p>
            <w:pPr>
              <w:pStyle w:val="Compact"/>
            </w:pPr>
            <w:r>
              <w:t xml:space="preserve">Ignored (not an event)</w:t>
            </w:r>
          </w:p>
        </w:tc>
        <w:tc>
          <w:tcPr/>
          <w:p>
            <w:pPr>
              <w:pStyle w:val="Compact"/>
            </w:pPr>
            <w:r>
              <w:t xml:space="preserve">Composite (non-responder)</w:t>
            </w:r>
          </w:p>
        </w:tc>
      </w:tr>
      <w:tr>
        <w:tc>
          <w:tcPr/>
          <w:p>
            <w:pPr>
              <w:pStyle w:val="Compact"/>
            </w:pPr>
            <w:r>
              <w:t xml:space="preserve">Death, any cause</w:t>
            </w:r>
          </w:p>
        </w:tc>
        <w:tc>
          <w:tcPr/>
          <w:p>
            <w:pPr>
              <w:pStyle w:val="Compact"/>
            </w:pPr>
            <w:r>
              <w:t xml:space="preserve">Composite (event)</w:t>
            </w:r>
          </w:p>
        </w:tc>
        <w:tc>
          <w:tcPr/>
          <w:p>
            <w:pPr>
              <w:pStyle w:val="Compact"/>
            </w:pPr>
            <w:r>
              <w:t xml:space="preserve">Composite (event)</w:t>
            </w:r>
          </w:p>
        </w:tc>
        <w:tc>
          <w:tcPr/>
          <w:p>
            <w:pPr>
              <w:pStyle w:val="Compact"/>
            </w:pPr>
            <w:r>
              <w:t xml:space="preserve">Treatment policy (event)</w:t>
            </w:r>
          </w:p>
        </w:tc>
        <w:tc>
          <w:tcPr/>
          <w:p>
            <w:pPr>
              <w:pStyle w:val="Compact"/>
            </w:pPr>
            <w:r>
              <w:t xml:space="preserve">Composite (non-responder)</w:t>
            </w:r>
          </w:p>
        </w:tc>
      </w:tr>
      <w:tr>
        <w:tc>
          <w:tcPr/>
          <w:p>
            <w:pPr>
              <w:pStyle w:val="Compact"/>
            </w:pPr>
            <w:r>
              <w:t xml:space="preserve">Start of new non-protocol anticancer therapy</w:t>
            </w:r>
          </w:p>
        </w:tc>
        <w:tc>
          <w:tcPr/>
          <w:p>
            <w:pPr>
              <w:pStyle w:val="Compact"/>
            </w:pPr>
            <w:r>
              <w:t xml:space="preserve">Composite (event)</w:t>
            </w:r>
          </w:p>
        </w:tc>
        <w:tc>
          <w:tcPr/>
          <w:p>
            <w:pPr>
              <w:pStyle w:val="Compact"/>
            </w:pPr>
            <w:r>
              <w:t xml:space="preserve">Hypothetical (censor)</w:t>
            </w:r>
          </w:p>
        </w:tc>
        <w:tc>
          <w:tcPr/>
          <w:p>
            <w:pPr>
              <w:pStyle w:val="Compact"/>
            </w:pPr>
            <w:r>
              <w:t xml:space="preserve">Treatment policy (ignored)</w:t>
            </w:r>
          </w:p>
        </w:tc>
        <w:tc>
          <w:tcPr/>
          <w:p>
            <w:pPr>
              <w:pStyle w:val="Compact"/>
            </w:pPr>
            <w:r>
              <w:t xml:space="preserve">Composite (non-responder)</w:t>
            </w:r>
          </w:p>
        </w:tc>
      </w:tr>
      <w:tr>
        <w:tc>
          <w:tcPr/>
          <w:p>
            <w:pPr>
              <w:pStyle w:val="Compact"/>
            </w:pPr>
            <w:r>
              <w:t xml:space="preserve">Treatment discontinuation without failure event</w:t>
            </w:r>
          </w:p>
        </w:tc>
        <w:tc>
          <w:tcPr/>
          <w:p>
            <w:pPr>
              <w:pStyle w:val="Compact"/>
            </w:pPr>
            <w:r>
              <w:t xml:space="preserve">Hypothetical (censor)</w:t>
            </w:r>
          </w:p>
        </w:tc>
        <w:tc>
          <w:tcPr/>
          <w:p>
            <w:pPr>
              <w:pStyle w:val="Compact"/>
            </w:pPr>
            <w:r>
              <w:t xml:space="preserve">Hypothetical (censor)</w:t>
            </w:r>
          </w:p>
        </w:tc>
        <w:tc>
          <w:tcPr/>
          <w:p>
            <w:pPr>
              <w:pStyle w:val="Compact"/>
            </w:pPr>
            <w:r>
              <w:t xml:space="preserve">Treatment policy (ignored)</w:t>
            </w:r>
          </w:p>
        </w:tc>
        <w:tc>
          <w:tcPr/>
          <w:p>
            <w:pPr>
              <w:pStyle w:val="Compact"/>
            </w:pPr>
            <w:r>
              <w:t xml:space="preserve">Non-responder if before assessment</w:t>
            </w:r>
          </w:p>
        </w:tc>
      </w:tr>
      <w:tr>
        <w:tc>
          <w:tcPr/>
          <w:p>
            <w:pPr>
              <w:pStyle w:val="Compact"/>
            </w:pPr>
            <w:r>
              <w:t xml:space="preserve">Palliative RT/surgery at lesion site before progression</w:t>
            </w:r>
          </w:p>
        </w:tc>
        <w:tc>
          <w:tcPr/>
          <w:p>
            <w:pPr>
              <w:pStyle w:val="Compact"/>
            </w:pPr>
            <w:r>
              <w:t xml:space="preserve">Hypothetical (censor)</w:t>
            </w:r>
          </w:p>
        </w:tc>
        <w:tc>
          <w:tcPr/>
          <w:p>
            <w:pPr>
              <w:pStyle w:val="Compact"/>
            </w:pPr>
            <w:r>
              <w:t xml:space="preserve">Hypothetical (censor)</w:t>
            </w:r>
          </w:p>
        </w:tc>
        <w:tc>
          <w:tcPr/>
          <w:p>
            <w:pPr>
              <w:pStyle w:val="Compact"/>
            </w:pPr>
            <w:r>
              <w:t xml:space="preserve">Treatment policy (ignored)</w:t>
            </w:r>
          </w:p>
        </w:tc>
        <w:tc>
          <w:tcPr/>
          <w:p>
            <w:pPr>
              <w:pStyle w:val="Compact"/>
            </w:pPr>
            <w:r>
              <w:t xml:space="preserve">Per response at assessment</w:t>
            </w:r>
          </w:p>
        </w:tc>
      </w:tr>
      <w:tr>
        <w:tc>
          <w:tcPr/>
          <w:p>
            <w:pPr>
              <w:pStyle w:val="Compact"/>
            </w:pPr>
            <w:r>
              <w:t xml:space="preserve">Protocol-defined Investigator’s Choice continuation</w:t>
            </w:r>
          </w:p>
        </w:tc>
        <w:tc>
          <w:tcPr/>
          <w:p>
            <w:pPr>
              <w:pStyle w:val="Compact"/>
            </w:pPr>
            <w:r>
              <w:t xml:space="preserve">Not a trigger (censor if no PD)</w:t>
            </w:r>
          </w:p>
        </w:tc>
        <w:tc>
          <w:tcPr/>
          <w:p>
            <w:pPr>
              <w:pStyle w:val="Compact"/>
            </w:pPr>
            <w:r>
              <w:t xml:space="preserve">Not a trigger</w:t>
            </w:r>
          </w:p>
        </w:tc>
        <w:tc>
          <w:tcPr/>
          <w:p>
            <w:pPr>
              <w:pStyle w:val="Compact"/>
            </w:pPr>
            <w:r>
              <w:t xml:space="preserve">Treatment policy</w:t>
            </w:r>
          </w:p>
        </w:tc>
        <w:tc>
          <w:tcPr/>
          <w:p>
            <w:pPr>
              <w:pStyle w:val="Compact"/>
            </w:pPr>
            <w:r>
              <w:t xml:space="preserve">Per response at assessment</w:t>
            </w:r>
          </w:p>
        </w:tc>
      </w:tr>
    </w:tbl>
    <w:p>
      <w:pPr>
        <w:pStyle w:val="BodyText"/>
      </w:pPr>
      <w:r>
        <w:t xml:space="preserve">Robustness of the composite/hypothetical strategies is examined through the sensitivity analyses in Section 10.2.</w:t>
      </w:r>
    </w:p>
    <w:bookmarkEnd w:id="48"/>
    <w:bookmarkEnd w:id="49"/>
    <w:bookmarkStart w:id="61" w:name="statistical-methods"/>
    <w:p>
      <w:pPr>
        <w:pStyle w:val="Heading2"/>
      </w:pPr>
      <w:r>
        <w:t xml:space="preserve">8. Statistical Methods</w:t>
      </w:r>
    </w:p>
    <w:p>
      <w:pPr>
        <w:pStyle w:val="FirstParagraph"/>
      </w:pPr>
      <w:r>
        <w:t xml:space="preserve">This section specifies the analysis methods for each endpoint, with model assumptions, estimators, and interval methodology. The unifying principle is estimation: time-to-event endpoints are analyzed by the Kaplan-Meier product-limit method and binary endpoints by exact binomial methods, each reported with two-sided 90% confidence intervals. No comparative hypothesis test (log-rank, Cox, χ²) is performed on any endpoint because the design is single-arm with no concurrent comparator (Sections 5.2, 9). Endpoint definitions and censoring rules are as given in Section 3; they are referenced, not restated.</w:t>
      </w:r>
    </w:p>
    <w:bookmarkStart w:id="50" w:name="general-principles"/>
    <w:p>
      <w:pPr>
        <w:pStyle w:val="Heading3"/>
      </w:pPr>
      <w:r>
        <w:t xml:space="preserve">8.1 General Principles</w:t>
      </w:r>
    </w:p>
    <w:p>
      <w:pPr>
        <w:pStyle w:val="FirstParagraph"/>
      </w:pPr>
      <w:r>
        <w:t xml:space="preserve">Efficacy analyses are performed on the ITT population as the primary population, with PP as a supportive population for the secondary endpoints. All time-to-event durations are derived from the first dose of study therapy. Descriptive summaries accompany every analysis: for time-to-event endpoints, the number of events and censored observations, the Kaplan-Meier median and quartiles (25th and 75th percentiles), and landmark survival estimates at clinically relevant timepoints where informative; for binary endpoints, counts, proportions, and exact confidence limits. Two-sided 90% confidence intervals are the default across efficacy endpoints, consistent with the sizing framework.</w:t>
      </w:r>
    </w:p>
    <w:bookmarkEnd w:id="50"/>
    <w:bookmarkStart w:id="51" w:name="primary-analysis-and-decision-rule"/>
    <w:p>
      <w:pPr>
        <w:pStyle w:val="Heading3"/>
      </w:pPr>
      <w:r>
        <w:t xml:space="preserve">8.2 Primary Analysis and Decision Rule</w:t>
      </w:r>
    </w:p>
    <w:p>
      <w:pPr>
        <w:pStyle w:val="FirstParagraph"/>
      </w:pPr>
      <w:r>
        <w:t xml:space="preserve">The primary endpoint TTF is analyzed by the</w:t>
      </w:r>
      <w:r>
        <w:t xml:space="preserve"> </w:t>
      </w:r>
      <w:r>
        <w:rPr>
          <w:b/>
          <w:bCs/>
        </w:rPr>
        <w:t xml:space="preserve">Kaplan-Meier product-limit estimator</w:t>
      </w:r>
      <w:r>
        <w:t xml:space="preserve">. The median TTF is the smallest time at which the estimated survival function falls to or below 0.5. Variance of the survival estimate uses the</w:t>
      </w:r>
      <w:r>
        <w:t xml:space="preserve"> </w:t>
      </w:r>
      <w:r>
        <w:rPr>
          <w:b/>
          <w:bCs/>
        </w:rPr>
        <w:t xml:space="preserve">Greenwood formula</w:t>
      </w:r>
      <w:r>
        <w:t xml:space="preserve">; the confidence interval for the median is computed by the</w:t>
      </w:r>
      <w:r>
        <w:t xml:space="preserve"> </w:t>
      </w:r>
      <w:r>
        <w:rPr>
          <w:b/>
          <w:bCs/>
        </w:rPr>
        <w:t xml:space="preserve">Brookmeyer-Crowley method</w:t>
      </w:r>
      <w:r>
        <w:t xml:space="preserve"> </w:t>
      </w:r>
      <w:r>
        <w:t xml:space="preserve">(two-sided 90%), which inverts the confidence band for the survival function and is preferred over normal-approximation median intervals for its correct coverage under heavy censoring. Survival-function confidence limits, where displayed, use the complementary log-log transformation (log-log) for stability near 0 and 1.</w:t>
      </w:r>
    </w:p>
    <w:p>
      <w:pPr>
        <w:pStyle w:val="BodyText"/>
      </w:pPr>
      <w:r>
        <w:t xml:space="preserve">Event and censoring rules follow Section 3.1. The event/censoring logic is:</w:t>
      </w:r>
    </w:p>
    <w:p>
      <w:pPr>
        <w:pStyle w:val="Compact"/>
        <w:numPr>
          <w:ilvl w:val="0"/>
          <w:numId w:val="1006"/>
        </w:numPr>
      </w:pPr>
      <w:r>
        <w:rPr>
          <w:b/>
          <w:bCs/>
        </w:rPr>
        <w:t xml:space="preserve">Event</w:t>
      </w:r>
      <w:r>
        <w:t xml:space="preserve"> </w:t>
      </w:r>
      <w:r>
        <w:t xml:space="preserve">at the assessment date for documented progression; at the date of death (composite) for death without prior progression; at the start date for a new non-protocol anticancer therapy before progression/death.</w:t>
      </w:r>
    </w:p>
    <w:p>
      <w:pPr>
        <w:pStyle w:val="Compact"/>
        <w:numPr>
          <w:ilvl w:val="0"/>
          <w:numId w:val="1006"/>
        </w:numPr>
      </w:pPr>
      <w:r>
        <w:rPr>
          <w:b/>
          <w:bCs/>
        </w:rPr>
        <w:t xml:space="preserve">Censor</w:t>
      </w:r>
      <w:r>
        <w:t xml:space="preserve"> </w:t>
      </w:r>
      <w:r>
        <w:t xml:space="preserve">at the last tumor assessment date for: discontinuation without a failure event; ongoing progression-free subjects at data cut-off; single or non-consecutive missed assessments; withdrawal of consent or loss to follow-up; protocol-defined Investigator’s Choice continuation with no progression.</w:t>
      </w:r>
    </w:p>
    <w:p>
      <w:pPr>
        <w:pStyle w:val="FirstParagraph"/>
      </w:pPr>
      <w:r>
        <w:t xml:space="preserve">Precedence rules resolve concurrent events: (i) progression and death on the same date count as a single TTF event on that date, avoiding double counting; (ii) study-therapy discontinuation coinciding with a documented failure event is treated as a failure (event takes precedence over censoring); (iii) new-therapy start after the last scan is an event at the therapy-start date. These rules follow directly from the composite failure definition of the endpoint. The complete scenario table and precedence rules are reproduced in Appendix D. The primary output is Table 14.2.1 with the KM curve in Figure 14.2.1, on which the 5.1-month historical median is annotated as an exploratory reference.</w:t>
      </w:r>
    </w:p>
    <w:bookmarkEnd w:id="51"/>
    <w:bookmarkStart w:id="52" w:name="key-secondary-analyses"/>
    <w:p>
      <w:pPr>
        <w:pStyle w:val="Heading3"/>
      </w:pPr>
      <w:r>
        <w:t xml:space="preserve">8.3 Key Secondary Analyses</w:t>
      </w:r>
    </w:p>
    <w:p>
      <w:pPr>
        <w:pStyle w:val="FirstParagraph"/>
      </w:pPr>
      <w:r>
        <w:t xml:space="preserve">The binary secondary endpoints DCR and ORR are analyzed as proportions on the ITT population (PP supportive). The point estimate is the observed proportion of responders; the confidence interval is the</w:t>
      </w:r>
      <w:r>
        <w:t xml:space="preserve"> </w:t>
      </w:r>
      <w:r>
        <w:rPr>
          <w:b/>
          <w:bCs/>
        </w:rPr>
        <w:t xml:space="preserve">two-sided 90% exact Clopper-Pearson (beta) interval</w:t>
      </w:r>
      <w:r>
        <w:t xml:space="preserve">, which guarantees at least nominal coverage and behaves correctly at extreme proportions—preferred here because the protocol is silent on binary CI methodology and event counts may be small. Consistency of interval methodology across DCR and ORR maintains cross-endpoint coherence. Non-responder handling follows Sections 3.2–3.3. DCR is reported in Table 14.2.2 (ITT and PP) and is the subject of the operational interim (Section 11); ORR is reported in Table 14.2.3.</w:t>
      </w:r>
    </w:p>
    <w:bookmarkEnd w:id="52"/>
    <w:bookmarkStart w:id="53" w:name="other-secondary-analyses"/>
    <w:p>
      <w:pPr>
        <w:pStyle w:val="Heading3"/>
      </w:pPr>
      <w:r>
        <w:t xml:space="preserve">8.4 Other Secondary Analyses</w:t>
      </w:r>
    </w:p>
    <w:p>
      <w:pPr>
        <w:pStyle w:val="FirstParagraph"/>
      </w:pPr>
      <w:r>
        <w:t xml:space="preserve">PFS and OS are analyzed by the</w:t>
      </w:r>
      <w:r>
        <w:t xml:space="preserve"> </w:t>
      </w:r>
      <w:r>
        <w:rPr>
          <w:b/>
          <w:bCs/>
        </w:rPr>
        <w:t xml:space="preserve">Kaplan-Meier method</w:t>
      </w:r>
      <w:r>
        <w:t xml:space="preserve"> </w:t>
      </w:r>
      <w:r>
        <w:t xml:space="preserve">on the ITT population (PP supportive), following the same estimation and interval conventions as the primary endpoint: Greenwood variance, Brookmeyer-Crowley confidence intervals for the median (two-sided 90%), and log-log-transformed survival-function limits. Censoring rules follow Section 3.3—PFS applies the protocol-specified censoring for new anticancer therapy, palliative interventions, and consecutive missing assessments; OS censors subjects alive at the last known alive date under the treatment-policy strategy. Outputs are Table/Figure 14.2.4 (PFS) and Table/Figure 14.2.5 (OS), each presenting the median, quartiles, event/censor counts, and the KM curve.</w:t>
      </w:r>
    </w:p>
    <w:bookmarkEnd w:id="53"/>
    <w:bookmarkStart w:id="54" w:name="covariate-adjustment"/>
    <w:p>
      <w:pPr>
        <w:pStyle w:val="Heading3"/>
      </w:pPr>
      <w:r>
        <w:t xml:space="preserve">8.5 Covariate Adjustment</w:t>
      </w:r>
    </w:p>
    <w:p>
      <w:pPr>
        <w:pStyle w:val="FirstParagraph"/>
      </w:pPr>
      <w:r>
        <w:t xml:space="preserve">No covariate-adjusted primary analysis is performed. The design is single-arm and non-randomized, so there is no between-arm imbalance to correct and no comparative treatment effect to adjust; the FDA covariate-adjustment guidance and ICH E9(R1) covariate recommendations apply to randomized comparative estimation and are not invoked for the primary endpoint. The primary TTF analysis is therefore an unadjusted Kaplan-Meier estimate. Prognostic factors (ECOG performance status, disease stage, age) are explored descriptively via the subgroup summaries in Section 8.11. Any exploratory Cox proportional-hazards model used to characterize prognostic associations would employ the Efron method for ties and be clearly labeled exploratory rather than confirmatory.</w:t>
      </w:r>
    </w:p>
    <w:bookmarkEnd w:id="54"/>
    <w:bookmarkStart w:id="55" w:name="hrqol-analysis"/>
    <w:p>
      <w:pPr>
        <w:pStyle w:val="Heading3"/>
      </w:pPr>
      <w:r>
        <w:t xml:space="preserve">8.6 HRQoL Analysis</w:t>
      </w:r>
    </w:p>
    <w:p>
      <w:pPr>
        <w:pStyle w:val="FirstParagraph"/>
      </w:pPr>
      <w:r>
        <w:t xml:space="preserve">HRQoL analyses of the EORTC QLQ-C30 and QLQ-PAN26 are exploratory. The estimand is the change from baseline in each scale score over the on- and post-treatment assessment schedule in subjects with at least one post-baseline assessment. Scale scores are computed per the EORTC scoring manual (linear transformation to 0–100). The primary descriptive analysis summarizes observed scores and change from baseline by visit (mean, standard deviation, median, range, number of respondents). Where a model-based estimate is presented, a</w:t>
      </w:r>
      <w:r>
        <w:t xml:space="preserve"> </w:t>
      </w:r>
      <w:r>
        <w:rPr>
          <w:b/>
          <w:bCs/>
        </w:rPr>
        <w:t xml:space="preserve">linear mixed model for repeated measures (MMRM)</w:t>
      </w:r>
      <w:r>
        <w:t xml:space="preserve"> </w:t>
      </w:r>
      <w:r>
        <w:t xml:space="preserve">with an unstructured covariance over discrete visit is used under a missing-at-random assumption, following the SISAQOL-endorsed default for repeated PRO measures. No multiplicity adjustment is applied given the exploratory role. Detailed scoring rules, item-level handling, and programming specifications are provided in a separate HRQoL analysis plan; this SAP fixes only the estimand, high-level model, and missing-data strategy (Section 10.2).</w:t>
      </w:r>
    </w:p>
    <w:bookmarkEnd w:id="55"/>
    <w:bookmarkStart w:id="56" w:name="X152c858db766f039168fb4c8c8273afb55a6079"/>
    <w:p>
      <w:pPr>
        <w:pStyle w:val="Heading3"/>
      </w:pPr>
      <w:r>
        <w:t xml:space="preserve">8.7 Demographics and Baseline Characteristics</w:t>
      </w:r>
    </w:p>
    <w:p>
      <w:pPr>
        <w:pStyle w:val="FirstParagraph"/>
      </w:pPr>
      <w:r>
        <w:t xml:space="preserve">Demographics and baseline disease characteristics are summarized descriptively on the Treated population and presented in Table 14.1.2. Continuous variables (age, height, weight, BSA, disease duration, baseline laboratory values) are summarized by n, mean, standard deviation, median, minimum, and maximum. Categorical variables (sex, race, ECOG performance status, disease stage, region) are summarized by counts and percentages. Because the study is single-arm and non-randomized, no between-group comparison is performed; summaries are descriptive only. Baseline is the last non-missing value on or prior to the first dose (Section 13.1).</w:t>
      </w:r>
    </w:p>
    <w:bookmarkEnd w:id="56"/>
    <w:bookmarkStart w:id="57" w:name="prior-and-concomitant-medications"/>
    <w:p>
      <w:pPr>
        <w:pStyle w:val="Heading3"/>
      </w:pPr>
      <w:r>
        <w:t xml:space="preserve">8.8 Prior and Concomitant Medications</w:t>
      </w:r>
    </w:p>
    <w:p>
      <w:pPr>
        <w:pStyle w:val="FirstParagraph"/>
      </w:pPr>
      <w:r>
        <w:t xml:space="preserve">Prior and concomitant medications are coded using the</w:t>
      </w:r>
      <w:r>
        <w:t xml:space="preserve"> </w:t>
      </w:r>
      <w:r>
        <w:rPr>
          <w:b/>
          <w:bCs/>
        </w:rPr>
        <w:t xml:space="preserve">WHO Drug Dictionary</w:t>
      </w:r>
      <w:r>
        <w:t xml:space="preserve"> </w:t>
      </w:r>
      <w:r>
        <w:t xml:space="preserve">(version current at database lock) and summarized by number and percentage of subjects on the Treated population, tabulated by anatomical-therapeutic-chemical class and preferred drug name. Prior medications are those stopped before the first dose; concomitant medications are those ongoing at or started after the first dose through the safety follow-up window. Medications taken during the treatment-emergent window are flagged. Where start or stop dates are partial, the partial-date conventions of Appendix G apply to classify a medication as prior versus concomitant, defaulting conservatively to concomitant when the overlap with dosing is ambiguous.</w:t>
      </w:r>
    </w:p>
    <w:bookmarkEnd w:id="57"/>
    <w:bookmarkStart w:id="58" w:name="study-treatment-exposure-and-compliance"/>
    <w:p>
      <w:pPr>
        <w:pStyle w:val="Heading3"/>
      </w:pPr>
      <w:r>
        <w:t xml:space="preserve">8.9 Study Treatment Exposure and Compliance</w:t>
      </w:r>
    </w:p>
    <w:p>
      <w:pPr>
        <w:pStyle w:val="FirstParagraph"/>
      </w:pPr>
      <w:r>
        <w:t xml:space="preserve">Treatment exposure and compliance are summarized on the Treated population for nab-paclitaxel and gemcitabine separately. Exposure metrics include duration of exposure (from first to last dose plus the dosing interval), number of cycles started and completed, cumulative dose, planned dose, actual dose intensity (mg/m²/week), and</w:t>
      </w:r>
      <w:r>
        <w:t xml:space="preserve"> </w:t>
      </w:r>
      <w:r>
        <w:rPr>
          <w:b/>
          <w:bCs/>
        </w:rPr>
        <w:t xml:space="preserve">relative dose intensity</w:t>
      </w:r>
      <w:r>
        <w:t xml:space="preserve"> </w:t>
      </w:r>
      <w:r>
        <w:t xml:space="preserve">(actual as a percentage of planned). Dose reductions, interruptions, and delays are summarized by drug and by cycle. Because dosing is body-surface-area based (BSA via the Du Bois formula), planned dose is computed from the baseline BSA. Compliance is characterized descriptively; no formal compliance threshold is imposed. Exposure is reported in Table 14.3.4.</w:t>
      </w:r>
    </w:p>
    <w:bookmarkEnd w:id="58"/>
    <w:bookmarkStart w:id="59" w:name="protocol-deviations"/>
    <w:p>
      <w:pPr>
        <w:pStyle w:val="Heading3"/>
      </w:pPr>
      <w:r>
        <w:t xml:space="preserve">8.10 Protocol Deviations</w:t>
      </w:r>
    </w:p>
    <w:p>
      <w:pPr>
        <w:pStyle w:val="FirstParagraph"/>
      </w:pPr>
      <w:r>
        <w:t xml:space="preserve">Protocol deviations are classified as major or minor by clinical and data-management review prior to database lock and unblinding of analyses. Major deviations—those affecting eligibility, safety, or the integrity of the primary endpoint (e.g., enrollment despite failing key inclusion/exclusion criteria, prohibited concomitant therapy, significant dosing errors)—determine exclusion from the Per-Protocol population. Deviations are summarized by category and severity on the ITT population, with a listing of major deviations. The impact of major deviations on efficacy conclusions is assessed by the concordance of ITT and PP estimates for the secondary endpoints.</w:t>
      </w:r>
    </w:p>
    <w:bookmarkEnd w:id="59"/>
    <w:bookmarkStart w:id="60" w:name="decision-interpretation-and-subgroups"/>
    <w:p>
      <w:pPr>
        <w:pStyle w:val="Heading3"/>
      </w:pPr>
      <w:r>
        <w:t xml:space="preserve">8.11 Decision Interpretation and Subgroups</w:t>
      </w:r>
    </w:p>
    <w:p>
      <w:pPr>
        <w:pStyle w:val="FirstParagraph"/>
      </w:pPr>
      <w:r>
        <w:t xml:space="preserve">The interpretation of results is estimation-based. Success is characterized by point estimation and its precision, not by rejection of a null hypothesis. The primary readout is the Kaplan-Meier median TTF with its two-sided 90% confidence interval. The historical median TTF of 5.1 months (CA046/MPACT) is used only as an exploratory descriptive benchmark and to justify the sample size; it is not a confirmatory decision boundary. No null hypothesis is formally rejected, no Type I error is controlled, and no go/no-go statistical test is performed on any endpoint. A clinically favorable result is a median TTF—and a 90% confidence interval—that descriptively exceeds the 5.1-month reference, corroborated by consistent DCR, ORR, PFS, and OS estimates. This positioning is non-registrational and exploratory; any comparison to historical data is supportive only, consistent with ICH E9(R1) and FDA single-arm oncology endpoint considerations.</w:t>
      </w:r>
    </w:p>
    <w:p>
      <w:pPr>
        <w:pStyle w:val="BodyText"/>
      </w:pPr>
      <w:r>
        <w:t xml:space="preserve">Prespecified subgroups are summarized descriptively (KM medians and response proportions with 90% CI) by baseline ECOG performance status (0 vs 1), disease extent/LAPC substage, age group (&lt;65 vs ≥65 years), sex, and geographic region. Subgroup analyses are exploratory; no formal interaction test is performed given the single-arm estimation design—any heterogeneity is assessed by descriptive comparison, not by inferential testing.</w:t>
      </w:r>
    </w:p>
    <w:bookmarkEnd w:id="60"/>
    <w:bookmarkEnd w:id="61"/>
    <w:bookmarkStart w:id="66" w:name="multiplicity"/>
    <w:p>
      <w:pPr>
        <w:pStyle w:val="Heading2"/>
      </w:pPr>
      <w:r>
        <w:t xml:space="preserve">9. Multiplicity</w:t>
      </w:r>
    </w:p>
    <w:p>
      <w:pPr>
        <w:pStyle w:val="FirstParagraph"/>
      </w:pPr>
      <w:r>
        <w:t xml:space="preserve">Multiplicity control is addressed by the study’s estimation-only design. Because no endpoint is formally tested, there is no family of null hypotheses over which a family-wise error rate must be controlled, and no confirmatory alpha is allocated. This is consistent with ICH E9 and the EMA guideline on multiplicity (Section 5.1.2), which require adjustment only in the presence of confirmatory hypothesis testing.</w:t>
      </w:r>
    </w:p>
    <w:bookmarkStart w:id="62" w:name="confirmatory-and-exploratory-endpoints"/>
    <w:p>
      <w:pPr>
        <w:pStyle w:val="Heading3"/>
      </w:pPr>
      <w:r>
        <w:t xml:space="preserve">9.1 Confirmatory and Exploratory Endpoints</w:t>
      </w:r>
    </w:p>
    <w:p>
      <w:pPr>
        <w:pStyle w:val="FirstParagraph"/>
      </w:pPr>
      <w:r>
        <w:t xml:space="preserve">There are no confirmatory endpoints in this study. Every efficacy endpoint—the primary TTF and the secondary DCR, ORR, PFS, and OS—is estimated and reported with a two-sided 90% confidence interval rather than tested against a null hypothesis. The hypotheses in Section 5.2 exist solely to justify the sample size and do not enter the analysis.</w:t>
      </w:r>
    </w:p>
    <w:bookmarkEnd w:id="62"/>
    <w:bookmarkStart w:id="63" w:name="alpha-allocation-and-testing-hierarchy"/>
    <w:p>
      <w:pPr>
        <w:pStyle w:val="Heading3"/>
      </w:pPr>
      <w:r>
        <w:t xml:space="preserve">9.2 Alpha Allocation and Testing Hierarchy</w:t>
      </w:r>
    </w:p>
    <w:p>
      <w:pPr>
        <w:pStyle w:val="FirstParagraph"/>
      </w:pPr>
      <w:r>
        <w:t xml:space="preserve">All endpoints, including safety and the exploratory HRQoL measures, are classified as supportive or exploratory. No p-values are generated for the efficacy endpoints; all reported quantities are point estimates with confidence intervals. This reporting convention is regulatory-consistent for an exploratory single-arm design and eliminates the need for any hierarchical or gatekeeping testing structure.</w:t>
      </w:r>
    </w:p>
    <w:bookmarkEnd w:id="63"/>
    <w:bookmarkStart w:id="64" w:name="no-family-wise-error-rate-control"/>
    <w:p>
      <w:pPr>
        <w:pStyle w:val="Heading3"/>
      </w:pPr>
      <w:r>
        <w:t xml:space="preserve">9.3 No Family-Wise Error-Rate Control</w:t>
      </w:r>
    </w:p>
    <w:p>
      <w:pPr>
        <w:pStyle w:val="FirstParagraph"/>
      </w:pPr>
      <w:r>
        <w:t xml:space="preserve">No family-wise error-rate control procedure (e.g., Bonferroni, Holm, fixed-sequence, gatekeeping) is applied, because none is required in the absence of formal hypothesis testing. The two-sided 90% confidence intervals are nominal and are interpreted marginally for each endpoint; they are not adjusted for the number of endpoints or subgroups examined.</w:t>
      </w:r>
    </w:p>
    <w:tbl>
      <w:tblPr>
        <w:tblStyle w:val="Table"/>
        <w:tblW w:type="auto" w:w="0"/>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1980"/>
        <w:gridCol w:w="1980"/>
        <w:gridCol w:w="1980"/>
        <w:gridCol w:w="1980"/>
      </w:tblGrid>
      <w:tr>
        <w:trPr>
          <w:tblHeader w:val="on"/>
        </w:trPr>
        <w:tc>
          <w:tcPr>
            <w:shd w:val="clear" w:fill="EEF0F4"/>
          </w:tcPr>
          <w:p>
            <w:pPr>
              <w:pStyle w:val="Compact"/>
            </w:pPr>
            <w:r>
              <w:rPr>
                <w:b/>
              </w:rPr>
              <w:t xml:space="preserve">Endpoint</w:t>
            </w:r>
          </w:p>
        </w:tc>
        <w:tc>
          <w:tcPr>
            <w:shd w:val="clear" w:fill="EEF0F4"/>
          </w:tcPr>
          <w:p>
            <w:pPr>
              <w:pStyle w:val="Compact"/>
            </w:pPr>
            <w:r>
              <w:rPr>
                <w:b/>
              </w:rPr>
              <w:t xml:space="preserve">Role</w:t>
            </w:r>
          </w:p>
        </w:tc>
        <w:tc>
          <w:tcPr>
            <w:shd w:val="clear" w:fill="EEF0F4"/>
          </w:tcPr>
          <w:p>
            <w:pPr>
              <w:pStyle w:val="Compact"/>
            </w:pPr>
            <w:r>
              <w:rPr>
                <w:b/>
              </w:rPr>
              <w:t xml:space="preserve">Inference</w:t>
            </w:r>
          </w:p>
        </w:tc>
        <w:tc>
          <w:tcPr>
            <w:shd w:val="clear" w:fill="EEF0F4"/>
          </w:tcPr>
          <w:p>
            <w:pPr>
              <w:pStyle w:val="Compact"/>
            </w:pPr>
            <w:r>
              <w:rPr>
                <w:b/>
              </w:rPr>
              <w:t xml:space="preserve">Adjustment</w:t>
            </w:r>
          </w:p>
        </w:tc>
      </w:tr>
      <w:tr>
        <w:tc>
          <w:tcPr/>
          <w:p>
            <w:pPr>
              <w:pStyle w:val="Compact"/>
            </w:pPr>
            <w:r>
              <w:t xml:space="preserve">TTF (primary)</w:t>
            </w:r>
          </w:p>
        </w:tc>
        <w:tc>
          <w:tcPr/>
          <w:p>
            <w:pPr>
              <w:pStyle w:val="Compact"/>
            </w:pPr>
            <w:r>
              <w:t xml:space="preserve">Estimated</w:t>
            </w:r>
          </w:p>
        </w:tc>
        <w:tc>
          <w:tcPr/>
          <w:p>
            <w:pPr>
              <w:pStyle w:val="Compact"/>
            </w:pPr>
            <w:r>
              <w:t xml:space="preserve">90% CI (KM median)</w:t>
            </w:r>
          </w:p>
        </w:tc>
        <w:tc>
          <w:tcPr/>
          <w:p>
            <w:pPr>
              <w:pStyle w:val="Compact"/>
            </w:pPr>
            <w:r>
              <w:t xml:space="preserve">None</w:t>
            </w:r>
          </w:p>
        </w:tc>
      </w:tr>
      <w:tr>
        <w:tc>
          <w:tcPr/>
          <w:p>
            <w:pPr>
              <w:pStyle w:val="Compact"/>
            </w:pPr>
            <w:r>
              <w:t xml:space="preserve">DCR, ORR</w:t>
            </w:r>
          </w:p>
        </w:tc>
        <w:tc>
          <w:tcPr/>
          <w:p>
            <w:pPr>
              <w:pStyle w:val="Compact"/>
            </w:pPr>
            <w:r>
              <w:t xml:space="preserve">Estimated</w:t>
            </w:r>
          </w:p>
        </w:tc>
        <w:tc>
          <w:tcPr/>
          <w:p>
            <w:pPr>
              <w:pStyle w:val="Compact"/>
            </w:pPr>
            <w:r>
              <w:t xml:space="preserve">90% exact CI (proportion)</w:t>
            </w:r>
          </w:p>
        </w:tc>
        <w:tc>
          <w:tcPr/>
          <w:p>
            <w:pPr>
              <w:pStyle w:val="Compact"/>
            </w:pPr>
            <w:r>
              <w:t xml:space="preserve">None</w:t>
            </w:r>
          </w:p>
        </w:tc>
      </w:tr>
      <w:tr>
        <w:tc>
          <w:tcPr/>
          <w:p>
            <w:pPr>
              <w:pStyle w:val="Compact"/>
            </w:pPr>
            <w:r>
              <w:t xml:space="preserve">PFS, OS</w:t>
            </w:r>
          </w:p>
        </w:tc>
        <w:tc>
          <w:tcPr/>
          <w:p>
            <w:pPr>
              <w:pStyle w:val="Compact"/>
            </w:pPr>
            <w:r>
              <w:t xml:space="preserve">Estimated</w:t>
            </w:r>
          </w:p>
        </w:tc>
        <w:tc>
          <w:tcPr/>
          <w:p>
            <w:pPr>
              <w:pStyle w:val="Compact"/>
            </w:pPr>
            <w:r>
              <w:t xml:space="preserve">90% CI (KM median)</w:t>
            </w:r>
          </w:p>
        </w:tc>
        <w:tc>
          <w:tcPr/>
          <w:p>
            <w:pPr>
              <w:pStyle w:val="Compact"/>
            </w:pPr>
            <w:r>
              <w:t xml:space="preserve">None</w:t>
            </w:r>
          </w:p>
        </w:tc>
      </w:tr>
      <w:tr>
        <w:tc>
          <w:tcPr/>
          <w:p>
            <w:pPr>
              <w:pStyle w:val="Compact"/>
            </w:pPr>
            <w:r>
              <w:t xml:space="preserve">HRQoL</w:t>
            </w:r>
          </w:p>
        </w:tc>
        <w:tc>
          <w:tcPr/>
          <w:p>
            <w:pPr>
              <w:pStyle w:val="Compact"/>
            </w:pPr>
            <w:r>
              <w:t xml:space="preserve">Exploratory</w:t>
            </w:r>
          </w:p>
        </w:tc>
        <w:tc>
          <w:tcPr/>
          <w:p>
            <w:pPr>
              <w:pStyle w:val="Compact"/>
            </w:pPr>
            <w:r>
              <w:t xml:space="preserve">Descriptive / MMRM</w:t>
            </w:r>
          </w:p>
        </w:tc>
        <w:tc>
          <w:tcPr/>
          <w:p>
            <w:pPr>
              <w:pStyle w:val="Compact"/>
            </w:pPr>
            <w:r>
              <w:t xml:space="preserve">None</w:t>
            </w:r>
          </w:p>
        </w:tc>
      </w:tr>
    </w:tbl>
    <w:bookmarkEnd w:id="64"/>
    <w:bookmarkStart w:id="65" w:name="historical-benchmark-comparison"/>
    <w:p>
      <w:pPr>
        <w:pStyle w:val="Heading3"/>
      </w:pPr>
      <w:r>
        <w:t xml:space="preserve">9.4 Historical-Benchmark Comparison</w:t>
      </w:r>
    </w:p>
    <w:p>
      <w:pPr>
        <w:pStyle w:val="FirstParagraph"/>
      </w:pPr>
      <w:r>
        <w:t xml:space="preserve">Any presentation alongside the 5.1-month historical median is descriptive and supportive only, as established in Sections 5.2, 5.4, and 8.11. No comparative statistical test versus the historical benchmark is prespecified or performed, and no such comparison alters the multiplicity position of this estimation-focused design.</w:t>
      </w:r>
    </w:p>
    <w:bookmarkEnd w:id="65"/>
    <w:bookmarkEnd w:id="66"/>
    <w:bookmarkStart w:id="69" w:name="missing-data"/>
    <w:p>
      <w:pPr>
        <w:pStyle w:val="Heading2"/>
      </w:pPr>
      <w:r>
        <w:t xml:space="preserve">10. Missing Data</w:t>
      </w:r>
    </w:p>
    <w:p>
      <w:pPr>
        <w:pStyle w:val="FirstParagraph"/>
      </w:pPr>
      <w:r>
        <w:t xml:space="preserve">The missing-data philosophy is aligned with the time-to-event and binary nature of the endpoints. For time-to-event endpoints, missing outcome information is handled by censoring under a non-informative (independent) censoring assumption, not by imputation and not under a missing-at-random longitudinal framework. For binary endpoints, missing or absent response is handled by conservative non-responder assignment. Imputation is confined to partial dates (Appendix G). The robustness of these assumptions is examined through prespecified sensitivity analyses rather than assumed away.</w:t>
      </w:r>
    </w:p>
    <w:bookmarkStart w:id="67" w:name="primary-approach"/>
    <w:p>
      <w:pPr>
        <w:pStyle w:val="Heading3"/>
      </w:pPr>
      <w:r>
        <w:t xml:space="preserve">10.1 Primary Approach</w:t>
      </w:r>
    </w:p>
    <w:p>
      <w:pPr>
        <w:pStyle w:val="FirstParagraph"/>
      </w:pPr>
      <w:r>
        <w:t xml:space="preserve">The primary assumption for TTF, PFS, and OS is</w:t>
      </w:r>
      <w:r>
        <w:t xml:space="preserve"> </w:t>
      </w:r>
      <w:r>
        <w:rPr>
          <w:b/>
          <w:bCs/>
        </w:rPr>
        <w:t xml:space="preserve">non-informative censoring</w:t>
      </w:r>
      <w:r>
        <w:t xml:space="preserve">: the censoring mechanism is assumed unrelated to the underlying event hazard, so that censored subjects are representative, at each time, of those remaining at risk (ICH E9 survival-analysis guidance). Censoring rules follow Sections 3 and 8.2. For the binary endpoints DCR and ORR, subjects who discontinue due to progression, death, or start of new anticancer therapy, and subjects with missing response and no documented response, are counted as</w:t>
      </w:r>
      <w:r>
        <w:t xml:space="preserve"> </w:t>
      </w:r>
      <w:r>
        <w:rPr>
          <w:b/>
          <w:bCs/>
        </w:rPr>
        <w:t xml:space="preserve">non-responders</w:t>
      </w:r>
      <w:r>
        <w:t xml:space="preserve">—a conservative rule that avoids optimistic bias, consistent with the EMA missing-data guideline on responder analyses. No last-observation-carried-forward or mean imputation is used for any efficacy endpoint. Elaborate missed-assessment and window-reconstruction rules are deliberately positioned as sensitivity analyses (Section 10.2), not as primary censoring logic, so that the primary analysis reflects protocol-specified rules.</w:t>
      </w:r>
    </w:p>
    <w:bookmarkEnd w:id="67"/>
    <w:bookmarkStart w:id="68" w:name="sensitivity-analyses"/>
    <w:p>
      <w:pPr>
        <w:pStyle w:val="Heading3"/>
      </w:pPr>
      <w:r>
        <w:t xml:space="preserve">10.2 Sensitivity Analyses</w:t>
      </w:r>
    </w:p>
    <w:p>
      <w:pPr>
        <w:pStyle w:val="FirstParagraph"/>
      </w:pPr>
      <w:r>
        <w:t xml:space="preserve">Prespecified sensitivity analyses probe the primary assumptions by addressing specific missingness or censoring mechanisms:</w:t>
      </w:r>
    </w:p>
    <w:p>
      <w:pPr>
        <w:pStyle w:val="Compact"/>
        <w:numPr>
          <w:ilvl w:val="0"/>
          <w:numId w:val="1007"/>
        </w:numPr>
      </w:pPr>
      <w:r>
        <w:rPr>
          <w:b/>
          <w:bCs/>
        </w:rPr>
        <w:t xml:space="preserve">TTF – informativeness of discontinuation censoring:</w:t>
      </w:r>
      <w:r>
        <w:t xml:space="preserve"> </w:t>
      </w:r>
      <w:r>
        <w:t xml:space="preserve">re-estimate median TTF by KM treating treatment discontinuation for any reason (including toxicity/withdrawal) before progression as a failure event at the discontinuation date (a more conservative composite), testing the hypothetical strategy against an ITT-like alternative.</w:t>
      </w:r>
    </w:p>
    <w:p>
      <w:pPr>
        <w:pStyle w:val="Compact"/>
        <w:numPr>
          <w:ilvl w:val="0"/>
          <w:numId w:val="1007"/>
        </w:numPr>
      </w:pPr>
      <w:r>
        <w:rPr>
          <w:b/>
          <w:bCs/>
        </w:rPr>
        <w:t xml:space="preserve">TTF – assessment timing:</w:t>
      </w:r>
      <w:r>
        <w:t xml:space="preserve"> </w:t>
      </w:r>
      <w:r>
        <w:t xml:space="preserve">assign scan-detected progression to the next scheduled assessment date rather than the actual visit date and re-run KM, testing dependence of the median on the interval-censored nature of the 56-day (−3/+7) schedule.</w:t>
      </w:r>
    </w:p>
    <w:p>
      <w:pPr>
        <w:pStyle w:val="Compact"/>
        <w:numPr>
          <w:ilvl w:val="0"/>
          <w:numId w:val="1007"/>
        </w:numPr>
      </w:pPr>
      <w:r>
        <w:rPr>
          <w:b/>
          <w:bCs/>
        </w:rPr>
        <w:t xml:space="preserve">TTF – informative censoring / tipping point:</w:t>
      </w:r>
      <w:r>
        <w:t xml:space="preserve"> </w:t>
      </w:r>
      <w:r>
        <w:t xml:space="preserve">progressively reclassify censored subjects as events (or shift event times) until the KM median crosses the 5.1-month reference, reporting the proportion of reclassification required to overturn the qualitative conclusion.</w:t>
      </w:r>
    </w:p>
    <w:p>
      <w:pPr>
        <w:pStyle w:val="Compact"/>
        <w:numPr>
          <w:ilvl w:val="0"/>
          <w:numId w:val="1007"/>
        </w:numPr>
      </w:pPr>
      <w:r>
        <w:rPr>
          <w:b/>
          <w:bCs/>
        </w:rPr>
        <w:t xml:space="preserve">PFS – censoring conventions:</w:t>
      </w:r>
      <w:r>
        <w:t xml:space="preserve"> </w:t>
      </w:r>
      <w:r>
        <w:t xml:space="preserve">an alternative rule counting new anticancer therapy before progression as a PFS event, and a rule ignoring the two-consecutive-missing censoring (event at the documented progression date).</w:t>
      </w:r>
    </w:p>
    <w:p>
      <w:pPr>
        <w:pStyle w:val="Compact"/>
        <w:numPr>
          <w:ilvl w:val="0"/>
          <w:numId w:val="1007"/>
        </w:numPr>
      </w:pPr>
      <w:r>
        <w:rPr>
          <w:b/>
          <w:bCs/>
        </w:rPr>
        <w:t xml:space="preserve">DCR / ORR – missing response:</w:t>
      </w:r>
      <w:r>
        <w:t xml:space="preserve"> </w:t>
      </w:r>
      <w:r>
        <w:t xml:space="preserve">best-case/worst-case bounding, recomputing the proportion with all subjects missing the relevant assessment assigned as responders (best case) and as non-responders (worst case).</w:t>
      </w:r>
    </w:p>
    <w:p>
      <w:pPr>
        <w:pStyle w:val="Compact"/>
        <w:numPr>
          <w:ilvl w:val="0"/>
          <w:numId w:val="1007"/>
        </w:numPr>
      </w:pPr>
      <w:r>
        <w:rPr>
          <w:b/>
          <w:bCs/>
        </w:rPr>
        <w:t xml:space="preserve">HRQoL – MNAR:</w:t>
      </w:r>
      <w:r>
        <w:t xml:space="preserve"> </w:t>
      </w:r>
      <w:r>
        <w:t xml:space="preserve">pattern-mixture / delta-adjustment applied to the MMRM estimates as a sensitivity to the primary MAR analysis, reflecting the plausibility that PRO dropout is related to disease worsening.</w:t>
      </w:r>
    </w:p>
    <w:p>
      <w:pPr>
        <w:pStyle w:val="FirstParagraph"/>
      </w:pPr>
      <w:r>
        <w:t xml:space="preserve">A compact Missing Data Summary is provided in Appendix A.</w:t>
      </w:r>
    </w:p>
    <w:bookmarkEnd w:id="68"/>
    <w:bookmarkEnd w:id="69"/>
    <w:bookmarkStart w:id="73" w:name="interim-analysis"/>
    <w:p>
      <w:pPr>
        <w:pStyle w:val="Heading2"/>
      </w:pPr>
      <w:r>
        <w:t xml:space="preserve">11. Interim Analysis</w:t>
      </w:r>
    </w:p>
    <w:p>
      <w:pPr>
        <w:pStyle w:val="FirstParagraph"/>
      </w:pPr>
      <w:r>
        <w:t xml:space="preserve">A single interim analysis is planned, and it is operational rather than inferential. It concerns the disease control rate and does not carry any efficacy or futility stopping rule; consequently it does not affect the study’s Type I error, and no alpha is spent.</w:t>
      </w:r>
    </w:p>
    <w:bookmarkStart w:id="70" w:name="classification-and-timing"/>
    <w:p>
      <w:pPr>
        <w:pStyle w:val="Heading3"/>
      </w:pPr>
      <w:r>
        <w:t xml:space="preserve">11.1 Classification and Timing</w:t>
      </w:r>
    </w:p>
    <w:p>
      <w:pPr>
        <w:pStyle w:val="FirstParagraph"/>
      </w:pPr>
      <w:r>
        <w:t xml:space="preserve">The interim analysis is classified as a</w:t>
      </w:r>
      <w:r>
        <w:t xml:space="preserve"> </w:t>
      </w:r>
      <w:r>
        <w:rPr>
          <w:b/>
          <w:bCs/>
        </w:rPr>
        <w:t xml:space="preserve">non-efficacy-stopping, operational/reporting interim</w:t>
      </w:r>
      <w:r>
        <w:t xml:space="preserve"> </w:t>
      </w:r>
      <w:r>
        <w:t xml:space="preserve">of DCR. It is triggered once all subjects have either completed 6 cycles of nab-paclitaxel plus gemcitabine, discontinued therapy due to disease progression, died from any cause, or started a new non-protocol-defined anticancer therapy prior to completing 6 cycles. Its purpose is to provide an early descriptive estimate of disease control once every subject has had the opportunity to reach the 6-month/End-of-Treatment assessment.</w:t>
      </w:r>
    </w:p>
    <w:bookmarkEnd w:id="70"/>
    <w:bookmarkStart w:id="71" w:name="alpha-impact-and-boundaries"/>
    <w:p>
      <w:pPr>
        <w:pStyle w:val="Heading3"/>
      </w:pPr>
      <w:r>
        <w:t xml:space="preserve">11.2 Alpha Impact and Boundaries</w:t>
      </w:r>
    </w:p>
    <w:p>
      <w:pPr>
        <w:pStyle w:val="FirstParagraph"/>
      </w:pPr>
      <w:r>
        <w:t xml:space="preserve">The interim has</w:t>
      </w:r>
      <w:r>
        <w:t xml:space="preserve"> </w:t>
      </w:r>
      <w:r>
        <w:rPr>
          <w:b/>
          <w:bCs/>
        </w:rPr>
        <w:t xml:space="preserve">no impact on Type I error</w:t>
      </w:r>
      <w:r>
        <w:t xml:space="preserve">. Because no formal hypothesis test is performed and the trial does not stop for efficacy or futility on the basis of this analysis, no alpha is spent and no adjustment to any confidence interval is required. The estimation framework of the study is unchanged by the conduct of the interim. There are</w:t>
      </w:r>
      <w:r>
        <w:t xml:space="preserve"> </w:t>
      </w:r>
      <w:r>
        <w:rPr>
          <w:b/>
          <w:bCs/>
        </w:rPr>
        <w:t xml:space="preserve">no stopping boundaries</w:t>
      </w:r>
      <w:r>
        <w:t xml:space="preserve">: this is not a group-sequential design, so no O’Brien-Fleming, Pocock, or spending-function boundary applies, and enrollment and treatment continue independent of the interim result.</w:t>
      </w:r>
    </w:p>
    <w:bookmarkEnd w:id="71"/>
    <w:bookmarkStart w:id="72" w:name="governance-and-reporting"/>
    <w:p>
      <w:pPr>
        <w:pStyle w:val="Heading3"/>
      </w:pPr>
      <w:r>
        <w:t xml:space="preserve">11.3 Governance and Reporting</w:t>
      </w:r>
    </w:p>
    <w:p>
      <w:pPr>
        <w:pStyle w:val="FirstParagraph"/>
      </w:pPr>
      <w:r>
        <w:t xml:space="preserve">The interim DCR estimate is reviewed by the sponsor statistical team, and the results are included in the final Clinical Study Report following study completion. No independent Data Monitoring Committee efficacy-stopping role is specified for this interim. The decision criteria are descriptive: the DCR interim provides an early point estimate with its two-sided 90% exact confidence interval, without any prespecified go/no-go statistical threshold; no action affecting trial conduct follows from the estimate.</w:t>
      </w:r>
    </w:p>
    <w:tbl>
      <w:tblPr>
        <w:tblStyle w:val="Table"/>
        <w:tblW w:type="auto" w:w="0"/>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3960"/>
        <w:gridCol w:w="3960"/>
      </w:tblGrid>
      <w:tr>
        <w:trPr>
          <w:tblHeader w:val="on"/>
        </w:trPr>
        <w:tc>
          <w:tcPr>
            <w:shd w:val="clear" w:fill="EEF0F4"/>
          </w:tcPr>
          <w:p>
            <w:pPr>
              <w:pStyle w:val="Compact"/>
            </w:pPr>
            <w:r>
              <w:rPr>
                <w:b/>
              </w:rPr>
              <w:t xml:space="preserve">Attribute</w:t>
            </w:r>
          </w:p>
        </w:tc>
        <w:tc>
          <w:tcPr>
            <w:shd w:val="clear" w:fill="EEF0F4"/>
          </w:tcPr>
          <w:p>
            <w:pPr>
              <w:pStyle w:val="Compact"/>
            </w:pPr>
            <w:r>
              <w:rPr>
                <w:b/>
              </w:rPr>
              <w:t xml:space="preserve">Specification</w:t>
            </w:r>
          </w:p>
        </w:tc>
      </w:tr>
      <w:tr>
        <w:tc>
          <w:tcPr/>
          <w:p>
            <w:pPr>
              <w:pStyle w:val="Compact"/>
            </w:pPr>
            <w:r>
              <w:t xml:space="preserve">Type</w:t>
            </w:r>
          </w:p>
        </w:tc>
        <w:tc>
          <w:tcPr/>
          <w:p>
            <w:pPr>
              <w:pStyle w:val="Compact"/>
            </w:pPr>
            <w:r>
              <w:t xml:space="preserve">Operational/reporting interim (DCR)</w:t>
            </w:r>
          </w:p>
        </w:tc>
      </w:tr>
      <w:tr>
        <w:tc>
          <w:tcPr/>
          <w:p>
            <w:pPr>
              <w:pStyle w:val="Compact"/>
            </w:pPr>
            <w:r>
              <w:t xml:space="preserve">Alpha spent</w:t>
            </w:r>
          </w:p>
        </w:tc>
        <w:tc>
          <w:tcPr/>
          <w:p>
            <w:pPr>
              <w:pStyle w:val="Compact"/>
            </w:pPr>
            <w:r>
              <w:t xml:space="preserve">None</w:t>
            </w:r>
          </w:p>
        </w:tc>
      </w:tr>
      <w:tr>
        <w:tc>
          <w:tcPr/>
          <w:p>
            <w:pPr>
              <w:pStyle w:val="Compact"/>
            </w:pPr>
            <w:r>
              <w:t xml:space="preserve">Stopping boundary</w:t>
            </w:r>
          </w:p>
        </w:tc>
        <w:tc>
          <w:tcPr/>
          <w:p>
            <w:pPr>
              <w:pStyle w:val="Compact"/>
            </w:pPr>
            <w:r>
              <w:t xml:space="preserve">None</w:t>
            </w:r>
          </w:p>
        </w:tc>
      </w:tr>
      <w:tr>
        <w:tc>
          <w:tcPr/>
          <w:p>
            <w:pPr>
              <w:pStyle w:val="Compact"/>
            </w:pPr>
            <w:r>
              <w:t xml:space="preserve">Reviewer</w:t>
            </w:r>
          </w:p>
        </w:tc>
        <w:tc>
          <w:tcPr/>
          <w:p>
            <w:pPr>
              <w:pStyle w:val="Compact"/>
            </w:pPr>
            <w:r>
              <w:t xml:space="preserve">Sponsor statistical team</w:t>
            </w:r>
          </w:p>
        </w:tc>
      </w:tr>
      <w:tr>
        <w:tc>
          <w:tcPr/>
          <w:p>
            <w:pPr>
              <w:pStyle w:val="Compact"/>
            </w:pPr>
            <w:r>
              <w:t xml:space="preserve">Reporting</w:t>
            </w:r>
          </w:p>
        </w:tc>
        <w:tc>
          <w:tcPr/>
          <w:p>
            <w:pPr>
              <w:pStyle w:val="Compact"/>
            </w:pPr>
            <w:r>
              <w:t xml:space="preserve">Final CSR after study completion</w:t>
            </w:r>
          </w:p>
        </w:tc>
      </w:tr>
    </w:tbl>
    <w:bookmarkEnd w:id="72"/>
    <w:bookmarkEnd w:id="73"/>
    <w:bookmarkStart w:id="79" w:name="safety-analyses"/>
    <w:p>
      <w:pPr>
        <w:pStyle w:val="Heading2"/>
      </w:pPr>
      <w:r>
        <w:t xml:space="preserve">12. Safety Analyses</w:t>
      </w:r>
    </w:p>
    <w:p>
      <w:pPr>
        <w:pStyle w:val="FirstParagraph"/>
      </w:pPr>
      <w:r>
        <w:t xml:space="preserve">Safety is characterized descriptively on the Treated population. No formal hypothesis testing of safety endpoints is performed; adverse events, serious adverse events, laboratory abnormalities, exposure, and deaths are summarized by counts and percentages. The safety analysis follows the treatment-emergent window and coding conventions specified below.</w:t>
      </w:r>
    </w:p>
    <w:bookmarkStart w:id="74" w:name="adverse-events"/>
    <w:p>
      <w:pPr>
        <w:pStyle w:val="Heading3"/>
      </w:pPr>
      <w:r>
        <w:t xml:space="preserve">12.1 Adverse Events</w:t>
      </w:r>
    </w:p>
    <w:p>
      <w:pPr>
        <w:pStyle w:val="FirstParagraph"/>
      </w:pPr>
      <w:r>
        <w:t xml:space="preserve">A</w:t>
      </w:r>
      <w:r>
        <w:t xml:space="preserve"> </w:t>
      </w:r>
      <w:r>
        <w:rPr>
          <w:b/>
          <w:bCs/>
        </w:rPr>
        <w:t xml:space="preserve">treatment-emergent adverse event (TEAE)</w:t>
      </w:r>
      <w:r>
        <w:t xml:space="preserve"> </w:t>
      </w:r>
      <w:r>
        <w:t xml:space="preserve">is any adverse event with onset on or after the first dose of study therapy through 28 days after the last dose, or any pre-existing condition that worsens in severity during that window. Treatment-emergent laboratory abnormalities are included: a laboratory abnormality is counted as an AE if it leads to study discontinuation, requires dose modification/interruption of IP or other therapeutic intervention, or is judged of significant clinical importance. Adverse events are coded using</w:t>
      </w:r>
      <w:r>
        <w:t xml:space="preserve"> </w:t>
      </w:r>
      <w:r>
        <w:rPr>
          <w:b/>
          <w:bCs/>
        </w:rPr>
        <w:t xml:space="preserve">MedDRA</w:t>
      </w:r>
      <w:r>
        <w:t xml:space="preserve"> </w:t>
      </w:r>
      <w:r>
        <w:t xml:space="preserve">(latest version at analysis) and graded by</w:t>
      </w:r>
      <w:r>
        <w:t xml:space="preserve"> </w:t>
      </w:r>
      <w:r>
        <w:rPr>
          <w:b/>
          <w:bCs/>
        </w:rPr>
        <w:t xml:space="preserve">NCI-CTCAE</w:t>
      </w:r>
      <w:r>
        <w:t xml:space="preserve"> </w:t>
      </w:r>
      <w:r>
        <w:t xml:space="preserve">(v4.03 assumed as the protocol is silent; the version is fixed at database lock).</w:t>
      </w:r>
    </w:p>
    <w:p>
      <w:pPr>
        <w:pStyle w:val="BodyText"/>
      </w:pPr>
      <w:r>
        <w:t xml:space="preserve">TEAEs are summarized by number and percentage of subjects, tabulated by MedDRA System Organ Class and Preferred Term in descending frequency of occurrence, and additionally by</w:t>
      </w:r>
      <w:r>
        <w:t xml:space="preserve"> </w:t>
      </w:r>
      <w:r>
        <w:rPr>
          <w:b/>
          <w:bCs/>
        </w:rPr>
        <w:t xml:space="preserve">maximum CTCAE grade per subject</w:t>
      </w:r>
      <w:r>
        <w:t xml:space="preserve">. Summaries are presented overall and for the study-drug-related subset based on Investigator-assessed causality, for each drug and combined. An overall TEAE summary (Table 14.3.1) and the SOC/PT-by-grade tables (Table 14.3.2) constitute the core adverse-event outputs.</w:t>
      </w:r>
    </w:p>
    <w:bookmarkEnd w:id="74"/>
    <w:bookmarkStart w:id="75" w:name="X6f0553dd887a80b065ada17cc448752d6ad9d7c"/>
    <w:p>
      <w:pPr>
        <w:pStyle w:val="Heading3"/>
      </w:pPr>
      <w:r>
        <w:t xml:space="preserve">12.2 Serious Adverse Events and Discontinuations</w:t>
      </w:r>
    </w:p>
    <w:p>
      <w:pPr>
        <w:pStyle w:val="FirstParagraph"/>
      </w:pPr>
      <w:r>
        <w:rPr>
          <w:b/>
          <w:bCs/>
        </w:rPr>
        <w:t xml:space="preserve">Serious adverse events</w:t>
      </w:r>
      <w:r>
        <w:t xml:space="preserve"> </w:t>
      </w:r>
      <w:r>
        <w:t xml:space="preserve">are defined per ICH E2A and are tabulated separately by SOC and Preferred Term, and are also included among all reported AEs; SAEs are reported to Drug Safety within 24 hours of Investigator awareness. AEs leading to discontinuation of nab-paclitaxel and/or gemcitabine are summarized by SOC and Preferred Term. Study-drug-related AEs and fatal AEs are summarized separately. These outputs are presented in Table 14.3.3.</w:t>
      </w:r>
    </w:p>
    <w:bookmarkEnd w:id="75"/>
    <w:bookmarkStart w:id="76" w:name="laboratory-results"/>
    <w:p>
      <w:pPr>
        <w:pStyle w:val="Heading3"/>
      </w:pPr>
      <w:r>
        <w:t xml:space="preserve">12.3 Laboratory Results</w:t>
      </w:r>
    </w:p>
    <w:p>
      <w:pPr>
        <w:pStyle w:val="FirstParagraph"/>
      </w:pPr>
      <w:r>
        <w:t xml:space="preserve">Laboratory data are summarized by shift-from-baseline tables by CTCAE grade for key hematology and chemistry parameters (Table 14.3.5). Treatment-emergent laboratory abnormalities meeting the AE criteria of Section 12.1 are additionally captured in the adverse-event summaries.</w:t>
      </w:r>
    </w:p>
    <w:bookmarkEnd w:id="76"/>
    <w:bookmarkStart w:id="77" w:name="deaths-and-exposure"/>
    <w:p>
      <w:pPr>
        <w:pStyle w:val="Heading3"/>
      </w:pPr>
      <w:r>
        <w:t xml:space="preserve">12.4 Deaths and Exposure</w:t>
      </w:r>
    </w:p>
    <w:p>
      <w:pPr>
        <w:pStyle w:val="FirstParagraph"/>
      </w:pPr>
      <w:r>
        <w:t xml:space="preserve">Deaths are classified as</w:t>
      </w:r>
      <w:r>
        <w:t xml:space="preserve"> </w:t>
      </w:r>
      <w:r>
        <w:rPr>
          <w:b/>
          <w:bCs/>
        </w:rPr>
        <w:t xml:space="preserve">on-treatment</w:t>
      </w:r>
      <w:r>
        <w:t xml:space="preserve"> </w:t>
      </w:r>
      <w:r>
        <w:t xml:space="preserve">(occurring through 28 days after the last dose) versus</w:t>
      </w:r>
      <w:r>
        <w:t xml:space="preserve"> </w:t>
      </w:r>
      <w:r>
        <w:rPr>
          <w:b/>
          <w:bCs/>
        </w:rPr>
        <w:t xml:space="preserve">post-treatment</w:t>
      </w:r>
      <w:r>
        <w:t xml:space="preserve">, and all deaths are listed with primary cause. Exposure and relative dose intensity are summarized as specified in Section 8.9. Where exposure varies substantially across subjects, exposure-adjusted incidence rates (per 100 patient-years) may be presented for key or serious adverse events to contextualize crude incidence.</w:t>
      </w:r>
    </w:p>
    <w:bookmarkEnd w:id="77"/>
    <w:bookmarkStart w:id="78" w:name="safety-output-summary"/>
    <w:p>
      <w:pPr>
        <w:pStyle w:val="Heading3"/>
      </w:pPr>
      <w:r>
        <w:t xml:space="preserve">12.5 Safety Output Summary</w:t>
      </w:r>
    </w:p>
    <w:p>
      <w:pPr>
        <w:pStyle w:val="FirstParagraph"/>
      </w:pPr>
      <w:r>
        <w:t xml:space="preserve">The safety output plan is summarized below.</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2262"/>
        <w:gridCol w:w="2545"/>
        <w:gridCol w:w="3111"/>
      </w:tblGrid>
      <w:tr>
        <w:trPr>
          <w:tblHeader w:val="on"/>
        </w:trPr>
        <w:tc>
          <w:tcPr>
            <w:shd w:val="clear" w:fill="EEF0F4"/>
          </w:tcPr>
          <w:p>
            <w:pPr>
              <w:pStyle w:val="Compact"/>
            </w:pPr>
            <w:r>
              <w:rPr>
                <w:b/>
              </w:rPr>
              <w:t xml:space="preserve">Output</w:t>
            </w:r>
          </w:p>
        </w:tc>
        <w:tc>
          <w:tcPr>
            <w:shd w:val="clear" w:fill="EEF0F4"/>
          </w:tcPr>
          <w:p>
            <w:pPr>
              <w:pStyle w:val="Compact"/>
            </w:pPr>
            <w:r>
              <w:rPr>
                <w:b/>
              </w:rPr>
              <w:t xml:space="preserve">Content</w:t>
            </w:r>
          </w:p>
        </w:tc>
        <w:tc>
          <w:tcPr>
            <w:shd w:val="clear" w:fill="EEF0F4"/>
          </w:tcPr>
          <w:p>
            <w:pPr>
              <w:pStyle w:val="Compact"/>
            </w:pPr>
            <w:r>
              <w:rPr>
                <w:b/>
              </w:rPr>
              <w:t xml:space="preserve">Population</w:t>
            </w:r>
          </w:p>
        </w:tc>
      </w:tr>
      <w:tr>
        <w:tc>
          <w:tcPr/>
          <w:p>
            <w:pPr>
              <w:pStyle w:val="Compact"/>
            </w:pPr>
            <w:r>
              <w:t xml:space="preserve">Overall TEAE summary</w:t>
            </w:r>
          </w:p>
        </w:tc>
        <w:tc>
          <w:tcPr/>
          <w:p>
            <w:pPr>
              <w:pStyle w:val="Compact"/>
            </w:pPr>
            <w:r>
              <w:t xml:space="preserve">Any TEAE, related, serious, grade ≥3, leading to discontinuation, fatal</w:t>
            </w:r>
          </w:p>
        </w:tc>
        <w:tc>
          <w:tcPr/>
          <w:p>
            <w:pPr>
              <w:pStyle w:val="Compact"/>
            </w:pPr>
            <w:r>
              <w:t xml:space="preserve">Treated</w:t>
            </w:r>
          </w:p>
        </w:tc>
      </w:tr>
      <w:tr>
        <w:tc>
          <w:tcPr/>
          <w:p>
            <w:pPr>
              <w:pStyle w:val="Compact"/>
            </w:pPr>
            <w:r>
              <w:t xml:space="preserve">TEAE by SOC/PT</w:t>
            </w:r>
          </w:p>
        </w:tc>
        <w:tc>
          <w:tcPr/>
          <w:p>
            <w:pPr>
              <w:pStyle w:val="Compact"/>
            </w:pPr>
            <w:r>
              <w:t xml:space="preserve">Descending frequency; and by maximum grade per subject</w:t>
            </w:r>
          </w:p>
        </w:tc>
        <w:tc>
          <w:tcPr/>
          <w:p>
            <w:pPr>
              <w:pStyle w:val="Compact"/>
            </w:pPr>
            <w:r>
              <w:t xml:space="preserve">Treated</w:t>
            </w:r>
          </w:p>
        </w:tc>
      </w:tr>
      <w:tr>
        <w:tc>
          <w:tcPr/>
          <w:p>
            <w:pPr>
              <w:pStyle w:val="Compact"/>
            </w:pPr>
            <w:r>
              <w:t xml:space="preserve">SAE / discontinuation / related / deaths</w:t>
            </w:r>
          </w:p>
        </w:tc>
        <w:tc>
          <w:tcPr/>
          <w:p>
            <w:pPr>
              <w:pStyle w:val="Compact"/>
            </w:pPr>
            <w:r>
              <w:t xml:space="preserve">Separate tabulations</w:t>
            </w:r>
          </w:p>
        </w:tc>
        <w:tc>
          <w:tcPr/>
          <w:p>
            <w:pPr>
              <w:pStyle w:val="Compact"/>
            </w:pPr>
            <w:r>
              <w:t xml:space="preserve">Treated</w:t>
            </w:r>
          </w:p>
        </w:tc>
      </w:tr>
      <w:tr>
        <w:tc>
          <w:tcPr/>
          <w:p>
            <w:pPr>
              <w:pStyle w:val="Compact"/>
            </w:pPr>
            <w:r>
              <w:t xml:space="preserve">Exposure and RDI</w:t>
            </w:r>
          </w:p>
        </w:tc>
        <w:tc>
          <w:tcPr/>
          <w:p>
            <w:pPr>
              <w:pStyle w:val="Compact"/>
            </w:pPr>
            <w:r>
              <w:t xml:space="preserve">nab-paclitaxel and gemcitabine separately; interruptions/reductions</w:t>
            </w:r>
          </w:p>
        </w:tc>
        <w:tc>
          <w:tcPr/>
          <w:p>
            <w:pPr>
              <w:pStyle w:val="Compact"/>
            </w:pPr>
            <w:r>
              <w:t xml:space="preserve">Treated</w:t>
            </w:r>
          </w:p>
        </w:tc>
      </w:tr>
      <w:tr>
        <w:tc>
          <w:tcPr/>
          <w:p>
            <w:pPr>
              <w:pStyle w:val="Compact"/>
            </w:pPr>
            <w:r>
              <w:t xml:space="preserve">Laboratory shifts</w:t>
            </w:r>
          </w:p>
        </w:tc>
        <w:tc>
          <w:tcPr/>
          <w:p>
            <w:pPr>
              <w:pStyle w:val="Compact"/>
            </w:pPr>
            <w:r>
              <w:t xml:space="preserve">Shift from baseline by CTCAE grade</w:t>
            </w:r>
          </w:p>
        </w:tc>
        <w:tc>
          <w:tcPr/>
          <w:p>
            <w:pPr>
              <w:pStyle w:val="Compact"/>
            </w:pPr>
            <w:r>
              <w:t xml:space="preserve">Treated</w:t>
            </w:r>
          </w:p>
        </w:tc>
      </w:tr>
      <w:tr>
        <w:tc>
          <w:tcPr/>
          <w:p>
            <w:pPr>
              <w:pStyle w:val="Compact"/>
            </w:pPr>
            <w:r>
              <w:t xml:space="preserve">Deaths</w:t>
            </w:r>
          </w:p>
        </w:tc>
        <w:tc>
          <w:tcPr/>
          <w:p>
            <w:pPr>
              <w:pStyle w:val="Compact"/>
            </w:pPr>
            <w:r>
              <w:t xml:space="preserve">On-treatment vs post-treatment; cause</w:t>
            </w:r>
          </w:p>
        </w:tc>
        <w:tc>
          <w:tcPr/>
          <w:p>
            <w:pPr>
              <w:pStyle w:val="Compact"/>
            </w:pPr>
            <w:r>
              <w:t xml:space="preserve">Treated</w:t>
            </w:r>
          </w:p>
        </w:tc>
      </w:tr>
    </w:tbl>
    <w:p>
      <w:pPr>
        <w:pStyle w:val="BodyText"/>
      </w:pPr>
      <w:r>
        <w:t xml:space="preserve">MedDRA version and CTCAE version (v4.03 assumed) are fixed at database lock; SAEs follow the ICH E2A definition and the 24-hour reporting convention.</w:t>
      </w:r>
    </w:p>
    <w:bookmarkEnd w:id="78"/>
    <w:bookmarkEnd w:id="79"/>
    <w:bookmarkStart w:id="85" w:name="data-handling-conventions"/>
    <w:p>
      <w:pPr>
        <w:pStyle w:val="Heading2"/>
      </w:pPr>
      <w:r>
        <w:t xml:space="preserve">13. Data Handling Conventions</w:t>
      </w:r>
    </w:p>
    <w:p>
      <w:pPr>
        <w:pStyle w:val="FirstParagraph"/>
      </w:pPr>
      <w:r>
        <w:t xml:space="preserve">This section specifies the data-handling conventions that make the analyses reproducible: baseline definition, visit windowing, date imputation, derived-variable definitions, and the data-cutoff and CDISC framework. These conventions apply uniformly across efficacy and safety analyses.</w:t>
      </w:r>
    </w:p>
    <w:bookmarkStart w:id="80" w:name="baseline"/>
    <w:p>
      <w:pPr>
        <w:pStyle w:val="Heading3"/>
      </w:pPr>
      <w:r>
        <w:t xml:space="preserve">13.1 Baseline</w:t>
      </w:r>
    </w:p>
    <w:p>
      <w:pPr>
        <w:pStyle w:val="FirstParagraph"/>
      </w:pPr>
      <w:r>
        <w:rPr>
          <w:b/>
          <w:bCs/>
        </w:rPr>
        <w:t xml:space="preserve">Baseline</w:t>
      </w:r>
      <w:r>
        <w:t xml:space="preserve"> </w:t>
      </w:r>
      <w:r>
        <w:t xml:space="preserve">is the last non-missing assessment on or prior to the first dose of study therapy, within the 14-day screening window preceding Cycle 1 Day 1. For laboratory and vital-sign measures, baseline is the last pre-dose value; for tumor burden, baseline is the screening CT/MRI scan, which is the RECIST reference. Baseline derivations by variable are detailed in Appendix F.</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3168"/>
        <w:gridCol w:w="4752"/>
      </w:tblGrid>
      <w:tr>
        <w:trPr>
          <w:tblHeader w:val="on"/>
        </w:trPr>
        <w:tc>
          <w:tcPr>
            <w:shd w:val="clear" w:fill="EEF0F4"/>
          </w:tcPr>
          <w:p>
            <w:pPr>
              <w:pStyle w:val="Compact"/>
            </w:pPr>
            <w:r>
              <w:rPr>
                <w:b/>
              </w:rPr>
              <w:t xml:space="preserve">Variable</w:t>
            </w:r>
          </w:p>
        </w:tc>
        <w:tc>
          <w:tcPr>
            <w:shd w:val="clear" w:fill="EEF0F4"/>
          </w:tcPr>
          <w:p>
            <w:pPr>
              <w:pStyle w:val="Compact"/>
            </w:pPr>
            <w:r>
              <w:rPr>
                <w:b/>
              </w:rPr>
              <w:t xml:space="preserve">Baseline rule</w:t>
            </w:r>
          </w:p>
        </w:tc>
      </w:tr>
      <w:tr>
        <w:tc>
          <w:tcPr/>
          <w:p>
            <w:pPr>
              <w:pStyle w:val="Compact"/>
            </w:pPr>
            <w:r>
              <w:t xml:space="preserve">Age</w:t>
            </w:r>
          </w:p>
        </w:tc>
        <w:tc>
          <w:tcPr/>
          <w:p>
            <w:pPr>
              <w:pStyle w:val="Compact"/>
            </w:pPr>
            <w:r>
              <w:t xml:space="preserve">Age at informed consent; grouped &lt;65 / ≥65 for subgroups</w:t>
            </w:r>
          </w:p>
        </w:tc>
      </w:tr>
      <w:tr>
        <w:tc>
          <w:tcPr/>
          <w:p>
            <w:pPr>
              <w:pStyle w:val="Compact"/>
            </w:pPr>
            <w:r>
              <w:t xml:space="preserve">Weight / Height / BSA</w:t>
            </w:r>
          </w:p>
        </w:tc>
        <w:tc>
          <w:tcPr/>
          <w:p>
            <w:pPr>
              <w:pStyle w:val="Compact"/>
            </w:pPr>
            <w:r>
              <w:t xml:space="preserve">Last value on or before Cycle 1 Day 1; BSA by Du Bois formula</w:t>
            </w:r>
          </w:p>
        </w:tc>
      </w:tr>
      <w:tr>
        <w:tc>
          <w:tcPr/>
          <w:p>
            <w:pPr>
              <w:pStyle w:val="Compact"/>
            </w:pPr>
            <w:r>
              <w:t xml:space="preserve">ECOG performance status</w:t>
            </w:r>
          </w:p>
        </w:tc>
        <w:tc>
          <w:tcPr/>
          <w:p>
            <w:pPr>
              <w:pStyle w:val="Compact"/>
            </w:pPr>
            <w:r>
              <w:t xml:space="preserve">Last assessment on or before first dose</w:t>
            </w:r>
          </w:p>
        </w:tc>
      </w:tr>
      <w:tr>
        <w:tc>
          <w:tcPr/>
          <w:p>
            <w:pPr>
              <w:pStyle w:val="Compact"/>
            </w:pPr>
            <w:r>
              <w:t xml:space="preserve">Tumor burden (RECIST target lesions)</w:t>
            </w:r>
          </w:p>
        </w:tc>
        <w:tc>
          <w:tcPr/>
          <w:p>
            <w:pPr>
              <w:pStyle w:val="Compact"/>
            </w:pPr>
            <w:r>
              <w:t xml:space="preserve">Screening CT/MRI within 14 days before C1D1</w:t>
            </w:r>
          </w:p>
        </w:tc>
      </w:tr>
      <w:tr>
        <w:tc>
          <w:tcPr/>
          <w:p>
            <w:pPr>
              <w:pStyle w:val="Compact"/>
            </w:pPr>
            <w:r>
              <w:t xml:space="preserve">Laboratory values</w:t>
            </w:r>
          </w:p>
        </w:tc>
        <w:tc>
          <w:tcPr/>
          <w:p>
            <w:pPr>
              <w:pStyle w:val="Compact"/>
            </w:pPr>
            <w:r>
              <w:t xml:space="preserve">Last non-missing value on or before first dose</w:t>
            </w:r>
          </w:p>
        </w:tc>
      </w:tr>
    </w:tbl>
    <w:bookmarkEnd w:id="80"/>
    <w:bookmarkStart w:id="81" w:name="visit-windows"/>
    <w:p>
      <w:pPr>
        <w:pStyle w:val="Heading3"/>
      </w:pPr>
      <w:r>
        <w:t xml:space="preserve">13.2 Visit Windows</w:t>
      </w:r>
    </w:p>
    <w:p>
      <w:pPr>
        <w:pStyle w:val="FirstParagraph"/>
      </w:pPr>
      <w:r>
        <w:t xml:space="preserve">Tumor assessments are scheduled every 56 days with a protocol window of −3/+7 days; an assessment falling within the window is mapped to its nominal timepoint, and an out-of-window assessment is assigned to the nearest nominal visit or handled as unscheduled. Unscheduled tumor assessments are used for event (progression) determination but are summarized against the nearest nominal visit for by-visit displays. Survival follow-up occurs approximately every 90 days; telephone or medical-record contacts update the last-known-alive date. The AE follow-up window is 28 days after the last dose (or after PFS/early discontinuation). The windowing table is provided in Appendix F.</w:t>
      </w:r>
    </w:p>
    <w:bookmarkEnd w:id="81"/>
    <w:bookmarkStart w:id="82" w:name="partial-date-imputation-rules"/>
    <w:p>
      <w:pPr>
        <w:pStyle w:val="Heading3"/>
      </w:pPr>
      <w:r>
        <w:t xml:space="preserve">13.3 Partial Date Imputation Rules</w:t>
      </w:r>
    </w:p>
    <w:p>
      <w:pPr>
        <w:pStyle w:val="FirstParagraph"/>
      </w:pPr>
      <w:r>
        <w:t xml:space="preserve">Date imputation applies only to partial dates and is conservative. For efficacy event dates (progression, death, new therapy), complete dates are preferred; where the day is missing, the 15th is used, and imputation is never performed in a way that shortens a subject’s censoring time—where imputation would be ambiguous, the actual assessment/visit date is used, avoiding optimistic bias in the time-to-event endpoints. Partial AE and concomitant-medication dates are imputed to preserve treatment-emergent classification, defaulting to treatment-emergent/concomitant when overlap with dosing is ambiguous. The complete partial-date rules are in Appendix G.</w:t>
      </w:r>
    </w:p>
    <w:bookmarkEnd w:id="82"/>
    <w:bookmarkStart w:id="83" w:name="derived-variables-and-data-cutoff"/>
    <w:p>
      <w:pPr>
        <w:pStyle w:val="Heading3"/>
      </w:pPr>
      <w:r>
        <w:t xml:space="preserve">13.4 Derived Variables and Data Cutoff</w:t>
      </w:r>
    </w:p>
    <w:p>
      <w:pPr>
        <w:pStyle w:val="FirstParagraph"/>
      </w:pPr>
      <w:r>
        <w:t xml:space="preserve">Time-to-event durations are computed as (event or censor date − first dose date + 1) / 30.4375 to express months. Response categories (CR/PR/SD/PD) follow RECIST v1.1 Investigator assessment; DCR is CR+PR+SD sustained ≥16 weeks; ORR is CR+PR. Exposure and relative dose intensity are derived per Section 8.9. All derivations are implemented in ADaM analysis datasets with traceability to SDTM and raw data.</w:t>
      </w:r>
    </w:p>
    <w:p>
      <w:pPr>
        <w:pStyle w:val="BodyText"/>
      </w:pPr>
      <w:r>
        <w:t xml:space="preserve">The data-cutoff framework: the End of Trial is the later of the date of the last visit of the last subject to complete the study or the date of receipt of the last data point required for the primary/secondary analysis, with total study length approximately 3.5 years or until up to 95% of survival data are collected, whichever comes first. For each analysis, a clinical cutoff date defines the snapshot; the database lock fixes the analysis dataset after data cleaning and query resolution. Subjects with no event at the cutoff are administratively censored at the last relevant assessment (last tumor assessment for TTF/PFS; last known alive date for OS).</w:t>
      </w:r>
    </w:p>
    <w:bookmarkEnd w:id="83"/>
    <w:bookmarkStart w:id="84" w:name="cdiscadam-framework"/>
    <w:p>
      <w:pPr>
        <w:pStyle w:val="Heading3"/>
      </w:pPr>
      <w:r>
        <w:t xml:space="preserve">13.5 CDISC/ADaM Framework</w:t>
      </w:r>
    </w:p>
    <w:p>
      <w:pPr>
        <w:pStyle w:val="FirstParagraph"/>
      </w:pPr>
      <w:r>
        <w:t xml:space="preserve">Analyses are conducted on datasets conforming to</w:t>
      </w:r>
      <w:r>
        <w:t xml:space="preserve"> </w:t>
      </w:r>
      <w:r>
        <w:rPr>
          <w:b/>
          <w:bCs/>
        </w:rPr>
        <w:t xml:space="preserve">CDISC</w:t>
      </w:r>
      <w:r>
        <w:t xml:space="preserve"> </w:t>
      </w:r>
      <w:r>
        <w:t xml:space="preserve">standards: SDTM for tabulation data and ADaM for analysis-ready data (current submission versions). Key ADaM datasets include ADSL (subject-level), ADTTE (time-to-event: TTF, PFS, OS), ADRS (response), ADAE (adverse events), ADEX (exposure), ADLB (laboratory), and ADQS (HRQoL). A traceability chain is maintained from raw data to SDTM to ADaM to the reported TLFs, with a subject-level event/censoring listing (Listing 16.2.x) supporting the time-to-event endpoints. Snapshot handling, database lock, and validation/QC (independent double programming of key derivations and outputs) are documented in the data-management and programming validation plans.</w:t>
      </w:r>
    </w:p>
    <w:bookmarkEnd w:id="84"/>
    <w:bookmarkEnd w:id="85"/>
    <w:bookmarkStart w:id="86" w:name="tables-listings-and-figures"/>
    <w:p>
      <w:pPr>
        <w:pStyle w:val="Heading2"/>
      </w:pPr>
      <w:r>
        <w:t xml:space="preserve">14. Tables, Listings, and Figures</w:t>
      </w:r>
    </w:p>
    <w:p>
      <w:pPr>
        <w:pStyle w:val="FirstParagraph"/>
      </w:pPr>
      <w:r>
        <w:t xml:space="preserve">The tables, listings, and figures below constitute the reporting deliverables. Each is linked to the objective or endpoint it supports.</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1667"/>
        <w:gridCol w:w="2709"/>
        <w:gridCol w:w="3543"/>
      </w:tblGrid>
      <w:tr>
        <w:trPr>
          <w:tblHeader w:val="on"/>
        </w:trPr>
        <w:tc>
          <w:tcPr>
            <w:shd w:val="clear" w:fill="EEF0F4"/>
          </w:tcPr>
          <w:p>
            <w:pPr>
              <w:pStyle w:val="Compact"/>
            </w:pPr>
            <w:r>
              <w:rPr>
                <w:b/>
              </w:rPr>
              <w:t xml:space="preserve">TLF ID</w:t>
            </w:r>
          </w:p>
        </w:tc>
        <w:tc>
          <w:tcPr>
            <w:shd w:val="clear" w:fill="EEF0F4"/>
          </w:tcPr>
          <w:p>
            <w:pPr>
              <w:pStyle w:val="Compact"/>
            </w:pPr>
            <w:r>
              <w:rPr>
                <w:b/>
              </w:rPr>
              <w:t xml:space="preserve">Description</w:t>
            </w:r>
          </w:p>
        </w:tc>
        <w:tc>
          <w:tcPr>
            <w:shd w:val="clear" w:fill="EEF0F4"/>
          </w:tcPr>
          <w:p>
            <w:pPr>
              <w:pStyle w:val="Compact"/>
            </w:pPr>
            <w:r>
              <w:rPr>
                <w:b/>
              </w:rPr>
              <w:t xml:space="preserve">Linked endpoint</w:t>
            </w:r>
          </w:p>
        </w:tc>
      </w:tr>
      <w:tr>
        <w:tc>
          <w:tcPr/>
          <w:p>
            <w:pPr>
              <w:pStyle w:val="Compact"/>
            </w:pPr>
            <w:r>
              <w:t xml:space="preserve">Table 14.1.1</w:t>
            </w:r>
          </w:p>
        </w:tc>
        <w:tc>
          <w:tcPr/>
          <w:p>
            <w:pPr>
              <w:pStyle w:val="Compact"/>
            </w:pPr>
            <w:r>
              <w:t xml:space="preserve">Subject disposition and population allocation (ITT, PP, Treated) with reconciliation</w:t>
            </w:r>
          </w:p>
        </w:tc>
        <w:tc>
          <w:tcPr/>
          <w:p>
            <w:pPr>
              <w:pStyle w:val="Compact"/>
            </w:pPr>
            <w:r>
              <w:t xml:space="preserve">Populations / traceability</w:t>
            </w:r>
          </w:p>
        </w:tc>
      </w:tr>
      <w:tr>
        <w:tc>
          <w:tcPr/>
          <w:p>
            <w:pPr>
              <w:pStyle w:val="Compact"/>
            </w:pPr>
            <w:r>
              <w:t xml:space="preserve">Table 14.1.2</w:t>
            </w:r>
          </w:p>
        </w:tc>
        <w:tc>
          <w:tcPr/>
          <w:p>
            <w:pPr>
              <w:pStyle w:val="Compact"/>
            </w:pPr>
            <w:r>
              <w:t xml:space="preserve">Demographics and baseline disease characteristics</w:t>
            </w:r>
          </w:p>
        </w:tc>
        <w:tc>
          <w:tcPr/>
          <w:p>
            <w:pPr>
              <w:pStyle w:val="Compact"/>
            </w:pPr>
            <w:r>
              <w:t xml:space="preserve">Baseline (Treated)</w:t>
            </w:r>
          </w:p>
        </w:tc>
      </w:tr>
      <w:tr>
        <w:tc>
          <w:tcPr/>
          <w:p>
            <w:pPr>
              <w:pStyle w:val="Compact"/>
            </w:pPr>
            <w:r>
              <w:t xml:space="preserve">Table 14.2.1</w:t>
            </w:r>
          </w:p>
        </w:tc>
        <w:tc>
          <w:tcPr/>
          <w:p>
            <w:pPr>
              <w:pStyle w:val="Compact"/>
            </w:pPr>
            <w:r>
              <w:t xml:space="preserve">KM summary of TTF: median with 2-sided 90% CI, quartiles, event/censor counts (ITT)</w:t>
            </w:r>
          </w:p>
        </w:tc>
        <w:tc>
          <w:tcPr/>
          <w:p>
            <w:pPr>
              <w:pStyle w:val="Compact"/>
            </w:pPr>
            <w:r>
              <w:t xml:space="preserve">Primary (TTF)</w:t>
            </w:r>
          </w:p>
        </w:tc>
      </w:tr>
      <w:tr>
        <w:tc>
          <w:tcPr/>
          <w:p>
            <w:pPr>
              <w:pStyle w:val="Compact"/>
            </w:pPr>
            <w:r>
              <w:t xml:space="preserve">Figure 14.2.1</w:t>
            </w:r>
          </w:p>
        </w:tc>
        <w:tc>
          <w:tcPr/>
          <w:p>
            <w:pPr>
              <w:pStyle w:val="Compact"/>
            </w:pPr>
            <w:r>
              <w:t xml:space="preserve">KM curve of TTF with historical median (5.1 mo) annotated as exploratory</w:t>
            </w:r>
          </w:p>
        </w:tc>
        <w:tc>
          <w:tcPr/>
          <w:p>
            <w:pPr>
              <w:pStyle w:val="Compact"/>
            </w:pPr>
            <w:r>
              <w:t xml:space="preserve">Primary (TTF)</w:t>
            </w:r>
          </w:p>
        </w:tc>
      </w:tr>
      <w:tr>
        <w:tc>
          <w:tcPr/>
          <w:p>
            <w:pPr>
              <w:pStyle w:val="Compact"/>
            </w:pPr>
            <w:r>
              <w:t xml:space="preserve">Table 14.2.2</w:t>
            </w:r>
          </w:p>
        </w:tc>
        <w:tc>
          <w:tcPr/>
          <w:p>
            <w:pPr>
              <w:pStyle w:val="Compact"/>
            </w:pPr>
            <w:r>
              <w:t xml:space="preserve">DCR at 6 months: proportion with 2-sided 90% exact CI (ITT, PP)</w:t>
            </w:r>
          </w:p>
        </w:tc>
        <w:tc>
          <w:tcPr/>
          <w:p>
            <w:pPr>
              <w:pStyle w:val="Compact"/>
            </w:pPr>
            <w:r>
              <w:t xml:space="preserve">Secondary (DCR) / interim</w:t>
            </w:r>
          </w:p>
        </w:tc>
      </w:tr>
      <w:tr>
        <w:tc>
          <w:tcPr/>
          <w:p>
            <w:pPr>
              <w:pStyle w:val="Compact"/>
            </w:pPr>
            <w:r>
              <w:t xml:space="preserve">Table 14.2.3</w:t>
            </w:r>
          </w:p>
        </w:tc>
        <w:tc>
          <w:tcPr/>
          <w:p>
            <w:pPr>
              <w:pStyle w:val="Compact"/>
            </w:pPr>
            <w:r>
              <w:t xml:space="preserve">ORR: proportion with 2-sided 90% exact CI (ITT, PP)</w:t>
            </w:r>
          </w:p>
        </w:tc>
        <w:tc>
          <w:tcPr/>
          <w:p>
            <w:pPr>
              <w:pStyle w:val="Compact"/>
            </w:pPr>
            <w:r>
              <w:t xml:space="preserve">Secondary (ORR)</w:t>
            </w:r>
          </w:p>
        </w:tc>
      </w:tr>
      <w:tr>
        <w:tc>
          <w:tcPr/>
          <w:p>
            <w:pPr>
              <w:pStyle w:val="Compact"/>
            </w:pPr>
            <w:r>
              <w:t xml:space="preserve">Table 14.2.4 / Figure 14.2.2</w:t>
            </w:r>
          </w:p>
        </w:tc>
        <w:tc>
          <w:tcPr/>
          <w:p>
            <w:pPr>
              <w:pStyle w:val="Compact"/>
            </w:pPr>
            <w:r>
              <w:t xml:space="preserve">KM summary and curve of PFS: median with 90% CI (ITT)</w:t>
            </w:r>
          </w:p>
        </w:tc>
        <w:tc>
          <w:tcPr/>
          <w:p>
            <w:pPr>
              <w:pStyle w:val="Compact"/>
            </w:pPr>
            <w:r>
              <w:t xml:space="preserve">Secondary (PFS)</w:t>
            </w:r>
          </w:p>
        </w:tc>
      </w:tr>
      <w:tr>
        <w:tc>
          <w:tcPr/>
          <w:p>
            <w:pPr>
              <w:pStyle w:val="Compact"/>
            </w:pPr>
            <w:r>
              <w:t xml:space="preserve">Table 14.2.5 / Figure 14.2.3</w:t>
            </w:r>
          </w:p>
        </w:tc>
        <w:tc>
          <w:tcPr/>
          <w:p>
            <w:pPr>
              <w:pStyle w:val="Compact"/>
            </w:pPr>
            <w:r>
              <w:t xml:space="preserve">KM summary and curve of OS: median with 90% CI (ITT)</w:t>
            </w:r>
          </w:p>
        </w:tc>
        <w:tc>
          <w:tcPr/>
          <w:p>
            <w:pPr>
              <w:pStyle w:val="Compact"/>
            </w:pPr>
            <w:r>
              <w:t xml:space="preserve">Secondary (OS)</w:t>
            </w:r>
          </w:p>
        </w:tc>
      </w:tr>
      <w:tr>
        <w:tc>
          <w:tcPr/>
          <w:p>
            <w:pPr>
              <w:pStyle w:val="Compact"/>
            </w:pPr>
            <w:r>
              <w:t xml:space="preserve">Table 14.3.1</w:t>
            </w:r>
          </w:p>
        </w:tc>
        <w:tc>
          <w:tcPr/>
          <w:p>
            <w:pPr>
              <w:pStyle w:val="Compact"/>
            </w:pPr>
            <w:r>
              <w:t xml:space="preserve">Overall summary of TEAEs (Treated)</w:t>
            </w:r>
          </w:p>
        </w:tc>
        <w:tc>
          <w:tcPr/>
          <w:p>
            <w:pPr>
              <w:pStyle w:val="Compact"/>
            </w:pPr>
            <w:r>
              <w:t xml:space="preserve">Safety</w:t>
            </w:r>
          </w:p>
        </w:tc>
      </w:tr>
      <w:tr>
        <w:tc>
          <w:tcPr/>
          <w:p>
            <w:pPr>
              <w:pStyle w:val="Compact"/>
            </w:pPr>
            <w:r>
              <w:t xml:space="preserve">Table 14.3.2</w:t>
            </w:r>
          </w:p>
        </w:tc>
        <w:tc>
          <w:tcPr/>
          <w:p>
            <w:pPr>
              <w:pStyle w:val="Compact"/>
            </w:pPr>
            <w:r>
              <w:t xml:space="preserve">TEAEs by SOC/PT; by maximum CTCAE grade</w:t>
            </w:r>
          </w:p>
        </w:tc>
        <w:tc>
          <w:tcPr/>
          <w:p>
            <w:pPr>
              <w:pStyle w:val="Compact"/>
            </w:pPr>
            <w:r>
              <w:t xml:space="preserve">Safety</w:t>
            </w:r>
          </w:p>
        </w:tc>
      </w:tr>
      <w:tr>
        <w:tc>
          <w:tcPr/>
          <w:p>
            <w:pPr>
              <w:pStyle w:val="Compact"/>
            </w:pPr>
            <w:r>
              <w:t xml:space="preserve">Table 14.3.3</w:t>
            </w:r>
          </w:p>
        </w:tc>
        <w:tc>
          <w:tcPr/>
          <w:p>
            <w:pPr>
              <w:pStyle w:val="Compact"/>
            </w:pPr>
            <w:r>
              <w:t xml:space="preserve">SAEs, AEs leading to discontinuation, related AEs, deaths</w:t>
            </w:r>
          </w:p>
        </w:tc>
        <w:tc>
          <w:tcPr/>
          <w:p>
            <w:pPr>
              <w:pStyle w:val="Compact"/>
            </w:pPr>
            <w:r>
              <w:t xml:space="preserve">Safety</w:t>
            </w:r>
          </w:p>
        </w:tc>
      </w:tr>
      <w:tr>
        <w:tc>
          <w:tcPr/>
          <w:p>
            <w:pPr>
              <w:pStyle w:val="Compact"/>
            </w:pPr>
            <w:r>
              <w:t xml:space="preserve">Table 14.3.4</w:t>
            </w:r>
          </w:p>
        </w:tc>
        <w:tc>
          <w:tcPr/>
          <w:p>
            <w:pPr>
              <w:pStyle w:val="Compact"/>
            </w:pPr>
            <w:r>
              <w:t xml:space="preserve">Study drug exposure and relative dose intensity</w:t>
            </w:r>
          </w:p>
        </w:tc>
        <w:tc>
          <w:tcPr/>
          <w:p>
            <w:pPr>
              <w:pStyle w:val="Compact"/>
            </w:pPr>
            <w:r>
              <w:t xml:space="preserve">Safety / exposure</w:t>
            </w:r>
          </w:p>
        </w:tc>
      </w:tr>
      <w:tr>
        <w:tc>
          <w:tcPr/>
          <w:p>
            <w:pPr>
              <w:pStyle w:val="Compact"/>
            </w:pPr>
            <w:r>
              <w:t xml:space="preserve">Table 14.3.5</w:t>
            </w:r>
          </w:p>
        </w:tc>
        <w:tc>
          <w:tcPr/>
          <w:p>
            <w:pPr>
              <w:pStyle w:val="Compact"/>
            </w:pPr>
            <w:r>
              <w:t xml:space="preserve">Laboratory shift tables from baseline by CTCAE grade</w:t>
            </w:r>
          </w:p>
        </w:tc>
        <w:tc>
          <w:tcPr/>
          <w:p>
            <w:pPr>
              <w:pStyle w:val="Compact"/>
            </w:pPr>
            <w:r>
              <w:t xml:space="preserve">Safety</w:t>
            </w:r>
          </w:p>
        </w:tc>
      </w:tr>
      <w:tr>
        <w:tc>
          <w:tcPr/>
          <w:p>
            <w:pPr>
              <w:pStyle w:val="Compact"/>
            </w:pPr>
            <w:r>
              <w:t xml:space="preserve">Listing 16.2.x</w:t>
            </w:r>
          </w:p>
        </w:tc>
        <w:tc>
          <w:tcPr/>
          <w:p>
            <w:pPr>
              <w:pStyle w:val="Compact"/>
            </w:pPr>
            <w:r>
              <w:t xml:space="preserve">Subject-level event/censoring listing for TTF, PFS, OS</w:t>
            </w:r>
          </w:p>
        </w:tc>
        <w:tc>
          <w:tcPr/>
          <w:p>
            <w:pPr>
              <w:pStyle w:val="Compact"/>
            </w:pPr>
            <w:r>
              <w:t xml:space="preserve">TTE traceability</w:t>
            </w:r>
          </w:p>
        </w:tc>
      </w:tr>
    </w:tbl>
    <w:p>
      <w:pPr>
        <w:pStyle w:val="BodyText"/>
      </w:pPr>
      <w:r>
        <w:t xml:space="preserve">Efficacy tables present two-sided 90% confidence intervals; safety tables are descriptive counts and percentages.</w:t>
      </w:r>
    </w:p>
    <w:bookmarkEnd w:id="86"/>
    <w:bookmarkStart w:id="87" w:name="statistical-software"/>
    <w:p>
      <w:pPr>
        <w:pStyle w:val="Heading2"/>
      </w:pPr>
      <w:r>
        <w:t xml:space="preserve">15. Statistical Software</w:t>
      </w:r>
    </w:p>
    <w:p>
      <w:pPr>
        <w:pStyle w:val="FirstParagraph"/>
      </w:pPr>
      <w:r>
        <w:t xml:space="preserve">Analyses are performed using SAS® (version 9.4 or later) or equivalent validated statistical software. Kaplan-Meier estimation, Greenwood variance, and Brookmeyer-Crowley median confidence intervals are obtained via PROC LIFETEST; exact Clopper-Pearson binomial intervals via PROC FREQ (exact binomial option); and any exploratory MMRM via PROC MIXED. Key derivations and outputs undergo independent double programming for validation. Results are reported in the Clinical Study Report; the two-sided 90% confidence intervals and descriptive summaries specified throughout constitute the primary reporting basis, consistent with the estimation-focused design.</w:t>
      </w:r>
    </w:p>
    <w:bookmarkEnd w:id="87"/>
    <w:bookmarkStart w:id="88" w:name="X6c312cbb78d276853f60f7f7a959f03a906841c"/>
    <w:p>
      <w:pPr>
        <w:pStyle w:val="Heading2"/>
      </w:pPr>
      <w:r>
        <w:t xml:space="preserve">16. Statistical Conventions and Assumptions Not Explicitly Defined in the Protocol</w:t>
      </w:r>
    </w:p>
    <w:p>
      <w:pPr>
        <w:pStyle w:val="FirstParagraph"/>
      </w:pPr>
      <w:r>
        <w:t xml:space="preserve">The statistical conventions governing this SAP are as follows. All time-to-event parameters are expressed in survival terms—median times in months, and, where displayed, landmark survival probabilities—never as proportions; the protocol values 5.1 and 6.6 are interpreted as median TTF in months, consistent with the time-to-event scale. All efficacy endpoints are estimated with two-sided 90% confidence intervals; no formal statistical test is performed on any endpoint, and any comparison to the historical benchmark is exploratory and supportive only. Binary endpoint confidence intervals use the exact Clopper-Pearson method; time-to-event medians use Brookmeyer-Crowley intervals with Greenwood variance and, where survival-function limits are displayed, the complementary log-log transformation. The ITT population (all enrolled subjects receiving ≥1 dose of IP) serves as the Full Analysis Set, and this synonymy is stated explicitly for traceability. Non-informative censoring is assumed for the time-to-event endpoints, with robustness assessed through the sensitivity analyses of Section 10.2. NCI-CTCAE v4.03 is assumed for adverse-event grading and MedDRA (latest version at analysis) for coding, with versions fixed at database lock. Baseline is the last non-missing value on or before the first dose. Months are computed using 30.4375 days per month. These conventions apply uniformly unless a section explicitly states otherwise.</w:t>
      </w:r>
    </w:p>
    <w:bookmarkEnd w:id="88"/>
    <w:bookmarkStart w:id="89" w:name="appendix-a-missing-data-summary"/>
    <w:p>
      <w:pPr>
        <w:pStyle w:val="Heading2"/>
      </w:pPr>
      <w:r>
        <w:t xml:space="preserve">Appendix A: Missing Data Summary</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1115"/>
        <w:gridCol w:w="2230"/>
        <w:gridCol w:w="1896"/>
        <w:gridCol w:w="2677"/>
      </w:tblGrid>
      <w:tr>
        <w:trPr>
          <w:tblHeader w:val="on"/>
        </w:trPr>
        <w:tc>
          <w:tcPr>
            <w:shd w:val="clear" w:fill="EEF0F4"/>
          </w:tcPr>
          <w:p>
            <w:pPr>
              <w:pStyle w:val="Compact"/>
            </w:pPr>
            <w:r>
              <w:rPr>
                <w:b/>
              </w:rPr>
              <w:t xml:space="preserve">Endpoint</w:t>
            </w:r>
          </w:p>
        </w:tc>
        <w:tc>
          <w:tcPr>
            <w:shd w:val="clear" w:fill="EEF0F4"/>
          </w:tcPr>
          <w:p>
            <w:pPr>
              <w:pStyle w:val="Compact"/>
            </w:pPr>
            <w:r>
              <w:rPr>
                <w:b/>
              </w:rPr>
              <w:t xml:space="preserve">Primary assumption</w:t>
            </w:r>
          </w:p>
        </w:tc>
        <w:tc>
          <w:tcPr>
            <w:shd w:val="clear" w:fill="EEF0F4"/>
          </w:tcPr>
          <w:p>
            <w:pPr>
              <w:pStyle w:val="Compact"/>
            </w:pPr>
            <w:r>
              <w:rPr>
                <w:b/>
              </w:rPr>
              <w:t xml:space="preserve">Handling method</w:t>
            </w:r>
          </w:p>
        </w:tc>
        <w:tc>
          <w:tcPr>
            <w:shd w:val="clear" w:fill="EEF0F4"/>
          </w:tcPr>
          <w:p>
            <w:pPr>
              <w:pStyle w:val="Compact"/>
            </w:pPr>
            <w:r>
              <w:rPr>
                <w:b/>
              </w:rPr>
              <w:t xml:space="preserve">Sensitivity strategies</w:t>
            </w:r>
          </w:p>
        </w:tc>
      </w:tr>
      <w:tr>
        <w:tc>
          <w:tcPr/>
          <w:p>
            <w:pPr>
              <w:pStyle w:val="Compact"/>
            </w:pPr>
            <w:r>
              <w:t xml:space="preserve">TTF (primary)</w:t>
            </w:r>
          </w:p>
        </w:tc>
        <w:tc>
          <w:tcPr/>
          <w:p>
            <w:pPr>
              <w:pStyle w:val="Compact"/>
            </w:pPr>
            <w:r>
              <w:t xml:space="preserve">Non-informative censoring</w:t>
            </w:r>
          </w:p>
        </w:tc>
        <w:tc>
          <w:tcPr/>
          <w:p>
            <w:pPr>
              <w:pStyle w:val="Compact"/>
            </w:pPr>
            <w:r>
              <w:t xml:space="preserve">KM; censor at last tumor assessment if no failure event</w:t>
            </w:r>
          </w:p>
        </w:tc>
        <w:tc>
          <w:tcPr/>
          <w:p>
            <w:pPr>
              <w:pStyle w:val="Compact"/>
            </w:pPr>
            <w:r>
              <w:t xml:space="preserve">Discontinuation-as-event; assessment-timing shift; tipping-point/bounds vs 5.1-mo reference</w:t>
            </w:r>
          </w:p>
        </w:tc>
      </w:tr>
      <w:tr>
        <w:tc>
          <w:tcPr/>
          <w:p>
            <w:pPr>
              <w:pStyle w:val="Compact"/>
            </w:pPr>
            <w:r>
              <w:t xml:space="preserve">PFS</w:t>
            </w:r>
          </w:p>
        </w:tc>
        <w:tc>
          <w:tcPr/>
          <w:p>
            <w:pPr>
              <w:pStyle w:val="Compact"/>
            </w:pPr>
            <w:r>
              <w:t xml:space="preserve">Non-informative censoring</w:t>
            </w:r>
          </w:p>
        </w:tc>
        <w:tc>
          <w:tcPr/>
          <w:p>
            <w:pPr>
              <w:pStyle w:val="Compact"/>
            </w:pPr>
            <w:r>
              <w:t xml:space="preserve">KM; protocol censoring for new therapy, palliative intervention, 2+ missing assessments</w:t>
            </w:r>
          </w:p>
        </w:tc>
        <w:tc>
          <w:tcPr/>
          <w:p>
            <w:pPr>
              <w:pStyle w:val="Compact"/>
            </w:pPr>
            <w:r>
              <w:t xml:space="preserve">New therapy counted as event; ignore 2-missing censoring (event at documented PD)</w:t>
            </w:r>
          </w:p>
        </w:tc>
      </w:tr>
      <w:tr>
        <w:tc>
          <w:tcPr/>
          <w:p>
            <w:pPr>
              <w:pStyle w:val="Compact"/>
            </w:pPr>
            <w:r>
              <w:t xml:space="preserve">OS</w:t>
            </w:r>
          </w:p>
        </w:tc>
        <w:tc>
          <w:tcPr/>
          <w:p>
            <w:pPr>
              <w:pStyle w:val="Compact"/>
            </w:pPr>
            <w:r>
              <w:t xml:space="preserve">Treatment policy; censor alive at last known alive date</w:t>
            </w:r>
          </w:p>
        </w:tc>
        <w:tc>
          <w:tcPr/>
          <w:p>
            <w:pPr>
              <w:pStyle w:val="Compact"/>
            </w:pPr>
            <w:r>
              <w:t xml:space="preserve">KM</w:t>
            </w:r>
          </w:p>
        </w:tc>
        <w:tc>
          <w:tcPr/>
          <w:p>
            <w:pPr>
              <w:pStyle w:val="Compact"/>
            </w:pPr>
            <w:r>
              <w:t xml:space="preserve">(Deaths always ascertained; no imputation)</w:t>
            </w:r>
          </w:p>
        </w:tc>
      </w:tr>
      <w:tr>
        <w:tc>
          <w:tcPr/>
          <w:p>
            <w:pPr>
              <w:pStyle w:val="Compact"/>
            </w:pPr>
            <w:r>
              <w:t xml:space="preserve">DCR / ORR</w:t>
            </w:r>
          </w:p>
        </w:tc>
        <w:tc>
          <w:tcPr/>
          <w:p>
            <w:pPr>
              <w:pStyle w:val="Compact"/>
            </w:pPr>
            <w:r>
              <w:t xml:space="preserve">Composite non-responder</w:t>
            </w:r>
          </w:p>
        </w:tc>
        <w:tc>
          <w:tcPr/>
          <w:p>
            <w:pPr>
              <w:pStyle w:val="Compact"/>
            </w:pPr>
            <w:r>
              <w:t xml:space="preserve">Progression/death/new therapy and missing response = non-responder</w:t>
            </w:r>
          </w:p>
        </w:tc>
        <w:tc>
          <w:tcPr/>
          <w:p>
            <w:pPr>
              <w:pStyle w:val="Compact"/>
            </w:pPr>
            <w:r>
              <w:t xml:space="preserve">Best-case/worst-case bounding</w:t>
            </w:r>
          </w:p>
        </w:tc>
      </w:tr>
      <w:tr>
        <w:tc>
          <w:tcPr/>
          <w:p>
            <w:pPr>
              <w:pStyle w:val="Compact"/>
            </w:pPr>
            <w:r>
              <w:t xml:space="preserve">HRQoL</w:t>
            </w:r>
          </w:p>
        </w:tc>
        <w:tc>
          <w:tcPr/>
          <w:p>
            <w:pPr>
              <w:pStyle w:val="Compact"/>
            </w:pPr>
            <w:r>
              <w:t xml:space="preserve">MAR (repeated PRO)</w:t>
            </w:r>
          </w:p>
        </w:tc>
        <w:tc>
          <w:tcPr/>
          <w:p>
            <w:pPr>
              <w:pStyle w:val="Compact"/>
            </w:pPr>
            <w:r>
              <w:t xml:space="preserve">Descriptive; MMRM if modeled</w:t>
            </w:r>
          </w:p>
        </w:tc>
        <w:tc>
          <w:tcPr/>
          <w:p>
            <w:pPr>
              <w:pStyle w:val="Compact"/>
            </w:pPr>
            <w:r>
              <w:t xml:space="preserve">MNAR pattern-mixture / delta-adjustment</w:t>
            </w:r>
          </w:p>
        </w:tc>
      </w:tr>
    </w:tbl>
    <w:bookmarkEnd w:id="89"/>
    <w:bookmarkStart w:id="90" w:name="appendix-b-population-flag-summary"/>
    <w:p>
      <w:pPr>
        <w:pStyle w:val="Heading2"/>
      </w:pPr>
      <w:r>
        <w:t xml:space="preserve">Appendix B: Population Flag Summary</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1528"/>
        <w:gridCol w:w="3056"/>
        <w:gridCol w:w="3334"/>
      </w:tblGrid>
      <w:tr>
        <w:trPr>
          <w:tblHeader w:val="on"/>
        </w:trPr>
        <w:tc>
          <w:tcPr>
            <w:shd w:val="clear" w:fill="EEF0F4"/>
          </w:tcPr>
          <w:p>
            <w:pPr>
              <w:pStyle w:val="Compact"/>
            </w:pPr>
            <w:r>
              <w:rPr>
                <w:b/>
              </w:rPr>
              <w:t xml:space="preserve">Population</w:t>
            </w:r>
          </w:p>
        </w:tc>
        <w:tc>
          <w:tcPr>
            <w:shd w:val="clear" w:fill="EEF0F4"/>
          </w:tcPr>
          <w:p>
            <w:pPr>
              <w:pStyle w:val="Compact"/>
            </w:pPr>
            <w:r>
              <w:rPr>
                <w:b/>
              </w:rPr>
              <w:t xml:space="preserve">Flag derivation rule</w:t>
            </w:r>
          </w:p>
        </w:tc>
        <w:tc>
          <w:tcPr>
            <w:shd w:val="clear" w:fill="EEF0F4"/>
          </w:tcPr>
          <w:p>
            <w:pPr>
              <w:pStyle w:val="Compact"/>
            </w:pPr>
            <w:r>
              <w:rPr>
                <w:b/>
              </w:rPr>
              <w:t xml:space="preserve">Key exclusion criteria</w:t>
            </w:r>
          </w:p>
        </w:tc>
      </w:tr>
      <w:tr>
        <w:tc>
          <w:tcPr/>
          <w:p>
            <w:pPr>
              <w:pStyle w:val="Compact"/>
            </w:pPr>
            <w:r>
              <w:t xml:space="preserve">ITT (= FAS)</w:t>
            </w:r>
          </w:p>
        </w:tc>
        <w:tc>
          <w:tcPr/>
          <w:p>
            <w:pPr>
              <w:pStyle w:val="Compact"/>
            </w:pPr>
            <w:r>
              <w:t xml:space="preserve">Enrolled AND received ≥1 dose of any investigational product</w:t>
            </w:r>
          </w:p>
        </w:tc>
        <w:tc>
          <w:tcPr/>
          <w:p>
            <w:pPr>
              <w:pStyle w:val="Compact"/>
            </w:pPr>
            <w:r>
              <w:t xml:space="preserve">Enrolled but never dosed</w:t>
            </w:r>
          </w:p>
        </w:tc>
      </w:tr>
      <w:tr>
        <w:tc>
          <w:tcPr/>
          <w:p>
            <w:pPr>
              <w:pStyle w:val="Compact"/>
            </w:pPr>
            <w:r>
              <w:t xml:space="preserve">Per-Protocol (PP)</w:t>
            </w:r>
          </w:p>
        </w:tc>
        <w:tc>
          <w:tcPr/>
          <w:p>
            <w:pPr>
              <w:pStyle w:val="Compact"/>
            </w:pPr>
            <w:r>
              <w:t xml:space="preserve">ITT AND fulfills enrollment criteria with no major eligibility deviation</w:t>
            </w:r>
          </w:p>
        </w:tc>
        <w:tc>
          <w:tcPr/>
          <w:p>
            <w:pPr>
              <w:pStyle w:val="Compact"/>
            </w:pPr>
            <w:r>
              <w:t xml:space="preserve">Major eligibility deviation; prohibited concomitant therapy; significant dosing error</w:t>
            </w:r>
          </w:p>
        </w:tc>
      </w:tr>
      <w:tr>
        <w:tc>
          <w:tcPr/>
          <w:p>
            <w:pPr>
              <w:pStyle w:val="Compact"/>
            </w:pPr>
            <w:r>
              <w:t xml:space="preserve">Treated (Safety)</w:t>
            </w:r>
          </w:p>
        </w:tc>
        <w:tc>
          <w:tcPr/>
          <w:p>
            <w:pPr>
              <w:pStyle w:val="Compact"/>
            </w:pPr>
            <w:r>
              <w:t xml:space="preserve">Received ≥1 dose of BOTH nab-paclitaxel and gemcitabine</w:t>
            </w:r>
          </w:p>
        </w:tc>
        <w:tc>
          <w:tcPr/>
          <w:p>
            <w:pPr>
              <w:pStyle w:val="Compact"/>
            </w:pPr>
            <w:r>
              <w:t xml:space="preserve">Received only one of the two study drugs</w:t>
            </w:r>
          </w:p>
        </w:tc>
      </w:tr>
      <w:tr>
        <w:tc>
          <w:tcPr/>
          <w:p>
            <w:pPr>
              <w:pStyle w:val="Compact"/>
            </w:pPr>
            <w:r>
              <w:t xml:space="preserve">DCR-evaluable</w:t>
            </w:r>
          </w:p>
        </w:tc>
        <w:tc>
          <w:tcPr/>
          <w:p>
            <w:pPr>
              <w:pStyle w:val="Compact"/>
            </w:pPr>
            <w:r>
              <w:t xml:space="preserve">ITT AND had opportunity to reach 6-mo/EOT assessment (completed 6 cycles or discontinued for PD/death/new therapy before completion)</w:t>
            </w:r>
          </w:p>
        </w:tc>
        <w:tc>
          <w:tcPr/>
          <w:p>
            <w:pPr>
              <w:pStyle w:val="Compact"/>
            </w:pPr>
            <w:r>
              <w:t xml:space="preserve">No opportunity to reach 6-mo assessment for reasons unrelated to failure</w:t>
            </w:r>
          </w:p>
        </w:tc>
      </w:tr>
    </w:tbl>
    <w:bookmarkEnd w:id="90"/>
    <w:bookmarkStart w:id="91" w:name="appendix-c-endpoint-derivation-summary"/>
    <w:p>
      <w:pPr>
        <w:pStyle w:val="Heading2"/>
      </w:pPr>
      <w:r>
        <w:t xml:space="preserve">Appendix C: Endpoint Derivation Summary</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1147"/>
        <w:gridCol w:w="688"/>
        <w:gridCol w:w="1951"/>
        <w:gridCol w:w="1606"/>
        <w:gridCol w:w="2525"/>
      </w:tblGrid>
      <w:tr>
        <w:trPr>
          <w:tblHeader w:val="on"/>
        </w:trPr>
        <w:tc>
          <w:tcPr>
            <w:shd w:val="clear" w:fill="EEF0F4"/>
          </w:tcPr>
          <w:p>
            <w:pPr>
              <w:pStyle w:val="Compact"/>
            </w:pPr>
            <w:r>
              <w:rPr>
                <w:b/>
              </w:rPr>
              <w:t xml:space="preserve">Endpoint</w:t>
            </w:r>
          </w:p>
        </w:tc>
        <w:tc>
          <w:tcPr>
            <w:shd w:val="clear" w:fill="EEF0F4"/>
          </w:tcPr>
          <w:p>
            <w:pPr>
              <w:pStyle w:val="Compact"/>
            </w:pPr>
            <w:r>
              <w:rPr>
                <w:b/>
              </w:rPr>
              <w:t xml:space="preserve">Type</w:t>
            </w:r>
          </w:p>
        </w:tc>
        <w:tc>
          <w:tcPr>
            <w:shd w:val="clear" w:fill="EEF0F4"/>
          </w:tcPr>
          <w:p>
            <w:pPr>
              <w:pStyle w:val="Compact"/>
            </w:pPr>
            <w:r>
              <w:rPr>
                <w:b/>
              </w:rPr>
              <w:t xml:space="preserve">Derivation rule</w:t>
            </w:r>
          </w:p>
        </w:tc>
        <w:tc>
          <w:tcPr>
            <w:shd w:val="clear" w:fill="EEF0F4"/>
          </w:tcPr>
          <w:p>
            <w:pPr>
              <w:pStyle w:val="Compact"/>
            </w:pPr>
            <w:r>
              <w:rPr>
                <w:b/>
              </w:rPr>
              <w:t xml:space="preserve">ADaM dataset</w:t>
            </w:r>
          </w:p>
        </w:tc>
        <w:tc>
          <w:tcPr>
            <w:shd w:val="clear" w:fill="EEF0F4"/>
          </w:tcPr>
          <w:p>
            <w:pPr>
              <w:pStyle w:val="Compact"/>
            </w:pPr>
            <w:r>
              <w:rPr>
                <w:b/>
              </w:rPr>
              <w:t xml:space="preserve">Assessment timepoint</w:t>
            </w:r>
          </w:p>
        </w:tc>
      </w:tr>
      <w:tr>
        <w:tc>
          <w:tcPr/>
          <w:p>
            <w:pPr>
              <w:pStyle w:val="Compact"/>
            </w:pPr>
            <w:r>
              <w:t xml:space="preserve">TTF</w:t>
            </w:r>
          </w:p>
        </w:tc>
        <w:tc>
          <w:tcPr/>
          <w:p>
            <w:pPr>
              <w:pStyle w:val="Compact"/>
            </w:pPr>
            <w:r>
              <w:t xml:space="preserve">Time-to-event</w:t>
            </w:r>
          </w:p>
        </w:tc>
        <w:tc>
          <w:tcPr/>
          <w:p>
            <w:pPr>
              <w:pStyle w:val="Compact"/>
            </w:pPr>
            <w:r>
              <w:t xml:space="preserve">First dose to earliest of PD-discontinuation, death, or new non-protocol therapy; else censor at last tumor assessment</w:t>
            </w:r>
          </w:p>
        </w:tc>
        <w:tc>
          <w:tcPr/>
          <w:p>
            <w:pPr>
              <w:pStyle w:val="Compact"/>
            </w:pPr>
            <w:r>
              <w:t xml:space="preserve">ADTTE</w:t>
            </w:r>
          </w:p>
        </w:tc>
        <w:tc>
          <w:tcPr/>
          <w:p>
            <w:pPr>
              <w:pStyle w:val="Compact"/>
            </w:pPr>
            <w:r>
              <w:t xml:space="preserve">Tumor assessment every 56 days (−3/+7)</w:t>
            </w:r>
          </w:p>
        </w:tc>
      </w:tr>
      <w:tr>
        <w:tc>
          <w:tcPr/>
          <w:p>
            <w:pPr>
              <w:pStyle w:val="Compact"/>
            </w:pPr>
            <w:r>
              <w:t xml:space="preserve">DCR at 6 mo</w:t>
            </w:r>
          </w:p>
        </w:tc>
        <w:tc>
          <w:tcPr/>
          <w:p>
            <w:pPr>
              <w:pStyle w:val="Compact"/>
            </w:pPr>
            <w:r>
              <w:t xml:space="preserve">Binary</w:t>
            </w:r>
          </w:p>
        </w:tc>
        <w:tc>
          <w:tcPr/>
          <w:p>
            <w:pPr>
              <w:pStyle w:val="Compact"/>
            </w:pPr>
            <w:r>
              <w:t xml:space="preserve">CR+PR+SD(≥16 wk) at EOT after 6 cycles; else non-responder</w:t>
            </w:r>
          </w:p>
        </w:tc>
        <w:tc>
          <w:tcPr/>
          <w:p>
            <w:pPr>
              <w:pStyle w:val="Compact"/>
            </w:pPr>
            <w:r>
              <w:t xml:space="preserve">ADRS</w:t>
            </w:r>
          </w:p>
        </w:tc>
        <w:tc>
          <w:tcPr/>
          <w:p>
            <w:pPr>
              <w:pStyle w:val="Compact"/>
            </w:pPr>
            <w:r>
              <w:t xml:space="preserve">End of Treatment (after 6 cycles)</w:t>
            </w:r>
          </w:p>
        </w:tc>
      </w:tr>
      <w:tr>
        <w:tc>
          <w:tcPr/>
          <w:p>
            <w:pPr>
              <w:pStyle w:val="Compact"/>
            </w:pPr>
            <w:r>
              <w:t xml:space="preserve">ORR</w:t>
            </w:r>
          </w:p>
        </w:tc>
        <w:tc>
          <w:tcPr/>
          <w:p>
            <w:pPr>
              <w:pStyle w:val="Compact"/>
            </w:pPr>
            <w:r>
              <w:t xml:space="preserve">Binary</w:t>
            </w:r>
          </w:p>
        </w:tc>
        <w:tc>
          <w:tcPr/>
          <w:p>
            <w:pPr>
              <w:pStyle w:val="Compact"/>
            </w:pPr>
            <w:r>
              <w:t xml:space="preserve">CR+PR per RECIST v1.1; else non-responder</w:t>
            </w:r>
          </w:p>
        </w:tc>
        <w:tc>
          <w:tcPr/>
          <w:p>
            <w:pPr>
              <w:pStyle w:val="Compact"/>
            </w:pPr>
            <w:r>
              <w:t xml:space="preserve">ADRS</w:t>
            </w:r>
          </w:p>
        </w:tc>
        <w:tc>
          <w:tcPr/>
          <w:p>
            <w:pPr>
              <w:pStyle w:val="Compact"/>
            </w:pPr>
            <w:r>
              <w:t xml:space="preserve">Best response over treatment</w:t>
            </w:r>
          </w:p>
        </w:tc>
      </w:tr>
      <w:tr>
        <w:tc>
          <w:tcPr/>
          <w:p>
            <w:pPr>
              <w:pStyle w:val="Compact"/>
            </w:pPr>
            <w:r>
              <w:t xml:space="preserve">PFS</w:t>
            </w:r>
          </w:p>
        </w:tc>
        <w:tc>
          <w:tcPr/>
          <w:p>
            <w:pPr>
              <w:pStyle w:val="Compact"/>
            </w:pPr>
            <w:r>
              <w:t xml:space="preserve">Time-to-event</w:t>
            </w:r>
          </w:p>
        </w:tc>
        <w:tc>
          <w:tcPr/>
          <w:p>
            <w:pPr>
              <w:pStyle w:val="Compact"/>
            </w:pPr>
            <w:r>
              <w:t xml:space="preserve">First dose to PD or death, whichever first; protocol censoring rules</w:t>
            </w:r>
          </w:p>
        </w:tc>
        <w:tc>
          <w:tcPr/>
          <w:p>
            <w:pPr>
              <w:pStyle w:val="Compact"/>
            </w:pPr>
            <w:r>
              <w:t xml:space="preserve">ADTTE</w:t>
            </w:r>
          </w:p>
        </w:tc>
        <w:tc>
          <w:tcPr/>
          <w:p>
            <w:pPr>
              <w:pStyle w:val="Compact"/>
            </w:pPr>
            <w:r>
              <w:t xml:space="preserve">Every 56 days (−3/+7)</w:t>
            </w:r>
          </w:p>
        </w:tc>
      </w:tr>
      <w:tr>
        <w:tc>
          <w:tcPr/>
          <w:p>
            <w:pPr>
              <w:pStyle w:val="Compact"/>
            </w:pPr>
            <w:r>
              <w:t xml:space="preserve">OS</w:t>
            </w:r>
          </w:p>
        </w:tc>
        <w:tc>
          <w:tcPr/>
          <w:p>
            <w:pPr>
              <w:pStyle w:val="Compact"/>
            </w:pPr>
            <w:r>
              <w:t xml:space="preserve">Time-to-event</w:t>
            </w:r>
          </w:p>
        </w:tc>
        <w:tc>
          <w:tcPr/>
          <w:p>
            <w:pPr>
              <w:pStyle w:val="Compact"/>
            </w:pPr>
            <w:r>
              <w:t xml:space="preserve">First dose to death any cause; censor alive at last known alive</w:t>
            </w:r>
          </w:p>
        </w:tc>
        <w:tc>
          <w:tcPr/>
          <w:p>
            <w:pPr>
              <w:pStyle w:val="Compact"/>
            </w:pPr>
            <w:r>
              <w:t xml:space="preserve">ADTTE</w:t>
            </w:r>
          </w:p>
        </w:tc>
        <w:tc>
          <w:tcPr/>
          <w:p>
            <w:pPr>
              <w:pStyle w:val="Compact"/>
            </w:pPr>
            <w:r>
              <w:t xml:space="preserve">Survival follow-up ~every 90 days</w:t>
            </w:r>
          </w:p>
        </w:tc>
      </w:tr>
      <w:tr>
        <w:tc>
          <w:tcPr/>
          <w:p>
            <w:pPr>
              <w:pStyle w:val="Compact"/>
            </w:pPr>
            <w:r>
              <w:t xml:space="preserve">HRQoL</w:t>
            </w:r>
          </w:p>
        </w:tc>
        <w:tc>
          <w:tcPr/>
          <w:p>
            <w:pPr>
              <w:pStyle w:val="Compact"/>
            </w:pPr>
            <w:r>
              <w:t xml:space="preserve">Continuous / PRO</w:t>
            </w:r>
          </w:p>
        </w:tc>
        <w:tc>
          <w:tcPr/>
          <w:p>
            <w:pPr>
              <w:pStyle w:val="Compact"/>
            </w:pPr>
            <w:r>
              <w:t xml:space="preserve">Change from baseline in EORTC QLQ-C30 / QLQ-PAN26 scale scores</w:t>
            </w:r>
          </w:p>
        </w:tc>
        <w:tc>
          <w:tcPr/>
          <w:p>
            <w:pPr>
              <w:pStyle w:val="Compact"/>
            </w:pPr>
            <w:r>
              <w:t xml:space="preserve">ADQS</w:t>
            </w:r>
          </w:p>
        </w:tc>
        <w:tc>
          <w:tcPr/>
          <w:p>
            <w:pPr>
              <w:pStyle w:val="Compact"/>
            </w:pPr>
            <w:r>
              <w:t xml:space="preserve">Baseline, during, and after treatment</w:t>
            </w:r>
          </w:p>
        </w:tc>
      </w:tr>
    </w:tbl>
    <w:bookmarkEnd w:id="91"/>
    <w:bookmarkStart w:id="92" w:name="appendix-d-event-and-censoring-rules"/>
    <w:p>
      <w:pPr>
        <w:pStyle w:val="Heading2"/>
      </w:pPr>
      <w:r>
        <w:t xml:space="preserve">Appendix D: Event and Censoring Rules</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1800"/>
        <w:gridCol w:w="1440"/>
        <w:gridCol w:w="3420"/>
        <w:gridCol w:w="1260"/>
      </w:tblGrid>
      <w:tr>
        <w:trPr>
          <w:tblHeader w:val="on"/>
        </w:trPr>
        <w:tc>
          <w:tcPr>
            <w:shd w:val="clear" w:fill="EEF0F4"/>
          </w:tcPr>
          <w:p>
            <w:pPr>
              <w:pStyle w:val="Compact"/>
            </w:pPr>
            <w:r>
              <w:rPr>
                <w:b/>
              </w:rPr>
              <w:t xml:space="preserve">Scenario</w:t>
            </w:r>
          </w:p>
        </w:tc>
        <w:tc>
          <w:tcPr>
            <w:shd w:val="clear" w:fill="EEF0F4"/>
          </w:tcPr>
          <w:p>
            <w:pPr>
              <w:pStyle w:val="Compact"/>
            </w:pPr>
            <w:r>
              <w:rPr>
                <w:b/>
              </w:rPr>
              <w:t xml:space="preserve">Event?</w:t>
            </w:r>
          </w:p>
        </w:tc>
        <w:tc>
          <w:tcPr>
            <w:shd w:val="clear" w:fill="EEF0F4"/>
          </w:tcPr>
          <w:p>
            <w:pPr>
              <w:pStyle w:val="Compact"/>
            </w:pPr>
            <w:r>
              <w:rPr>
                <w:b/>
              </w:rPr>
              <w:t xml:space="preserve">Event/Censor time</w:t>
            </w:r>
          </w:p>
        </w:tc>
        <w:tc>
          <w:tcPr>
            <w:shd w:val="clear" w:fill="EEF0F4"/>
          </w:tcPr>
          <w:p>
            <w:pPr>
              <w:pStyle w:val="Compact"/>
            </w:pPr>
            <w:r>
              <w:rPr>
                <w:b/>
              </w:rPr>
              <w:t xml:space="preserve">Notes</w:t>
            </w:r>
          </w:p>
        </w:tc>
      </w:tr>
      <w:tr>
        <w:tc>
          <w:tcPr/>
          <w:p>
            <w:pPr>
              <w:pStyle w:val="Compact"/>
            </w:pPr>
            <w:r>
              <w:t xml:space="preserve">Documented progression (RECIST v1.1) on therapy</w:t>
            </w:r>
          </w:p>
        </w:tc>
        <w:tc>
          <w:tcPr/>
          <w:p>
            <w:pPr>
              <w:pStyle w:val="Compact"/>
            </w:pPr>
            <w:r>
              <w:t xml:space="preserve">Yes</w:t>
            </w:r>
          </w:p>
        </w:tc>
        <w:tc>
          <w:tcPr/>
          <w:p>
            <w:pPr>
              <w:pStyle w:val="Compact"/>
            </w:pPr>
            <w:r>
              <w:t xml:space="preserve">Date of progression assessment</w:t>
            </w:r>
          </w:p>
        </w:tc>
        <w:tc>
          <w:tcPr/>
          <w:p>
            <w:pPr>
              <w:pStyle w:val="Compact"/>
            </w:pPr>
            <w:r>
              <w:t xml:space="preserve">TTF event</w:t>
            </w:r>
          </w:p>
        </w:tc>
      </w:tr>
      <w:tr>
        <w:tc>
          <w:tcPr/>
          <w:p>
            <w:pPr>
              <w:pStyle w:val="Compact"/>
            </w:pPr>
            <w:r>
              <w:t xml:space="preserve">Death, any cause, without prior progression</w:t>
            </w:r>
          </w:p>
        </w:tc>
        <w:tc>
          <w:tcPr/>
          <w:p>
            <w:pPr>
              <w:pStyle w:val="Compact"/>
            </w:pPr>
            <w:r>
              <w:t xml:space="preserve">Yes</w:t>
            </w:r>
          </w:p>
        </w:tc>
        <w:tc>
          <w:tcPr/>
          <w:p>
            <w:pPr>
              <w:pStyle w:val="Compact"/>
            </w:pPr>
            <w:r>
              <w:t xml:space="preserve">Date of death</w:t>
            </w:r>
          </w:p>
        </w:tc>
        <w:tc>
          <w:tcPr/>
          <w:p>
            <w:pPr>
              <w:pStyle w:val="Compact"/>
            </w:pPr>
            <w:r>
              <w:t xml:space="preserve">Composite event</w:t>
            </w:r>
          </w:p>
        </w:tc>
      </w:tr>
      <w:tr>
        <w:tc>
          <w:tcPr/>
          <w:p>
            <w:pPr>
              <w:pStyle w:val="Compact"/>
            </w:pPr>
            <w:r>
              <w:t xml:space="preserve">Start of new non-protocol anticancer therapy before PD/death</w:t>
            </w:r>
          </w:p>
        </w:tc>
        <w:tc>
          <w:tcPr/>
          <w:p>
            <w:pPr>
              <w:pStyle w:val="Compact"/>
            </w:pPr>
            <w:r>
              <w:t xml:space="preserve">Yes</w:t>
            </w:r>
          </w:p>
        </w:tc>
        <w:tc>
          <w:tcPr/>
          <w:p>
            <w:pPr>
              <w:pStyle w:val="Compact"/>
            </w:pPr>
            <w:r>
              <w:t xml:space="preserve">Date therapy started</w:t>
            </w:r>
          </w:p>
        </w:tc>
        <w:tc>
          <w:tcPr/>
          <w:p>
            <w:pPr>
              <w:pStyle w:val="Compact"/>
            </w:pPr>
            <w:r>
              <w:t xml:space="preserve">Composite failure</w:t>
            </w:r>
          </w:p>
        </w:tc>
      </w:tr>
      <w:tr>
        <w:tc>
          <w:tcPr/>
          <w:p>
            <w:pPr>
              <w:pStyle w:val="Compact"/>
            </w:pPr>
            <w:r>
              <w:t xml:space="preserve">Discontinuation without PD/death/new therapy</w:t>
            </w:r>
          </w:p>
        </w:tc>
        <w:tc>
          <w:tcPr/>
          <w:p>
            <w:pPr>
              <w:pStyle w:val="Compact"/>
            </w:pPr>
            <w:r>
              <w:t xml:space="preserve">No</w:t>
            </w:r>
          </w:p>
        </w:tc>
        <w:tc>
          <w:tcPr/>
          <w:p>
            <w:pPr>
              <w:pStyle w:val="Compact"/>
            </w:pPr>
            <w:r>
              <w:t xml:space="preserve">Last tumor assessment date</w:t>
            </w:r>
          </w:p>
        </w:tc>
        <w:tc>
          <w:tcPr/>
          <w:p>
            <w:pPr>
              <w:pStyle w:val="Compact"/>
            </w:pPr>
            <w:r>
              <w:t xml:space="preserve">Hypothetical/censoring per protocol</w:t>
            </w:r>
          </w:p>
        </w:tc>
      </w:tr>
      <w:tr>
        <w:tc>
          <w:tcPr/>
          <w:p>
            <w:pPr>
              <w:pStyle w:val="Compact"/>
            </w:pPr>
            <w:r>
              <w:t xml:space="preserve">Alive, progression-free, on study (ongoing)</w:t>
            </w:r>
          </w:p>
        </w:tc>
        <w:tc>
          <w:tcPr/>
          <w:p>
            <w:pPr>
              <w:pStyle w:val="Compact"/>
            </w:pPr>
            <w:r>
              <w:t xml:space="preserve">No</w:t>
            </w:r>
          </w:p>
        </w:tc>
        <w:tc>
          <w:tcPr/>
          <w:p>
            <w:pPr>
              <w:pStyle w:val="Compact"/>
            </w:pPr>
            <w:r>
              <w:t xml:space="preserve">Last tumor assessment date</w:t>
            </w:r>
          </w:p>
        </w:tc>
        <w:tc>
          <w:tcPr/>
          <w:p>
            <w:pPr>
              <w:pStyle w:val="Compact"/>
            </w:pPr>
            <w:r>
              <w:t xml:space="preserve">Administrative censoring at cut-off</w:t>
            </w:r>
          </w:p>
        </w:tc>
      </w:tr>
      <w:tr>
        <w:tc>
          <w:tcPr/>
          <w:p>
            <w:pPr>
              <w:pStyle w:val="Compact"/>
            </w:pPr>
            <w:r>
              <w:t xml:space="preserve">Single/non-consecutive missed assessment before any event</w:t>
            </w:r>
          </w:p>
        </w:tc>
        <w:tc>
          <w:tcPr/>
          <w:p>
            <w:pPr>
              <w:pStyle w:val="Compact"/>
            </w:pPr>
            <w:r>
              <w:t xml:space="preserve">No</w:t>
            </w:r>
          </w:p>
        </w:tc>
        <w:tc>
          <w:tcPr/>
          <w:p>
            <w:pPr>
              <w:pStyle w:val="Compact"/>
            </w:pPr>
            <w:r>
              <w:t xml:space="preserve">Last available tumor assessment</w:t>
            </w:r>
          </w:p>
        </w:tc>
        <w:tc>
          <w:tcPr/>
          <w:p>
            <w:pPr>
              <w:pStyle w:val="Compact"/>
            </w:pPr>
            <w:r>
              <w:t xml:space="preserve">Missed visits do not create events</w:t>
            </w:r>
          </w:p>
        </w:tc>
      </w:tr>
      <w:tr>
        <w:tc>
          <w:tcPr/>
          <w:p>
            <w:pPr>
              <w:pStyle w:val="Compact"/>
            </w:pPr>
            <w:r>
              <w:t xml:space="preserve">Withdrawal of consent / lost to follow-up</w:t>
            </w:r>
          </w:p>
        </w:tc>
        <w:tc>
          <w:tcPr/>
          <w:p>
            <w:pPr>
              <w:pStyle w:val="Compact"/>
            </w:pPr>
            <w:r>
              <w:t xml:space="preserve">No</w:t>
            </w:r>
          </w:p>
        </w:tc>
        <w:tc>
          <w:tcPr/>
          <w:p>
            <w:pPr>
              <w:pStyle w:val="Compact"/>
            </w:pPr>
            <w:r>
              <w:t xml:space="preserve">Last assessment documenting failure-free status</w:t>
            </w:r>
          </w:p>
        </w:tc>
        <w:tc>
          <w:tcPr/>
          <w:p>
            <w:pPr>
              <w:pStyle w:val="Compact"/>
            </w:pPr>
            <w:r>
              <w:t xml:space="preserve">Censored</w:t>
            </w:r>
          </w:p>
        </w:tc>
      </w:tr>
      <w:tr>
        <w:tc>
          <w:tcPr/>
          <w:p>
            <w:pPr>
              <w:pStyle w:val="Compact"/>
            </w:pPr>
            <w:r>
              <w:t xml:space="preserve">Protocol-defined Investigator’s Choice continuation (surgery/chemoradiation)</w:t>
            </w:r>
          </w:p>
        </w:tc>
        <w:tc>
          <w:tcPr/>
          <w:p>
            <w:pPr>
              <w:pStyle w:val="Compact"/>
            </w:pPr>
            <w:r>
              <w:t xml:space="preserve">No</w:t>
            </w:r>
          </w:p>
        </w:tc>
        <w:tc>
          <w:tcPr/>
          <w:p>
            <w:pPr>
              <w:pStyle w:val="Compact"/>
            </w:pPr>
            <w:r>
              <w:t xml:space="preserve">Last tumor assessment prior to intervention</w:t>
            </w:r>
          </w:p>
        </w:tc>
        <w:tc>
          <w:tcPr/>
          <w:p>
            <w:pPr>
              <w:pStyle w:val="Compact"/>
            </w:pPr>
            <w:r>
              <w:t xml:space="preserve">Not a new non-protocol therapy</w:t>
            </w:r>
          </w:p>
        </w:tc>
      </w:tr>
      <w:tr>
        <w:tc>
          <w:tcPr/>
          <w:p>
            <w:pPr>
              <w:pStyle w:val="Compact"/>
            </w:pPr>
            <w:r>
              <w:t xml:space="preserve">Palliative RT/surgery at lesion site (non-protocol) before PD</w:t>
            </w:r>
          </w:p>
        </w:tc>
        <w:tc>
          <w:tcPr/>
          <w:p>
            <w:pPr>
              <w:pStyle w:val="Compact"/>
            </w:pPr>
            <w:r>
              <w:t xml:space="preserve">No</w:t>
            </w:r>
          </w:p>
        </w:tc>
        <w:tc>
          <w:tcPr/>
          <w:p>
            <w:pPr>
              <w:pStyle w:val="Compact"/>
            </w:pPr>
            <w:r>
              <w:t xml:space="preserve">Last progression-free assessment prior to intervention</w:t>
            </w:r>
          </w:p>
        </w:tc>
        <w:tc>
          <w:tcPr/>
          <w:p>
            <w:pPr>
              <w:pStyle w:val="Compact"/>
            </w:pPr>
            <w:r>
              <w:t xml:space="preserve">Censored (sensitivity may treat as event)</w:t>
            </w:r>
          </w:p>
        </w:tc>
      </w:tr>
      <w:tr>
        <w:tc>
          <w:tcPr/>
          <w:p>
            <w:pPr>
              <w:pStyle w:val="Compact"/>
            </w:pPr>
            <w:r>
              <w:t xml:space="preserve">Partial/missing event or assessment date</w:t>
            </w:r>
          </w:p>
        </w:tc>
        <w:tc>
          <w:tcPr/>
          <w:p>
            <w:pPr>
              <w:pStyle w:val="Compact"/>
            </w:pPr>
            <w:r>
              <w:t xml:space="preserve">No</w:t>
            </w:r>
          </w:p>
        </w:tc>
        <w:tc>
          <w:tcPr/>
          <w:p>
            <w:pPr>
              <w:pStyle w:val="Compact"/>
            </w:pPr>
            <w:r>
              <w:t xml:space="preserve">Imputed per Appendix G (not shortening censoring)</w:t>
            </w:r>
          </w:p>
        </w:tc>
        <w:tc>
          <w:tcPr/>
          <w:p>
            <w:pPr>
              <w:pStyle w:val="Compact"/>
            </w:pPr>
            <w:r>
              <w:t xml:space="preserve">Conservative</w:t>
            </w:r>
          </w:p>
        </w:tc>
      </w:tr>
      <w:tr>
        <w:tc>
          <w:tcPr/>
          <w:p>
            <w:pPr>
              <w:pStyle w:val="Compact"/>
            </w:pPr>
            <w:r>
              <w:t xml:space="preserve">Progression and death on same date</w:t>
            </w:r>
          </w:p>
        </w:tc>
        <w:tc>
          <w:tcPr/>
          <w:p>
            <w:pPr>
              <w:pStyle w:val="Compact"/>
            </w:pPr>
            <w:r>
              <w:t xml:space="preserve">Yes</w:t>
            </w:r>
          </w:p>
        </w:tc>
        <w:tc>
          <w:tcPr/>
          <w:p>
            <w:pPr>
              <w:pStyle w:val="Compact"/>
            </w:pPr>
            <w:r>
              <w:t xml:space="preserve">That date</w:t>
            </w:r>
          </w:p>
        </w:tc>
        <w:tc>
          <w:tcPr/>
          <w:p>
            <w:pPr>
              <w:pStyle w:val="Compact"/>
            </w:pPr>
            <w:r>
              <w:t xml:space="preserve">Single TTF event</w:t>
            </w:r>
          </w:p>
        </w:tc>
      </w:tr>
      <w:tr>
        <w:tc>
          <w:tcPr/>
          <w:p>
            <w:pPr>
              <w:pStyle w:val="Compact"/>
            </w:pPr>
            <w:r>
              <w:t xml:space="preserve">Progression at unscheduled assessment</w:t>
            </w:r>
          </w:p>
        </w:tc>
        <w:tc>
          <w:tcPr/>
          <w:p>
            <w:pPr>
              <w:pStyle w:val="Compact"/>
            </w:pPr>
            <w:r>
              <w:t xml:space="preserve">Yes</w:t>
            </w:r>
          </w:p>
        </w:tc>
        <w:tc>
          <w:tcPr/>
          <w:p>
            <w:pPr>
              <w:pStyle w:val="Compact"/>
            </w:pPr>
            <w:r>
              <w:t xml:space="preserve">Unscheduled assessment date</w:t>
            </w:r>
          </w:p>
        </w:tc>
        <w:tc>
          <w:tcPr/>
          <w:p>
            <w:pPr>
              <w:pStyle w:val="Compact"/>
            </w:pPr>
            <w:r>
              <w:t xml:space="preserve">Event</w:t>
            </w:r>
          </w:p>
        </w:tc>
      </w:tr>
    </w:tbl>
    <w:p>
      <w:pPr>
        <w:pStyle w:val="BodyText"/>
      </w:pPr>
      <w:r>
        <w:rPr>
          <w:b/>
          <w:bCs/>
        </w:rPr>
        <w:t xml:space="preserve">Precedence rules:</w:t>
      </w:r>
      <w:r>
        <w:t xml:space="preserve"> </w:t>
      </w:r>
      <w:r>
        <w:t xml:space="preserve">- Progression and death on the same date → single TTF event, no double counting.</w:t>
      </w:r>
      <w:r>
        <w:t xml:space="preserve"> </w:t>
      </w:r>
      <w:r>
        <w:t xml:space="preserve">- Progression and new anticancer therapy on the same date → TTF event at that date regardless of listing order.</w:t>
      </w:r>
      <w:r>
        <w:t xml:space="preserve"> </w:t>
      </w:r>
      <w:r>
        <w:t xml:space="preserve">- Study-therapy discontinuation coinciding with a failure event → failure takes precedence over censoring.</w:t>
      </w:r>
      <w:r>
        <w:t xml:space="preserve"> </w:t>
      </w:r>
      <w:r>
        <w:t xml:space="preserve">- Protocol-defined continuation vs later progression → continuation neither censors nor triggers; TTF determined by subsequent event or censored at last assessment.</w:t>
      </w:r>
      <w:r>
        <w:t xml:space="preserve"> </w:t>
      </w:r>
      <w:r>
        <w:t xml:space="preserve">- New therapy start after last scan → event at therapy-start date (event precedes censoring); PFS censors at last progression-free assessment before therapy.</w:t>
      </w:r>
    </w:p>
    <w:p>
      <w:pPr>
        <w:pStyle w:val="BodyText"/>
      </w:pPr>
      <w:r>
        <w:t xml:space="preserve">Precedence derives directly from the composite failure definition of the endpoint (Section 3.1).</w:t>
      </w:r>
    </w:p>
    <w:bookmarkEnd w:id="92"/>
    <w:bookmarkStart w:id="93" w:name="appendix-e-estimand-ice-table"/>
    <w:p>
      <w:pPr>
        <w:pStyle w:val="Heading2"/>
      </w:pPr>
      <w:r>
        <w:t xml:space="preserve">Appendix E: Estimand ICE Table</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1685"/>
        <w:gridCol w:w="3201"/>
        <w:gridCol w:w="1853"/>
        <w:gridCol w:w="1179"/>
      </w:tblGrid>
      <w:tr>
        <w:trPr>
          <w:tblHeader w:val="on"/>
        </w:trPr>
        <w:tc>
          <w:tcPr>
            <w:shd w:val="clear" w:fill="EEF0F4"/>
          </w:tcPr>
          <w:p>
            <w:pPr>
              <w:pStyle w:val="Compact"/>
            </w:pPr>
            <w:r>
              <w:rPr>
                <w:b/>
              </w:rPr>
              <w:t xml:space="preserve">ICE type</w:t>
            </w:r>
          </w:p>
        </w:tc>
        <w:tc>
          <w:tcPr>
            <w:shd w:val="clear" w:fill="EEF0F4"/>
          </w:tcPr>
          <w:p>
            <w:pPr>
              <w:pStyle w:val="Compact"/>
            </w:pPr>
            <w:r>
              <w:rPr>
                <w:b/>
              </w:rPr>
              <w:t xml:space="preserve">Handling strategy</w:t>
            </w:r>
          </w:p>
        </w:tc>
        <w:tc>
          <w:tcPr>
            <w:shd w:val="clear" w:fill="EEF0F4"/>
          </w:tcPr>
          <w:p>
            <w:pPr>
              <w:pStyle w:val="Compact"/>
            </w:pPr>
            <w:r>
              <w:rPr>
                <w:b/>
              </w:rPr>
              <w:t xml:space="preserve">Rationale</w:t>
            </w:r>
          </w:p>
        </w:tc>
        <w:tc>
          <w:tcPr>
            <w:shd w:val="clear" w:fill="EEF0F4"/>
          </w:tcPr>
          <w:p>
            <w:pPr>
              <w:pStyle w:val="Compact"/>
            </w:pPr>
            <w:r>
              <w:rPr>
                <w:b/>
              </w:rPr>
              <w:t xml:space="preserve">Notes</w:t>
            </w:r>
          </w:p>
        </w:tc>
      </w:tr>
      <w:tr>
        <w:tc>
          <w:tcPr/>
          <w:p>
            <w:pPr>
              <w:pStyle w:val="Compact"/>
            </w:pPr>
            <w:r>
              <w:t xml:space="preserve">Disease progression (RECIST v1.1)</w:t>
            </w:r>
          </w:p>
        </w:tc>
        <w:tc>
          <w:tcPr/>
          <w:p>
            <w:pPr>
              <w:pStyle w:val="Compact"/>
            </w:pPr>
            <w:r>
              <w:t xml:space="preserve">Composite (TTF, PFS); ignored (OS)</w:t>
            </w:r>
          </w:p>
        </w:tc>
        <w:tc>
          <w:tcPr/>
          <w:p>
            <w:pPr>
              <w:pStyle w:val="Compact"/>
            </w:pPr>
            <w:r>
              <w:t xml:space="preserve">Defining component of the failure event</w:t>
            </w:r>
          </w:p>
        </w:tc>
        <w:tc>
          <w:tcPr/>
          <w:p>
            <w:pPr>
              <w:pStyle w:val="Compact"/>
            </w:pPr>
            <w:r>
              <w:t xml:space="preserve">Counts as event for TTF/PFS</w:t>
            </w:r>
          </w:p>
        </w:tc>
      </w:tr>
      <w:tr>
        <w:tc>
          <w:tcPr/>
          <w:p>
            <w:pPr>
              <w:pStyle w:val="Compact"/>
            </w:pPr>
            <w:r>
              <w:t xml:space="preserve">Death, any cause</w:t>
            </w:r>
          </w:p>
        </w:tc>
        <w:tc>
          <w:tcPr/>
          <w:p>
            <w:pPr>
              <w:pStyle w:val="Compact"/>
            </w:pPr>
            <w:r>
              <w:t xml:space="preserve">Composite (TTF, PFS); treatment policy (OS)</w:t>
            </w:r>
          </w:p>
        </w:tc>
        <w:tc>
          <w:tcPr/>
          <w:p>
            <w:pPr>
              <w:pStyle w:val="Compact"/>
            </w:pPr>
            <w:r>
              <w:t xml:space="preserve">Component event for TTF/PFS; all deaths counted for OS</w:t>
            </w:r>
          </w:p>
        </w:tc>
        <w:tc>
          <w:tcPr/>
          <w:p>
            <w:pPr>
              <w:pStyle w:val="Compact"/>
            </w:pPr>
            <w:r>
              <w:t xml:space="preserve">Event</w:t>
            </w:r>
          </w:p>
        </w:tc>
      </w:tr>
      <w:tr>
        <w:tc>
          <w:tcPr/>
          <w:p>
            <w:pPr>
              <w:pStyle w:val="Compact"/>
            </w:pPr>
            <w:r>
              <w:t xml:space="preserve">Start of new non-protocol anticancer therapy</w:t>
            </w:r>
          </w:p>
        </w:tc>
        <w:tc>
          <w:tcPr/>
          <w:p>
            <w:pPr>
              <w:pStyle w:val="Compact"/>
            </w:pPr>
            <w:r>
              <w:t xml:space="preserve">Composite (TTF); hypothetical/censoring (PFS); ignored (OS)</w:t>
            </w:r>
          </w:p>
        </w:tc>
        <w:tc>
          <w:tcPr/>
          <w:p>
            <w:pPr>
              <w:pStyle w:val="Compact"/>
            </w:pPr>
            <w:r>
              <w:t xml:space="preserve">Failure for TTF; censor at last PF assessment for PFS</w:t>
            </w:r>
          </w:p>
        </w:tc>
        <w:tc>
          <w:tcPr/>
          <w:p>
            <w:pPr>
              <w:pStyle w:val="Compact"/>
            </w:pPr>
            <w:r>
              <w:t xml:space="preserve">Endpoint-specific</w:t>
            </w:r>
          </w:p>
        </w:tc>
      </w:tr>
      <w:tr>
        <w:tc>
          <w:tcPr/>
          <w:p>
            <w:pPr>
              <w:pStyle w:val="Compact"/>
            </w:pPr>
            <w:r>
              <w:t xml:space="preserve">Treatment discontinuation without PD/death/new therapy</w:t>
            </w:r>
          </w:p>
        </w:tc>
        <w:tc>
          <w:tcPr/>
          <w:p>
            <w:pPr>
              <w:pStyle w:val="Compact"/>
            </w:pPr>
            <w:r>
              <w:t xml:space="preserve">Hypothetical (censoring)</w:t>
            </w:r>
          </w:p>
        </w:tc>
        <w:tc>
          <w:tcPr/>
          <w:p>
            <w:pPr>
              <w:pStyle w:val="Compact"/>
            </w:pPr>
            <w:r>
              <w:t xml:space="preserve">Estimate as if observation continued; censor at last tumor assessment</w:t>
            </w:r>
          </w:p>
        </w:tc>
        <w:tc>
          <w:tcPr/>
          <w:p>
            <w:pPr>
              <w:pStyle w:val="Compact"/>
            </w:pPr>
            <w:r>
              <w:t xml:space="preserve">Sensitivity treats as event</w:t>
            </w:r>
          </w:p>
        </w:tc>
      </w:tr>
      <w:tr>
        <w:tc>
          <w:tcPr/>
          <w:p>
            <w:pPr>
              <w:pStyle w:val="Compact"/>
            </w:pPr>
            <w:r>
              <w:t xml:space="preserve">Palliative RT/surgery at lesion site before progression</w:t>
            </w:r>
          </w:p>
        </w:tc>
        <w:tc>
          <w:tcPr/>
          <w:p>
            <w:pPr>
              <w:pStyle w:val="Compact"/>
            </w:pPr>
            <w:r>
              <w:t xml:space="preserve">Hypothetical (censoring)</w:t>
            </w:r>
          </w:p>
        </w:tc>
        <w:tc>
          <w:tcPr/>
          <w:p>
            <w:pPr>
              <w:pStyle w:val="Compact"/>
            </w:pPr>
            <w:r>
              <w:t xml:space="preserve">Censor at last progression-free assessment before intervention</w:t>
            </w:r>
          </w:p>
        </w:tc>
        <w:tc>
          <w:tcPr/>
          <w:p>
            <w:pPr>
              <w:pStyle w:val="Compact"/>
            </w:pPr>
            <w:r>
              <w:t xml:space="preserve">Sensitivity may treat as event</w:t>
            </w:r>
          </w:p>
        </w:tc>
      </w:tr>
      <w:tr>
        <w:tc>
          <w:tcPr/>
          <w:p>
            <w:pPr>
              <w:pStyle w:val="Compact"/>
            </w:pPr>
            <w:r>
              <w:t xml:space="preserve">Protocol-defined Investigator’s Choice continuation</w:t>
            </w:r>
          </w:p>
        </w:tc>
        <w:tc>
          <w:tcPr/>
          <w:p>
            <w:pPr>
              <w:pStyle w:val="Compact"/>
            </w:pPr>
            <w:r>
              <w:t xml:space="preserve">Not an ICE trigger</w:t>
            </w:r>
          </w:p>
        </w:tc>
        <w:tc>
          <w:tcPr/>
          <w:p>
            <w:pPr>
              <w:pStyle w:val="Compact"/>
            </w:pPr>
            <w:r>
              <w:t xml:space="preserve">Part of the planned treatment strategy</w:t>
            </w:r>
          </w:p>
        </w:tc>
        <w:tc>
          <w:tcPr/>
          <w:p>
            <w:pPr>
              <w:pStyle w:val="Compact"/>
            </w:pPr>
            <w:r>
              <w:t xml:space="preserve">Censor if no progression</w:t>
            </w:r>
          </w:p>
        </w:tc>
      </w:tr>
    </w:tbl>
    <w:bookmarkEnd w:id="93"/>
    <w:bookmarkStart w:id="94" w:name="X0ca6558edbdfc5646edaf89617359cb79d3adc7"/>
    <w:p>
      <w:pPr>
        <w:pStyle w:val="Heading2"/>
      </w:pPr>
      <w:r>
        <w:t xml:space="preserve">Appendix F: Baseline and Visit-Windowing Rules</w:t>
      </w:r>
    </w:p>
    <w:p>
      <w:pPr>
        <w:pStyle w:val="FirstParagraph"/>
      </w:pPr>
      <w:r>
        <w:t xml:space="preserve">Baseline derivations:</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3300"/>
        <w:gridCol w:w="1980"/>
        <w:gridCol w:w="2640"/>
      </w:tblGrid>
      <w:tr>
        <w:trPr>
          <w:tblHeader w:val="on"/>
        </w:trPr>
        <w:tc>
          <w:tcPr>
            <w:shd w:val="clear" w:fill="EEF0F4"/>
          </w:tcPr>
          <w:p>
            <w:pPr>
              <w:pStyle w:val="Compact"/>
            </w:pPr>
            <w:r>
              <w:rPr>
                <w:b/>
              </w:rPr>
              <w:t xml:space="preserve">Variable</w:t>
            </w:r>
          </w:p>
        </w:tc>
        <w:tc>
          <w:tcPr>
            <w:shd w:val="clear" w:fill="EEF0F4"/>
          </w:tcPr>
          <w:p>
            <w:pPr>
              <w:pStyle w:val="Compact"/>
            </w:pPr>
            <w:r>
              <w:rPr>
                <w:b/>
              </w:rPr>
              <w:t xml:space="preserve">Rule</w:t>
            </w:r>
          </w:p>
        </w:tc>
        <w:tc>
          <w:tcPr>
            <w:shd w:val="clear" w:fill="EEF0F4"/>
          </w:tcPr>
          <w:p>
            <w:pPr>
              <w:pStyle w:val="Compact"/>
            </w:pPr>
            <w:r>
              <w:rPr>
                <w:b/>
              </w:rPr>
              <w:t xml:space="preserve">Source</w:t>
            </w:r>
          </w:p>
        </w:tc>
      </w:tr>
      <w:tr>
        <w:tc>
          <w:tcPr/>
          <w:p>
            <w:pPr>
              <w:pStyle w:val="Compact"/>
            </w:pPr>
            <w:r>
              <w:t xml:space="preserve">Age</w:t>
            </w:r>
          </w:p>
        </w:tc>
        <w:tc>
          <w:tcPr/>
          <w:p>
            <w:pPr>
              <w:pStyle w:val="Compact"/>
            </w:pPr>
            <w:r>
              <w:t xml:space="preserve">At informed consent; grouped &lt;65 / ≥65</w:t>
            </w:r>
          </w:p>
        </w:tc>
        <w:tc>
          <w:tcPr/>
          <w:p>
            <w:pPr>
              <w:pStyle w:val="Compact"/>
            </w:pPr>
            <w:r>
              <w:t xml:space="preserve">Protocol</w:t>
            </w:r>
          </w:p>
        </w:tc>
      </w:tr>
      <w:tr>
        <w:tc>
          <w:tcPr/>
          <w:p>
            <w:pPr>
              <w:pStyle w:val="Compact"/>
            </w:pPr>
            <w:r>
              <w:t xml:space="preserve">Weight/Height/BSA</w:t>
            </w:r>
          </w:p>
        </w:tc>
        <w:tc>
          <w:tcPr/>
          <w:p>
            <w:pPr>
              <w:pStyle w:val="Compact"/>
            </w:pPr>
            <w:r>
              <w:t xml:space="preserve">Last value on/before C1D1; BSA by Du Bois</w:t>
            </w:r>
          </w:p>
        </w:tc>
        <w:tc>
          <w:tcPr/>
          <w:p>
            <w:pPr>
              <w:pStyle w:val="Compact"/>
            </w:pPr>
            <w:r>
              <w:t xml:space="preserve">Authored</w:t>
            </w:r>
          </w:p>
        </w:tc>
      </w:tr>
      <w:tr>
        <w:tc>
          <w:tcPr/>
          <w:p>
            <w:pPr>
              <w:pStyle w:val="Compact"/>
            </w:pPr>
            <w:r>
              <w:t xml:space="preserve">ECOG</w:t>
            </w:r>
          </w:p>
        </w:tc>
        <w:tc>
          <w:tcPr/>
          <w:p>
            <w:pPr>
              <w:pStyle w:val="Compact"/>
            </w:pPr>
            <w:r>
              <w:t xml:space="preserve">Last assessment on/before first dose</w:t>
            </w:r>
          </w:p>
        </w:tc>
        <w:tc>
          <w:tcPr/>
          <w:p>
            <w:pPr>
              <w:pStyle w:val="Compact"/>
            </w:pPr>
            <w:r>
              <w:t xml:space="preserve">Authored</w:t>
            </w:r>
          </w:p>
        </w:tc>
      </w:tr>
      <w:tr>
        <w:tc>
          <w:tcPr/>
          <w:p>
            <w:pPr>
              <w:pStyle w:val="Compact"/>
            </w:pPr>
            <w:r>
              <w:t xml:space="preserve">Tumor burden</w:t>
            </w:r>
          </w:p>
        </w:tc>
        <w:tc>
          <w:tcPr/>
          <w:p>
            <w:pPr>
              <w:pStyle w:val="Compact"/>
            </w:pPr>
            <w:r>
              <w:t xml:space="preserve">Screening CT/MRI within 14 days before C1D1</w:t>
            </w:r>
          </w:p>
        </w:tc>
        <w:tc>
          <w:tcPr/>
          <w:p>
            <w:pPr>
              <w:pStyle w:val="Compact"/>
            </w:pPr>
            <w:r>
              <w:t xml:space="preserve">Protocol</w:t>
            </w:r>
          </w:p>
        </w:tc>
      </w:tr>
      <w:tr>
        <w:tc>
          <w:tcPr/>
          <w:p>
            <w:pPr>
              <w:pStyle w:val="Compact"/>
            </w:pPr>
            <w:r>
              <w:t xml:space="preserve">Laboratory</w:t>
            </w:r>
          </w:p>
        </w:tc>
        <w:tc>
          <w:tcPr/>
          <w:p>
            <w:pPr>
              <w:pStyle w:val="Compact"/>
            </w:pPr>
            <w:r>
              <w:t xml:space="preserve">Last non-missing on/before first dose</w:t>
            </w:r>
          </w:p>
        </w:tc>
        <w:tc>
          <w:tcPr/>
          <w:p>
            <w:pPr>
              <w:pStyle w:val="Compact"/>
            </w:pPr>
            <w:r>
              <w:t xml:space="preserve">Authored</w:t>
            </w:r>
          </w:p>
        </w:tc>
      </w:tr>
    </w:tbl>
    <w:p>
      <w:pPr>
        <w:pStyle w:val="BodyText"/>
      </w:pPr>
      <w:r>
        <w:t xml:space="preserve">Visit windows:</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1377"/>
        <w:gridCol w:w="2754"/>
        <w:gridCol w:w="3787"/>
      </w:tblGrid>
      <w:tr>
        <w:trPr>
          <w:tblHeader w:val="on"/>
        </w:trPr>
        <w:tc>
          <w:tcPr>
            <w:shd w:val="clear" w:fill="EEF0F4"/>
          </w:tcPr>
          <w:p>
            <w:pPr>
              <w:pStyle w:val="Compact"/>
            </w:pPr>
            <w:r>
              <w:rPr>
                <w:b/>
              </w:rPr>
              <w:t xml:space="preserve">Target</w:t>
            </w:r>
          </w:p>
        </w:tc>
        <w:tc>
          <w:tcPr>
            <w:shd w:val="clear" w:fill="EEF0F4"/>
          </w:tcPr>
          <w:p>
            <w:pPr>
              <w:pStyle w:val="Compact"/>
            </w:pPr>
            <w:r>
              <w:rPr>
                <w:b/>
              </w:rPr>
              <w:t xml:space="preserve">Allowed window</w:t>
            </w:r>
          </w:p>
        </w:tc>
        <w:tc>
          <w:tcPr>
            <w:shd w:val="clear" w:fill="EEF0F4"/>
          </w:tcPr>
          <w:p>
            <w:pPr>
              <w:pStyle w:val="Compact"/>
            </w:pPr>
            <w:r>
              <w:rPr>
                <w:b/>
              </w:rPr>
              <w:t xml:space="preserve">Unscheduled handling</w:t>
            </w:r>
          </w:p>
        </w:tc>
      </w:tr>
      <w:tr>
        <w:tc>
          <w:tcPr/>
          <w:p>
            <w:pPr>
              <w:pStyle w:val="Compact"/>
            </w:pPr>
            <w:r>
              <w:t xml:space="preserve">Screening / Baseline</w:t>
            </w:r>
          </w:p>
        </w:tc>
        <w:tc>
          <w:tcPr/>
          <w:p>
            <w:pPr>
              <w:pStyle w:val="Compact"/>
            </w:pPr>
            <w:r>
              <w:t xml:space="preserve">Within 14 days before C1D1</w:t>
            </w:r>
          </w:p>
        </w:tc>
        <w:tc>
          <w:tcPr/>
          <w:p>
            <w:pPr>
              <w:pStyle w:val="Compact"/>
            </w:pPr>
            <w:r>
              <w:t xml:space="preserve">Use last pre-dose value as baseline</w:t>
            </w:r>
          </w:p>
        </w:tc>
      </w:tr>
      <w:tr>
        <w:tc>
          <w:tcPr/>
          <w:p>
            <w:pPr>
              <w:pStyle w:val="Compact"/>
            </w:pPr>
            <w:r>
              <w:t xml:space="preserve">Treatment (Days 1, 8, 15 of 28-day cycle)</w:t>
            </w:r>
          </w:p>
        </w:tc>
        <w:tc>
          <w:tcPr/>
          <w:p>
            <w:pPr>
              <w:pStyle w:val="Compact"/>
            </w:pPr>
            <w:r>
              <w:t xml:space="preserve">Per protocol tolerance</w:t>
            </w:r>
          </w:p>
        </w:tc>
        <w:tc>
          <w:tcPr/>
          <w:p>
            <w:pPr>
              <w:pStyle w:val="Compact"/>
            </w:pPr>
            <w:r>
              <w:t xml:space="preserve">Map to nearest nominal cycle day</w:t>
            </w:r>
          </w:p>
        </w:tc>
      </w:tr>
      <w:tr>
        <w:tc>
          <w:tcPr/>
          <w:p>
            <w:pPr>
              <w:pStyle w:val="Compact"/>
            </w:pPr>
            <w:r>
              <w:t xml:space="preserve">Tumor assessment every 56 days</w:t>
            </w:r>
          </w:p>
        </w:tc>
        <w:tc>
          <w:tcPr/>
          <w:p>
            <w:pPr>
              <w:pStyle w:val="Compact"/>
            </w:pPr>
            <w:r>
              <w:t xml:space="preserve">−3 / +7 days</w:t>
            </w:r>
          </w:p>
        </w:tc>
        <w:tc>
          <w:tcPr/>
          <w:p>
            <w:pPr>
              <w:pStyle w:val="Compact"/>
            </w:pPr>
            <w:r>
              <w:t xml:space="preserve">Unscheduled scans used for event determination; mapped to nearest nominal for by-visit summaries</w:t>
            </w:r>
          </w:p>
        </w:tc>
      </w:tr>
      <w:tr>
        <w:tc>
          <w:tcPr/>
          <w:p>
            <w:pPr>
              <w:pStyle w:val="Compact"/>
            </w:pPr>
            <w:r>
              <w:t xml:space="preserve">Survival follow-up every 90 days</w:t>
            </w:r>
          </w:p>
        </w:tc>
        <w:tc>
          <w:tcPr/>
          <w:p>
            <w:pPr>
              <w:pStyle w:val="Compact"/>
            </w:pPr>
            <w:r>
              <w:t xml:space="preserve">Approximately ±</w:t>
            </w:r>
          </w:p>
        </w:tc>
        <w:tc>
          <w:tcPr/>
          <w:p>
            <w:pPr>
              <w:pStyle w:val="Compact"/>
            </w:pPr>
            <w:r>
              <w:t xml:space="preserve">Phone/record contacts update last-known-alive date</w:t>
            </w:r>
          </w:p>
        </w:tc>
      </w:tr>
      <w:tr>
        <w:tc>
          <w:tcPr/>
          <w:p>
            <w:pPr>
              <w:pStyle w:val="Compact"/>
            </w:pPr>
            <w:r>
              <w:t xml:space="preserve">AE follow-up</w:t>
            </w:r>
          </w:p>
        </w:tc>
        <w:tc>
          <w:tcPr/>
          <w:p>
            <w:pPr>
              <w:pStyle w:val="Compact"/>
            </w:pPr>
            <w:r>
              <w:t xml:space="preserve">28 days after last dose (or after PFS/early discontinuation)</w:t>
            </w:r>
          </w:p>
        </w:tc>
        <w:tc>
          <w:tcPr/>
          <w:p>
            <w:pPr>
              <w:pStyle w:val="Compact"/>
            </w:pPr>
            <w:r>
              <w:t xml:space="preserve">AEs within window are treatment-emergent</w:t>
            </w:r>
          </w:p>
        </w:tc>
      </w:tr>
    </w:tbl>
    <w:bookmarkEnd w:id="94"/>
    <w:bookmarkStart w:id="95" w:name="appendix-g-partial-date-imputation-rules"/>
    <w:p>
      <w:pPr>
        <w:pStyle w:val="Heading2"/>
      </w:pPr>
      <w:r>
        <w:t xml:space="preserve">Appendix G: Partial-Date Imputation Rules</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3240"/>
        <w:gridCol w:w="2160"/>
        <w:gridCol w:w="2520"/>
      </w:tblGrid>
      <w:tr>
        <w:trPr>
          <w:tblHeader w:val="on"/>
        </w:trPr>
        <w:tc>
          <w:tcPr>
            <w:shd w:val="clear" w:fill="EEF0F4"/>
          </w:tcPr>
          <w:p>
            <w:pPr>
              <w:pStyle w:val="Compact"/>
            </w:pPr>
            <w:r>
              <w:rPr>
                <w:b/>
              </w:rPr>
              <w:t xml:space="preserve">Context</w:t>
            </w:r>
          </w:p>
        </w:tc>
        <w:tc>
          <w:tcPr>
            <w:shd w:val="clear" w:fill="EEF0F4"/>
          </w:tcPr>
          <w:p>
            <w:pPr>
              <w:pStyle w:val="Compact"/>
            </w:pPr>
            <w:r>
              <w:rPr>
                <w:b/>
              </w:rPr>
              <w:t xml:space="preserve">Rule</w:t>
            </w:r>
          </w:p>
        </w:tc>
        <w:tc>
          <w:tcPr>
            <w:shd w:val="clear" w:fill="EEF0F4"/>
          </w:tcPr>
          <w:p>
            <w:pPr>
              <w:pStyle w:val="Compact"/>
            </w:pPr>
            <w:r>
              <w:rPr>
                <w:b/>
              </w:rPr>
              <w:t xml:space="preserve">Notes</w:t>
            </w:r>
          </w:p>
        </w:tc>
      </w:tr>
      <w:tr>
        <w:tc>
          <w:tcPr/>
          <w:p>
            <w:pPr>
              <w:pStyle w:val="Compact"/>
            </w:pPr>
            <w:r>
              <w:t xml:space="preserve">AE onset date</w:t>
            </w:r>
          </w:p>
        </w:tc>
        <w:tc>
          <w:tcPr/>
          <w:p>
            <w:pPr>
              <w:pStyle w:val="Compact"/>
            </w:pPr>
            <w:r>
              <w:t xml:space="preserve">Missing day → 01 (or first-dose date if same month/year as first dose to preserve treatment-emergent status); missing day+month → 01 Jan of year (or first-dose date if same year and ambiguous)</w:t>
            </w:r>
          </w:p>
        </w:tc>
        <w:tc>
          <w:tcPr/>
          <w:p>
            <w:pPr>
              <w:pStyle w:val="Compact"/>
            </w:pPr>
            <w:r>
              <w:t xml:space="preserve">Default to treatment-emergent when overlap ambiguous</w:t>
            </w:r>
          </w:p>
        </w:tc>
      </w:tr>
      <w:tr>
        <w:tc>
          <w:tcPr/>
          <w:p>
            <w:pPr>
              <w:pStyle w:val="Compact"/>
            </w:pPr>
            <w:r>
              <w:t xml:space="preserve">AE end/resolution date</w:t>
            </w:r>
          </w:p>
        </w:tc>
        <w:tc>
          <w:tcPr/>
          <w:p>
            <w:pPr>
              <w:pStyle w:val="Compact"/>
            </w:pPr>
            <w:r>
              <w:t xml:space="preserve">Missing day → last day of month; missing day+month → 31 Dec of year (capped at data cut-off)</w:t>
            </w:r>
          </w:p>
        </w:tc>
        <w:tc>
          <w:tcPr/>
          <w:p>
            <w:pPr>
              <w:pStyle w:val="Compact"/>
            </w:pPr>
          </w:p>
        </w:tc>
      </w:tr>
      <w:tr>
        <w:tc>
          <w:tcPr/>
          <w:p>
            <w:pPr>
              <w:pStyle w:val="Compact"/>
            </w:pPr>
            <w:r>
              <w:t xml:space="preserve">Concomitant medication start/stop</w:t>
            </w:r>
          </w:p>
        </w:tc>
        <w:tc>
          <w:tcPr/>
          <w:p>
            <w:pPr>
              <w:pStyle w:val="Compact"/>
            </w:pPr>
            <w:r>
              <w:t xml:space="preserve">Missing start day → 01; missing start month → January; missing stop day → last day of month; missing stop month → December (capped at cut-off)</w:t>
            </w:r>
          </w:p>
        </w:tc>
        <w:tc>
          <w:tcPr/>
          <w:p>
            <w:pPr>
              <w:pStyle w:val="Compact"/>
            </w:pPr>
            <w:r>
              <w:t xml:space="preserve">Preserve chronology with dosing</w:t>
            </w:r>
          </w:p>
        </w:tc>
      </w:tr>
      <w:tr>
        <w:tc>
          <w:tcPr/>
          <w:p>
            <w:pPr>
              <w:pStyle w:val="Compact"/>
            </w:pPr>
            <w:r>
              <w:t xml:space="preserve">Efficacy event dates (PD/death/new therapy)</w:t>
            </w:r>
          </w:p>
        </w:tc>
        <w:tc>
          <w:tcPr/>
          <w:p>
            <w:pPr>
              <w:pStyle w:val="Compact"/>
            </w:pPr>
            <w:r>
              <w:t xml:space="preserve">Prefer complete dates; missing day → 15th; never impute so as to shorten censoring; if ambiguous, use assessment/visit date</w:t>
            </w:r>
          </w:p>
        </w:tc>
        <w:tc>
          <w:tcPr/>
          <w:p>
            <w:pPr>
              <w:pStyle w:val="Compact"/>
            </w:pPr>
            <w:r>
              <w:t xml:space="preserve">Avoid optimistic bias in TTE endpoints</w:t>
            </w:r>
          </w:p>
        </w:tc>
      </w:tr>
    </w:tbl>
    <w:bookmarkEnd w:id="95"/>
    <w:bookmarkStart w:id="96" w:name="appendix-h-traceability"/>
    <w:p>
      <w:pPr>
        <w:pStyle w:val="Heading2"/>
      </w:pPr>
      <w:r>
        <w:t xml:space="preserve">Appendix H: Traceability</w:t>
      </w:r>
    </w:p>
    <w:tbl>
      <w:tblPr>
        <w:tblStyle w:val="Table"/>
        <w:tblW w:type="pct" w:w="5000"/>
        <w:tblLayout w:type="fixed"/>
        <w:tblLook w:firstRow="1" w:lastRow="0" w:firstColumn="0" w:lastColumn="0" w:noHBand="0" w:noVBand="0" w:val="0020"/>
        <w:tblBorders>
          <w:top w:val="single" w:sz="4" w:space="0" w:color="B7B2A6"/>
          <w:left w:val="single" w:sz="4" w:space="0" w:color="B7B2A6"/>
          <w:bottom w:val="single" w:sz="4" w:space="0" w:color="B7B2A6"/>
          <w:right w:val="single" w:sz="4" w:space="0" w:color="B7B2A6"/>
          <w:insideH w:val="single" w:sz="4" w:space="0" w:color="B7B2A6"/>
          <w:insideV w:val="single" w:sz="4" w:space="0" w:color="B7B2A6"/>
        </w:tblBorders>
      </w:tblPr>
      <w:tblGrid>
        <w:gridCol w:w="1616"/>
        <w:gridCol w:w="2747"/>
        <w:gridCol w:w="3555"/>
      </w:tblGrid>
      <w:tr>
        <w:trPr>
          <w:tblHeader w:val="on"/>
        </w:trPr>
        <w:tc>
          <w:tcPr>
            <w:shd w:val="clear" w:fill="EEF0F4"/>
          </w:tcPr>
          <w:p>
            <w:pPr>
              <w:pStyle w:val="Compact"/>
            </w:pPr>
            <w:r>
              <w:rPr>
                <w:b/>
              </w:rPr>
              <w:t xml:space="preserve">Trace ID</w:t>
            </w:r>
          </w:p>
        </w:tc>
        <w:tc>
          <w:tcPr>
            <w:shd w:val="clear" w:fill="EEF0F4"/>
          </w:tcPr>
          <w:p>
            <w:pPr>
              <w:pStyle w:val="Compact"/>
            </w:pPr>
            <w:r>
              <w:rPr>
                <w:b/>
              </w:rPr>
              <w:t xml:space="preserve">Source Document</w:t>
            </w:r>
          </w:p>
        </w:tc>
        <w:tc>
          <w:tcPr>
            <w:shd w:val="clear" w:fill="EEF0F4"/>
          </w:tcPr>
          <w:p>
            <w:pPr>
              <w:pStyle w:val="Compact"/>
            </w:pPr>
            <w:r>
              <w:rPr>
                <w:b/>
              </w:rPr>
              <w:t xml:space="preserve">Relevant SAP Section</w:t>
            </w:r>
          </w:p>
        </w:tc>
      </w:tr>
      <w:tr>
        <w:tc>
          <w:tcPr/>
          <w:p>
            <w:pPr>
              <w:pStyle w:val="Compact"/>
            </w:pPr>
            <w:r>
              <w:t xml:space="preserve">ICH_E9_1998#Primary-variable</w:t>
            </w:r>
          </w:p>
        </w:tc>
        <w:tc>
          <w:tcPr/>
          <w:p>
            <w:pPr>
              <w:pStyle w:val="Compact"/>
            </w:pPr>
            <w:r>
              <w:t xml:space="preserve">ICH E9 Statistical Principles for Clinical Trials</w:t>
            </w:r>
          </w:p>
        </w:tc>
        <w:tc>
          <w:tcPr/>
          <w:p>
            <w:pPr>
              <w:pStyle w:val="Compact"/>
            </w:pPr>
            <w:r>
              <w:t xml:space="preserve">5.2, 16</w:t>
            </w:r>
          </w:p>
        </w:tc>
      </w:tr>
      <w:tr>
        <w:tc>
          <w:tcPr/>
          <w:p>
            <w:pPr>
              <w:pStyle w:val="Compact"/>
            </w:pPr>
            <w:r>
              <w:t xml:space="preserve">ICH_E9R1_2019#Estimation</w:t>
            </w:r>
          </w:p>
        </w:tc>
        <w:tc>
          <w:tcPr/>
          <w:p>
            <w:pPr>
              <w:pStyle w:val="Compact"/>
            </w:pPr>
            <w:r>
              <w:t xml:space="preserve">ICH E9(R1) Addendum: Estimands and Sensitivity Analysis</w:t>
            </w:r>
          </w:p>
        </w:tc>
        <w:tc>
          <w:tcPr/>
          <w:p>
            <w:pPr>
              <w:pStyle w:val="Compact"/>
            </w:pPr>
            <w:r>
              <w:t xml:space="preserve">7, 8.11, 9</w:t>
            </w:r>
          </w:p>
        </w:tc>
      </w:tr>
      <w:tr>
        <w:tc>
          <w:tcPr/>
          <w:p>
            <w:pPr>
              <w:pStyle w:val="Compact"/>
            </w:pPr>
            <w:r>
              <w:t xml:space="preserve">ICH_E9_1998#Survival</w:t>
            </w:r>
          </w:p>
        </w:tc>
        <w:tc>
          <w:tcPr/>
          <w:p>
            <w:pPr>
              <w:pStyle w:val="Compact"/>
            </w:pPr>
            <w:r>
              <w:t xml:space="preserve">ICH E9 Statistical Principles for Clinical Trials</w:t>
            </w:r>
          </w:p>
        </w:tc>
        <w:tc>
          <w:tcPr/>
          <w:p>
            <w:pPr>
              <w:pStyle w:val="Compact"/>
            </w:pPr>
            <w:r>
              <w:t xml:space="preserve">8.2, 10.1</w:t>
            </w:r>
          </w:p>
        </w:tc>
      </w:tr>
      <w:tr>
        <w:tc>
          <w:tcPr/>
          <w:p>
            <w:pPr>
              <w:pStyle w:val="Compact"/>
            </w:pPr>
            <w:r>
              <w:t xml:space="preserve">Guideline_on_Missing_Data_2011#Survival</w:t>
            </w:r>
          </w:p>
        </w:tc>
        <w:tc>
          <w:tcPr/>
          <w:p>
            <w:pPr>
              <w:pStyle w:val="Compact"/>
            </w:pPr>
            <w:r>
              <w:t xml:space="preserve">EMA Guideline on Missing Data in Confirmatory Clinical Trials</w:t>
            </w:r>
          </w:p>
        </w:tc>
        <w:tc>
          <w:tcPr/>
          <w:p>
            <w:pPr>
              <w:pStyle w:val="Compact"/>
            </w:pPr>
            <w:r>
              <w:t xml:space="preserve">10.1, 10.2</w:t>
            </w:r>
          </w:p>
        </w:tc>
      </w:tr>
      <w:tr>
        <w:tc>
          <w:tcPr/>
          <w:p>
            <w:pPr>
              <w:pStyle w:val="Compact"/>
            </w:pPr>
            <w:r>
              <w:t xml:space="preserve">SISAQOL#RS12</w:t>
            </w:r>
          </w:p>
        </w:tc>
        <w:tc>
          <w:tcPr/>
          <w:p>
            <w:pPr>
              <w:pStyle w:val="Compact"/>
            </w:pPr>
            <w:r>
              <w:t xml:space="preserve">SISAQOL Consortium recommendations (PRO analysis)</w:t>
            </w:r>
          </w:p>
        </w:tc>
        <w:tc>
          <w:tcPr/>
          <w:p>
            <w:pPr>
              <w:pStyle w:val="Compact"/>
            </w:pPr>
            <w:r>
              <w:t xml:space="preserve">3.4, 8.6, 10.2</w:t>
            </w:r>
          </w:p>
        </w:tc>
      </w:tr>
    </w:tbl>
    <w:bookmarkEnd w:id="96"/>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p>
    <w:pPr>
      <w:jc w:val="center"/>
    </w:pPr>
    <w:r>
      <w:rPr>
        <w:i/>
        <w:color w:val="9A3B3B"/>
        <w:sz w:val="16"/>
      </w:rPr>
      <w:t>SAMPLE — AI-generated demonstration, not for regulatory use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20"/>
      </w:rPr>
      <w:t>Statistical Analysis Plan</w:t>
    </w:r>
    <w:r>
      <w:rPr>
        <w:noProof/>
      </w:rPr>
      <w:pict>
        <v:shapetype id="_x0000_t136" coordsize="21600,21600" o:spt="136" adj="10800" path="m@7,0l@8,0m@5,21600l@6,21600e">
          <v:path textpathok="t"/>
          <v:textpath on="t" fitshape="t"/>
        </v:shapetype>
        <v:shape id="SampleWatermark" type="#_x0000_t136" style="position:absolute;margin-left:0;margin-top:0;width:520pt;height:130pt;rotation:-30;z-index:-251654144;mso-position-horizontal:center;mso-position-horizontal-relative:margin;mso-position-vertical:center;mso-position-vertical-relative:margin" fillcolor="#cc9999" stroked="f">
          <v:fill opacity=".4"/>
          <v:textpath style="font-family:&quot;Arial&quot;;font-size:1pt" string="SAMPLE"/>
        </v:shape>
      </w:pic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120" w:line="276"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outlineLvl w:val="0"/>
    </w:pPr>
    <w:rPr>
      <w:rFonts w:ascii="Times New Roman" w:asciiTheme="majorHAnsi" w:cstheme="majorBidi"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before="0"/>
      <w:contextualSpacing/>
    </w:pPr>
    <w:rPr>
      <w:rFonts w:ascii="Times New Roman" w:hAnsi="Times New Roman"/>
      <w:sz w:val="24"/>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before="0"/>
      <w:contextualSpacing/>
    </w:pPr>
    <w:rPr>
      <w:rFonts w:ascii="Times New Roman" w:hAnsi="Times New Roman"/>
      <w:sz w:val="24"/>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2026-07-03T00:04:04Z</dcterms:created>
  <dcterms:modified xsi:type="dcterms:W3CDTF">2026-07-03T00:04:04Z</dcterms:modified>
</cp:coreProperties>
</file>

<file path=docProps/custom.xml><?xml version="1.0" encoding="utf-8"?>
<Properties xmlns="http://schemas.openxmlformats.org/officeDocument/2006/custom-properties" xmlns:vt="http://schemas.openxmlformats.org/officeDocument/2006/docPropsVTypes"/>
</file>