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Goes</w:t>
      </w:r>
      <w:r>
        <w:t xml:space="preserve"> </w:t>
      </w:r>
      <w:r>
        <w:t xml:space="preserve">to</w:t>
      </w:r>
      <w:r>
        <w:t xml:space="preserve"> </w:t>
      </w:r>
      <w:r>
        <w:t xml:space="preserve">Sing</w:t>
      </w:r>
      <w:r>
        <w:t xml:space="preserve"> </w:t>
      </w:r>
      <w:r>
        <w:t xml:space="preserve">Sing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2" w:name="the-negro-goes-to-sing-sing"/>
    <w:p>
      <w:pPr>
        <w:pStyle w:val="Heading1"/>
      </w:pPr>
      <w:r>
        <w:t xml:space="preserve">The Negro Goes to Sing Sing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3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10, no. 7, Oct. 1932,</w:t>
      </w:r>
      <w:r>
        <w:t xml:space="preserve"> </w:t>
      </w:r>
      <w:r>
        <w:t xml:space="preserve">pp. 215–217.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215</w:t>
      </w:r>
      <w:r>
        <w:t xml:space="preserve">Sing Sing prison is located thirty</w:t>
      </w:r>
      <w:r>
        <w:t xml:space="preserve"> </w:t>
      </w:r>
      <w:r>
        <w:t xml:space="preserve">miles up the east bank of the Hudson River from New York City; beneath a</w:t>
      </w:r>
      <w:r>
        <w:t xml:space="preserve"> </w:t>
      </w:r>
      <w:r>
        <w:t xml:space="preserve">high bluff, where more than three hundred years ago the Sinck Sinck</w:t>
      </w:r>
      <w:r>
        <w:t xml:space="preserve"> </w:t>
      </w:r>
      <w:r>
        <w:t xml:space="preserve">Indians built their signal fires. Originally called the Mount Pleasant</w:t>
      </w:r>
      <w:r>
        <w:t xml:space="preserve"> </w:t>
      </w:r>
      <w:r>
        <w:t xml:space="preserve">Prison, it is historically the third of New York’s state prisons. The</w:t>
      </w:r>
      <w:r>
        <w:t xml:space="preserve"> </w:t>
      </w:r>
      <w:r>
        <w:t xml:space="preserve">Sing Sing cell block, built entirely by prisoners, was completed in</w:t>
      </w:r>
      <w:r>
        <w:t xml:space="preserve"> </w:t>
      </w:r>
      <w:r>
        <w:t xml:space="preserve">1828. Because the inmates are committed from the counties of New York</w:t>
      </w:r>
      <w:r>
        <w:t xml:space="preserve"> </w:t>
      </w:r>
      <w:r>
        <w:t xml:space="preserve">State which average one-twentieth of the United States’ population, Sing</w:t>
      </w:r>
      <w:r>
        <w:t xml:space="preserve"> </w:t>
      </w:r>
      <w:r>
        <w:t xml:space="preserve">Sing — as far as the racial and nationality composition of its</w:t>
      </w:r>
      <w:r>
        <w:t xml:space="preserve"> </w:t>
      </w:r>
      <w:r>
        <w:t xml:space="preserve">population is concerned — may be truly called the most representative of</w:t>
      </w:r>
      <w:r>
        <w:t xml:space="preserve"> </w:t>
      </w:r>
      <w:r>
        <w:t xml:space="preserve">American prisons.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Despite the fact that more than twenty-five hundred Negroes have been</w:t>
      </w:r>
      <w:r>
        <w:t xml:space="preserve"> </w:t>
      </w:r>
      <w:r>
        <w:t xml:space="preserve">committed to Sing Sing since 1920, they have always been an integral</w:t>
      </w:r>
      <w:r>
        <w:t xml:space="preserve"> </w:t>
      </w:r>
      <w:r>
        <w:t xml:space="preserve">part of the prison’s population. One hundred and two years ago they</w:t>
      </w:r>
      <w:r>
        <w:t xml:space="preserve"> </w:t>
      </w:r>
      <w:r>
        <w:t xml:space="preserve">formed 23 per cent of the prison population. In 1931 Negro admissions</w:t>
      </w:r>
      <w:r>
        <w:t xml:space="preserve"> </w:t>
      </w:r>
      <w:r>
        <w:t xml:space="preserve">were 23.9 per cent of the total, the highest ratio they have ever shown.</w:t>
      </w:r>
      <w:r>
        <w:t xml:space="preserve"> </w:t>
      </w:r>
      <w:r>
        <w:t xml:space="preserve">If Negroes were present in Sing Sing in the same ratio at which they are</w:t>
      </w:r>
      <w:r>
        <w:t xml:space="preserve"> </w:t>
      </w:r>
      <w:r>
        <w:t xml:space="preserve">found in the total population of southern New York State, 2,500 (the</w:t>
      </w:r>
      <w:r>
        <w:t xml:space="preserve"> </w:t>
      </w:r>
      <w:r>
        <w:t xml:space="preserve">number of black admissions between 1920 and 1931) would be about</w:t>
      </w:r>
      <w:r>
        <w:t xml:space="preserve"> </w:t>
      </w:r>
      <w:r>
        <w:t xml:space="preserve">550.</w:t>
      </w:r>
    </w:p>
    <w:p>
      <w:pPr>
        <w:pStyle w:val="BodyText"/>
      </w:pPr>
      <w:r>
        <w:rPr>
          <w:bCs/>
          <w:b/>
        </w:rPr>
        <w:t xml:space="preserve">Number of Negroes in Every 100</w:t>
      </w:r>
      <w:r>
        <w:rPr>
          <w:bCs/>
          <w:b/>
        </w:rPr>
        <w:t xml:space="preserve"> </w:t>
      </w:r>
      <w:r>
        <w:rPr>
          <w:bCs/>
          <w:b/>
        </w:rPr>
        <w:t xml:space="preserve">Admissions to Sing Sing Prison</w:t>
      </w:r>
      <w:r>
        <w:br/>
      </w:r>
      <w:r>
        <w:rPr>
          <w:iCs/>
          <w:i/>
        </w:rPr>
        <w:t xml:space="preserve">1850, 1870, 1875 and</w:t>
      </w:r>
      <w:r>
        <w:rPr>
          <w:iCs/>
          <w:i/>
        </w:rPr>
        <w:t xml:space="preserve"> </w:t>
      </w:r>
      <w:r>
        <w:rPr>
          <w:iCs/>
          <w:i/>
        </w:rPr>
        <w:t xml:space="preserve">1920-1932</w:t>
      </w:r>
    </w:p>
    <w:p>
      <w:pPr>
        <w:pStyle w:val="BodyText"/>
      </w:pPr>
      <w:r>
        <w:t xml:space="preserve">The following table shows the growing volume of Negro commitments to</w:t>
      </w:r>
      <w:r>
        <w:t xml:space="preserve"> </w:t>
      </w:r>
      <w:r>
        <w:t xml:space="preserve">Sing Sing during the past twelve years, with comparative figures for</w:t>
      </w:r>
      <w:r>
        <w:t xml:space="preserve"> </w:t>
      </w:r>
      <w:r>
        <w:t xml:space="preserve">earlier periods:</w:t>
      </w:r>
    </w:p>
    <w:p>
      <w:pPr>
        <w:pStyle w:val="BodyText"/>
      </w:pPr>
      <w:r>
        <w:rPr>
          <w:bCs/>
          <w:b/>
        </w:rPr>
        <w:t xml:space="preserve">Admissions to Sing Sing Prison by Color</w:t>
      </w:r>
      <w:r>
        <w:br/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the Twelve-Year Period 1920-1931 and 1850, 1860, 1870 and 1875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</w:tbl>
    <w:p>
      <w:pPr>
        <w:pStyle w:val="BodyText"/>
      </w:pPr>
      <w:r>
        <w:t xml:space="preserve">A significant fact obtainable from an analysis of commitments to Sing</w:t>
      </w:r>
      <w:r>
        <w:t xml:space="preserve"> </w:t>
      </w:r>
      <w:r>
        <w:t xml:space="preserve">Sing is that criminal activity is not the monopoly of any racial or</w:t>
      </w:r>
      <w:r>
        <w:t xml:space="preserve"> </w:t>
      </w:r>
      <w:r>
        <w:t xml:space="preserve">nationality group. Nevertheless, it is true that in every main group of</w:t>
      </w:r>
      <w:r>
        <w:t xml:space="preserve"> </w:t>
      </w:r>
      <w:r>
        <w:t xml:space="preserve">crimes, but especially in assault, homicide and burglary, Negroes exceed</w:t>
      </w:r>
      <w:r>
        <w:t xml:space="preserve"> </w:t>
      </w:r>
      <w:r>
        <w:t xml:space="preserve">the numbers which might be expected from their rank in the population of</w:t>
      </w:r>
      <w:r>
        <w:t xml:space="preserve"> </w:t>
      </w:r>
      <w:r>
        <w:t xml:space="preserve">this district. In an analysis of 5,000 men committed to Sing Sing during</w:t>
      </w:r>
      <w:r>
        <w:t xml:space="preserve"> </w:t>
      </w:r>
      <w:r>
        <w:t xml:space="preserve">the period 1923-1927, 4,097 were whites, 895 were Negroes and 8 were</w:t>
      </w:r>
      <w:r>
        <w:t xml:space="preserve"> </w:t>
      </w:r>
      <w:r>
        <w:t xml:space="preserve">Orientals. Warden Lawes’ analysis of the crimes for which these</w:t>
      </w:r>
      <w:r>
        <w:t xml:space="preserve"> </w:t>
      </w:r>
      <w:r>
        <w:t xml:space="preserve">prisoners were committed showed that 65 per cent of those committed for</w:t>
      </w:r>
      <w:r>
        <w:t xml:space="preserve"> </w:t>
      </w:r>
      <w:r>
        <w:t xml:space="preserve">robbery were of Italian, English and Irish stock; 62 per cent of those</w:t>
      </w:r>
      <w:r>
        <w:t xml:space="preserve"> </w:t>
      </w:r>
      <w:r>
        <w:t xml:space="preserve">committed for larceny were of Jewish, English and German stocks; and 76</w:t>
      </w:r>
      <w:r>
        <w:t xml:space="preserve"> </w:t>
      </w:r>
      <w:r>
        <w:t xml:space="preserve">per cent of those committed for assault and 74 per cent for homicide</w:t>
      </w:r>
      <w:r>
        <w:t xml:space="preserve"> </w:t>
      </w:r>
      <w:r>
        <w:t xml:space="preserve">wrere of Negro, Italian and Irish stocks.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relative percentage of Negroes as compared with other races in</w:t>
      </w:r>
      <w:r>
        <w:t xml:space="preserve"> </w:t>
      </w:r>
      <w:r>
        <w:t xml:space="preserve">vari</w:t>
      </w:r>
      <w:r>
        <w:t xml:space="preserve">216</w:t>
      </w:r>
      <w:r>
        <w:t xml:space="preserve">ous types of crimes is shown in the</w:t>
      </w:r>
      <w:r>
        <w:t xml:space="preserve"> </w:t>
      </w:r>
      <w:r>
        <w:t xml:space="preserve">following table:</w:t>
      </w:r>
    </w:p>
    <w:p>
      <w:pPr>
        <w:pStyle w:val="BodyText"/>
      </w:pPr>
      <w:r>
        <w:rPr>
          <w:bCs/>
          <w:b/>
        </w:rPr>
        <w:t xml:space="preserve">Proportion of Negroes and of Other Specified Racial and</w:t>
      </w:r>
      <w:r>
        <w:rPr>
          <w:bCs/>
          <w:b/>
        </w:rPr>
        <w:t xml:space="preserve"> </w:t>
      </w:r>
      <w:r>
        <w:rPr>
          <w:bCs/>
          <w:b/>
        </w:rPr>
        <w:t xml:space="preserve">Nationality Groups Committed for Various Types of Crime</w:t>
      </w:r>
      <w:r>
        <w:t xml:space="preserve">, in</w:t>
      </w:r>
      <w:r>
        <w:t xml:space="preserve"> </w:t>
      </w:r>
      <w:r>
        <w:t xml:space="preserve">Comparison with Their Population Expectancy, of 5,000 Men Committed to</w:t>
      </w:r>
      <w:r>
        <w:t xml:space="preserve"> </w:t>
      </w:r>
      <w:r>
        <w:t xml:space="preserve">Sing Sing Prison, 1923-1927</w:t>
      </w:r>
    </w:p>
    <w:tbl>
      <w:tblPr>
        <w:tblStyle w:val="Table"/>
        <w:tblW w:type="pct" w:w="4750"/>
        <w:tblLook w:firstRow="0" w:lastRow="0" w:firstColumn="0" w:lastColumn="0" w:noHBand="0" w:noVBand="0" w:val="0000"/>
      </w:tblPr>
      <w:tblGrid>
        <w:gridCol w:w="1900"/>
        <w:gridCol w:w="554"/>
        <w:gridCol w:w="950"/>
        <w:gridCol w:w="554"/>
        <w:gridCol w:w="792"/>
        <w:gridCol w:w="633"/>
        <w:gridCol w:w="633"/>
        <w:gridCol w:w="1504"/>
      </w:tblGrid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Russian- Polish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</w:tr>
    </w:tbl>
    <w:p>
      <w:pPr>
        <w:pStyle w:val="BodyText"/>
      </w:pPr>
      <w:r>
        <w:t xml:space="preserve">Negroes admitted to Sing Sing during this period had four times their</w:t>
      </w:r>
      <w:r>
        <w:t xml:space="preserve"> </w:t>
      </w:r>
      <w:r>
        <w:t xml:space="preserve">population expectancy in commitments for robbery, larceny and sexual</w:t>
      </w:r>
      <w:r>
        <w:t xml:space="preserve"> </w:t>
      </w:r>
      <w:r>
        <w:t xml:space="preserve">offenses; eight times for burglary; nine times for homicide and eleven</w:t>
      </w:r>
      <w:r>
        <w:t xml:space="preserve"> </w:t>
      </w:r>
      <w:r>
        <w:t xml:space="preserve">times for assault.</w:t>
      </w:r>
    </w:p>
    <w:p>
      <w:pPr>
        <w:pStyle w:val="BodyText"/>
      </w:pPr>
      <w:r>
        <w:t xml:space="preserve">No valid deductions may be made from the statistical data given until</w:t>
      </w:r>
      <w:r>
        <w:t xml:space="preserve"> </w:t>
      </w:r>
      <w:r>
        <w:t xml:space="preserve">due allowance is made for other physical, social and economic factors</w:t>
      </w:r>
      <w:r>
        <w:t xml:space="preserve"> </w:t>
      </w:r>
      <w:r>
        <w:t xml:space="preserve">which represent the total situation. Thus, the Warden’s “practical</w:t>
      </w:r>
      <w:r>
        <w:t xml:space="preserve"> </w:t>
      </w:r>
      <w:r>
        <w:t xml:space="preserve">pictures” of types of crimes in which Negroes show a high frequency of</w:t>
      </w:r>
      <w:r>
        <w:t xml:space="preserve"> </w:t>
      </w:r>
      <w:r>
        <w:t xml:space="preserve">commitments illustrate general types that are summarized in the</w:t>
      </w:r>
      <w:r>
        <w:t xml:space="preserve"> </w:t>
      </w:r>
      <w:r>
        <w:t xml:space="preserve">following patterns: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Burglary:</w:t>
      </w:r>
      <w:r>
        <w:t xml:space="preserve"> </w:t>
      </w:r>
      <w:r>
        <w:t xml:space="preserve">The chief offenders are native-born</w:t>
      </w:r>
      <w:r>
        <w:t xml:space="preserve"> </w:t>
      </w:r>
      <w:r>
        <w:t xml:space="preserve">Negroes; foreign-born of Jewish stock, or United States born of Irish</w:t>
      </w:r>
      <w:r>
        <w:t xml:space="preserve"> </w:t>
      </w:r>
      <w:r>
        <w:t xml:space="preserve">stock; between twenty-two and twenty-six years of age; intermediate</w:t>
      </w:r>
      <w:r>
        <w:t xml:space="preserve"> </w:t>
      </w:r>
      <w:r>
        <w:t xml:space="preserve">grade education; dull mentality and below par physically; may be</w:t>
      </w:r>
      <w:r>
        <w:t xml:space="preserve"> </w:t>
      </w:r>
      <w:r>
        <w:t xml:space="preserve">psychopathic or drug addict; menial employment; indolent and unwilling</w:t>
      </w:r>
      <w:r>
        <w:t xml:space="preserve"> </w:t>
      </w:r>
      <w:r>
        <w:t xml:space="preserve">to work; likely to be second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Assault:</w:t>
      </w:r>
      <w:r>
        <w:t xml:space="preserve"> </w:t>
      </w:r>
      <w:r>
        <w:t xml:space="preserve">The chief offenders are—native-born</w:t>
      </w:r>
      <w:r>
        <w:t xml:space="preserve"> </w:t>
      </w:r>
      <w:r>
        <w:t xml:space="preserve">Negroes, foreign-born Italians and United States-born of Irish stock;</w:t>
      </w:r>
      <w:r>
        <w:t xml:space="preserve"> </w:t>
      </w:r>
      <w:r>
        <w:t xml:space="preserve">between twenty-two and twenty-six years of age; comparatively</w:t>
      </w:r>
      <w:r>
        <w:t xml:space="preserve"> </w:t>
      </w:r>
      <w:r>
        <w:t xml:space="preserve">illiterate; dull or psychopathic mentally and superior physically;</w:t>
      </w:r>
      <w:r>
        <w:t xml:space="preserve"> </w:t>
      </w:r>
      <w:r>
        <w:t xml:space="preserve">common labor; willing to work but slow’; first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Homicide:</w:t>
      </w:r>
      <w:r>
        <w:t xml:space="preserve"> </w:t>
      </w:r>
      <w:r>
        <w:t xml:space="preserve">The chief offenders are white,</w:t>
      </w:r>
      <w:r>
        <w:t xml:space="preserve"> </w:t>
      </w:r>
      <w:r>
        <w:t xml:space="preserve">foreign-born Italians, native-born Negroes, United States born of Irish</w:t>
      </w:r>
      <w:r>
        <w:t xml:space="preserve"> </w:t>
      </w:r>
      <w:r>
        <w:t xml:space="preserve">stock; between twenty-seven and thirty-one years of age; comparatively</w:t>
      </w:r>
      <w:r>
        <w:t xml:space="preserve"> </w:t>
      </w:r>
      <w:r>
        <w:t xml:space="preserve">illiterate; unstable and paranoiac mentally; normal physically; good</w:t>
      </w:r>
      <w:r>
        <w:t xml:space="preserve"> </w:t>
      </w:r>
      <w:r>
        <w:t xml:space="preserve">worker; first offender.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On April 1, 1930, there were 2,481 inmates in Sing Sing of whom 563</w:t>
      </w:r>
      <w:r>
        <w:t xml:space="preserve"> </w:t>
      </w:r>
      <w:r>
        <w:t xml:space="preserve">or 22.68 per cent were Negroes. The average age of these Negro inmates</w:t>
      </w:r>
      <w:r>
        <w:t xml:space="preserve"> </w:t>
      </w:r>
      <w:r>
        <w:t xml:space="preserve">at the time of conviction was 28 years, 8 months and 13 days.</w:t>
      </w:r>
    </w:p>
    <w:p>
      <w:pPr>
        <w:pStyle w:val="BodyText"/>
      </w:pPr>
      <w:r>
        <w:t xml:space="preserve">Robbery, assault, burglary and larceny were the chief offenses for</w:t>
      </w:r>
      <w:r>
        <w:t xml:space="preserve"> </w:t>
      </w:r>
      <w:r>
        <w:t xml:space="preserve">which these 563 Negroes were committed. The present Sing Sing Negro</w:t>
      </w:r>
      <w:r>
        <w:t xml:space="preserve"> </w:t>
      </w:r>
      <w:r>
        <w:t xml:space="preserve">population exceeds its population expectancy of four per cent in all</w:t>
      </w:r>
      <w:r>
        <w:t xml:space="preserve"> </w:t>
      </w:r>
      <w:r>
        <w:t xml:space="preserve">crimes save rape, sodomy, forgery and miscellaneous offenses.</w:t>
      </w:r>
    </w:p>
    <w:p>
      <w:pPr>
        <w:pStyle w:val="BodyText"/>
      </w:pPr>
      <w:r>
        <w:rPr>
          <w:bCs/>
          <w:b/>
        </w:rPr>
        <w:t xml:space="preserve">Offenses for Which Negro Inmates Were Sentenced to Sing Sing</w:t>
      </w:r>
      <w:r>
        <w:rPr>
          <w:bCs/>
          <w:b/>
        </w:rPr>
        <w:t xml:space="preserve"> </w:t>
      </w:r>
      <w:r>
        <w:rPr>
          <w:bCs/>
          <w:b/>
        </w:rPr>
        <w:t xml:space="preserve">and Percentage Distribution as of April I, 1932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5227"/>
        <w:gridCol w:w="871"/>
        <w:gridCol w:w="16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Distribution 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Manslaughter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 Concealed Weapons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</w:tbl>
    <w:p>
      <w:pPr>
        <w:pStyle w:val="BodyText"/>
      </w:pPr>
      <w:r>
        <w:t xml:space="preserve">In Sing Sing’s resident Negro population there are 5 awaiting</w:t>
      </w:r>
      <w:r>
        <w:t xml:space="preserve"> </w:t>
      </w:r>
      <w:r>
        <w:t xml:space="preserve">execution for murder, 19 serving terms of twenty or more years to life,</w:t>
      </w:r>
      <w:r>
        <w:t xml:space="preserve"> </w:t>
      </w:r>
      <w:r>
        <w:t xml:space="preserve">9 serving life sentences, 2 serving sentences commuted from execution to</w:t>
      </w:r>
      <w:r>
        <w:t xml:space="preserve"> </w:t>
      </w:r>
      <w:r>
        <w:t xml:space="preserve">life, 44 serving indeterminate sentences of a minimum of fifteen or more</w:t>
      </w:r>
      <w:r>
        <w:t xml:space="preserve"> </w:t>
      </w:r>
      <w:r>
        <w:t xml:space="preserve">years and 35 serving determinate sentences of fifteen or more years.</w:t>
      </w:r>
    </w:p>
    <w:p>
      <w:pPr>
        <w:pStyle w:val="BodyText"/>
      </w:pPr>
      <w:r>
        <w:t xml:space="preserve">There are more foreign-born Negroes in Sing Sing’s population today</w:t>
      </w:r>
      <w:r>
        <w:t xml:space="preserve"> </w:t>
      </w:r>
      <w:r>
        <w:t xml:space="preserve">than ever before. In 1929, 19 or 7.8 per cent of the total Negro</w:t>
      </w:r>
      <w:r>
        <w:t xml:space="preserve"> </w:t>
      </w:r>
      <w:r>
        <w:t xml:space="preserve">admissions were foreign-born. In 1930, foreign-born Negroes admitted</w:t>
      </w:r>
      <w:r>
        <w:t xml:space="preserve"> </w:t>
      </w:r>
      <w:r>
        <w:t xml:space="preserve">numbered 27 or 11.4 per cent of the total Negro admissions. The number</w:t>
      </w:r>
      <w:r>
        <w:t xml:space="preserve"> </w:t>
      </w:r>
      <w:r>
        <w:t xml:space="preserve">reached a new high, of 45 or 13.5 per cent of all Negro admissions in</w:t>
      </w:r>
      <w:r>
        <w:t xml:space="preserve"> </w:t>
      </w:r>
      <w:r>
        <w:t xml:space="preserve">1931.</w:t>
      </w:r>
    </w:p>
    <w:p>
      <w:pPr>
        <w:pStyle w:val="BodyText"/>
      </w:pPr>
      <w:r>
        <w:t xml:space="preserve">A rather detailed analysis of the factors attending the commitment of</w:t>
      </w:r>
      <w:r>
        <w:t xml:space="preserve"> </w:t>
      </w:r>
      <w:r>
        <w:t xml:space="preserve">80 Negroes to Sing Sing Prison during 1930 disclosed that among Negroes,</w:t>
      </w:r>
      <w:r>
        <w:t xml:space="preserve"> </w:t>
      </w:r>
      <w:r>
        <w:t xml:space="preserve">as among other races, broken homes, poverty, bad social and leisure</w:t>
      </w:r>
      <w:r>
        <w:t xml:space="preserve"> </w:t>
      </w:r>
      <w:r>
        <w:t xml:space="preserve">habits, lack of intelligent and sympathetic guidance, unemployment and</w:t>
      </w:r>
      <w:r>
        <w:t xml:space="preserve"> </w:t>
      </w:r>
      <w:r>
        <w:t xml:space="preserve">the shifting of jobs with more unemployment very definitely affected</w:t>
      </w:r>
      <w:r>
        <w:t xml:space="preserve"> </w:t>
      </w:r>
      <w:r>
        <w:t xml:space="preserve">each of the cases studied.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analyst in this study endeavored to list the circumstances</w:t>
      </w:r>
      <w:r>
        <w:t xml:space="preserve"> </w:t>
      </w:r>
      <w:r>
        <w:t xml:space="preserve">present at the time the crime was committed. These appeared as</w:t>
      </w:r>
      <w:r>
        <w:t xml:space="preserve"> </w:t>
      </w:r>
      <w:r>
        <w:t xml:space="preserve">follows: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rPr>
          <w:bCs/>
          <w:b/>
        </w:rPr>
        <w:t xml:space="preserve">Social Factors in Crimes Committed by 80 Negro</w:t>
      </w:r>
      <w:r>
        <w:rPr>
          <w:bCs/>
          <w:b/>
        </w:rPr>
        <w:t xml:space="preserve"> </w:t>
      </w:r>
      <w:r>
        <w:rPr>
          <w:bCs/>
          <w:b/>
        </w:rPr>
        <w:t xml:space="preserve">Offenders</w:t>
      </w:r>
      <w:r>
        <w:br/>
      </w:r>
      <w:r>
        <w:t xml:space="preserve">Sing Sing Prison, 1930 (Per cent of frequencies</w:t>
      </w:r>
      <w:r>
        <w:t xml:space="preserve"> </w:t>
      </w:r>
      <w:r>
        <w:t xml:space="preserve">listed in descending rank order)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7524"/>
        <w:gridCol w:w="3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social and leisure habits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Emotionalism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Gambling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In these days of industrial depression, more so than normally, being</w:t>
      </w:r>
      <w:r>
        <w:t xml:space="preserve"> </w:t>
      </w:r>
      <w:r>
        <w:t xml:space="preserve">out of work undoubtedly has a very direct and common relationship with</w:t>
      </w:r>
      <w:r>
        <w:t xml:space="preserve"> </w:t>
      </w:r>
      <w:r>
        <w:t xml:space="preserve">crime. In the 47 cases of unemployment covered in this study it is</w:t>
      </w:r>
      <w:r>
        <w:t xml:space="preserve"> </w:t>
      </w:r>
      <w:r>
        <w:t xml:space="preserve">difficult to conclude that “being out of work” with the implication of</w:t>
      </w:r>
      <w:r>
        <w:t xml:space="preserve"> </w:t>
      </w:r>
      <w:r>
        <w:t xml:space="preserve">“being out of money” was a cause. The fact of the matter appears to be</w:t>
      </w:r>
      <w:r>
        <w:t xml:space="preserve"> </w:t>
      </w:r>
      <w:r>
        <w:t xml:space="preserve">that unemployment leaves the individual in idleness — with time to</w:t>
      </w:r>
      <w:r>
        <w:t xml:space="preserve"> </w:t>
      </w:r>
      <w:r>
        <w:t xml:space="preserve">contact chronic idlers, to seek any amusement and excitement to avoid</w:t>
      </w:r>
      <w:r>
        <w:t xml:space="preserve"> </w:t>
      </w:r>
      <w:r>
        <w:t xml:space="preserve">ennui or thought of future consequences, if he does not find work. These</w:t>
      </w:r>
      <w:r>
        <w:t xml:space="preserve"> </w:t>
      </w:r>
      <w:r>
        <w:t xml:space="preserve">factors, plus the fact that the Negro worker lives so near the fringe of</w:t>
      </w:r>
      <w:r>
        <w:t xml:space="preserve"> </w:t>
      </w:r>
      <w:r>
        <w:t xml:space="preserve">marginal existence that there is seldom any money surplus, are</w:t>
      </w:r>
      <w:r>
        <w:t xml:space="preserve"> </w:t>
      </w:r>
      <w:r>
        <w:t xml:space="preserve">outstanding aspects of this situation.</w:t>
      </w:r>
    </w:p>
    <w:p>
      <w:pPr>
        <w:pStyle w:val="BodyText"/>
      </w:pPr>
      <w:r>
        <w:t xml:space="preserve">Bad social and leisure habits show a high frequency. Long before</w:t>
      </w:r>
      <w:r>
        <w:t xml:space="preserve"> </w:t>
      </w:r>
      <w:r>
        <w:t xml:space="preserve">hunger drives the offender into predatory acts, other social factors</w:t>
      </w:r>
      <w:r>
        <w:t xml:space="preserve"> </w:t>
      </w:r>
      <w:r>
        <w:t xml:space="preserve">have entered the picture. Social emulation, improvident expenditure of</w:t>
      </w:r>
      <w:r>
        <w:t xml:space="preserve"> </w:t>
      </w:r>
      <w:r>
        <w:t xml:space="preserve">leisure, commercialized vice, leisure-class dictates — all have provided</w:t>
      </w:r>
      <w:r>
        <w:t xml:space="preserve"> </w:t>
      </w:r>
      <w:r>
        <w:t xml:space="preserve">a much more dangerous and sordid motive for crimes against property in</w:t>
      </w:r>
      <w:r>
        <w:t xml:space="preserve"> </w:t>
      </w:r>
      <w:r>
        <w:t xml:space="preserve">particular than simple hunger.</w:t>
      </w:r>
    </w:p>
    <w:p>
      <w:pPr>
        <w:pStyle w:val="BodyText"/>
      </w:pPr>
      <w:r>
        <w:t xml:space="preserve">Drinking was a factor in only eight of the 80 cases studied, the</w:t>
      </w:r>
      <w:r>
        <w:t xml:space="preserve"> </w:t>
      </w:r>
      <w:r>
        <w:t xml:space="preserve">greatest association being found linked with crimes against the</w:t>
      </w:r>
      <w:r>
        <w:t xml:space="preserve"> </w:t>
      </w:r>
      <w:r>
        <w:t xml:space="preserve">person.</w:t>
      </w:r>
    </w:p>
    <w:p>
      <w:pPr>
        <w:pStyle w:val="BodyText"/>
      </w:pPr>
      <w:r>
        <w:t xml:space="preserve">Emotionalism was found to be a direct factor in crimes committed</w:t>
      </w:r>
      <w:r>
        <w:t xml:space="preserve"> </w:t>
      </w:r>
      <w:r>
        <w:t xml:space="preserve">against the person. This factor is difficult to define, but refers to</w:t>
      </w:r>
      <w:r>
        <w:t xml:space="preserve"> </w:t>
      </w:r>
      <w:r>
        <w:t xml:space="preserve">situations in which the individual has shown loss of ’emotional</w:t>
      </w:r>
      <w:r>
        <w:t xml:space="preserve"> </w:t>
      </w:r>
      <w:r>
        <w:t xml:space="preserve">perspective and has disregarded his own immediate interest, as well as</w:t>
      </w:r>
      <w:r>
        <w:t xml:space="preserve"> </w:t>
      </w:r>
      <w:r>
        <w:t xml:space="preserve">the remote consequences of the act, and under conditions in which there</w:t>
      </w:r>
      <w:r>
        <w:t xml:space="preserve"> </w:t>
      </w:r>
      <w:r>
        <w:t xml:space="preserve">could be no predatory interest or trend.</w:t>
      </w:r>
    </w:p>
    <w:p>
      <w:pPr>
        <w:pStyle w:val="BodyText"/>
      </w:pPr>
      <w:r>
        <w:t xml:space="preserve">Those chance circumstances which would augment the probability of a</w:t>
      </w:r>
      <w:r>
        <w:t xml:space="preserve"> </w:t>
      </w:r>
      <w:r>
        <w:t xml:space="preserve">crime’s occurrence in a weak or highly suggestible individual, while</w:t>
      </w:r>
      <w:r>
        <w:t xml:space="preserve"> </w:t>
      </w:r>
      <w:r>
        <w:t xml:space="preserve">their absence would perhaps decrease the probability, are classed as</w:t>
      </w:r>
      <w:r>
        <w:t xml:space="preserve"> </w:t>
      </w:r>
      <w:r>
        <w:t xml:space="preserve">circumstantial factors. These factors did not appear in more than 4 per</w:t>
      </w:r>
      <w:r>
        <w:t xml:space="preserve"> </w:t>
      </w:r>
      <w:r>
        <w:t xml:space="preserve">cent of the cases studied.</w:t>
      </w:r>
    </w:p>
    <w:p>
      <w:pPr>
        <w:pStyle w:val="BodyText"/>
      </w:pPr>
      <w:r>
        <w:t xml:space="preserve">Gangs, as a factor in the crimes of Sing Sing’s Negro prisoners,</w:t>
      </w:r>
      <w:r>
        <w:t xml:space="preserve"> </w:t>
      </w:r>
      <w:r>
        <w:t xml:space="preserve">operated in only four instances. It might be noted in this connection</w:t>
      </w:r>
      <w:r>
        <w:t xml:space="preserve"> </w:t>
      </w:r>
      <w:r>
        <w:t xml:space="preserve">that 31 of 67 Negro offenders worked with Negro accomplices. Eighteen of</w:t>
      </w:r>
      <w:r>
        <w:t xml:space="preserve"> </w:t>
      </w:r>
      <w:r>
        <w:t xml:space="preserve">the men and their Negro accomplices are known to be in Sing Sing, as are</w:t>
      </w:r>
      <w:r>
        <w:t xml:space="preserve"> </w:t>
      </w:r>
      <w:r>
        <w:t xml:space="preserve">two white, one Mexican and one other accomplice whose race is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While it cannot be said that any one factor is responsible for the</w:t>
      </w:r>
      <w:r>
        <w:t xml:space="preserve"> </w:t>
      </w:r>
      <w:r>
        <w:t xml:space="preserve">present social status of the Sing Sing Negro offenders, it is true that</w:t>
      </w:r>
      <w:r>
        <w:t xml:space="preserve"> </w:t>
      </w:r>
      <w:r>
        <w:t xml:space="preserve">a thorough examination of all factors bearing on the offense and of all</w:t>
      </w:r>
      <w:r>
        <w:t xml:space="preserve"> </w:t>
      </w:r>
      <w:r>
        <w:t xml:space="preserve">traits and conditions relating to the situation shows a multiplicity of</w:t>
      </w:r>
      <w:r>
        <w:t xml:space="preserve"> </w:t>
      </w:r>
      <w:r>
        <w:t xml:space="preserve">causations that find their roots deep in the social status of a minority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presence of an unusual large Negro population in Sing Sing,</w:t>
      </w:r>
      <w:r>
        <w:t xml:space="preserve"> </w:t>
      </w:r>
      <w:r>
        <w:t xml:space="preserve">therefore, finds its genesis in a sufficiently large number of other</w:t>
      </w:r>
      <w:r>
        <w:t xml:space="preserve"> </w:t>
      </w:r>
      <w:r>
        <w:t xml:space="preserve">factors to invalidate the opinion that high rates of crime and</w:t>
      </w:r>
      <w:r>
        <w:t xml:space="preserve"> </w:t>
      </w:r>
      <w:r>
        <w:t xml:space="preserve">incarceration are due to an inherent racial criminality. Such evidence</w:t>
      </w:r>
      <w:r>
        <w:t xml:space="preserve"> </w:t>
      </w:r>
      <w:r>
        <w:t xml:space="preserve">as there is indicates that social status, political status, and economic</w:t>
      </w:r>
      <w:r>
        <w:t xml:space="preserve"> </w:t>
      </w:r>
      <w:r>
        <w:t xml:space="preserve">and environmental influences are strong factors. One white student of</w:t>
      </w:r>
      <w:r>
        <w:t xml:space="preserve"> </w:t>
      </w:r>
      <w:r>
        <w:t xml:space="preserve">the subject concludes that</w:t>
      </w:r>
    </w:p>
    <w:p>
      <w:pPr>
        <w:pStyle w:val="BlockText"/>
      </w:pPr>
      <w:r>
        <w:t xml:space="preserve">There is little comfort for the native white American in casting the</w:t>
      </w:r>
      <w:r>
        <w:t xml:space="preserve"> </w:t>
      </w:r>
      <w:r>
        <w:t xml:space="preserve">blame for crime on the Negro. Even if they are more criminal — which is</w:t>
      </w:r>
      <w:r>
        <w:t xml:space="preserve"> </w:t>
      </w:r>
      <w:r>
        <w:t xml:space="preserve">open to doubt — the causes lie in the social structure for which the</w:t>
      </w:r>
      <w:r>
        <w:t xml:space="preserve"> </w:t>
      </w:r>
      <w:r>
        <w:t xml:space="preserve">white American is primarily responsible.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Our specific knowledge of the correlation between these factors and</w:t>
      </w:r>
      <w:r>
        <w:t xml:space="preserve"> </w:t>
      </w:r>
      <w:r>
        <w:t xml:space="preserve">crime, particularly in the impersonal metropolitan centers, is limited.</w:t>
      </w:r>
      <w:r>
        <w:t xml:space="preserve"> </w:t>
      </w:r>
      <w:r>
        <w:t xml:space="preserve">Ere we can stem this rising tide of color in Sing Sing, some very</w:t>
      </w:r>
      <w:r>
        <w:t xml:space="preserve"> </w:t>
      </w:r>
      <w:r>
        <w:t xml:space="preserve">definite improvements in community life must be undertaken; these to be</w:t>
      </w:r>
      <w:r>
        <w:t xml:space="preserve"> </w:t>
      </w:r>
      <w:r>
        <w:t xml:space="preserve">based upon “continuous scientific and unprejudiced accumulation and</w:t>
      </w:r>
      <w:r>
        <w:t xml:space="preserve"> </w:t>
      </w:r>
      <w:r>
        <w:t xml:space="preserve">interpretation of facts, and their application in the building up of</w:t>
      </w:r>
      <w:r>
        <w:t xml:space="preserve"> </w:t>
      </w:r>
      <w:r>
        <w:t xml:space="preserve">programs of social improvement.”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bookmarkStart w:id="3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2"/>
        </w:numPr>
      </w:pPr>
      <w:r>
        <w:t xml:space="preserve">Lawes, Lewis E. Life and Death in Sing Sing. New York.</w:t>
      </w:r>
      <w:r>
        <w:t xml:space="preserve"> </w:t>
      </w:r>
      <w:r>
        <w:t xml:space="preserve">Doubleday, Doran &amp; Co. 1928. p. 80.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2"/>
        </w:numPr>
      </w:pPr>
      <w:r>
        <w:rPr>
          <w:iCs/>
          <w:i/>
        </w:rPr>
        <w:t xml:space="preserve">op. cit.</w:t>
      </w:r>
      <w:r>
        <w:t xml:space="preserve"> </w:t>
      </w:r>
      <w:r>
        <w:t xml:space="preserve">p. 37.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2"/>
        </w:numPr>
      </w:pPr>
      <w:r>
        <w:t xml:space="preserve">Federal Census does not differentiate.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2"/>
        </w:numPr>
      </w:pPr>
      <w:r>
        <w:t xml:space="preserve">*Ibid. pp. 47-48.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2"/>
        </w:numPr>
      </w:pPr>
      <w:r>
        <w:t xml:space="preserve">Reid, Ira De A.</w:t>
      </w:r>
      <w:r>
        <w:t xml:space="preserve"> </w:t>
      </w:r>
      <w:r>
        <w:rPr>
          <w:iCs/>
          <w:i/>
        </w:rPr>
        <w:t xml:space="preserve">The Negro’s Relation to Work and Law</w:t>
      </w:r>
      <w:r>
        <w:rPr>
          <w:iCs/>
          <w:i/>
        </w:rPr>
        <w:t xml:space="preserve"> </w:t>
      </w:r>
      <w:r>
        <w:rPr>
          <w:iCs/>
          <w:i/>
        </w:rPr>
        <w:t xml:space="preserve">Observance</w:t>
      </w:r>
      <w:r>
        <w:t xml:space="preserve">. National Commission on Law Observance and Enforcement,</w:t>
      </w:r>
      <w:r>
        <w:t xml:space="preserve"> </w:t>
      </w:r>
      <w:r>
        <w:t xml:space="preserve">Report on the Causes of Crime. Vol. I, Part III (1931), pp. 219-256.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2"/>
        </w:numPr>
      </w:pPr>
      <w:r>
        <w:t xml:space="preserve">Dexter, Robert C.</w:t>
      </w:r>
      <w:r>
        <w:t xml:space="preserve"> </w:t>
      </w:r>
      <w:r>
        <w:rPr>
          <w:iCs/>
          <w:i/>
        </w:rPr>
        <w:t xml:space="preserve">Social Adjustment</w:t>
      </w:r>
      <w:r>
        <w:t xml:space="preserve">. New York.</w:t>
      </w:r>
      <w:r>
        <w:t xml:space="preserve"> </w:t>
      </w:r>
      <w:r>
        <w:t xml:space="preserve">Alfred A. Knopf. 1927. p. 312.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2"/>
        </w:numPr>
      </w:pPr>
      <w:r>
        <w:t xml:space="preserve">Glueck, Sheldon and Eleanor T.</w:t>
      </w:r>
      <w:r>
        <w:t xml:space="preserve"> </w:t>
      </w:r>
      <w:r>
        <w:rPr>
          <w:iCs/>
          <w:i/>
        </w:rPr>
        <w:t xml:space="preserve">500 Criminal</w:t>
      </w:r>
      <w:r>
        <w:rPr>
          <w:iCs/>
          <w:i/>
        </w:rPr>
        <w:t xml:space="preserve"> </w:t>
      </w:r>
      <w:r>
        <w:rPr>
          <w:iCs/>
          <w:i/>
        </w:rPr>
        <w:t xml:space="preserve">Careers.</w:t>
      </w:r>
      <w:r>
        <w:t xml:space="preserve"> </w:t>
      </w:r>
      <w:r>
        <w:t xml:space="preserve">New York. Alfred A. Knopf. 1930. p. 337.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Goes to Sing Sing</dc:title>
  <dc:creator/>
  <dc:language>en</dc:language>
  <cp:keywords/>
  <dcterms:created xsi:type="dcterms:W3CDTF">2023-09-11T16:54:29Z</dcterms:created>
  <dcterms:modified xsi:type="dcterms:W3CDTF">2023-09-11T16:54:29Z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215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217</vt:lpwstr>
  </property>
  <property fmtid="{D5CDD505-2E9C-101B-9397-08002B2CF9AE}" pid="7" name="citation_pdf_url">
    <vt:lpwstr>https://www.crisisopportunity.org/articles/PDFS/Reid_1932_SingSing.pdf</vt:lpwstr>
  </property>
  <property fmtid="{D5CDD505-2E9C-101B-9397-08002B2CF9AE}" pid="8" name="citation_publication_date">
    <vt:lpwstr>1932</vt:lpwstr>
  </property>
  <property fmtid="{D5CDD505-2E9C-101B-9397-08002B2CF9AE}" pid="9" name="citation_title">
    <vt:lpwstr>The Negro Goes to Sing Sing</vt:lpwstr>
  </property>
  <property fmtid="{D5CDD505-2E9C-101B-9397-08002B2CF9AE}" pid="10" name="citation_volume">
    <vt:lpwstr>10</vt:lpwstr>
  </property>
  <property fmtid="{D5CDD505-2E9C-101B-9397-08002B2CF9AE}" pid="11" name="dc.Type">
    <vt:lpwstr>research-article</vt:lpwstr>
  </property>
  <property fmtid="{D5CDD505-2E9C-101B-9397-08002B2CF9AE}" pid="12" name="dc.date">
    <vt:lpwstr>1932</vt:lpwstr>
  </property>
  <property fmtid="{D5CDD505-2E9C-101B-9397-08002B2CF9AE}" pid="13" name="dc.publisher">
    <vt:lpwstr>Opportunity</vt:lpwstr>
  </property>
  <property fmtid="{D5CDD505-2E9C-101B-9397-08002B2CF9AE}" pid="14" name="dc.title">
    <vt:lpwstr>The Negro Goes to Sing Sing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