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Arial" w:hAnsi="Arial"/>
          <w:rtl w:val="0"/>
          <w:lang w:val="en-US"/>
        </w:rPr>
        <w:t xml:space="preserve">April </w:t>
      </w:r>
      <w:r>
        <w:rPr>
          <w:rFonts w:ascii="Arial" w:hAnsi="Arial"/>
          <w:rtl w:val="0"/>
          <w:lang w:val="en-US"/>
        </w:rPr>
        <w:t>8</w:t>
      </w:r>
      <w:r>
        <w:rPr>
          <w:rFonts w:ascii="Arial" w:hAnsi="Arial"/>
          <w:rtl w:val="0"/>
        </w:rPr>
        <w:t>, 2026</w:t>
      </w:r>
    </w:p>
    <w:p>
      <w:pPr>
        <w:pStyle w:val="Body"/>
        <w:bidi w:val="0"/>
      </w:pPr>
      <w:r>
        <w:rPr>
          <w:rFonts w:ascii="Arial" w:hAnsi="Arial"/>
          <w:rtl w:val="0"/>
        </w:rPr>
        <w:t>Chris Bystroff</w:t>
      </w:r>
    </w:p>
    <w:p>
      <w:pPr>
        <w:pStyle w:val="Body"/>
        <w:bidi w:val="0"/>
      </w:pPr>
      <w:r>
        <w:rPr>
          <w:rFonts w:ascii="Arial" w:hAnsi="Arial"/>
          <w:rtl w:val="0"/>
          <w:lang w:val="fr-FR"/>
        </w:rPr>
        <w:t>U.S. Election Assistance Commission</w:t>
      </w:r>
    </w:p>
    <w:p>
      <w:pPr>
        <w:pStyle w:val="Body"/>
        <w:bidi w:val="0"/>
      </w:pPr>
      <w:r>
        <w:rPr>
          <w:rFonts w:ascii="Arial" w:hAnsi="Arial"/>
          <w:rtl w:val="0"/>
          <w:lang w:val="en-US"/>
        </w:rPr>
        <w:t>1335 East West Highway, Suite 4300</w:t>
      </w:r>
    </w:p>
    <w:p>
      <w:pPr>
        <w:pStyle w:val="Body"/>
        <w:bidi w:val="0"/>
      </w:pPr>
      <w:r>
        <w:rPr>
          <w:rFonts w:ascii="Arial" w:hAnsi="Arial"/>
          <w:rtl w:val="0"/>
          <w:lang w:val="de-DE"/>
        </w:rPr>
        <w:t>Silver Spring, MD 20910</w:t>
      </w:r>
    </w:p>
    <w:p>
      <w:pPr>
        <w:pStyle w:val="Body"/>
        <w:bidi w:val="0"/>
      </w:pPr>
      <w:r>
        <w:rPr>
          <w:rFonts w:ascii="Arial" w:hAnsi="Arial"/>
          <w:i w:val="1"/>
          <w:iCs w:val="1"/>
          <w:rtl w:val="0"/>
          <w:lang w:val="en-US"/>
        </w:rPr>
        <w:t>Submitted via regulations.gov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Re: Public Comment on Proposed Voluntary National Election Audit Standards (Draft Version, February 18, 2026)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I respectfully submit this comment in response to the Election Assistance Commission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>s Request for Comment on the proposed Voluntary National Election Audit Standards. I write as a citizen with a sustained interest in election integrity and the evidentiary foundations of post-election audit law.</w:t>
      </w:r>
      <w:r>
        <w:rPr>
          <w:sz w:val="24"/>
          <w:szCs w:val="24"/>
          <w:rtl w:val="0"/>
          <w:lang w:val="en-US"/>
        </w:rPr>
        <w:t xml:space="preserve"> I have personally attended post-election audits and have written about the experience. There is much room for improvement.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sz w:val="24"/>
          <w:szCs w:val="24"/>
          <w:rtl w:val="0"/>
          <w:lang w:val="en-US"/>
        </w:rPr>
        <w:t>The draft standards represent a meaningful step forward. They establish important principles across fifteen topic areas and provide a useful framework for election officials. My comment does not dispute those principles; it identifies a critical gap in the draft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>s coverage that, if left unaddressed, will allow the standards to be satisfied on paper while failing in practice at the moment that matters most: when an audit reveals a discrepancy.</w:t>
      </w:r>
    </w:p>
    <w:p>
      <w:pPr>
        <w:pStyle w:val="Heading"/>
      </w:pPr>
      <w:r>
        <w:rPr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I. A Critical Gap: The Draft Is Silent on Discrepancy Resolution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draft standards address how audits should be authorized, staffed, funded, conducted, and communicated. They do not address what must happen when a post-election tabulation audit reveals a quantitative discrepancy between the machine tally and the manual count. This omission is not minor. Discrepancy resolution is the hinge on which an audit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entire purpose turns.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draft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own Efficacy standard states that a post-election tabulation audit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 goal is to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confirm correct outcomes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and should be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completed in time for the results to be useful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i.e., before certification. That goal is defeated if the administering authority can avoid escalation simply by offering an explanation for the discrepancy. An audit that concludes without resolving a discrepancy does not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confirm correct outcomes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it ratifies the reported outcome while leaving the discrepancy unexplained in any evidentiary sense.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is not a hypothetical concern. In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Johnson v. Martins,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30 Misc.3d 844 (Sup. Ct., Nassau County 2010), a New York court held that a post-election audit discrepancy was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reconcilable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and escalation therefore unnecessary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because the administering authority offered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clear and logical explanation/reason why the discrepancy occurred.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 documentary corroboration was required. No independent review occurred. The auditee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assertion alone was sufficient.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 explanation is a hypothesis. It describes what might have caused a discrepancy. It is not evidence that the hypothesized cause actually occurred. Any administering authority can offer a plausible explanation for any discrepancy. If explanation alone suffices, the audit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escalation mechanism is effectively nullified. The draft standards, as written, provide no protection against this outcome.</w:t>
      </w:r>
    </w:p>
    <w:p>
      <w:pPr>
        <w:pStyle w:val="Heading"/>
      </w:pPr>
      <w:r>
        <w:rPr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II. The Draft</w:t>
      </w:r>
      <w:r>
        <w:rPr>
          <w:outline w:val="0"/>
          <w:color w:val="1f3864"/>
          <w:u w:color="1f3864"/>
          <w:rtl w:val="1"/>
          <w14:textFill>
            <w14:solidFill>
              <w14:srgbClr w14:val="1F3864"/>
            </w14:solidFill>
          </w14:textFill>
        </w:rPr>
        <w:t>’</w:t>
      </w:r>
      <w:r>
        <w:rPr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s Own Standards Point Toward a Solution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Three of the draft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existing standards, if extended to cover discrepancy resolution, would close this gap.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it-IT"/>
        </w:rPr>
      </w:pPr>
      <w:r>
        <w:rPr>
          <w:b w:val="1"/>
          <w:bCs w:val="1"/>
          <w:sz w:val="24"/>
          <w:szCs w:val="24"/>
          <w:rtl w:val="0"/>
          <w:lang w:val="it-IT"/>
        </w:rPr>
        <w:t xml:space="preserve">Impartiality. </w:t>
      </w:r>
      <w:r>
        <w:rPr>
          <w:sz w:val="24"/>
          <w:szCs w:val="24"/>
          <w:rtl w:val="0"/>
          <w:lang w:val="en-US"/>
        </w:rPr>
        <w:t>The draft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 xml:space="preserve">s Impartiality standard requires that audits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focus solely on factual evidence to reach fair and objective conclusions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 xml:space="preserve">and warns against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external pressures aimed at influencing audit outcomes.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 xml:space="preserve">These are the right principles. But the draft does not apply them to the specific question of what counts as resolution of a discrepancy. The Commission should make explicit that a discrepancy is resolved only upon </w:t>
      </w:r>
      <w:r>
        <w:rPr>
          <w:i w:val="1"/>
          <w:iCs w:val="1"/>
          <w:sz w:val="24"/>
          <w:szCs w:val="24"/>
          <w:rtl w:val="0"/>
          <w:lang w:val="en-US"/>
        </w:rPr>
        <w:t>factual evidence</w:t>
      </w:r>
      <w:r>
        <w:rPr>
          <w:sz w:val="24"/>
          <w:szCs w:val="24"/>
          <w:rtl w:val="0"/>
          <w:lang w:val="en-US"/>
        </w:rPr>
        <w:t xml:space="preserve"> — </w:t>
      </w:r>
      <w:r>
        <w:rPr>
          <w:sz w:val="24"/>
          <w:szCs w:val="24"/>
          <w:rtl w:val="0"/>
          <w:lang w:val="en-US"/>
        </w:rPr>
        <w:t xml:space="preserve">not upon assertion or explanation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consistent with the Impartiality standard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>s own requirement.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pt-PT"/>
        </w:rPr>
      </w:pPr>
      <w:r>
        <w:rPr>
          <w:b w:val="1"/>
          <w:bCs w:val="1"/>
          <w:sz w:val="24"/>
          <w:szCs w:val="24"/>
          <w:rtl w:val="0"/>
          <w:lang w:val="pt-PT"/>
        </w:rPr>
        <w:t xml:space="preserve">Independence. </w:t>
      </w:r>
      <w:r>
        <w:rPr>
          <w:sz w:val="24"/>
          <w:szCs w:val="24"/>
          <w:rtl w:val="0"/>
          <w:lang w:val="en-US"/>
        </w:rPr>
        <w:t>The draft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 xml:space="preserve">s Independence standard states that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neither the audit process nor results should depend solely on the chief election official.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 xml:space="preserve">This principle applies with particular force to discrepancy resolution. Under the current New York framework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 xml:space="preserve">and many analogous state frameworks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 xml:space="preserve">the election board whose machines produced the discrepancy is the same body that decides whether that discrepancy is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reconcilable.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>The draft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>s Independence standard expressly identifies this as a conflict to be mitigated. The Commission should extend that standard by specifying that the determination of whether a discrepancy is resolved should not be made solely by the administering authority responsible for the systems that produced it.</w:t>
      </w:r>
    </w:p>
    <w:p>
      <w:pPr>
        <w:pStyle w:val="List Paragraph"/>
        <w:numPr>
          <w:ilvl w:val="0"/>
          <w:numId w:val="2"/>
        </w:numPr>
        <w:spacing w:after="200"/>
        <w:rPr>
          <w:sz w:val="24"/>
          <w:szCs w:val="24"/>
          <w:lang w:val="it-IT"/>
        </w:rPr>
      </w:pPr>
      <w:r>
        <w:rPr>
          <w:b w:val="1"/>
          <w:bCs w:val="1"/>
          <w:sz w:val="24"/>
          <w:szCs w:val="24"/>
          <w:rtl w:val="0"/>
          <w:lang w:val="it-IT"/>
        </w:rPr>
        <w:t xml:space="preserve">Appropriateness. </w:t>
      </w:r>
      <w:r>
        <w:rPr>
          <w:sz w:val="24"/>
          <w:szCs w:val="24"/>
          <w:rtl w:val="0"/>
          <w:lang w:val="en-US"/>
        </w:rPr>
        <w:t>The draft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 xml:space="preserve">s Appropriateness standard requires that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evidence examined by the audit should be clearly defined and correspond to the goals of the audit.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 xml:space="preserve">The Commission should clarify that this standard governs not just evidence examined during the audit, but also evidence required to resolve a discrepancy the audit reveals. Evidence sufficient to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confirm correct outcomes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>(the Efficacy standard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>s stated goal) cannot consist of an unverified assertion.</w:t>
      </w:r>
    </w:p>
    <w:p>
      <w:pPr>
        <w:pStyle w:val="Heading"/>
      </w:pPr>
      <w:r>
        <w:rPr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III. Support from GAO Auditing Doctrine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The Comptroller General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Government Auditing Standards (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Yellow Book,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2024 revision) are not formally applicable to election audits, but their foundational principles are directly relevant and consistent with what the draft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own standards already require. Two are especially pertinent: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Sufficient and Appropriate Evidence.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Yellow Book requires that audit findings be supported by evidence that is sufficient in quantity and appropriate in quality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meaning relevant and reliable. A voluntary explanation offered by the audited body meets neither test.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Criteria / Condition / Cause / Effect.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Yellow Book requires that when an audit finding is identified, the cause must be demonstrated, not merely theorized. Collapsing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cause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into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possible explanation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” 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 </w:t>
      </w:r>
      <w:r>
        <w:rPr>
          <w:rFonts w:ascii="Times New Roman" w:hAnsi="Times New Roman"/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Johnson v. Martins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did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 inconsistent with this framework.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draft already invokes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professional standards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 its Competence section, noting that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many of the broad principles of auditing are universally applicable.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Yellow Book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evidentiary standards are among those universal principles.</w:t>
      </w:r>
    </w:p>
    <w:p>
      <w:pPr>
        <w:pStyle w:val="Heading"/>
      </w:pPr>
      <w:r>
        <w:rPr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IV. An Unfulfilled Congressional Mandate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Section 245 of the Help America Vote Act of 2002 required the Commission to study and report to Congress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by June 2004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on challenges presented by electronic technologies in the electoral process, specifically including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potential external influences during the elections process.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That report was apparently never submitted.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post-election tabulation audit conducted to an evidentiary standard is the primary tool available to detect such external influences. The draft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 Security standard recognizes this, noting that post-election audits verify that voting systems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operated in their certified, authorized configuration throughout the election period.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But that verification is meaningful only if a discrepancy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signal that something may have gone wrong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triggers genuine investigation rather than administrative closure through explanation.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rulemaking offers the Commission an opportunity to fulfill, in the form of voluntary national standards, the intent that Congress expressed in HAVA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§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245 but never saw implemented.</w:t>
      </w:r>
    </w:p>
    <w:p>
      <w:pPr>
        <w:pStyle w:val="Heading"/>
      </w:pPr>
      <w:r>
        <w:rPr>
          <w:outline w:val="0"/>
          <w:color w:val="1f3864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V. Specific Recommendations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 urge the Commission to add a new standard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or to amend the Impartiality, Independence, and Appropriateness standards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address discrepancy resolution explicitly. The standard should reflect three principles: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Evidence, not explanation. </w:t>
      </w:r>
      <w:r>
        <w:rPr>
          <w:sz w:val="24"/>
          <w:szCs w:val="24"/>
          <w:rtl w:val="0"/>
          <w:lang w:val="en-US"/>
        </w:rPr>
        <w:t>A discrepancy between the manual tally and the machine tabulation should be deemed resolved only upon demonstration, supported by documentary evidence in the existing canvass record, that a specific and identifiable cause accounts for the full magnitude of the discrepancy. A hypothesis or inference not corroborated by contemporaneous records should not constitute resolution. This is consistent with the Impartiality standard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 xml:space="preserve">s requirement to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focus solely on factual evidence.</w:t>
      </w:r>
      <w:r>
        <w:rPr>
          <w:sz w:val="24"/>
          <w:szCs w:val="24"/>
          <w:rtl w:val="0"/>
        </w:rPr>
        <w:t>”</w:t>
      </w:r>
    </w:p>
    <w:p>
      <w:pPr>
        <w:pStyle w:val="List Paragraph"/>
        <w:numPr>
          <w:ilvl w:val="0"/>
          <w:numId w:val="2"/>
        </w:numPr>
        <w:spacing w:after="120"/>
        <w:rPr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Burden on the administering authority. </w:t>
      </w:r>
      <w:r>
        <w:rPr>
          <w:sz w:val="24"/>
          <w:szCs w:val="24"/>
          <w:rtl w:val="0"/>
          <w:lang w:val="en-US"/>
        </w:rPr>
        <w:t>The burden of demonstrating that a discrepancy is resolved should rest with the administering authority. It should not fall on any candidate, party, or member of the public to disprove a proposed explanation.</w:t>
      </w:r>
    </w:p>
    <w:p>
      <w:pPr>
        <w:pStyle w:val="List Paragraph"/>
        <w:numPr>
          <w:ilvl w:val="0"/>
          <w:numId w:val="2"/>
        </w:numPr>
        <w:spacing w:after="200"/>
        <w:rPr>
          <w:sz w:val="24"/>
          <w:szCs w:val="24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Independent review. </w:t>
      </w:r>
      <w:r>
        <w:rPr>
          <w:sz w:val="24"/>
          <w:szCs w:val="24"/>
          <w:rtl w:val="0"/>
          <w:lang w:val="en-US"/>
        </w:rPr>
        <w:t>Consistent with the draft</w:t>
      </w:r>
      <w:r>
        <w:rPr>
          <w:sz w:val="24"/>
          <w:szCs w:val="24"/>
          <w:rtl w:val="1"/>
        </w:rPr>
        <w:t>’</w:t>
      </w:r>
      <w:r>
        <w:rPr>
          <w:sz w:val="24"/>
          <w:szCs w:val="24"/>
          <w:rtl w:val="0"/>
          <w:lang w:val="en-US"/>
        </w:rPr>
        <w:t>s Independence standard, the determination of whether a discrepancy has been resolved should not be made solely by the administering authority whose systems produced it. Jurisdictions should be encouraged to designate a bipartisan or nonpartisan review body, or provide for judicial review, as the appropriate forum for that determination.</w:t>
      </w:r>
    </w:p>
    <w:p>
      <w:pPr>
        <w:pStyle w:val="List Paragraph"/>
        <w:spacing w:after="200"/>
      </w:pPr>
      <w:r>
        <w:rPr>
          <w:sz w:val="24"/>
          <w:szCs w:val="24"/>
          <w:rtl w:val="0"/>
          <w:lang w:val="en-US"/>
        </w:rPr>
        <w:t xml:space="preserve">These principles are consistent with Risk-Limiting Audit methodology, which the draft already identifies as a recognized audit type. RLAs require a statistical confidence threshold to be met before an audit concludes </w:t>
      </w:r>
      <w:r>
        <w:rPr>
          <w:sz w:val="24"/>
          <w:szCs w:val="24"/>
          <w:rtl w:val="0"/>
          <w:lang w:val="en-US"/>
        </w:rPr>
        <w:t xml:space="preserve">— </w:t>
      </w:r>
      <w:r>
        <w:rPr>
          <w:sz w:val="24"/>
          <w:szCs w:val="24"/>
          <w:rtl w:val="0"/>
          <w:lang w:val="en-US"/>
        </w:rPr>
        <w:t>no explanation can substitute for the evidence of a sufficient sample. The proposed standards need not mandate any specific methodology; they should, however, establish that no methodology satisfies the standard if it permits the auditee to close the audit through assertion rather than evidence.</w:t>
      </w:r>
    </w:p>
    <w:p>
      <w:pPr>
        <w:pStyle w:val="Heading"/>
      </w:pPr>
      <w:r>
        <w:rPr>
          <w:outline w:val="0"/>
          <w:color w:val="1f3864"/>
          <w:u w:color="1f3864"/>
          <w:rtl w:val="0"/>
          <w:lang w:val="it-IT"/>
          <w14:textFill>
            <w14:solidFill>
              <w14:srgbClr w14:val="1F3864"/>
            </w14:solidFill>
          </w14:textFill>
        </w:rPr>
        <w:t>VI. Conclusion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draft Voluntary National Election Audit Standards are a valuable contribution to the professionalization of election auditing. They articulate the right values across fifteen topic areas. The gap this comment identifies is specific and addressable: the draft does not say what must happen when an audit finds a discrepancy. Without that, the standards can be satisfied on paper while the audit fails in practice at the most consequential moment.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Commission</w:t>
      </w:r>
      <w:r>
        <w:rPr>
          <w:outline w:val="0"/>
          <w:color w:val="000000"/>
          <w:sz w:val="24"/>
          <w:szCs w:val="24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 own Impartiality standard requires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factual evidence.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Its Independence standard requires that results not depend solely on the chief election official. Its Efficacy standard requires that tabulation audits </w:t>
      </w:r>
      <w:r>
        <w:rPr>
          <w:outline w:val="0"/>
          <w:color w:val="000000"/>
          <w:sz w:val="24"/>
          <w:szCs w:val="24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confirm correct outcomes.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commitments are undermined if a discrepancy can be closed by explanation alone. I respectfully urge the Commission to extend those existing commitments to cover the moment when they matter most.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Respectfully submitted,</w:t>
      </w:r>
    </w:p>
    <w:p>
      <w:pPr>
        <w:pStyle w:val="Heading"/>
      </w:pP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Chris Bystroff</w:t>
      </w:r>
    </w:p>
    <w:p>
      <w:pPr>
        <w:pStyle w:val="Heading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bystroffc@gmail.com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8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3864"/>
      <w:spacing w:val="0"/>
      <w:kern w:val="0"/>
      <w:position w:val="0"/>
      <w:sz w:val="28"/>
      <w:szCs w:val="28"/>
      <w:u w:val="none" w:color="1f3864"/>
      <w:shd w:val="nil" w:color="auto" w:fill="auto"/>
      <w:vertAlign w:val="baseline"/>
      <w:lang w:val="en-US"/>
      <w14:textOutline>
        <w14:noFill/>
      </w14:textOutline>
      <w14:textFill>
        <w14:solidFill>
          <w14:srgbClr w14:val="1F3864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