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200"/>
        <w:gridCol w:w="3240"/>
      </w:tblGrid>
      <w:tr>
        <w:tc>
          <w:tcPr>
            <w:tcW w:type="dxa" w:w="7200"/>
            <w:tcBorders>
              <w:top w:val="none" w:color="FFFFFF" w:sz="0"/>
              <w:left w:val="none" w:color="FFFFFF" w:sz="0"/>
              <w:bottom w:val="none" w:color="FFFFFF" w:sz="0"/>
              <w:right w:val="none" w:color="FFFFFF" w:sz="0"/>
            </w:tcBorders>
            <w:shd w:fill="1F4E79" w:val="clear"/>
            <w:tcMar>
              <w:top w:type="dxa" w:w="200"/>
              <w:left w:type="dxa" w:w="240"/>
              <w:bottom w:type="dxa" w:w="200"/>
              <w:right w:type="dxa" w:w="120"/>
            </w:tcMar>
          </w:tcPr>
          <w:p>
            <w:r>
              <w:rPr>
                <w:rFonts w:ascii="Arial" w:cs="Arial" w:eastAsia="Arial" w:hAnsi="Arial"/>
                <w:b/>
                <w:bCs/>
                <w:color w:val="FFFFFF"/>
                <w:sz w:val="28"/>
                <w:szCs w:val="28"/>
              </w:rPr>
              <w:t xml:space="preserve">PTAB Intelligence — Demo Cheat Sheet</w:t>
            </w:r>
          </w:p>
          <w:p>
            <w:pPr>
              <w:spacing w:before="60"/>
            </w:pPr>
            <w:r>
              <w:rPr>
                <w:rFonts w:ascii="Arial" w:cs="Arial" w:eastAsia="Arial" w:hAnsi="Arial"/>
                <w:i/>
                <w:iCs/>
                <w:color w:val="AACCEE"/>
                <w:sz w:val="19"/>
                <w:szCs w:val="19"/>
              </w:rPr>
              <w:t xml:space="preserve">Robots and Pencils — Technical Recruiter Screen</w:t>
            </w:r>
          </w:p>
        </w:tc>
        <w:tc>
          <w:tcPr>
            <w:tcW w:type="dxa" w:w="3240"/>
            <w:tcBorders>
              <w:top w:val="none" w:color="FFFFFF" w:sz="0"/>
              <w:left w:val="none" w:color="FFFFFF" w:sz="0"/>
              <w:bottom w:val="none" w:color="FFFFFF" w:sz="0"/>
              <w:right w:val="none" w:color="FFFFFF" w:sz="0"/>
            </w:tcBorders>
            <w:shd w:fill="2E75B6"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Naveen Arjunan</w:t>
            </w:r>
          </w:p>
          <w:p>
            <w:pPr>
              <w:spacing w:before="40"/>
              <w:jc w:val="center"/>
            </w:pPr>
            <w:r>
              <w:rPr>
                <w:rFonts w:ascii="Arial" w:cs="Arial" w:eastAsia="Arial" w:hAnsi="Arial"/>
                <w:color w:val="DDEEEE"/>
                <w:sz w:val="17"/>
                <w:szCs w:val="17"/>
              </w:rPr>
              <w:t xml:space="preserve">naveen.arjunan@gmail.com</w:t>
            </w:r>
          </w:p>
          <w:p>
            <w:pPr>
              <w:spacing w:before="20"/>
              <w:jc w:val="center"/>
            </w:pPr>
            <w:r>
              <w:rPr>
                <w:rFonts w:ascii="Arial" w:cs="Arial" w:eastAsia="Arial" w:hAnsi="Arial"/>
                <w:color w:val="DDEEEE"/>
                <w:sz w:val="17"/>
                <w:szCs w:val="17"/>
              </w:rPr>
              <w:t xml:space="preserve">614-559-4679</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THE 60-SECOND PITCH  (say this first)</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thick" w:color="2E75B6" w:sz="24"/>
              <w:bottom w:val="none" w:color="FFFFFF" w:sz="0"/>
              <w:right w:val="none" w:color="FFFFFF" w:sz="0"/>
            </w:tcBorders>
            <w:shd w:fill="E8F0F7" w:val="clear"/>
            <w:tcMar>
              <w:top w:type="dxa" w:w="140"/>
              <w:left w:type="dxa" w:w="200"/>
              <w:bottom w:type="dxa" w:w="140"/>
              <w:right w:type="dxa" w:w="200"/>
            </w:tcMar>
          </w:tcPr>
          <w:p>
            <w:pPr>
              <w:spacing w:after="60" w:before="0"/>
            </w:pPr>
            <w:r>
              <w:rPr>
                <w:rFonts w:ascii="Arial" w:cs="Arial" w:eastAsia="Arial" w:hAnsi="Arial"/>
                <w:i/>
                <w:iCs/>
                <w:color w:val="1A1A1A"/>
                <w:sz w:val="21"/>
                <w:szCs w:val="21"/>
              </w:rPr>
              <w:t xml:space="preserve">"I've spent 20 years in enterprise architecture, with deep roots at USPTO — I led the cloud migration of their Patent Examination Data System and built a COSINE-similarity recommendation engine across 14M+ patent records. After that engagement, I saw a gap: patent attorneys and IP teams have no way to ask natural language questions across PTAB proceedings, application history, and rejection patterns at the same time. So I built one."</w:t>
            </w:r>
          </w:p>
          <w:p>
            <w:pPr>
              <w:spacing w:after="60" w:before="0"/>
            </w:pPr>
            <w:r>
              <w:rPr>
                <w:rFonts w:ascii="Arial" w:cs="Arial" w:eastAsia="Arial" w:hAnsi="Arial"/>
                <w:i/>
                <w:iCs/>
                <w:color w:val="1A1A1A"/>
                <w:sz w:val="21"/>
                <w:szCs w:val="21"/>
              </w:rPr>
              <w:t xml:space="preserve">"PTAB Intelligence is a fully working, AWS-deployed RAG pipeline — Pinecone vector search, Amazon Bedrock embeddings, Claude for synthesis, Next.js frontend, all infrastructure managed by Terraform. It ingests live data from the USPTO Open Data Portal and lets you ask questions like 'what §101 arguments have worked against Alice rejections in AI patents?' and get answers grounded in actual case data."</w:t>
            </w:r>
          </w:p>
          <w:p>
            <w:r>
              <w:rPr>
                <w:rFonts w:ascii="Arial" w:cs="Arial" w:eastAsia="Arial" w:hAnsi="Arial"/>
                <w:i/>
                <w:iCs/>
                <w:color w:val="1A1A1A"/>
                <w:sz w:val="21"/>
                <w:szCs w:val="21"/>
              </w:rPr>
              <w:t xml:space="preserve">"I built this as a personal project in my current consulting capacity — and I brought a product roadmap with it, including automated data sync, terminology normalization, and AI analysis of full PTAB PDF documents. It's the kind of thing I'd love to do at scale at Robots and Pencils."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WHY YOU'RE THE EXACT FIT FOR ROBOTS AND PENCILS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single" w:color="CCCCCC" w:sz="1"/>
            </w:tcBorders>
            <w:shd w:fill="F4F7FB" w:val="clear"/>
            <w:tcMar>
              <w:top w:type="dxa" w:w="100"/>
              <w:left w:type="dxa" w:w="160"/>
              <w:bottom w:type="dxa" w:w="100"/>
              <w:right w:type="dxa" w:w="160"/>
            </w:tcMar>
          </w:tcPr>
          <w:p>
            <w:r>
              <w:rPr>
                <w:rFonts w:ascii="Arial" w:cs="Arial" w:eastAsia="Arial" w:hAnsi="Arial"/>
                <w:b/>
                <w:bCs/>
                <w:color w:val="1F4E79"/>
                <w:sz w:val="20"/>
                <w:szCs w:val="20"/>
              </w:rPr>
              <w:t xml:space="preserve">What R&amp;P cares about</w:t>
            </w:r>
          </w:p>
          <w:p>
            <w:pPr>
              <w:spacing w:before="20"/>
            </w:pPr>
            <w:r>
              <w:rPr>
                <w:rFonts w:ascii="Arial" w:cs="Arial" w:eastAsia="Arial" w:hAnsi="Arial"/>
                <w:i/>
                <w:iCs/>
                <w:color w:val="555555"/>
                <w:sz w:val="18"/>
                <w:szCs w:val="18"/>
              </w:rPr>
              <w:t xml:space="preserve">They build AI products for enterprises. They want engineers who ship working AI, not just architects who diagram it.</w:t>
            </w:r>
          </w:p>
        </w:tc>
        <w:tc>
          <w:tcPr>
            <w:tcW w:type="dxa" w:w="636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r>
              <w:rPr>
                <w:rFonts w:ascii="Arial" w:cs="Arial" w:eastAsia="Arial" w:hAnsi="Arial"/>
                <w:b/>
                <w:bCs/>
                <w:color w:val="1A1A1A"/>
                <w:sz w:val="20"/>
                <w:szCs w:val="20"/>
              </w:rPr>
              <w:t xml:space="preserve">You have:</w:t>
            </w:r>
          </w:p>
          <w:p>
            <w:pPr>
              <w:pStyle w:val="ListParagraph"/>
              <w:numPr>
                <w:ilvl w:val="0"/>
                <w:numId w:val="2"/>
              </w:numPr>
              <w:spacing w:after="30" w:before="30"/>
            </w:pPr>
            <w:r>
              <w:rPr>
                <w:rFonts w:ascii="Arial" w:cs="Arial" w:eastAsia="Arial" w:hAnsi="Arial"/>
                <w:color w:val="1A1A1A"/>
                <w:sz w:val="20"/>
                <w:szCs w:val="20"/>
              </w:rPr>
              <w:t xml:space="preserve">Built a live RAG pipeline (not a POC) — Pinecone + Bedrock + Claude + Lambda + Terraform, all wired together</w:t>
            </w:r>
          </w:p>
          <w:p>
            <w:pPr>
              <w:pStyle w:val="ListParagraph"/>
              <w:numPr>
                <w:ilvl w:val="0"/>
                <w:numId w:val="2"/>
              </w:numPr>
              <w:spacing w:after="30" w:before="30"/>
            </w:pPr>
            <w:r>
              <w:rPr>
                <w:rFonts w:ascii="Arial" w:cs="Arial" w:eastAsia="Arial" w:hAnsi="Arial"/>
                <w:color w:val="1A1A1A"/>
                <w:sz w:val="20"/>
                <w:szCs w:val="20"/>
              </w:rPr>
              <w:t xml:space="preserve">20 years enterprise architecture + current hands-on AI engineering — rare combination</w:t>
            </w:r>
          </w:p>
          <w:p>
            <w:pPr>
              <w:pStyle w:val="ListParagraph"/>
              <w:numPr>
                <w:ilvl w:val="0"/>
                <w:numId w:val="2"/>
              </w:numPr>
              <w:spacing w:after="30" w:before="30"/>
            </w:pPr>
            <w:r>
              <w:rPr>
                <w:rFonts w:ascii="Arial" w:cs="Arial" w:eastAsia="Arial" w:hAnsi="Arial"/>
                <w:color w:val="1A1A1A"/>
                <w:sz w:val="20"/>
                <w:szCs w:val="20"/>
              </w:rPr>
              <w:t xml:space="preserve">USPTO domain expertise — you know the data, the APIs, the compliance requirements from the inside</w:t>
            </w:r>
          </w:p>
          <w:p>
            <w:pPr>
              <w:pStyle w:val="ListParagraph"/>
              <w:numPr>
                <w:ilvl w:val="0"/>
                <w:numId w:val="2"/>
              </w:numPr>
              <w:spacing w:after="30" w:before="30"/>
            </w:pPr>
            <w:r>
              <w:rPr>
                <w:rFonts w:ascii="Arial" w:cs="Arial" w:eastAsia="Arial" w:hAnsi="Arial"/>
                <w:color w:val="1A1A1A"/>
                <w:sz w:val="20"/>
                <w:szCs w:val="20"/>
              </w:rPr>
              <w:t xml:space="preserve">Product thinking — you wrote a phased roadmap for the platform, not just the code</w:t>
            </w:r>
          </w:p>
          <w:p>
            <w:pPr>
              <w:pStyle w:val="ListParagraph"/>
              <w:numPr>
                <w:ilvl w:val="0"/>
                <w:numId w:val="2"/>
              </w:numPr>
              <w:spacing w:after="30" w:before="30"/>
            </w:pPr>
            <w:r>
              <w:rPr>
                <w:rFonts w:ascii="Arial" w:cs="Arial" w:eastAsia="Arial" w:hAnsi="Arial"/>
                <w:color w:val="1A1A1A"/>
                <w:sz w:val="20"/>
                <w:szCs w:val="20"/>
              </w:rPr>
              <w:t xml:space="preserve">MCP / GitHub Copilot experience (listed in current role) — aligns with their AI-native dev culture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DEMO FLOW  (15 minutes — follow this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single" w:color="CCCCCC" w:sz="1"/>
            </w:tcBorders>
            <w:shd w:fill="F4F7FB" w:val="clear"/>
            <w:tcMar>
              <w:top w:type="dxa" w:w="100"/>
              <w:left w:type="dxa" w:w="160"/>
              <w:bottom w:type="dxa" w:w="100"/>
              <w:right w:type="dxa" w:w="160"/>
            </w:tcMar>
          </w:tcPr>
          <w:p>
            <w:r>
              <w:rPr>
                <w:rFonts w:ascii="Arial" w:cs="Arial" w:eastAsia="Arial" w:hAnsi="Arial"/>
                <w:b/>
                <w:bCs/>
                <w:color w:val="1F4E79"/>
                <w:sz w:val="20"/>
                <w:szCs w:val="20"/>
              </w:rPr>
              <w:t xml:space="preserve">Step 1</w:t>
            </w:r>
          </w:p>
          <w:p>
            <w:pPr>
              <w:spacing w:before="20"/>
            </w:pPr>
            <w:r>
              <w:rPr>
                <w:rFonts w:ascii="Arial" w:cs="Arial" w:eastAsia="Arial" w:hAnsi="Arial"/>
                <w:color w:val="1A1A1A"/>
                <w:sz w:val="20"/>
                <w:szCs w:val="20"/>
              </w:rPr>
              <w:t xml:space="preserve">2 min</w:t>
            </w:r>
          </w:p>
        </w:tc>
        <w:tc>
          <w:tcPr>
            <w:tcW w:type="dxa" w:w="636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r>
              <w:rPr>
                <w:rFonts w:ascii="Arial" w:cs="Arial" w:eastAsia="Arial" w:hAnsi="Arial"/>
                <w:b/>
                <w:bCs/>
                <w:color w:val="1A1A1A"/>
                <w:sz w:val="20"/>
                <w:szCs w:val="20"/>
              </w:rPr>
              <w:t xml:space="preserve">Open the live URL</w:t>
            </w:r>
          </w:p>
          <w:p>
            <w:pPr>
              <w:spacing w:before="20"/>
            </w:pPr>
            <w:r>
              <w:rPr>
                <w:rFonts w:ascii="Arial" w:cs="Arial" w:eastAsia="Arial" w:hAnsi="Arial"/>
                <w:color w:val="1A1A1A"/>
                <w:sz w:val="20"/>
                <w:szCs w:val="20"/>
              </w:rPr>
              <w:t xml:space="preserve">Show the four tabs. Say: "This pulls live data from the USPTO Open Data Portal — applications, PTAB proceedings, and rejection statistics. The Browse tabs hit a paginated Lambda backed by S3. The Ask AI tab is the RAG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single" w:color="CCCCCC" w:sz="1"/>
            </w:tcBorders>
            <w:shd w:fill="F4F7FB" w:val="clear"/>
            <w:tcMar>
              <w:top w:type="dxa" w:w="100"/>
              <w:left w:type="dxa" w:w="160"/>
              <w:bottom w:type="dxa" w:w="100"/>
              <w:right w:type="dxa" w:w="160"/>
            </w:tcMar>
          </w:tcPr>
          <w:p>
            <w:r>
              <w:rPr>
                <w:rFonts w:ascii="Arial" w:cs="Arial" w:eastAsia="Arial" w:hAnsi="Arial"/>
                <w:b/>
                <w:bCs/>
                <w:color w:val="1F4E79"/>
                <w:sz w:val="20"/>
                <w:szCs w:val="20"/>
              </w:rPr>
              <w:t xml:space="preserve">Step 2</w:t>
            </w:r>
          </w:p>
          <w:p>
            <w:pPr>
              <w:spacing w:before="20"/>
            </w:pPr>
            <w:r>
              <w:rPr>
                <w:rFonts w:ascii="Arial" w:cs="Arial" w:eastAsia="Arial" w:hAnsi="Arial"/>
                <w:color w:val="1A1A1A"/>
                <w:sz w:val="20"/>
                <w:szCs w:val="20"/>
              </w:rPr>
              <w:t xml:space="preserve">2 min</w:t>
            </w:r>
          </w:p>
        </w:tc>
        <w:tc>
          <w:tcPr>
            <w:tcW w:type="dxa" w:w="636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r>
              <w:rPr>
                <w:rFonts w:ascii="Arial" w:cs="Arial" w:eastAsia="Arial" w:hAnsi="Arial"/>
                <w:b/>
                <w:bCs/>
                <w:color w:val="1A1A1A"/>
                <w:sz w:val="20"/>
                <w:szCs w:val="20"/>
              </w:rPr>
              <w:t xml:space="preserve">Browse tab — Applications</w:t>
            </w:r>
          </w:p>
          <w:p>
            <w:pPr>
              <w:spacing w:before="20"/>
            </w:pPr>
            <w:r>
              <w:rPr>
                <w:rFonts w:ascii="Arial" w:cs="Arial" w:eastAsia="Arial" w:hAnsi="Arial"/>
                <w:color w:val="1A1A1A"/>
                <w:sz w:val="20"/>
                <w:szCs w:val="20"/>
              </w:rPr>
              <w:t xml:space="preserve">Click Applications. Show real USPTO application data loading. Mention: "Fields like filing date, art unit, applicant, and status are extracted from the ODP API's nested JSON schema using a field-enrichment layer in the Lambda — the raw ODP response has a different structure than the flattened view you see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single" w:color="CCCCCC" w:sz="1"/>
            </w:tcBorders>
            <w:shd w:fill="F4F7FB" w:val="clear"/>
            <w:tcMar>
              <w:top w:type="dxa" w:w="100"/>
              <w:left w:type="dxa" w:w="160"/>
              <w:bottom w:type="dxa" w:w="100"/>
              <w:right w:type="dxa" w:w="160"/>
            </w:tcMar>
          </w:tcPr>
          <w:p>
            <w:r>
              <w:rPr>
                <w:rFonts w:ascii="Arial" w:cs="Arial" w:eastAsia="Arial" w:hAnsi="Arial"/>
                <w:b/>
                <w:bCs/>
                <w:color w:val="1F4E79"/>
                <w:sz w:val="20"/>
                <w:szCs w:val="20"/>
              </w:rPr>
              <w:t xml:space="preserve">Step 3</w:t>
            </w:r>
          </w:p>
          <w:p>
            <w:pPr>
              <w:spacing w:before="20"/>
            </w:pPr>
            <w:r>
              <w:rPr>
                <w:rFonts w:ascii="Arial" w:cs="Arial" w:eastAsia="Arial" w:hAnsi="Arial"/>
                <w:color w:val="1A1A1A"/>
                <w:sz w:val="20"/>
                <w:szCs w:val="20"/>
              </w:rPr>
              <w:t xml:space="preserve">8 min</w:t>
            </w:r>
          </w:p>
        </w:tc>
        <w:tc>
          <w:tcPr>
            <w:tcW w:type="dxa" w:w="636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r>
              <w:rPr>
                <w:rFonts w:ascii="Arial" w:cs="Arial" w:eastAsia="Arial" w:hAnsi="Arial"/>
                <w:b/>
                <w:bCs/>
                <w:color w:val="1A1A1A"/>
                <w:sz w:val="20"/>
                <w:szCs w:val="20"/>
              </w:rPr>
              <w:t xml:space="preserve">Ask AI — run the five demo questions below</w:t>
            </w:r>
          </w:p>
          <w:p>
            <w:pPr>
              <w:spacing w:before="20"/>
            </w:pPr>
            <w:r>
              <w:rPr>
                <w:rFonts w:ascii="Arial" w:cs="Arial" w:eastAsia="Arial" w:hAnsi="Arial"/>
                <w:color w:val="1A1A1A"/>
                <w:sz w:val="20"/>
                <w:szCs w:val="20"/>
              </w:rPr>
              <w:t xml:space="preserve">While the response generates, narrate what's happening: "The query is embedded using Amazon Bedrock's Titan model, Pinecone finds the most semantically similar chunks across the USPTO corpus, and Claude synthesizes the answer from that retrieved context — grounded in real case data, not hallucinated."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single" w:color="CCCCCC" w:sz="1"/>
            </w:tcBorders>
            <w:shd w:fill="F4F7FB" w:val="clear"/>
            <w:tcMar>
              <w:top w:type="dxa" w:w="100"/>
              <w:left w:type="dxa" w:w="160"/>
              <w:bottom w:type="dxa" w:w="100"/>
              <w:right w:type="dxa" w:w="160"/>
            </w:tcMar>
          </w:tcPr>
          <w:p>
            <w:r>
              <w:rPr>
                <w:rFonts w:ascii="Arial" w:cs="Arial" w:eastAsia="Arial" w:hAnsi="Arial"/>
                <w:b/>
                <w:bCs/>
                <w:color w:val="1F4E79"/>
                <w:sz w:val="20"/>
                <w:szCs w:val="20"/>
              </w:rPr>
              <w:t xml:space="preserve">Step 4</w:t>
            </w:r>
          </w:p>
          <w:p>
            <w:pPr>
              <w:spacing w:before="20"/>
            </w:pPr>
            <w:r>
              <w:rPr>
                <w:rFonts w:ascii="Arial" w:cs="Arial" w:eastAsia="Arial" w:hAnsi="Arial"/>
                <w:color w:val="1A1A1A"/>
                <w:sz w:val="20"/>
                <w:szCs w:val="20"/>
              </w:rPr>
              <w:t xml:space="preserve">3 min</w:t>
            </w:r>
          </w:p>
        </w:tc>
        <w:tc>
          <w:tcPr>
            <w:tcW w:type="dxa" w:w="636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r>
              <w:rPr>
                <w:rFonts w:ascii="Arial" w:cs="Arial" w:eastAsia="Arial" w:hAnsi="Arial"/>
                <w:b/>
                <w:bCs/>
                <w:color w:val="1A1A1A"/>
                <w:sz w:val="20"/>
                <w:szCs w:val="20"/>
              </w:rPr>
              <w:t xml:space="preserve">Show the roadmap document</w:t>
            </w:r>
          </w:p>
          <w:p>
            <w:pPr>
              <w:spacing w:before="20"/>
            </w:pPr>
            <w:r>
              <w:rPr>
                <w:rFonts w:ascii="Arial" w:cs="Arial" w:eastAsia="Arial" w:hAnsi="Arial"/>
                <w:color w:val="1A1A1A"/>
                <w:sz w:val="20"/>
                <w:szCs w:val="20"/>
              </w:rPr>
              <w:t xml:space="preserve">Open ptab_execution_plan.docx. Show the phase overview. Say: "Phases 1 and 2 ship the automation — scheduled data sync from USPTO, S3 event triggers for auto-ingestion into Pinecone. Phase 3 solves the terminology normalization problem — PTAB documents use inconsistent language, so I built a canonical schema and a query-rewriting layer. Phase 4 is the differentiator: downloading actual PTAB PDF documents and having Claude extract structured insights — claim strategies, rejection patterns, petitioner win rates."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ASK AI — 5 DEMO QUESTIONS  (type these exactly)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40"/>
        </w:tblCellMar>
      </w:tblPr>
      <w:tblGrid>
        <w:gridCol w:w="360"/>
        <w:gridCol w:w="5760"/>
        <w:gridCol w:w="324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5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i/>
                <w:iCs/>
                <w:color w:val="1A1A1A"/>
                <w:sz w:val="20"/>
                <w:szCs w:val="20"/>
              </w:rPr>
              <w:t xml:space="preserve">"What are the most common grounds petitioners use to challenge semiconductor patents at PTAB?"</w:t>
            </w:r>
          </w:p>
        </w:tc>
        <w:tc>
          <w:tcPr>
            <w:tcW w:type="dxa" w:w="324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20"/>
            </w:tcMar>
          </w:tcPr>
          <w:p>
            <w:r>
              <w:rPr>
                <w:rFonts w:ascii="Arial" w:cs="Arial" w:eastAsia="Arial" w:hAnsi="Arial"/>
                <w:color w:val="0D5C63"/>
                <w:sz w:val="18"/>
                <w:szCs w:val="18"/>
              </w:rPr>
              <w:t xml:space="preserve">Shows: domain knowledge + retrieval across proceedings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40"/>
        </w:tblCellMar>
      </w:tblPr>
      <w:tblGrid>
        <w:gridCol w:w="360"/>
        <w:gridCol w:w="5760"/>
        <w:gridCol w:w="324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5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i/>
                <w:iCs/>
                <w:color w:val="1A1A1A"/>
                <w:sz w:val="20"/>
                <w:szCs w:val="20"/>
              </w:rPr>
              <w:t xml:space="preserve">"What section 101 arguments have been successful against Alice rejections for AI and machine learning inventions?"</w:t>
            </w:r>
          </w:p>
        </w:tc>
        <w:tc>
          <w:tcPr>
            <w:tcW w:type="dxa" w:w="324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20"/>
            </w:tcMar>
          </w:tcPr>
          <w:p>
            <w:r>
              <w:rPr>
                <w:rFonts w:ascii="Arial" w:cs="Arial" w:eastAsia="Arial" w:hAnsi="Arial"/>
                <w:color w:val="0D5C63"/>
                <w:sz w:val="18"/>
                <w:szCs w:val="18"/>
              </w:rPr>
              <w:t xml:space="preserve">Shows: legal reasoning + §101 expertise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40"/>
        </w:tblCellMar>
      </w:tblPr>
      <w:tblGrid>
        <w:gridCol w:w="360"/>
        <w:gridCol w:w="5760"/>
        <w:gridCol w:w="324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5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i/>
                <w:iCs/>
                <w:color w:val="1A1A1A"/>
                <w:sz w:val="20"/>
                <w:szCs w:val="20"/>
              </w:rPr>
              <w:t xml:space="preserve">"Which technology areas have the highest IPR petition volume in recent years?"</w:t>
            </w:r>
          </w:p>
        </w:tc>
        <w:tc>
          <w:tcPr>
            <w:tcW w:type="dxa" w:w="324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20"/>
            </w:tcMar>
          </w:tcPr>
          <w:p>
            <w:r>
              <w:rPr>
                <w:rFonts w:ascii="Arial" w:cs="Arial" w:eastAsia="Arial" w:hAnsi="Arial"/>
                <w:color w:val="0D5C63"/>
                <w:sz w:val="18"/>
                <w:szCs w:val="18"/>
              </w:rPr>
              <w:t xml:space="preserve">Shows: trend analysis across patent corpus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40"/>
        </w:tblCellMar>
      </w:tblPr>
      <w:tblGrid>
        <w:gridCol w:w="360"/>
        <w:gridCol w:w="5760"/>
        <w:gridCol w:w="324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5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i/>
                <w:iCs/>
                <w:color w:val="1A1A1A"/>
                <w:sz w:val="20"/>
                <w:szCs w:val="20"/>
              </w:rPr>
              <w:t xml:space="preserve">"What prior art does the USPTO most commonly cite against neural network and deep learning patent claims?"</w:t>
            </w:r>
          </w:p>
        </w:tc>
        <w:tc>
          <w:tcPr>
            <w:tcW w:type="dxa" w:w="324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20"/>
            </w:tcMar>
          </w:tcPr>
          <w:p>
            <w:r>
              <w:rPr>
                <w:rFonts w:ascii="Arial" w:cs="Arial" w:eastAsia="Arial" w:hAnsi="Arial"/>
                <w:color w:val="0D5C63"/>
                <w:sz w:val="18"/>
                <w:szCs w:val="18"/>
              </w:rPr>
              <w:t xml:space="preserve">Shows: prior art intelligence use 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40"/>
        </w:tblCellMar>
      </w:tblPr>
      <w:tblGrid>
        <w:gridCol w:w="360"/>
        <w:gridCol w:w="5760"/>
        <w:gridCol w:w="324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w:t>
            </w:r>
          </w:p>
        </w:tc>
        <w:tc>
          <w:tcPr>
            <w:tcW w:type="dxa" w:w="5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20"/>
            </w:tcMar>
          </w:tcPr>
          <w:p>
            <w:r>
              <w:rPr>
                <w:rFonts w:ascii="Arial" w:cs="Arial" w:eastAsia="Arial" w:hAnsi="Arial"/>
                <w:i/>
                <w:iCs/>
                <w:color w:val="1A1A1A"/>
                <w:sz w:val="20"/>
                <w:szCs w:val="20"/>
              </w:rPr>
              <w:t xml:space="preserve">"Explain the difference between an IPR and a PGR proceeding and when each is used strategically"</w:t>
            </w:r>
          </w:p>
        </w:tc>
        <w:tc>
          <w:tcPr>
            <w:tcW w:type="dxa" w:w="3240"/>
            <w:tcBorders>
              <w:top w:val="single" w:color="CCCCCC" w:sz="1"/>
              <w:left w:val="single" w:color="CCCCCC" w:sz="1"/>
              <w:bottom w:val="single" w:color="CCCCCC" w:sz="1"/>
              <w:right w:val="single" w:color="CCCCCC" w:sz="1"/>
            </w:tcBorders>
            <w:shd w:fill="E6F4F5" w:val="clear"/>
            <w:tcMar>
              <w:top w:type="dxa" w:w="80"/>
              <w:left w:type="dxa" w:w="140"/>
              <w:bottom w:type="dxa" w:w="80"/>
              <w:right w:type="dxa" w:w="120"/>
            </w:tcMar>
          </w:tcPr>
          <w:p>
            <w:r>
              <w:rPr>
                <w:rFonts w:ascii="Arial" w:cs="Arial" w:eastAsia="Arial" w:hAnsi="Arial"/>
                <w:color w:val="0D5C63"/>
                <w:sz w:val="18"/>
                <w:szCs w:val="18"/>
              </w:rPr>
              <w:t xml:space="preserve">Shows: Claude synthesizing domain knowledge — good closer</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TECHNICAL QUESTIONS — PREPARED ANSWERS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gridSpan w:val="2"/>
            <w:tcBorders>
              <w:top w:val="single" w:color="CCCCCC" w:sz="1"/>
              <w:left w:val="none" w:color="FFFFFF" w:sz="0"/>
              <w:bottom w:val="none" w:color="FFFFFF" w:sz="0"/>
              <w:right w:val="none" w:color="FFFFFF" w:sz="0"/>
            </w:tcBorders>
            <w:shd w:fill="1F4E79" w:val="clear"/>
            <w:tcMar>
              <w:top w:type="dxa" w:w="80"/>
              <w:left w:type="dxa" w:w="160"/>
              <w:bottom w:type="dxa" w:w="80"/>
              <w:right w:type="dxa" w:w="120"/>
            </w:tcMar>
          </w:tcPr>
          <w:p>
            <w:r>
              <w:rPr>
                <w:rFonts w:ascii="Arial" w:cs="Arial" w:eastAsia="Arial" w:hAnsi="Arial"/>
                <w:b/>
                <w:bCs/>
                <w:color w:val="FFFFFF"/>
                <w:sz w:val="20"/>
                <w:szCs w:val="20"/>
              </w:rPr>
              <w:t xml:space="preserve">Q: Walk me through how the RAG pipeline works</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160"/>
              <w:bottom w:type="dxa" w:w="40"/>
              <w:right w:type="dxa" w:w="120"/>
            </w:tcMar>
          </w:tcPr>
          <w:p>
            <w:r>
              <w:rPr>
                <w:rFonts w:ascii="Arial" w:cs="Arial" w:eastAsia="Arial" w:hAnsi="Arial"/>
                <w:color w:val="1A1A1A"/>
                <w:sz w:val="20"/>
                <w:szCs w:val="20"/>
              </w:rPr>
              <w:t xml:space="preserve">User query comes into the Next.js API route, which proxies it server-side to an API Gateway endpoint — so the AWS URL never hits the browser. A Python Lambda receives it, embeds the query using Amazon Bedrock's Titan embedding model, queries Pinecone for the top-k most semantically similar chunks across the USPTO corpus, then passes those chunks as context to Claude along with the original question. Claude synthesizes a grounded answer from that retrieved context.</w:t>
            </w:r>
          </w:p>
        </w:tc>
      </w:tr>
      <w:tr>
        <w:tc>
          <w:tcPr>
            <w:tcW w:type="dxa" w:w="9360"/>
            <w:gridSpan w:val="2"/>
            <w:tcBorders>
              <w:top w:val="none" w:color="FFFFFF" w:sz="0"/>
              <w:left w:val="none" w:color="FFFFFF" w:sz="0"/>
              <w:bottom w:val="single" w:color="CCCCCC" w:sz="1"/>
              <w:right w:val="none" w:color="FFFFFF" w:sz="0"/>
            </w:tcBorders>
            <w:shd w:fill="E6F4F5" w:val="clear"/>
            <w:tcMar>
              <w:top w:type="dxa" w:w="60"/>
              <w:left w:type="dxa" w:w="160"/>
              <w:bottom w:type="dxa" w:w="100"/>
              <w:right w:type="dxa" w:w="120"/>
            </w:tcMar>
          </w:tcPr>
          <w:p>
            <w:r>
              <w:rPr>
                <w:rFonts w:ascii="Arial" w:cs="Arial" w:eastAsia="Arial" w:hAnsi="Arial"/>
                <w:i/>
                <w:iCs/>
                <w:color w:val="0D5C63"/>
                <w:sz w:val="18"/>
                <w:szCs w:val="18"/>
              </w:rPr>
              <w:t xml:space="preserve">💡 Follow up offer: "I can show you the Lambda source code on GitHub if you want to go deeper."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gridSpan w:val="2"/>
            <w:tcBorders>
              <w:top w:val="single" w:color="CCCCCC" w:sz="1"/>
              <w:left w:val="none" w:color="FFFFFF" w:sz="0"/>
              <w:bottom w:val="none" w:color="FFFFFF" w:sz="0"/>
              <w:right w:val="none" w:color="FFFFFF" w:sz="0"/>
            </w:tcBorders>
            <w:shd w:fill="1F4E79" w:val="clear"/>
            <w:tcMar>
              <w:top w:type="dxa" w:w="80"/>
              <w:left w:type="dxa" w:w="160"/>
              <w:bottom w:type="dxa" w:w="80"/>
              <w:right w:type="dxa" w:w="120"/>
            </w:tcMar>
          </w:tcPr>
          <w:p>
            <w:r>
              <w:rPr>
                <w:rFonts w:ascii="Arial" w:cs="Arial" w:eastAsia="Arial" w:hAnsi="Arial"/>
                <w:b/>
                <w:bCs/>
                <w:color w:val="FFFFFF"/>
                <w:sz w:val="20"/>
                <w:szCs w:val="20"/>
              </w:rPr>
              <w:t xml:space="preserve">Q: Why Pinecone over OpenSearch or pgvector?</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160"/>
              <w:bottom w:type="dxa" w:w="40"/>
              <w:right w:type="dxa" w:w="120"/>
            </w:tcMar>
          </w:tcPr>
          <w:p>
            <w:r>
              <w:rPr>
                <w:rFonts w:ascii="Arial" w:cs="Arial" w:eastAsia="Arial" w:hAnsi="Arial"/>
                <w:color w:val="1A1A1A"/>
                <w:sz w:val="20"/>
                <w:szCs w:val="20"/>
              </w:rPr>
              <w:t xml:space="preserve">Managed vector DB with no ops burden — no cluster to size or maintain. For a solo-built project at this stage, the operational simplicity is worth the cost. That said, the architecture is designed so Pinecone could be swapped for OpenSearch Serverless or pgvector without changing the Lambda interface — the vector store is behind an abstraction layer.</w:t>
            </w:r>
          </w:p>
        </w:tc>
      </w:tr>
      <w:tr>
        <w:tc>
          <w:tcPr>
            <w:tcW w:type="dxa" w:w="9360"/>
            <w:gridSpan w:val="2"/>
            <w:tcBorders>
              <w:top w:val="none" w:color="FFFFFF" w:sz="0"/>
              <w:left w:val="none" w:color="FFFFFF" w:sz="0"/>
              <w:bottom w:val="single" w:color="CCCCCC" w:sz="1"/>
              <w:right w:val="none" w:color="FFFFFF" w:sz="0"/>
            </w:tcBorders>
            <w:shd w:fill="E6F4F5" w:val="clear"/>
            <w:tcMar>
              <w:top w:type="dxa" w:w="60"/>
              <w:left w:type="dxa" w:w="160"/>
              <w:bottom w:type="dxa" w:w="100"/>
              <w:right w:type="dxa" w:w="120"/>
            </w:tcMar>
          </w:tcPr>
          <w:p>
            <w:r>
              <w:rPr>
                <w:rFonts w:ascii="Arial" w:cs="Arial" w:eastAsia="Arial" w:hAnsi="Arial"/>
                <w:i/>
                <w:iCs/>
                <w:color w:val="0D5C63"/>
                <w:sz w:val="18"/>
                <w:szCs w:val="18"/>
              </w:rPr>
              <w:t xml:space="preserve">💡 Shows: you made a deliberate tradeoff decision, not a default choice.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gridSpan w:val="2"/>
            <w:tcBorders>
              <w:top w:val="single" w:color="CCCCCC" w:sz="1"/>
              <w:left w:val="none" w:color="FFFFFF" w:sz="0"/>
              <w:bottom w:val="none" w:color="FFFFFF" w:sz="0"/>
              <w:right w:val="none" w:color="FFFFFF" w:sz="0"/>
            </w:tcBorders>
            <w:shd w:fill="1F4E79" w:val="clear"/>
            <w:tcMar>
              <w:top w:type="dxa" w:w="80"/>
              <w:left w:type="dxa" w:w="160"/>
              <w:bottom w:type="dxa" w:w="80"/>
              <w:right w:type="dxa" w:w="120"/>
            </w:tcMar>
          </w:tcPr>
          <w:p>
            <w:r>
              <w:rPr>
                <w:rFonts w:ascii="Arial" w:cs="Arial" w:eastAsia="Arial" w:hAnsi="Arial"/>
                <w:b/>
                <w:bCs/>
                <w:color w:val="FFFFFF"/>
                <w:sz w:val="20"/>
                <w:szCs w:val="20"/>
              </w:rPr>
              <w:t xml:space="preserve">Q: Why Lambda instead of ECS or a long-running service?</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160"/>
              <w:bottom w:type="dxa" w:w="40"/>
              <w:right w:type="dxa" w:w="120"/>
            </w:tcMar>
          </w:tcPr>
          <w:p>
            <w:r>
              <w:rPr>
                <w:rFonts w:ascii="Arial" w:cs="Arial" w:eastAsia="Arial" w:hAnsi="Arial"/>
                <w:color w:val="1A1A1A"/>
                <w:sz w:val="20"/>
                <w:szCs w:val="20"/>
              </w:rPr>
              <w:t xml:space="preserve">The workload pattern is bursty and latency-tolerant — a patent attorney asks a question every few minutes, not thousands of requests per second. Lambda's cold start is acceptable here. It also means zero infrastructure management and true pay-per-use billing. The browse Lambda in particular is ZIP-deployed, not containerized, because it only needs boto3 which is built into the Python runtime — that keeps deploy time under 10 seconds.</w:t>
            </w:r>
          </w:p>
        </w:tc>
      </w:tr>
      <w:tr>
        <w:tc>
          <w:tcPr>
            <w:tcW w:type="dxa" w:w="9360"/>
            <w:gridSpan w:val="2"/>
            <w:tcBorders>
              <w:top w:val="none" w:color="FFFFFF" w:sz="0"/>
              <w:left w:val="none" w:color="FFFFFF" w:sz="0"/>
              <w:bottom w:val="single" w:color="CCCCCC" w:sz="1"/>
              <w:right w:val="none" w:color="FFFFFF" w:sz="0"/>
            </w:tcBorders>
            <w:shd w:fill="E6F4F5" w:val="clear"/>
            <w:tcMar>
              <w:top w:type="dxa" w:w="60"/>
              <w:left w:type="dxa" w:w="160"/>
              <w:bottom w:type="dxa" w:w="100"/>
              <w:right w:type="dxa" w:w="120"/>
            </w:tcMar>
          </w:tcPr>
          <w:p>
            <w:r>
              <w:rPr>
                <w:rFonts w:ascii="Arial" w:cs="Arial" w:eastAsia="Arial" w:hAnsi="Arial"/>
                <w:i/>
                <w:iCs/>
                <w:color w:val="0D5C63"/>
                <w:sz w:val="18"/>
                <w:szCs w:val="18"/>
              </w:rPr>
              <w:t xml:space="preserve">💡 Shows: you matched the architecture to the actual usage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gridSpan w:val="2"/>
            <w:tcBorders>
              <w:top w:val="single" w:color="CCCCCC" w:sz="1"/>
              <w:left w:val="none" w:color="FFFFFF" w:sz="0"/>
              <w:bottom w:val="none" w:color="FFFFFF" w:sz="0"/>
              <w:right w:val="none" w:color="FFFFFF" w:sz="0"/>
            </w:tcBorders>
            <w:shd w:fill="1F4E79" w:val="clear"/>
            <w:tcMar>
              <w:top w:type="dxa" w:w="80"/>
              <w:left w:type="dxa" w:w="160"/>
              <w:bottom w:type="dxa" w:w="80"/>
              <w:right w:type="dxa" w:w="120"/>
            </w:tcMar>
          </w:tcPr>
          <w:p>
            <w:r>
              <w:rPr>
                <w:rFonts w:ascii="Arial" w:cs="Arial" w:eastAsia="Arial" w:hAnsi="Arial"/>
                <w:b/>
                <w:bCs/>
                <w:color w:val="FFFFFF"/>
                <w:sz w:val="20"/>
                <w:szCs w:val="20"/>
              </w:rPr>
              <w:t xml:space="preserve">Q: How do you handle the inconsistent terminology across USPTO documents?</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160"/>
              <w:bottom w:type="dxa" w:w="120"/>
              <w:right w:type="dxa" w:w="120"/>
            </w:tcMar>
          </w:tcPr>
          <w:p>
            <w:r>
              <w:rPr>
                <w:rFonts w:ascii="Arial" w:cs="Arial" w:eastAsia="Arial" w:hAnsi="Arial"/>
                <w:color w:val="1A1A1A"/>
                <w:sz w:val="20"/>
                <w:szCs w:val="20"/>
              </w:rPr>
              <w:t xml:space="preserve">That's actually Phase 3 of the roadmap — I identified it as a prerequisite for the AI document intelligence layer. USPTO documents use different terms for the same concept: 'proceeding number', 'case #', 'case no.', 'trial number' all mean the same thing. '103 rejection', 'OBV', 'obviousness' all mean §103. The solution is a canonical terminology schema — a Python dict of synonym clusters — plus a Claude haiku query-rewriting step that normalizes user queries before embedding, and a normalization pass over the S3 records. It's sequenced before the AI analysis layer so extracted insights are clean from day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gridSpan w:val="2"/>
            <w:tcBorders>
              <w:top w:val="single" w:color="CCCCCC" w:sz="1"/>
              <w:left w:val="none" w:color="FFFFFF" w:sz="0"/>
              <w:bottom w:val="none" w:color="FFFFFF" w:sz="0"/>
              <w:right w:val="none" w:color="FFFFFF" w:sz="0"/>
            </w:tcBorders>
            <w:shd w:fill="1F4E79" w:val="clear"/>
            <w:tcMar>
              <w:top w:type="dxa" w:w="80"/>
              <w:left w:type="dxa" w:w="160"/>
              <w:bottom w:type="dxa" w:w="80"/>
              <w:right w:type="dxa" w:w="120"/>
            </w:tcMar>
          </w:tcPr>
          <w:p>
            <w:r>
              <w:rPr>
                <w:rFonts w:ascii="Arial" w:cs="Arial" w:eastAsia="Arial" w:hAnsi="Arial"/>
                <w:b/>
                <w:bCs/>
                <w:color w:val="FFFFFF"/>
                <w:sz w:val="20"/>
                <w:szCs w:val="20"/>
              </w:rPr>
              <w:t xml:space="preserve">Q: What's the hardest engineering problem you solved in this project?</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160"/>
              <w:bottom w:type="dxa" w:w="40"/>
              <w:right w:type="dxa" w:w="120"/>
            </w:tcMar>
          </w:tcPr>
          <w:p>
            <w:r>
              <w:rPr>
                <w:rFonts w:ascii="Arial" w:cs="Arial" w:eastAsia="Arial" w:hAnsi="Arial"/>
                <w:color w:val="1A1A1A"/>
                <w:sz w:val="20"/>
                <w:szCs w:val="20"/>
              </w:rPr>
              <w:t xml:space="preserve">Two things. First, the USPTO migrated their API from developer.uspto.gov to api.uspto.gov — a new base URL, new auth (X-API-KEY header instead of query param), different pagination patterns per endpoint, and different response key names. The proceedings endpoint returns 'patentTrialProceedingDataBag', applications returns 'patentFileWrapperDataBag' — none of it documented consistently. I debugged it by printing raw response keys at runtime and working backwards from the actual data. Second, the ODP stores application metadata in a deeply nested structure — fields like filing date and status live inside 'applicationMetaData' inside 'raw'. The browse Lambda's enrich() function maps from those actual field paths to the flat structure the UI expects.</w:t>
            </w:r>
          </w:p>
        </w:tc>
      </w:tr>
      <w:tr>
        <w:tc>
          <w:tcPr>
            <w:tcW w:type="dxa" w:w="9360"/>
            <w:gridSpan w:val="2"/>
            <w:tcBorders>
              <w:top w:val="none" w:color="FFFFFF" w:sz="0"/>
              <w:left w:val="none" w:color="FFFFFF" w:sz="0"/>
              <w:bottom w:val="single" w:color="CCCCCC" w:sz="1"/>
              <w:right w:val="none" w:color="FFFFFF" w:sz="0"/>
            </w:tcBorders>
            <w:shd w:fill="E6F4F5" w:val="clear"/>
            <w:tcMar>
              <w:top w:type="dxa" w:w="60"/>
              <w:left w:type="dxa" w:w="160"/>
              <w:bottom w:type="dxa" w:w="100"/>
              <w:right w:type="dxa" w:w="120"/>
            </w:tcMar>
          </w:tcPr>
          <w:p>
            <w:r>
              <w:rPr>
                <w:rFonts w:ascii="Arial" w:cs="Arial" w:eastAsia="Arial" w:hAnsi="Arial"/>
                <w:i/>
                <w:iCs/>
                <w:color w:val="0D5C63"/>
                <w:sz w:val="18"/>
                <w:szCs w:val="18"/>
              </w:rPr>
              <w:t xml:space="preserve">💡 Shows: you deal with real-world messy APIs, not clean sandbox demos.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gridSpan w:val="2"/>
            <w:tcBorders>
              <w:top w:val="single" w:color="CCCCCC" w:sz="1"/>
              <w:left w:val="none" w:color="FFFFFF" w:sz="0"/>
              <w:bottom w:val="none" w:color="FFFFFF" w:sz="0"/>
              <w:right w:val="none" w:color="FFFFFF" w:sz="0"/>
            </w:tcBorders>
            <w:shd w:fill="1F4E79" w:val="clear"/>
            <w:tcMar>
              <w:top w:type="dxa" w:w="80"/>
              <w:left w:type="dxa" w:w="160"/>
              <w:bottom w:type="dxa" w:w="80"/>
              <w:right w:type="dxa" w:w="120"/>
            </w:tcMar>
          </w:tcPr>
          <w:p>
            <w:r>
              <w:rPr>
                <w:rFonts w:ascii="Arial" w:cs="Arial" w:eastAsia="Arial" w:hAnsi="Arial"/>
                <w:b/>
                <w:bCs/>
                <w:color w:val="FFFFFF"/>
                <w:sz w:val="20"/>
                <w:szCs w:val="20"/>
              </w:rPr>
              <w:t xml:space="preserve">Q: How is this different from just using ChatGPT with patent data?</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160"/>
              <w:bottom w:type="dxa" w:w="120"/>
              <w:right w:type="dxa" w:w="120"/>
            </w:tcMar>
          </w:tcPr>
          <w:p>
            <w:r>
              <w:rPr>
                <w:rFonts w:ascii="Arial" w:cs="Arial" w:eastAsia="Arial" w:hAnsi="Arial"/>
                <w:color w:val="1A1A1A"/>
                <w:sz w:val="20"/>
                <w:szCs w:val="20"/>
              </w:rPr>
              <w:t xml:space="preserve">Three differences. First, the data is real and current — live USPTO ODP data, not training data from a cutoff date. Second, answers are grounded in retrieved documents with citations — Claude doesn't hallucinate patent case numbers because it's only synthesizing from actual retrieved chunks. Third, the architecture is production-grade and extensible: Terraform-managed infra, automated ingestion pipeline, and a roadmap to add AI extraction of full PTAB PDFs for structured insights no general-purpose LLM can produce without that specific corpus.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tcBorders>
              <w:top w:val="none" w:color="FFFFFF" w:sz="0"/>
              <w:left w:val="none" w:color="FFFFFF" w:sz="0"/>
              <w:bottom w:val="none" w:color="FFFFFF" w:sz="0"/>
              <w:right w:val="none" w:color="FFFFFF" w:sz="0"/>
            </w:tcBorders>
            <w:shd w:fill="1A5C35" w:val="clear"/>
            <w:tcMar>
              <w:top w:type="dxa" w:w="80"/>
              <w:left w:type="dxa" w:w="160"/>
              <w:bottom w:type="dxa" w:w="80"/>
              <w:right w:type="dxa" w:w="160"/>
            </w:tcMar>
          </w:tcPr>
          <w:p>
            <w:r>
              <w:rPr>
                <w:rFonts w:ascii="Arial" w:cs="Arial" w:eastAsia="Arial" w:hAnsi="Arial"/>
                <w:b/>
                <w:bCs/>
                <w:color w:val="FFFFFF"/>
                <w:sz w:val="20"/>
                <w:szCs w:val="20"/>
              </w:rPr>
              <w:t xml:space="preserve">CLOSING LINE  (end with this)</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thick" w:color="1A5C35" w:sz="24"/>
              <w:bottom w:val="none" w:color="FFFFFF" w:sz="0"/>
              <w:right w:val="none" w:color="FFFFFF" w:sz="0"/>
            </w:tcBorders>
            <w:shd w:fill="E8F5EE" w:val="clear"/>
            <w:tcMar>
              <w:top w:type="dxa" w:w="140"/>
              <w:left w:type="dxa" w:w="200"/>
              <w:bottom w:type="dxa" w:w="140"/>
              <w:right w:type="dxa" w:w="200"/>
            </w:tcMar>
          </w:tcPr>
          <w:p>
            <w:r>
              <w:rPr>
                <w:rFonts w:ascii="Arial" w:cs="Arial" w:eastAsia="Arial" w:hAnsi="Arial"/>
                <w:i/>
                <w:iCs/>
                <w:color w:val="1A1A1A"/>
                <w:sz w:val="21"/>
                <w:szCs w:val="21"/>
              </w:rPr>
              <w:t xml:space="preserve">"What I'm looking for is a place where I can do this kind of work at scale — taking real domain problems, building working AI products on top of them, and owning the full stack from data pipeline to user experience. Based on what I've seen about Robots and Pencils, that's exactly what you do. I'd love to hear more about the specific problems your team is working 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60"/>
        </w:tblCellMar>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80"/>
              <w:left w:type="dxa" w:w="160"/>
              <w:bottom w:type="dxa" w:w="80"/>
              <w:right w:type="dxa" w:w="160"/>
            </w:tcMar>
          </w:tcPr>
          <w:p>
            <w:r>
              <w:rPr>
                <w:rFonts w:ascii="Arial" w:cs="Arial" w:eastAsia="Arial" w:hAnsi="Arial"/>
                <w:b/>
                <w:bCs/>
                <w:color w:val="FFFFFF"/>
                <w:sz w:val="20"/>
                <w:szCs w:val="20"/>
              </w:rPr>
              <w:t xml:space="preserve">QUICK REFERENCE</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4E79"/>
                <w:sz w:val="20"/>
                <w:szCs w:val="20"/>
              </w:rPr>
              <w:t xml:space="preserve">Tech stack</w:t>
            </w:r>
          </w:p>
        </w:tc>
        <w:tc>
          <w:tcPr>
            <w:tcW w:type="dxa" w:w="74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20"/>
                <w:szCs w:val="20"/>
              </w:rPr>
              <w:t xml:space="preserve">Python Lambda · Next.js 15 App Router · Pinecone · Amazon Bedrock (Titan) · Claude haiku · API Gateway · S3 · Terraform · AWS Amplify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Data source</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USPTO ODP (api.uspto.gov) — applications, proceedings (IPR/PGR), rejection statistics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4E79"/>
                <w:sz w:val="20"/>
                <w:szCs w:val="20"/>
              </w:rPr>
              <w:t xml:space="preserve">GitHub</w:t>
            </w:r>
          </w:p>
        </w:tc>
        <w:tc>
          <w:tcPr>
            <w:tcW w:type="dxa" w:w="74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20"/>
                <w:szCs w:val="20"/>
              </w:rPr>
              <w:t xml:space="preserve">github.com/naveen-arjunan/ptab-intelligence  (show this if asked for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Key differentiator</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Full-stack ownership: data ingestion → vector indexing → RAG query → UI → IaC. Not a prototype — a deployed product.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4E79"/>
                <w:sz w:val="20"/>
                <w:szCs w:val="20"/>
              </w:rPr>
              <w:t xml:space="preserve">Resume connection</w:t>
            </w:r>
          </w:p>
        </w:tc>
        <w:tc>
          <w:tcPr>
            <w:tcW w:type="dxa" w:w="74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20"/>
                <w:szCs w:val="20"/>
              </w:rPr>
              <w:t xml:space="preserve">USPTO PEDS (2018–2019) → 14M+ patent RAG at scale (Sky, 2025) → PTAB Intelligence (personal, built from first principles)</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2026-04-15T02:58:41.173Z</dcterms:created>
  <dcterms:modified xsi:type="dcterms:W3CDTF">2026-04-15T02:58:41.187Z</dcterms:modified>
</cp:coreProperties>
</file>

<file path=docProps/custom.xml><?xml version="1.0" encoding="utf-8"?>
<Properties xmlns="http://schemas.openxmlformats.org/officeDocument/2006/custom-properties" xmlns:vt="http://schemas.openxmlformats.org/officeDocument/2006/docPropsVTypes"/>
</file>