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200"/></w:pPr></w:p><w:p><w:pPr><w:jc w:val="center"/></w:pPr><w:r><w:rPr><w:rFonts w:ascii="Arial" w:cs="Arial" w:eastAsia="Arial" w:hAnsi="Arial"/><w:b/><w:bCs/><w:color w:val="1F4E79"/><w:sz w:val="64"/><w:szCs w:val="64"/></w:rPr><w:t xml:space="preserve">PTAB Intelligence</w:t></w:r></w:p><w:p><w:pPr><w:spacing w:before="160"/><w:jc w:val="center"/></w:pPr><w:r><w:rPr><w:rFonts w:ascii="Arial" w:cs="Arial" w:eastAsia="Arial" w:hAnsi="Arial"/><w:color w:val="666666"/><w:sz w:val="28"/><w:szCs w:val="28"/></w:rPr><w:t xml:space="preserve">Product Roadmap &amp; Productionalization Strategy</w:t></w:r></w:p><w:p><w:pPr><w:spacing w:before="80"/><w:jc w:val="center"/></w:pPr><w:r><w:rPr><w:rFonts w:ascii="Arial" w:cs="Arial" w:eastAsia="Arial" w:hAnsi="Arial"/><w:i/><w:iCs/><w:color w:val="666666"/><w:sz w:val="22"/><w:szCs w:val="22"/></w:rPr><w:t xml:space="preserve">April 2026</w:t></w:r></w:p><w:p><w:pPr><w:spacing w:before="60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E8F0F7" w:val="clear"/><w:tcMar><w:top w:type="dxa" w:w="240"/><w:left w:type="dxa" w:w="400"/><w:bottom w:type="dxa" w:w="240"/><w:right w:type="dxa" w:w="400"/></w:tcMar></w:tcPr><w:p><w:pPr><w:jc w:val="center"/></w:pPr><w:r><w:rPr><w:rFonts w:ascii="Arial" w:cs="Arial" w:eastAsia="Arial" w:hAnsi="Arial"/><w:i/><w:iCs/><w:color w:val="1F4E79"/><w:sz w:val="24"/><w:szCs w:val="24"/></w:rPr><w:t xml:space="preserve">AI-powered patent intelligence — from raw USPTO data to actionable insights for IP attorneys, technologists, and portfolio managers.</w:t></w:r></w:p></w:tc></w:tr></w:tbl><w:p><w:r><w:br w:type="page"/></w:r></w:p><w:p><w:pPr><w:pStyle w:val="Heading1"/><w:pBdr><w:bottom w:val="single" w:color="2E75B6" w:sz="8" w:space="6"/></w:pBdr><w:spacing w:after="160" w:before="400"/></w:pPr><w:r><w:rPr><w:rFonts w:ascii="Arial" w:cs="Arial" w:eastAsia="Arial" w:hAnsi="Arial"/><w:b/><w:bCs/><w:color w:val="1F4E79"/><w:sz w:val="32"/><w:szCs w:val="32"/></w:rPr><w:t xml:space="preserve">Executive Summary</w:t></w:r></w:p><w:p><w:pPr><w:spacing w:after="100" w:before="60"/></w:pPr><w:r><w:rPr><w:rFonts w:ascii="Arial" w:cs="Arial" w:eastAsia="Arial" w:hAnsi="Arial"/><w:color w:val="404040"/><w:sz w:val="22"/><w:szCs w:val="22"/></w:rPr><w:t xml:space="preserve">PTAB Intelligence is a production-grade RAG (Retrieval-Augmented Generation) platform built on AWS that ingests, indexes, and analyzes USPTO patent data — applications, proceedings (IPR/PGR), and rejection statistics. The system is functional end-to-end. This document defines the three-pillar strategy to take it from working prototype to a fully productionalized, continuously updated, AI-enriched intelligence product.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60"/><w:bottom w:type="dxa" w:w="160"/></w:tblCellMar></w:tblPr><w:tblGrid><w:gridCol w:w="480"/><w:gridCol w:w="2400"/><w:gridCol w:w="3840"/><w:gridCol w:w="2640"/></w:tblGrid><w:tr><0/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AWS UI Deployment</w:t></w:r></w:p></w:tc><w:tc><w:tcPr><w:tcW w:type="dxa" w:w="38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Next.js app live on AWS Amplify behind a custom domain with CI/CD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Week 1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2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USPTO Data Sync</w:t></w:r></w:p></w:tc><w:tc><w:tcPr><w:tcW w:type="dxa" w:w="384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EventBridge-scheduled Lambdas keep S3 current; S3 triggers auto-ingest into Pinecone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Week 2–3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3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AI Document Intelligence</w:t></w:r></w:p></w:tc><w:tc><w:tcPr><w:tcW w:type="dxa" w:w="38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Claude reads full PDF documents, extracts structured insights, powers analytics dashboards</w:t></w:r></w:p></w:tc><w:tc><w:tcPr><w:tcW w:type="dxa" w:w="26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Week 3–8</w:t></w:r></w:p></w:tc></w:tr></w:tbl><w:p><w:r><w:t xml:space="preserve"></w:t></w:r></w:p><w:p><w:r><w:t xml:space="preserve"></w:t></w:r></w:p><w:p><w:r><w:br w:type="page"/></w:r></w:p><w:p><w:pPr><w:pStyle w:val="Heading1"/><w:pBdr><w:bottom w:val="single" w:color="2E75B6" w:sz="8" w:space="6"/></w:pBdr><w:spacing w:after="160" w:before="400"/></w:pPr><w:r><w:rPr><w:rFonts w:ascii="Arial" w:cs="Arial" w:eastAsia="Arial" w:hAnsi="Arial"/><w:b/><w:bCs/><w:color w:val="1F4E79"/><w:sz w:val="32"/><w:szCs w:val="32"/></w:rPr><w:t xml:space="preserve">Pillar 1 — AWS UI Deployment</w:t></w:r></w:p><w:p><w:pPr><w:spacing w:after="100" w:before="60"/></w:pPr><w:r><w:rPr><w:rFonts w:ascii="Arial" w:cs="Arial" w:eastAsia="Arial" w:hAnsi="Arial"/><w:color w:val="404040"/><w:sz w:val="22"/><w:szCs w:val="22"/></w:rPr><w:t xml:space="preserve">The Next.js UI needs server-side rendering (SSR) because the /api/query and /api/browse routes run server-side to keep the API Gateway URL out of the browser. This means a static S3 export will not work — we need a compute layer.</w:t></w:r></w:p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Recommended: AWS Amplify Hosting</w:t></w:r></w:p><w:p><w:pPr><w:spacing w:after="100" w:before="60"/></w:pPr><w:r><w:rPr><w:rFonts w:ascii="Arial" w:cs="Arial" w:eastAsia="Arial" w:hAnsi="Arial"/><w:color w:val="404040"/><w:sz w:val="22"/><w:szCs w:val="22"/></w:rPr><w:t xml:space="preserve">AWS Amplify Gen 2 supports Next.js App Router with SSR natively. It is the fastest path to production with the least operational overhead.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60"/><w:bottom w:type="dxa" w:w="160"/></w:tblCellMar></w:tblPr><w:tblGrid><w:gridCol w:w="2880"/><w:gridCol w:w="3240"/><w:gridCol w:w="3240"/></w:tblGrid><w:tr><w:tc><w:tcPr><w:tcW w:type="dxa" w:w="288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Option</w:t></w:r></w:p></w:tc><w:tc><w:tcPr><w:tcW w:type="dxa" w:w="324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Pros</w:t></w:r></w:p></w:tc><w:tc><w:tcPr><w:tcW w:type="dxa" w:w="324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Cons</w:t></w:r></w:p></w:tc></w:tr><w:tr><w:tc><w:tcPr><w:tcW w:type="dxa" w:w="28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AWS Amplify (recommended)</w:t></w:r></w:p></w:tc><w:tc><w:tcPr><w:tcW w:type="dxa" w:w="32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Native Next.js SSR, CI/CD from GitHub, custom domain + HTTPS in 10 minutes, no Dockerfile needed</w:t></w:r></w:p></w:tc><w:tc><w:tcPr><w:tcW w:type="dxa" w:w="32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Less control over underlying compute</w:t></w:r></w:p></w:tc></w:tr><w:tr><w:tc><w:tcPr><w:tcW w:type="dxa" w:w="28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ECS Fargate + ALB</w:t></w:r></w:p></w:tc><w:tc><w:tcPr><w:tcW w:type="dxa" w:w="324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Full control, same ARM64 arch as other Lambdas, scales to zero with FARGATE_SPOT</w:t></w:r></w:p></w:tc><w:tc><w:tcPr><w:tcW w:type="dxa" w:w="324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Requires Dockerfile, ALB config, more Terraform</w:t></w:r></w:p></w:tc></w:tr><w:tr><w:tc><w:tcPr><w:tcW w:type="dxa" w:w="28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Vercel</w:t></w:r></w:p></w:tc><w:tc><w:tcPr><w:tcW w:type="dxa" w:w="32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Zero config, best Next.js DX, global edge</w:t></w:r></w:p></w:tc><w:tc><w:tcPr><w:tcW w:type="dxa" w:w="32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Not AWS-native; separate billing/account; data egress costs</w:t></w:r></w:p></w:tc></w:tr></w:tbl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Amplify Deployment Steps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Add amplify.yml to the repo root — tells Amplify how to build the Next.js app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Connect the GitHub repo in the Amplify console (one click)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Add environment variable: API_GATEWAY_URL = https://oa394pk35j.execute-api.us-east-1.amazonaws.com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Add custom domain (e.g., ptab.yourcompany.com) — Amplify handles ACM certificate automatically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Every push to main triggers a rebuild and deploy — CI/CD is built in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9360"/></w:tblGrid><w:tr><w:tc><w:tcPr><w:tcW w:type="dxa" w:w="9360"/><w:tcBorders><w:top w:val="none" w:color="FFFFFF" w:sz="0"/><w:left w:val="thick" w:color="2E75B6" w:sz="24"/><w:bottom w:val="none" w:color="FFFFFF" w:sz="0"/><w:right w:val="none" w:color="FFFFFF" w:sz="0"/></w:tcBorders><w:shd w:fill="E8F0F7" w:val="clear"/><w:tcMar><w:top w:type="dxa" w:w="100"/><w:left w:type="dxa" w:w="200"/><w:bottom w:type="dxa" w:w="100"/><w:right w:type="dxa" w:w="200"/></w:tcMar></w:tcPr><w:p><w:r><w:rPr><w:rFonts w:ascii="Arial" w:cs="Arial" w:eastAsia="Arial" w:hAnsi="Arial"/><w:i/><w:iCs/><w:color w:val="404040"/><w:sz w:val="21"/><w:szCs w:val="21"/></w:rPr><w:t xml:space="preserve">Security note: The API_GATEWAY_URL is a server-side environment variable in Amplify — it is never sent to the browser. The Next.js proxy routes (/api/query, /api/browse) forward requests from the browser to the API Gateway without exposing the AWS URL.</w:t></w:r></w:p></w:tc></w:tr></w:tbl><w:p><w:r><w:t xml:space="preserve"></w:t></w:r></w:p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Infrastructure Changes (Terraform)</w:t></w:r></w:p><w:p><w:pPr><w:spacing w:after="100" w:before="60"/></w:pPr><w:r><w:rPr><w:rFonts w:ascii="Arial" w:cs="Arial" w:eastAsia="Arial" w:hAnsi="Arial"/><w:color w:val="404040"/><w:sz w:val="22"/><w:szCs w:val="22"/></w:rPr><w:t xml:space="preserve">No changes needed to existing Lambda or API Gateway Terraform. Amplify can be added as a separate Terraform resource or managed via the console. The only new AWS resources are: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aws_amplify_app — points to the GitHub repo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aws_amplify_branch — tracks the main branch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aws_amplify_domain_association — custom domain with HTTPS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60"/><w:bottom w:type="dxa" w:w="160"/></w:tblCellMar></w:tblPr><w:tblGrid><w:gridCol w:w="1800"/><w:gridCol w:w="3000"/><w:gridCol w:w="2160"/><w:gridCol w:w="2400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Phase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Deliverable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Effort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Outcome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P1.1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Create amplify.yml build spec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2 hours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App builds in CI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P1.2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Connect GitHub repo to Amplify console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30 min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First deploy live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P1.3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Set API_GATEWAY_URL environment variable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10 min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Chat and browse work in prod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P1.4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custom domain + HTTPS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 hour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Public URL ready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P1.5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Rotate API keys (Pinecone, Anthropic, ODP)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 hour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Keys no longer in chat history</w:t></w:r></w:p></w:tc></w:tr></w:tbl><w:p><w:r><w:t xml:space="preserve"></w:t></w:r></w:p><w:p><w:r><w:t xml:space="preserve"></w:t></w:r></w:p><w:p><w:r><w:br w:type="page"/></w:r></w:p><w:p><w:pPr><w:pStyle w:val="Heading1"/><w:pBdr><w:bottom w:val="single" w:color="2E75B6" w:sz="8" w:space="6"/></w:pBdr><w:spacing w:after="160" w:before="400"/></w:pPr><w:r><w:rPr><w:rFonts w:ascii="Arial" w:cs="Arial" w:eastAsia="Arial" w:hAnsi="Arial"/><w:b/><w:bCs/><w:color w:val="1F4E79"/><w:sz w:val="32"/><w:szCs w:val="32"/></w:rPr><w:t xml:space="preserve">Pillar 2 — USPTO Data Sync</w:t></w:r></w:p><w:p><w:pPr><w:spacing w:after="100" w:before="60"/></w:pPr><w:r><w:rPr><w:rFonts w:ascii="Arial" w:cs="Arial" w:eastAsia="Arial" w:hAnsi="Arial"/><w:color w:val="404040"/><w:sz w:val="22"/><w:szCs w:val="22"/></w:rPr><w:t xml:space="preserve">The three fetch scripts (applications, proceedings, rejections) currently run manually. To keep the platform current with USPTO, they need to run on a schedule and automatically ingest new documents into Pinecone.</w:t></w:r></w:p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Architecture</w:t></w:r></w:p><w:p><w:pPr><w:spacing w:after="100" w:before="60"/></w:pPr><w:r><w:rPr><w:rFonts w:ascii="Arial" w:cs="Arial" w:eastAsia="Arial" w:hAnsi="Arial"/><w:color w:val="404040"/><w:sz w:val="22"/><w:szCs w:val="22"/></w:rPr><w:t xml:space="preserve">The sync pipeline has two stages: fetch (USPTO → S3) and ingest (S3 → Pinecone). These are intentionally separated so a fetch failure does not affect the existing Pinecone index, and ingestion can be replayed from S3 without re-fetching from USPTO.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2000"/><w:gridCol w:w="480"/><w:gridCol w:w="2000"/><w:gridCol w:w="480"/><w:gridCol w:w="2000"/><w:gridCol w:w="480"/><w:gridCol w:w="1920"/></w:tblGrid><w:tr><0/></w:tr></w:tbl><w:p><w:pPr><w:spacing w:after="160" w:before="40"/><w:jc w:val="center"/></w:pPr><w:r><w:rPr><w:rFonts w:ascii="Arial" w:cs="Arial" w:eastAsia="Arial" w:hAnsi="Arial"/><w:i/><w:iCs/><w:color w:val="666666"/><w:sz w:val="18"/><w:szCs w:val="18"/></w:rPr><w:t xml:space="preserve">EventBridge Scheduler (daily/weekly)          then          Pinecone index updated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Fetch Lambda — Containerized Fetch Scripts</w:t></w:r></w:p><w:p><w:pPr><w:spacing w:after="100" w:before="60"/></w:pPr><w:r><w:rPr><w:rFonts w:ascii="Arial" w:cs="Arial" w:eastAsia="Arial" w:hAnsi="Arial"/><w:color w:val="404040"/><w:sz w:val="22"/><w:szCs w:val="22"/></w:rPr><w:t xml:space="preserve">Each existing fetch script (fetch_applications.py, fetch_proceedings.py, fetch_rejections.py) becomes a separate Lambda function or a single Lambda that accepts a doc_type parameter. The Lambda is triggered by an EventBridge Scheduler rule.</w:t></w:r></w:p><w:p><w:r><w:t xml:space="preserve">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Checkpoint tracking: store last_offset in S3 (e.g., checkpoints/applications.json) to fetch only new records since the last run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Deduplication: skip S3 write if the key already exists and the content hash matches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Alerting: Lambda publishes to SNS on failure — notify via email or Slack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Backfill mode: Lambda accepts an optional event parameter full_refresh=true to re-fetch all records</w:t></w:r></w:p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Ingest Lambda — S3 Event Trigger → Pinecone</w:t></w:r></w:p><w:p><w:pPr><w:spacing w:after="100" w:before="60"/></w:pPr><w:r><w:rPr><w:rFonts w:ascii="Arial" w:cs="Arial" w:eastAsia="Arial" w:hAnsi="Arial"/><w:color w:val="404040"/><w:sz w:val="22"/><w:szCs w:val="22"/></w:rPr><w:t xml:space="preserve">An S3 event notification fires whenever a new .json file is written under applications/, proceedings/, or rejections/. The ingest Lambda reads the file, chunks the text field, embeds via Bedrock (Titan), and upserts to Pinecone.</w:t></w:r></w:p><w:p><w:r><w:t xml:space="preserve">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This replaces the need to run backfill_pinecone.py manually going forward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The S3 trigger is idempotent — upsert to Pinecone uses the S3 key as the vector ID, so re-processing the same file is safe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Dead letter queue: failed SQS messages are retried 3x before going to DLQ for inspection</w:t></w:r></w:p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Recommended Sync Schedule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2800"/><w:gridCol w:w="2000"/><w:gridCol w:w="456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Doc Type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Schedule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Rationale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Applications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Daily, 6 AM UTC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High volume; new applications filed continuously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Proceedings (IPR/PGR)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Weekly, Monday 6 AM UTC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Lower volume; PTAB proceedings move slowly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Rejections (OA stats)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Weekly, Monday 7 AM UTC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Aggregated stats; changes less frequently</w:t></w:r></w:p></w:tc></w:tr></w:tbl><w:p><w:r><w:t xml:space="preserve">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60"/><w:bottom w:type="dxa" w:w="160"/></w:tblCellMar></w:tblPr><w:tblGrid><w:gridCol w:w="1800"/><w:gridCol w:w="3000"/><w:gridCol w:w="2160"/><w:gridCol w:w="2400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Phase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Deliverable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Effort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Outcome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P2.1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checkpoint logic to fetch scripts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4 hours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Incremental fetches only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P2.2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S3 event trigger + ingest Lambda to Terraform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4 hours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New docs auto-indexed in Pinecone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P2.3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EventBridge scheduled rules (3 schedules)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2 hours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Fully automated daily/weekly sync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P2.4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SNS alerting on Lambda failure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 hour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Ops visibility on failures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P2.5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Run initial backfill_pinecone.py for all existing S3 docs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1–3 hours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Historical data searchable</w:t></w:r></w:p></w:tc></w:tr></w:tbl><w:p><w:r><w:t xml:space="preserve"></w:t></w:r></w:p><w:p><w:r><w:t xml:space="preserve"></w:t></w:r></w:p><w:p><w:r><w:br w:type="page"/></w:r></w:p><w:p><w:pPr><w:pStyle w:val="Heading1"/><w:pBdr><w:bottom w:val="single" w:color="2E75B6" w:sz="8" w:space="6"/></w:pBdr><w:spacing w:after="160" w:before="400"/></w:pPr><w:r><w:rPr><w:rFonts w:ascii="Arial" w:cs="Arial" w:eastAsia="Arial" w:hAnsi="Arial"/><w:b/><w:bCs/><w:color w:val="1F4E79"/><w:sz w:val="32"/><w:szCs w:val="32"/></w:rPr><w:t xml:space="preserve">Pillar 3 — AI Document Intelligence</w:t></w:r></w:p><w:p><w:pPr><w:spacing w:after="100" w:before="60"/></w:pPr><w:r><w:rPr><w:rFonts w:ascii="Arial" w:cs="Arial" w:eastAsia="Arial" w:hAnsi="Arial"/><w:color w:val="404040"/><w:sz w:val="22"/><w:szCs w:val="22"/></w:rPr><w:t xml:space="preserve">This is the highest-value pillar and the one that transforms PTAB Intelligence from a search tool into a true patent analytics platform. The insight is straightforward: USPTO PTAB proceedings include actual PDF documents — petitions, patent owner responses, institution decisions, and final written decisions. These documents contain far more signal than the structured metadata alone.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9360"/></w:tblGrid><w:tr><w:tc><w:tcPr><w:tcW w:type="dxa" w:w="9360"/><w:tcBorders><w:top w:val="none" w:color="FFFFFF" w:sz="0"/><w:left w:val="thick" w:color="8B4500" w:sz="24"/><w:bottom w:val="none" w:color="FFFFFF" w:sz="0"/><w:right w:val="none" w:color="FFFFFF" w:sz="0"/></w:tcBorders><w:shd w:fill="FFF3E8" w:val="clear"/><w:tcMar><w:top w:type="dxa" w:w="100"/><w:left w:type="dxa" w:w="200"/><w:bottom w:type="dxa" w:w="100"/><w:right w:type="dxa" w:w="200"/></w:tcMar></w:tcPr><w:p><w:r><w:rPr><w:rFonts w:ascii="Arial" w:cs="Arial" w:eastAsia="Arial" w:hAnsi="Arial"/><w:i/><w:iCs/><w:color w:val="404040"/><w:sz w:val="21"/><w:szCs w:val="21"/></w:rPr><w:t xml:space="preserve">On Andrej Karpathy&apos;s autoresearch: autoresearch is a tool for autonomous LLM training experiments (modify train.py → train for 5 min → check val loss → repeat). It is not a document analysis framework. The spirit of what you are describing — an AI agent that reads documents autonomously and surfaces insights — is correct, but the right implementation is a purpose-built agentic pipeline using Claude, described below.</w:t></w:r></w:p></w:tc></w:tr></w:tbl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What the PDFs Contain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IPR/PGR petitions: prior art arguments, claim charts, expert declarations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Patent owner responses: rebuttal arguments, secondary considerations, amended claims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Institution decisions: which grounds PTAB agreed to institute, reasoning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Final written decisions: outcome for each challenged claim, legal reasoning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Office Actions: §101/§102/§103/§112 rejections with examiner reasoning and cited prior art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Applicant responses: claim amendments, arguments, evidence of non-obviousness</w:t></w:r></w:p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The AI Analysis Pipeline</w:t></w:r></w:p><w:p><w:pPr><w:spacing w:after="100" w:before="60"/></w:pPr><w:r><w:rPr><w:rFonts w:ascii="Arial" w:cs="Arial" w:eastAsia="Arial" w:hAnsi="Arial"/><w:color w:val="404040"/><w:sz w:val="22"/><w:szCs w:val="22"/></w:rPr><w:t xml:space="preserve">For each document in S3, a Document Intelligence Lambda downloads the actual PDF from USPTO (using the application/proceeding number), extracts text, and runs a structured Claude analysis. Results are stored back to S3 and indexed in Pinecone with enriched metadata.</w:t></w:r></w:p><w:p><w:r><w:t xml:space="preserve"></w:t></w:r></w:p><w:p><w:pPr><w:pStyle w:val="Heading3"/><w:spacing w:after="80" w:before="200"/></w:pPr><w:r><w:rPr><w:rFonts w:ascii="Arial" w:cs="Arial" w:eastAsia="Arial" w:hAnsi="Arial"/><w:b/><w:bCs/><w:color w:val="404040"/><w:sz w:val="22"/><w:szCs w:val="22"/></w:rPr><w:t xml:space="preserve">Step 1 — PDF Download</w:t></w:r></w:p><w:p><w:pPr><w:spacing w:after="100" w:before="60"/></w:pPr><w:r><w:rPr><w:rFonts w:ascii="Arial" w:cs="Arial" w:eastAsia="Arial" w:hAnsi="Arial"/><w:color w:val="404040"/><w:sz w:val="22"/><w:szCs w:val="22"/></w:rPr><w:t xml:space="preserve">USPTO provides document downloads via the Patent Center API. For each application number or proceeding ID in S3, the pipeline calls: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Applications: https://patentcenter.uspto.gov/retrieval/public/v2/application/data?applicationNumberText={appNum}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Proceedings: https://ptabdata.uspto.gov/ptab-api/proceedings/{proceedingNum}/documents — lists all PTAB documents with download URLs</w:t></w:r></w:p><w:p><w:r><w:t xml:space="preserve"></w:t></w:r></w:p><w:p><w:pPr><w:pStyle w:val="Heading3"/><w:spacing w:after="80" w:before="200"/></w:pPr><w:r><w:rPr><w:rFonts w:ascii="Arial" w:cs="Arial" w:eastAsia="Arial" w:hAnsi="Arial"/><w:b/><w:bCs/><w:color w:val="404040"/><w:sz w:val="22"/><w:szCs w:val="22"/></w:rPr><w:t xml:space="preserve">Step 2 — Structured Claude Analysis</w:t></w:r></w:p><w:p><w:pPr><w:spacing w:after="100" w:before="60"/></w:pPr><w:r><w:rPr><w:rFonts w:ascii="Arial" w:cs="Arial" w:eastAsia="Arial" w:hAnsi="Arial"/><w:color w:val="404040"/><w:sz w:val="22"/><w:szCs w:val="22"/></w:rPr><w:t xml:space="preserve">Claude (claude-haiku-4-5-20251001 for speed/cost, claude-sonnet-4-6 for depth) reads each document with a structured extraction prompt and returns JSON: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9360"/></w:tblGrid><w:tr><w:tc><w:tcPr><w:tcW w:type="dxa" w:w="9360"/><w:tcBorders><w:top w:val="none" w:color="FFFFFF" w:sz="0"/><w:left w:val="thick" w:color="2E75B6" w:sz="24"/><w:bottom w:val="none" w:color="FFFFFF" w:sz="0"/><w:right w:val="none" w:color="FFFFFF" w:sz="0"/></w:tcBorders><w:shd w:fill="E8F0F7" w:val="clear"/><w:tcMar><w:top w:type="dxa" w:w="100"/><w:left w:type="dxa" w:w="200"/><w:bottom w:type="dxa" w:w="100"/><w:right w:type="dxa" w:w="200"/></w:tcMar></w:tcPr><w:p><w:r><w:rPr><w:rFonts w:ascii="Arial" w:cs="Arial" w:eastAsia="Arial" w:hAnsi="Arial"/><w:i/><w:iCs/><w:color w:val="404040"/><w:sz w:val="21"/><w:szCs w:val="21"/></w:rPr><w:t xml:space="preserve">Prompt structure: &quot;You are a patent intelligence analyst. Read the following {doc_type} document and extract the following structured fields as JSON: technology_area, technology_keywords[], claim_strategy_summary, rejection_grounds[], prior_art_citations[], key_legal_arguments[], outcome (if decision), risk_factors[], strategic_insights[].&quot;</w:t></w:r></w:p></w:tc></w:tr></w:tbl><w:p><w:r><w:t xml:space="preserve"></w:t></w:r></w:p><w:p><w:pPr><w:pStyle w:val="Heading3"/><w:spacing w:after="80" w:before="200"/></w:pPr><w:r><w:rPr><w:rFonts w:ascii="Arial" w:cs="Arial" w:eastAsia="Arial" w:hAnsi="Arial"/><w:b/><w:bCs/><w:color w:val="404040"/><w:sz w:val="22"/><w:szCs w:val="22"/></w:rPr><w:t xml:space="preserve">Step 3 — Insight Storage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Store extracted JSON alongside the raw record in S3: applications/{appNum}_insights.json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Add insights fields to the Pinecone vector metadata so RAG queries can filter by technology area, outcome, etc.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Index the insight text separately as additional chunks — e.g., &apos;claim strategy: ...&apos; as its own vector — to enable precise semantic search</w:t></w:r></w:p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Use Cases This Unlocks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3120"/><w:gridCol w:w="6240"/></w:tblGrid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Use Case</w:t></w:r></w:p></w:tc><w:tc><w:tcPr><w:tcW w:type="dxa" w:w="624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Example Query / Insight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Prosecution strategy</w:t></w:r></w:p></w:tc><w:tc><w:tcPr><w:tcW w:type="dxa" w:w="62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&quot;What claim language survives §101 rejections in AI/ML applications?&quot;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IPR outcome prediction</w:t></w:r></w:p></w:tc><w:tc><w:tcPr><w:tcW w:type="dxa" w:w="624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&quot;What is the institution rate for obviousness grounds against semiconductor patents?&quot;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Competitive intelligence</w:t></w:r></w:p></w:tc><w:tc><w:tcPr><w:tcW w:type="dxa" w:w="62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&quot;Which law firms have the highest petitioner win rates at PTAB in biotech?&quot;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Prior art landscape</w:t></w:r></w:p></w:tc><w:tc><w:tcPr><w:tcW w:type="dxa" w:w="624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&quot;What prior art does the USPTO most commonly cite against LiDAR claims?&quot;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Portfolio risk scoring</w:t></w:r></w:p></w:tc><w:tc><w:tcPr><w:tcW w:type="dxa" w:w="62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&quot;Which of our applications have claim language most similar to recently invalidated patents?&quot;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Examiner analysis</w:t></w:r></w:p></w:tc><w:tc><w:tcPr><w:tcW w:type="dxa" w:w="624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&quot;What is Art Unit 2183&apos;s §101 rejection rate for neural network patents in the last 2 years?&quot;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Technology trending</w:t></w:r></w:p></w:tc><w:tc><w:tcPr><w:tcW w:type="dxa" w:w="624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&quot;Which technology areas have the fastest-growing PTAB petition volume?&quot;</w:t></w:r></w:p></w:tc></w:tr><w:tr><w:tc><w:tcPr><w:tcW w:type="dxa" w:w="312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Claim drafting</w:t></w:r></w:p></w:tc><w:tc><w:tcPr><w:tcW w:type="dxa" w:w="624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&quot;Show me 3 examples of independent claims that survived §103 obviousness challenges in quantum computing.&quot;</w:t></w:r></w:p></w:tc></w:tr></w:tbl><w:p><w:r><w:t xml:space="preserve"></w:t></w:r></w:p><w:p><w:pPr><w:pStyle w:val="Heading2"/><w:spacing w:after="120" w:before="320"/></w:pPr><w:r><w:rPr><w:rFonts w:ascii="Arial" w:cs="Arial" w:eastAsia="Arial" w:hAnsi="Arial"/><w:b/><w:bCs/><w:color w:val="2E75B6"/><w:sz w:val="26"/><w:szCs w:val="26"/></w:rPr><w:t xml:space="preserve">UI: Analytics Dashboard Tab</w:t></w:r></w:p><w:p><w:pPr><w:spacing w:after="100" w:before="60"/></w:pPr><w:r><w:rPr><w:rFonts w:ascii="Arial" w:cs="Arial" w:eastAsia="Arial" w:hAnsi="Arial"/><w:color w:val="404040"/><w:sz w:val="22"/><w:szCs w:val="22"/></w:rPr><w:t xml:space="preserve">Add a fifth tab — Insights &amp; Analytics — that visualizes the structured data extracted by the AI pipeline. Key widgets: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§101/§102/§103/§112 rejection rate by art unit and technology area (bar chart)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IPR institution and final decision rates by petitioner, technology area, and law firm (heatmap)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Application allowance rate by examiner and art unit over time (trend line)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Top prior art references cited across the portfolio (ranked list)</w:t></w:r></w:p><w:p><w:pPr><w:pStyle w:val="ListParagraph"/><w:numPr><w:ilvl w:val="0"/><w:numId w:val="2"/></w:numPr><w:spacing w:after="60" w:before="40"/></w:pPr><w:r><w:rPr><w:rFonts w:ascii="Arial" w:cs="Arial" w:eastAsia="Arial" w:hAnsi="Arial"/><w:color w:val="404040"/><w:sz w:val="22"/><w:szCs w:val="22"/></w:rPr><w:t xml:space="preserve">Claim strategy patterns that correlate with allowance vs. rejection (text clusters)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60"/><w:bottom w:type="dxa" w:w="160"/></w:tblCellMar></w:tblPr><w:tblGrid><w:gridCol w:w="1800"/><w:gridCol w:w="3000"/><w:gridCol w:w="2160"/><w:gridCol w:w="2400"/></w:tblGrid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Phase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Deliverable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Effort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Outcome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P3.1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Build PDF download service for PTAB proceeding documents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 week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PDF corpus available in S3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P3.2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Build Document Intelligence Lambda with structured Claude prompt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 week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Insights JSON for each doc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P3.3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Re-index Pinecone with enriched metadata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2 days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Filtered RAG queries work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P3.4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Build Analytics tab in Next.js UI (Recharts)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 week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Visual dashboards live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P3.5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portfolio risk scoring (similarity to invalidated claims)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2 weeks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Differentiated product feature</w:t></w:r></w:p></w:tc></w:tr><w:t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P3.6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Fine-tune prompts per doc type; add confidence scores</w:t></w:r></w:p></w:tc><w:tc><w:tcPr><w:tcW w:type="dxa" w:w="21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 week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Higher accuracy extractions</w:t></w:r></w:p></w:tc></w:tr></w:tbl><w:p><w:r><w:t xml:space="preserve"></w:t></w:r></w:p><w:p><w:r><w:t xml:space="preserve"></w:t></w:r></w:p><w:p><w:r><w:br w:type="page"/></w:r></w:p><w:p><w:pPr><w:pStyle w:val="Heading1"/><w:pBdr><w:bottom w:val="single" w:color="2E75B6" w:sz="8" w:space="6"/></w:pBdr><w:spacing w:after="160" w:before="400"/></w:pPr><w:r><w:rPr><w:rFonts w:ascii="Arial" w:cs="Arial" w:eastAsia="Arial" w:hAnsi="Arial"/><w:b/><w:bCs/><w:color w:val="1F4E79"/><w:sz w:val="32"/><w:szCs w:val="32"/></w:rPr><w:t xml:space="preserve">Key Risks &amp; Mitigations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2400"/><w:gridCol w:w="3600"/><w:gridCol w:w="3360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Risk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Impact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Mitigation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ODP API rate limiting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Fetch scripts throttled or blocked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exponential backoff; cache ODP responses in S3; use ODP bulk download if available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Pinecone index cost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Embedding cost grows with corpus size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Use Bedrock Titan for embeddings (cheaper than OpenAI); archive old vectors for inactive cases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Claude analysis cost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PDF analysis at scale can be expensive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Use claude-haiku for initial extraction; use claude-sonnet only for high-value proceedings; batch processing not real-time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PTAB PDF availability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Not all documents are publicly downloadable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Fall back to extracting insights from the text field already in S3; flag unavailable documents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API keys in chat history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Pinecone, Anthropic, ODP keys were shared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Rotate all keys immediately after deploying to Amplify (first priority)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USPTO schema changes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ODP API changes break fetch scripts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Subscribe to USPTO developer newsletter; add schema validation with alerts</w:t></w:r></w:p></w:tc></w:tr></w:tbl><w:p><w:r><w:t xml:space="preserve"></w:t></w:r></w:p><w:p><w:r><w:t xml:space="preserve"></w:t></w:r></w:p><w:p><w:pPr><w:pStyle w:val="Heading1"/><w:pBdr><w:bottom w:val="single" w:color="2E75B6" w:sz="8" w:space="6"/></w:pBdr><w:spacing w:after="160" w:before="400"/></w:pPr><w:r><w:rPr><w:rFonts w:ascii="Arial" w:cs="Arial" w:eastAsia="Arial" w:hAnsi="Arial"/><w:b/><w:bCs/><w:color w:val="1F4E79"/><w:sz w:val="32"/><w:szCs w:val="32"/></w:rPr><w:t xml:space="preserve">Immediate Next Steps (This Week)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9360"/></w:tblGrid><w:tr><w:tc><w:tcPr><w:tcW w:type="dxa" w:w="9360"/><w:tcBorders><w:top w:val="none" w:color="FFFFFF" w:sz="0"/><w:left w:val="thick" w:color="8B4500" w:sz="24"/><w:bottom w:val="none" w:color="FFFFFF" w:sz="0"/><w:right w:val="none" w:color="FFFFFF" w:sz="0"/></w:tcBorders><w:shd w:fill="FFF3E8" w:val="clear"/><w:tcMar><w:top w:type="dxa" w:w="100"/><w:left w:type="dxa" w:w="200"/><w:bottom w:type="dxa" w:w="100"/><w:right w:type="dxa" w:w="200"/></w:tcMar></w:tcPr><w:p><w:r><w:rPr><w:rFonts w:ascii="Arial" w:cs="Arial" w:eastAsia="Arial" w:hAnsi="Arial"/><w:i/><w:iCs/><w:color w:val="404040"/><w:sz w:val="21"/><w:szCs w:val="21"/></w:rPr><w:t xml:space="preserve">Priority 0 (do today): Rotate all API keys that were shared in chat — Pinecone, Anthropic, and ODP API key. These are in plain text in the conversation history.</w:t></w:r></w:p></w:tc></w:tr></w:tbl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480"/><w:gridCol w:w="5280"/><w:gridCol w:w="1800"/><w:gridCol w:w="1800"/></w:tblGrid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#</w:t></w:r></w:p></w:tc><w:tc><w:tcPr><w:tcW w:type="dxa" w:w="528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Action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Owner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ETA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1</w:t></w:r></w:p></w:tc><w:tc><w:tcPr><w:tcW w:type="dxa" w:w="52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Rotate Pinecone, Anthropic, ODP API keys; update .env + Terraform secrets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Naveen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Today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2</w:t></w:r></w:p></w:tc><w:tc><w:tcPr><w:tcW w:type="dxa" w:w="52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Run backfill_pinecone.py --limit 20 to test Pinecone ingestion with real data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Naveen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Today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3</w:t></w:r></w:p></w:tc><w:tc><w:tcPr><w:tcW w:type="dxa" w:w="52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Verify browse tabs show real data after today&apos;s terraform apply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Naveen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Today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4</w:t></w:r></w:p></w:tc><w:tc><w:tcPr><w:tcW w:type="dxa" w:w="52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Create amplify.yml and deploy UI to Amplify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Dev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Day 2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5</w:t></w:r></w:p></w:tc><w:tc><w:tcPr><w:tcW w:type="dxa" w:w="52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checkpoint logic to fetch scripts and test incremental fetch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Dev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Day 3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6</w:t></w:r></w:p></w:tc><w:tc><w:tcPr><w:tcW w:type="dxa" w:w="52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S3 event trigger → ingest Lambda in Terraform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Dev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Day 4–5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7</w:t></w:r></w:p></w:tc><w:tc><w:tcPr><w:tcW w:type="dxa" w:w="52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Add EventBridge scheduled rules for daily/weekly sync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Dev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Day 5</w:t></w:r></w:p></w:tc></w:tr><w:tr><w:tc><w:tcPr><w:tcW w:type="dxa" w:w="4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8</w:t></w:r></w:p></w:tc><w:tc><w:tcPr><w:tcW w:type="dxa" w:w="528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Commit all changes to GitHub with clean commit history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Dev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404040"/><w:sz w:val="20"/><w:szCs w:val="20"/></w:rPr><w:t xml:space="preserve">Day 5</w:t></w:r></w:p></w:tc></w:tr></w:tbl><w:p><w:r><w:t xml:space="preserve"></w:t></w:r></w:p><w:p><w:r><w:t xml:space="preserve"></w:t></w:r></w:p><w:p><w:pPr><w:pStyle w:val="Heading1"/><w:pBdr><w:bottom w:val="single" w:color="2E75B6" w:sz="8" w:space="6"/></w:pBdr><w:spacing w:after="160" w:before="400"/></w:pPr><w:r><w:rPr><w:rFonts w:ascii="Arial" w:cs="Arial" w:eastAsia="Arial" w:hAnsi="Arial"/><w:b/><w:bCs/><w:color w:val="1F4E79"/><w:sz w:val="32"/><w:szCs w:val="32"/></w:rPr><w:t xml:space="preserve">Estimated Monthly AWS Cost</w:t></w:r></w:p><w:p><w:pPr><w:spacing w:after="100" w:before="60"/></w:pPr><w:r><w:rPr><w:rFonts w:ascii="Arial" w:cs="Arial" w:eastAsia="Arial" w:hAnsi="Arial"/><w:color w:val="404040"/><w:sz w:val="22"/><w:szCs w:val="22"/></w:rPr><w:t xml:space="preserve">Based on current architecture at moderate usage (100 active users, 10K documents indexed, daily sync).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3600"/><w:gridCol w:w="3360"/><w:gridCol w:w="2400"/></w:tblGrid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Service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Usage Assumption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4E79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Est. Monthly Cost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AWS Amplify Hosting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Build minutes + SSR compute for 100 users/day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$5–20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API Gateway (HTTP)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10K requests/month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&lt; $1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Lambda (RAG query)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5K invocations, 512MB, 10s avg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~$1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Lambda (browse)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2K invocations, 256MB, 5s avg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&lt; $1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Lambda (fetch + ingest)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Daily/weekly scheduled runs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~$2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S3 (document storage)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10GB stored + requests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~$3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Bedrock (Titan embeddings)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100K vectors for backfill + ongoing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~$10–30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Pinecone (Starter/Standard)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1M vectors, 1 index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$0–70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Claude API (Anthropic)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1K RAG queries/month via claude-haiku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~$5–15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Claude API (doc intelligence)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PDF analysis at scale (Phase 3)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2F5F9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$30–100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CloudWatch logs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Lambda log retention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404040"/><w:sz w:val="20"/><w:szCs w:val="20"/></w:rPr><w:t xml:space="preserve">~$2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E8F0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TOTAL (Pillars 1+2)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E8F0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Without AI doc intelligence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8F0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~$25–55/mo</w:t></w:r></w:p></w:tc></w:tr><w:tr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E8F0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TOTAL (all 3 pillars)</w:t></w:r></w:p></w:tc><w:tc><w:tcPr><w:tcW w:type="dxa" w:w="3360"/><w:tcBorders><w:top w:val="single" w:color="CCCCCC" w:sz="1"/><w:left w:val="single" w:color="CCCCCC" w:sz="1"/><w:bottom w:val="single" w:color="CCCCCC" w:sz="1"/><w:right w:val="single" w:color="CCCCCC" w:sz="1"/></w:tcBorders><w:shd w:fill="E8F0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With AI doc analysis at moderate scale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E8F0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404040"/><w:sz w:val="20"/><w:szCs w:val="20"/></w:rPr><w:t xml:space="preserve">~$60–160/mo</w:t></w:r></w:p></w:tc></w:tr></w:tbl><w:p><w:r><w:t xml:space="preserve"></w:t></w:r></w:p><w:p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120"/><w:bottom w:type="dxa" w:w="120"/></w:tblCellMar></w:tblPr><w:tblGrid><w:gridCol w:w="9360"/></w:tblGrid><w:tr><w:tc><w:tcPr><w:tcW w:type="dxa" w:w="9360"/><w:tcBorders><w:top w:val="none" w:color="FFFFFF" w:sz="0"/><w:left w:val="thick" w:color="1E6B3C" w:sz="24"/><w:bottom w:val="none" w:color="FFFFFF" w:sz="0"/><w:right w:val="none" w:color="FFFFFF" w:sz="0"/></w:tcBorders><w:shd w:fill="E8F5EE" w:val="clear"/><w:tcMar><w:top w:type="dxa" w:w="100"/><w:left w:type="dxa" w:w="200"/><w:bottom w:type="dxa" w:w="100"/><w:right w:type="dxa" w:w="200"/></w:tcMar></w:tcPr><w:p><w:r><w:rPr><w:rFonts w:ascii="Arial" w:cs="Arial" w:eastAsia="Arial" w:hAnsi="Arial"/><w:i/><w:iCs/><w:color w:val="404040"/><w:sz w:val="21"/><w:szCs w:val="21"/></w:rPr><w:t xml:space="preserve">The core platform is built and working. Pillar 1 (deploy) and Pillar 2 (sync) can be completed in one focused sprint this week. Pillar 3 (AI document intelligence) is where the product becomes genuinely differentiated — no existing PTAB search tool reads the full text of petition documents and surfaces structured insights at query time.</w:t></w:r></w:p></w:tc></w:tr></w:tbl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PTAB Intelligence  |  Internal Use Only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PTAB Intelligence — Product Roadmap</w:t>
    </w:r>
    <w:r>
      <w:rPr>
        <w:rFonts w:ascii="Arial" w:cs="Arial" w:eastAsia="Arial" w:hAnsi="Arial"/>
        <w:color w:val="666666"/>
        <w:sz w:val="18"/>
        <w:szCs w:val="18"/>
      </w:rPr>
      <w:t xml:space="preserve">	Confidential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2026-04-15T02:33:42.035Z</dcterms:created>
  <dcterms:modified xsi:type="dcterms:W3CDTF">2026-04-15T02:33:42.040Z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