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Engineering Assessment of the AIGC v0.9.0 Implementation Framework: Architecture, Security, and Industrial Synthesis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landscape of April 2026 marks a definitive shift from isolated generative models to comprehensive agentic systems that operate with intentionality, persistence, and strategic foresight.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evolution is captured in the v0.9.0 implementation cycle of the AIGC framework, which transitions the repository from a collection of tutorials and prototypes into a production-grade infrastructure designed for autonomous operational execution.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following assessment synthesizes the proposed implementation plan against current industrial trends, adversarial security risks, and high-performance computing requirements to provide a nuanced perspective for professional deployment.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Toward Agentic Autonomy and Systemic Integration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early 2026, the artificial intelligence sector has moved beyond the "copilot" era, where models acted as assistants, into the "agentic" era, where models function as proactive digital coworkers.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AIGC v0.9.0 architecture acknowledges this shift by prioritizing agentic AI systems capable of understanding business objectives, decomposing them into actionable sub-tasks, and executing workflows across disparate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from standalone models to full-scale AI systems requires a robust integration of data pipelines, model orchestration, and continuous learning loops.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v0.9.0 plan focuses on modularity and the ability of agents to collaborate through multi-agent systems (MAS).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collaboration is facilitated by specialized agents that focus on specific domains—such as supply chain, customer service, or security—orchestrated by a central cognitive cycle of perceiving, reasoning, acting, and learning.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implementation of these systems is no longer a matter of simple API calls but involves the construction of complex ecosystems where models interact with real-time inference engines and external software tools.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Implementation 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AI (2023-2024)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 prediction, prompt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creation, information retrieval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High-fidelity outputs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AI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reasoning, tool use,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 execution, workflow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Reliability and ROI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AI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Spatio-temporal grounding, 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scale robotics, digital twins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Safety and latency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industrialization of AI in 2026 has brought about a rigorous scrutiny of Return on Investment (ROI). Organizations are now confronting the practical realities of infrastructure limits and regulatory oversight.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v0.9.0 framework addresses these challenges by moving toward "Ambient Intelligence," where AI is embedded into the environment to enable decentralized, real-time decision-making with lower latency and enhanced efficiency.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Distributed Inference with Rust and Tonic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the demanding computational needs of agentic workflows, the v0.9.0 implementation leverages the Rust programming language and the Tonic gRPC framework.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Rust's zero-cost abstractions and memory safety are essential for building resilient servers capable of handling high-throughput scenarios with minimal overhead.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Tonic, as the de facto gRPC standard for Rust, provides the necessary async foundations—Hyper for HTTP/2 and Prost for Protocol Buffer compilation—to manage thousands of parallel streams efficiently.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Protocol Efficiency and Multiplexing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from REST/JSON to gRPC/Protobuf represents a fundamental paradigm change in how AI models communicate. Protobuf messages are significantly smaller than JSON equivalents, typically by 5 to 10 times, because they avoid expensive string lexers and parsers.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Instead, the server reads bytes directly into generated structs using a compact binary format.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Communication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 over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Protobuf over gRPC (Tonic)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Serialization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CPU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CPU usage (Direct byte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5x - 8x faster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Payload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(Metadata/keys repeated)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Small (Field tags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 - 90% reduction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Concurrent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Sequential/Pipelined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Multiplexed over persistent TCP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~10x throughput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HTTP status codes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Rich gRPC status codes + Interceptors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Enhanced granularity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the AIGC v0.9.0 plan, the use of bidirectional gRPC streaming allows both the client and the server to send messages independently and concurrently over a single connection.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is critical for real-time applications such as live data feeds for agents or collaborative multi-agent reasoning, where low latency is non-negotiable.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Every gRPC message in this architecture is prepended with a 5-byte header, where the first byte is a compression flag and the subsequent four bytes specify the exact payload length in big-endian format, ensuring maximum density and parse speed.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Interceptors and Middleware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adversarial review highlights the necessity for robust authentication and authorization at the middleware 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v0.9.0 implementation utilizes Tonic interceptors to enforce these controls without cluttering the business logic.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current research indicates a need for more mature async interceptors within the Tonic ecosystem to handle complex, asynchronous authorization checks against external identity providers.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Implementing these interceptors ensures that sensitive RPC methods—such as those handling personal health information or financial transactions—are gated correctly at the perimeter.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Synthesis and Temporal Consistency in Video Generation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feature of the v0.9.0 cycle is the advancement of text-to-video (T2V) diffusion models.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models represent the evolution from single-input AI to sophisticated systems that understand and generate content across text, images, audio, and video simultaneously.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Unlike text-to-image synthesis, video generation introduces the complexity of temporal relationships, requiring models to maintain consistent motion and content across hundreds of frames.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Video Variational Autoencoders (VAEs)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AIGC 0.9.0 architecture employs Video VAEs (such as the NVIDIA Cosmos or Wan-VAE) to compress video frames into a lower-dimensional latent space.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compression is not merely spatial; it captures and maintains temporal relationships, which is essential for smooth motion reconstruction.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use of 3D causal convolution blocks in the encoder-decoder structure ensures that the model only utilizes past and present frames, maintaining the causal nature of the physical world.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T2V 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Mathematical/Engineering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Encoder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Maps prompts to dense 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Pretrained T5 or similar transformers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Latent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Lower-dimensional representation of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computational complexity of diffusion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Spatio-Temporal U-Net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Iterative denoising conditioned 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Handles frame-to-frame consistency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Noise Schedule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Controls the DDPM forward/reverse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Gaussian noise transitions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 Causal Convolutions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Jointly processes spatiotemporal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"future frame" leakage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inference, the v0.9.0 system uses Classifier-Free Guidance (CFG) to combine unconditional and conditional noise predictions, enhancing the model's adherence to the text prompt.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final denoised latent is then passed through the VAE decoder to reconstruct high-resolution video frames in pixel space.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process is computationally intensive, often reaching petabyte-scale data processing in enterprise environments, which necessitates the use of GPU-accelerated orchestration pipelines like NeMo Curator to load balance tasks across multiple clusters.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Orchestration and Feature Extraction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v0.9.0 plan integrates Databricks-style multi-modal agents to unify the analysis of video, text, and images.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using cross-modal feature extraction, the system connects objects in a video with their textual descriptions and maps non-verbal cues to speaker intent.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allows for the automated labeling and summarization of media content at scale, which is vital for industries such as healthcare and marketing.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Resilience and Security Assessment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consolidated adversarial review of the v0.9.0 plan introduces a critical shift in perspective: treating the large language model as a potentially hostile actor whose goal is to find paths to break the system.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"Adversarial Code Review" strategy uses a dual-agent architecture—a Generator and a Critic—directly in the CI/CD pipeline to force the AI to prove vulnerabilities exist by writing exploits.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Sychophancy and Hallucination in Code Analysis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persistent risks in AI-driven code review is "Inherent Sycophancy," where models are biased toward being polite and agreeable, often approving code even if they cannot find a vulnerability.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counter this, the v0.9.0 implementation must force the Critic agent to produce cryptographic proof of execution for any vulnerability it claims to find.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"Contextual Starvation" is addressed by providing the agent with a "Context Engine" that walks the entire dependency graph, rather than just analyzing the code diff.</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Adversarial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Sycophancy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RLHF'd model approves unsafe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Dual-agent Generator/Critic with exploit verification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Contextual Starvation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fails to see downstream service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Dependency graph walking and context engine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Hallucination Penalty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 positives burn developer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vulnerability proof via execution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Steganographic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Encoding model weights in text outputs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Deterministic verification of inference outputs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Race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Exploiting unlocked non-transactional mutations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Concurrency-aware adversarial testing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Weight Exfiltration and Inference Verification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threat identified for distributed inference systems is the exfiltration of model weights through steganographic encoding in ordinary-looking model responses.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model weights are massive (</w:t>
      </w:r>
      <w:r w:rsidDel="00000000" w:rsidR="00000000" w:rsidRPr="00000000">
        <w:rPr>
          <w:rFonts w:ascii="Google Sans" w:cs="Google Sans" w:eastAsia="Google Sans" w:hAnsi="Google Sans"/>
          <w:color w:val="1f1f1f"/>
        </w:rPr>
        <w:drawing>
          <wp:inline distB="19050" distT="19050" distL="19050" distR="19050">
            <wp:extent cx="368871" cy="217539"/>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8871" cy="21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Gb+) and inference outputs are frequent, an attacker can map tokens to bits, carrying roughly </w:t>
      </w: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per token.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Traditional egress limits are ineffective because a production inference server must, by definition, send large volumes of data.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v0.9.0 perspective adopts a "Deterministic Verification" approach to this problem. Since LLM inference is mostly deterministic, the system records all (input, output, sampling-seed) tuples and re-runs a small random sample of traffic on an isolated, air-gapped verification server.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Any deviation between the logged output and the re-executed output is flagged as a potential exfiltration attempt.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approach places information-theoretic limits on how much data can be encoded in the inference channel.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WebAssembly (Wasm) as the Foundation for Secure Plugins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allow third-party developers to run code on the AIGC platform without compromising security, the v0.9.0 plan implements WebAssembly (Wasm) as the mandatory isolation layer.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Unlike traditional containers that share a kernel and have heavy runtime layers, Wasm provides strong isolation and sandboxing "by construction," starting with no permissions and adding only what is necessary through a strict whitelist approach.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Sandboxing Untrusted Code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WebAssembly’s linear memory model allows modules to allocate and access a contiguous block of memory, which prevents them from accessing the host's files or other modules' data.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"deny-by-default" security model is essential for executing AI-generated code, which can be unpredictable or potentially malicious.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v0.9.0 implementation utilizes the wazero runtime to ensure zero CGO dependencies and provides each plugin with its own timeout and error handling behavior.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Isolation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for AI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Containers (Docker)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Kernel, Namespaces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(heavy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Slower startup, higher complexity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WebAssembly (Wasm)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Whitelist, Sandboxed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(ultra-rapid)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Near-native performance, secure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JavaScript (Realms)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Blacklist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Prone to capability leakage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benefits, Wasm is not immune to risks. Research indicates that 75% of unique Wasm modules analyzed were malicious, often used for cryptocurrency mining or hiding malicious scripts via obfuscation.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Therefore, the v0.9.0 framework must implement secure content delivery using HTTPS and content integrity checks like digital signatures to verify that the code has not been tampered with during transmission.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Ethical Governance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AIGC systems in 2026 is heavily influenced by the legal oversight frameworks of major jurisdictions, particularly China. Compliance with the Cybersecurity Law, Data Security Law, and Personal Information Protection Law is mandatory for platforms operating in these regions.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Duty of Care and Content Safety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AIGC platforms are held to a stricter "duty of care" than traditional internet service providers because they perform a dual function: generating content and offering technical services.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Platforms must implement robust review processes to identify toxic or unlawful content and deploy conspicuous warnings regarding functional constraints.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sensitive sectors like healthcare, adoption is influenced by the perceived quality and accuracy of the generated information, making it vital to integrate models like the Unified Theory of Acceptance and Use of Technology (UTAUT) and the Health Belief Model (HBM) into the design process.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Core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Obligation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 and remove toxic/unlawful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High-precision safety filters and manual review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Prohibit rights infringements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watermarking and provenance tracking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PII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Redact or encrypt sensitive identifiers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Context-aware PII detection and tokenization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Conspicuously label AI-generated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audit trails and labeling protocols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ethical concerns regarding algorithmic bias remain a primary focus. If training data is biased, AIGC tools can reinforce stereotypes or lead to discriminatory outcomes in fields like hiring and law enforcement.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v0.9.0 plan addresses this through continuous monitoring for bias and drift, using a "data flywheel" that captures feedback to refine model behavior over time.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and Real-Time Responsiveness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competitive landscape of 2026, responsiveness is as important as the intelligence of the model itself.</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v0.9.0 implementation focuses on minimizing latency across the entire request lifecycle, recognizing that over 50% of latency often comes from outside the model.</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Acceleration Techniques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utilizes several state-of-the-art techniques to optimize inference performance:</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Quantization</w:t>
      </w:r>
      <w:r w:rsidDel="00000000" w:rsidR="00000000" w:rsidRPr="00000000">
        <w:rPr>
          <w:rFonts w:ascii="Google Sans" w:cs="Google Sans" w:eastAsia="Google Sans" w:hAnsi="Google Sans"/>
          <w:color w:val="1f1f1f"/>
          <w:rtl w:val="0"/>
        </w:rPr>
        <w:t xml:space="preserve">: Converting weights from 32-bit floating point (FP32) to lower precision formats like FP16, INT8, or INT4 significantly reduces memory bandwidth requirements and increases speed.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KV-Cache Early Reuse</w:t>
      </w:r>
      <w:r w:rsidDel="00000000" w:rsidR="00000000" w:rsidRPr="00000000">
        <w:rPr>
          <w:rFonts w:ascii="Google Sans" w:cs="Google Sans" w:eastAsia="Google Sans" w:hAnsi="Google Sans"/>
          <w:color w:val="1f1f1f"/>
          <w:rtl w:val="0"/>
        </w:rPr>
        <w:t xml:space="preserve">: By reusing system prompts across multiple users, the system can accelerate the Time-to-First-Token (TTFT) by up to 5x.</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Speculative Decoding</w:t>
      </w:r>
      <w:r w:rsidDel="00000000" w:rsidR="00000000" w:rsidRPr="00000000">
        <w:rPr>
          <w:rFonts w:ascii="Google Sans" w:cs="Google Sans" w:eastAsia="Google Sans" w:hAnsi="Google Sans"/>
          <w:color w:val="1f1f1f"/>
          <w:rtl w:val="0"/>
        </w:rPr>
        <w:t xml:space="preserve">: Using a small draft model to predict multiple tokens ahead, which are then verified by the target model in a single pass, can improve throughput by up to 3.6x.</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Flash Attention</w:t>
      </w:r>
      <w:r w:rsidDel="00000000" w:rsidR="00000000" w:rsidRPr="00000000">
        <w:rPr>
          <w:rFonts w:ascii="Google Sans" w:cs="Google Sans" w:eastAsia="Google Sans" w:hAnsi="Google Sans"/>
          <w:color w:val="1f1f1f"/>
          <w:rtl w:val="0"/>
        </w:rPr>
        <w:t xml:space="preserve">: This mechanism reduces the memory complexity of the attention mechanism from </w:t>
      </w:r>
      <w:r w:rsidDel="00000000" w:rsidR="00000000" w:rsidRPr="00000000">
        <w:rPr>
          <w:rFonts w:ascii="Google Sans" w:cs="Google Sans" w:eastAsia="Google Sans" w:hAnsi="Google Sans"/>
          <w:color w:val="1f1f1f"/>
        </w:rPr>
        <w:drawing>
          <wp:inline distB="19050" distT="19050" distL="19050" distR="19050">
            <wp:extent cx="414560" cy="20728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4560" cy="207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99901" cy="22851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9901" cy="228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for the processing of longer sequences without exponential slowdown.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Performance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Compression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Quantization (INT8)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2x - 4x speedup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Serving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Speculative Decoding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2.5x - 3x throughput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KV-Cache Early Reuse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5x improvement in TTFT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Flash Attention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w:t>
            </w:r>
            <w:r w:rsidDel="00000000" w:rsidR="00000000" w:rsidRPr="00000000">
              <w:rPr>
                <w:rFonts w:ascii="Google Sans" w:cs="Google Sans" w:eastAsia="Google Sans" w:hAnsi="Google Sans"/>
                <w:color w:val="1f1f1f"/>
                <w:shd w:fill="auto" w:val="clear"/>
              </w:rPr>
              <w:drawing>
                <wp:inline distB="19050" distT="19050" distL="19050" distR="19050">
                  <wp:extent cx="414560" cy="20728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4560" cy="2072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complexity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Result reuse for similar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100ms </w:t>
            </w:r>
            <w:r w:rsidDel="00000000" w:rsidR="00000000" w:rsidRPr="00000000">
              <w:rPr>
                <w:rFonts w:ascii="Google Sans" w:cs="Google Sans" w:eastAsia="Google Sans" w:hAnsi="Google Sans"/>
                <w:color w:val="1f1f1f"/>
                <w:shd w:fill="auto" w:val="clear"/>
              </w:rPr>
              <w:drawing>
                <wp:inline distB="19050" distT="19050" distL="19050" distR="19050">
                  <wp:extent cx="161404" cy="189887"/>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1404" cy="18988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1ms latency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Safety and Quality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the effectiveness of these optimizations, the v0.9.0 framework adopts new benchmarks like "CircleGuardBench," which integrates accuracy, attack robustness, and latency into a single integral score.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Unlike traditional benchmarks that focus solely on knowledge (e.g., MMLU-Pro) or coding (e.g., SWE-Bench), CircleGuardBench tests how well guard systems block harmful content while maintaining the low latency required for real-time applications.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Modern platforms like Superwise now offer real-time policy evaluation in under 10ms, ensuring that safety guardrails do not degrade the user experience.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Implementation Perspective and Future Outlook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v0.9.0 implementation plan for the AIGC repository is a strategic response to the industrialization of AI in 2026. By moving from isolated models to an agentic system architecture based on Rust, gRPC, and Wasm, the framework establishes a foundation for scalable, secure, and highly efficient AI operations.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Final Implementation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recommendations are derived from the synthesis of the implementation plan and the adversarial review:</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 Deterministic Verification</w:t>
      </w:r>
      <w:r w:rsidDel="00000000" w:rsidR="00000000" w:rsidRPr="00000000">
        <w:rPr>
          <w:rFonts w:ascii="Google Sans" w:cs="Google Sans" w:eastAsia="Google Sans" w:hAnsi="Google Sans"/>
          <w:color w:val="1f1f1f"/>
          <w:rtl w:val="0"/>
        </w:rPr>
        <w:t xml:space="preserve">: To prevent model weight exfiltration through steganography, a separate verification server should be deployed to sample and re-run inference outputs, ensuring cryptographic consistency.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Prioritize 1-Bit LLM Architectures</w:t>
      </w:r>
      <w:r w:rsidDel="00000000" w:rsidR="00000000" w:rsidRPr="00000000">
        <w:rPr>
          <w:rFonts w:ascii="Google Sans" w:cs="Google Sans" w:eastAsia="Google Sans" w:hAnsi="Google Sans"/>
          <w:color w:val="1f1f1f"/>
          <w:rtl w:val="0"/>
        </w:rPr>
        <w:t xml:space="preserve">: To address the energy and cost constraints of 2026, the framework should integrate 1-bit LLM modules for edge and ambient intelligence deployments, reducing energy use by up to 100 times.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Enforce Zero-Trust and mTLS</w:t>
      </w:r>
      <w:r w:rsidDel="00000000" w:rsidR="00000000" w:rsidRPr="00000000">
        <w:rPr>
          <w:rFonts w:ascii="Google Sans" w:cs="Google Sans" w:eastAsia="Google Sans" w:hAnsi="Google Sans"/>
          <w:color w:val="1f1f1f"/>
          <w:rtl w:val="0"/>
        </w:rPr>
        <w:t xml:space="preserve">: All gRPC communication must be secured using Mutual TLS (mTLS) to verify identities at both the client and server levels, particularly for internal service-to-service calls.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Adopt Hierarchical Fusion for Multimodal Data</w:t>
      </w:r>
      <w:r w:rsidDel="00000000" w:rsidR="00000000" w:rsidRPr="00000000">
        <w:rPr>
          <w:rFonts w:ascii="Google Sans" w:cs="Google Sans" w:eastAsia="Google Sans" w:hAnsi="Google Sans"/>
          <w:color w:val="1f1f1f"/>
          <w:rtl w:val="0"/>
        </w:rPr>
        <w:t xml:space="preserve">: When building text-to-video systems, a hierarchical fusion approach—combining modalities at multiple levels of the processing pipeline—should be used to ensure fine-grained cross-modal interaction and temporal consistency.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Formalize AI Sovereignty</w:t>
      </w:r>
      <w:r w:rsidDel="00000000" w:rsidR="00000000" w:rsidRPr="00000000">
        <w:rPr>
          <w:rFonts w:ascii="Google Sans" w:cs="Google Sans" w:eastAsia="Google Sans" w:hAnsi="Google Sans"/>
          <w:color w:val="1f1f1f"/>
          <w:rtl w:val="0"/>
        </w:rPr>
        <w:t xml:space="preserve">: Organizations should adopt a "Strategic Hybrid" infrastructure model, combining cloud for scalability with on-premises systems for sensitive data governance and sovereign AI workloads.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the transition to AIGC v0.9.0 represents a critical milestone in the development of autonomous, trustworthy, and high-performance AI systems. By addressing the fundamental bottlenecks of latency, security, and regulatory compliance through sophisticated engineering choices, the platform is well-positioned to meet the demands of the "Industrial Metaverse" and the agentic workforce of the near future.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focus must remain on ensuring that as these systems gain autonomy, they do so within a framework of bounded autonomy and rigorous oversight to manage the inherent risks of unchecked AI-generated code.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AGI: 5 Breakthroughs Defining April 2026 - Switas Consultancy, accessed April 14, 2026, </w:t>
      </w:r>
      <w:hyperlink r:id="rId11">
        <w:r w:rsidDel="00000000" w:rsidR="00000000" w:rsidRPr="00000000">
          <w:rPr>
            <w:rFonts w:ascii="Google Sans" w:cs="Google Sans" w:eastAsia="Google Sans" w:hAnsi="Google Sans"/>
            <w:color w:val="0000ee"/>
            <w:sz w:val="24"/>
            <w:szCs w:val="24"/>
            <w:u w:val="single"/>
            <w:rtl w:val="0"/>
          </w:rPr>
          <w:t xml:space="preserve">https://www.switas.com/articles/the-future-of-agi-5-breakthroughs-defining-april-2026</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Technology trends that will shape 2026 - gradiant.org, accessed April 14, 2026, </w:t>
      </w:r>
      <w:hyperlink r:id="rId12">
        <w:r w:rsidDel="00000000" w:rsidR="00000000" w:rsidRPr="00000000">
          <w:rPr>
            <w:rFonts w:ascii="Google Sans" w:cs="Google Sans" w:eastAsia="Google Sans" w:hAnsi="Google Sans"/>
            <w:color w:val="0000ee"/>
            <w:sz w:val="24"/>
            <w:szCs w:val="24"/>
            <w:u w:val="single"/>
            <w:rtl w:val="0"/>
          </w:rPr>
          <w:t xml:space="preserve">https://gradiant.org/en/blog/market-technology-trends-2026/</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luban-agi/Awesome-AIGC-Tutorials: Curated tutorials and resources for Large Language Models, AI Painting, and more. - GitHub, accessed April 14, 2026, </w:t>
      </w:r>
      <w:hyperlink r:id="rId13">
        <w:r w:rsidDel="00000000" w:rsidR="00000000" w:rsidRPr="00000000">
          <w:rPr>
            <w:rFonts w:ascii="Google Sans" w:cs="Google Sans" w:eastAsia="Google Sans" w:hAnsi="Google Sans"/>
            <w:color w:val="0000ee"/>
            <w:sz w:val="24"/>
            <w:szCs w:val="24"/>
            <w:u w:val="single"/>
            <w:rtl w:val="0"/>
          </w:rPr>
          <w:t xml:space="preserve">https://github.com/luban-agi/Awesome-AIGC-Tutorials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Development in 2026: Key Trends Shaping the Future of Intelligent Systems - Medium, accessed April 14, 2026, </w:t>
      </w:r>
      <w:hyperlink r:id="rId14">
        <w:r w:rsidDel="00000000" w:rsidR="00000000" w:rsidRPr="00000000">
          <w:rPr>
            <w:rFonts w:ascii="Google Sans" w:cs="Google Sans" w:eastAsia="Google Sans" w:hAnsi="Google Sans"/>
            <w:color w:val="0000ee"/>
            <w:sz w:val="24"/>
            <w:szCs w:val="24"/>
            <w:u w:val="single"/>
            <w:rtl w:val="0"/>
          </w:rPr>
          <w:t xml:space="preserve">https://medium.com/@ajay.singh_91430/ai-development-in-2026-key-trends-shaping-the-future-of-intelligent-systems-227189efab96</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and Outlook for 2026 - AlphaSense, accessed April 14, 2026, </w:t>
      </w:r>
      <w:hyperlink r:id="rId15">
        <w:r w:rsidDel="00000000" w:rsidR="00000000" w:rsidRPr="00000000">
          <w:rPr>
            <w:rFonts w:ascii="Google Sans" w:cs="Google Sans" w:eastAsia="Google Sans" w:hAnsi="Google Sans"/>
            <w:color w:val="0000ee"/>
            <w:sz w:val="24"/>
            <w:szCs w:val="24"/>
            <w:u w:val="single"/>
            <w:rtl w:val="0"/>
          </w:rPr>
          <w:t xml:space="preserve">https://www.alpha-sense.com/resources/research-articles/artificial-intelligence-trends/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State-of-the-Art Multimodal Generative AI Model Development with NVIDIA NeMo, accessed April 14, 2026, </w:t>
      </w:r>
      <w:hyperlink r:id="rId16">
        <w:r w:rsidDel="00000000" w:rsidR="00000000" w:rsidRPr="00000000">
          <w:rPr>
            <w:rFonts w:ascii="Google Sans" w:cs="Google Sans" w:eastAsia="Google Sans" w:hAnsi="Google Sans"/>
            <w:color w:val="0000ee"/>
            <w:sz w:val="24"/>
            <w:szCs w:val="24"/>
            <w:u w:val="single"/>
            <w:rtl w:val="0"/>
          </w:rPr>
          <w:t xml:space="preserve">https://developer.nvidia.com/blog/state-of-the-art-multimodal-generative-ai-model-development-with-nvidia-nemo/</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Bidirectional gRPC Streaming with tonic in Rust, accessed April 14, 2026, </w:t>
      </w:r>
      <w:hyperlink r:id="rId17">
        <w:r w:rsidDel="00000000" w:rsidR="00000000" w:rsidRPr="00000000">
          <w:rPr>
            <w:rFonts w:ascii="Google Sans" w:cs="Google Sans" w:eastAsia="Google Sans" w:hAnsi="Google Sans"/>
            <w:color w:val="0000ee"/>
            <w:sz w:val="24"/>
            <w:szCs w:val="24"/>
            <w:u w:val="single"/>
            <w:rtl w:val="0"/>
          </w:rPr>
          <w:t xml:space="preserve">https://oneuptime.com/blog/post/2026-01-25-bidirectional-grpc-streaming-tonic-rust/view</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to gRPC Gateway. Fundamentals of gRPC and Tonic | by Alfred Weirich - Medium, accessed April 14, 2026, </w:t>
      </w:r>
      <w:hyperlink r:id="rId18">
        <w:r w:rsidDel="00000000" w:rsidR="00000000" w:rsidRPr="00000000">
          <w:rPr>
            <w:rFonts w:ascii="Google Sans" w:cs="Google Sans" w:eastAsia="Google Sans" w:hAnsi="Google Sans"/>
            <w:color w:val="0000ee"/>
            <w:sz w:val="24"/>
            <w:szCs w:val="24"/>
            <w:u w:val="single"/>
            <w:rtl w:val="0"/>
          </w:rPr>
          <w:t xml:space="preserve">https://medium.com/@alfred.weirich/rest-to-grpc-gateway-b01c22b02aac</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gRPC Basics for Rust Developers - DockYard, accessed April 14, 2026, </w:t>
      </w:r>
      <w:hyperlink r:id="rId19">
        <w:r w:rsidDel="00000000" w:rsidR="00000000" w:rsidRPr="00000000">
          <w:rPr>
            <w:rFonts w:ascii="Google Sans" w:cs="Google Sans" w:eastAsia="Google Sans" w:hAnsi="Google Sans"/>
            <w:color w:val="0000ee"/>
            <w:sz w:val="24"/>
            <w:szCs w:val="24"/>
            <w:u w:val="single"/>
            <w:rtl w:val="0"/>
          </w:rPr>
          <w:t xml:space="preserve">https://dockyard.com/blog/2025/04/08/grpc-basics-for-rust-developers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Tonic makes gRPC in Rust stupidly simple - YouTube, accessed April 14,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https://www.youtube.com/watch?v=kerKXChDmsE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gRPC API Security Testing Guide (2026) | Secure gRPC Endpoints - Levo.ai, accessed April 14, 2026, </w:t>
      </w:r>
      <w:hyperlink r:id="rId21">
        <w:r w:rsidDel="00000000" w:rsidR="00000000" w:rsidRPr="00000000">
          <w:rPr>
            <w:rFonts w:ascii="Google Sans" w:cs="Google Sans" w:eastAsia="Google Sans" w:hAnsi="Google Sans"/>
            <w:color w:val="0000ee"/>
            <w:sz w:val="24"/>
            <w:szCs w:val="24"/>
            <w:u w:val="single"/>
            <w:rtl w:val="0"/>
          </w:rPr>
          <w:t xml:space="preserve">https://www.levo.ai/resources/blogs/grpc-api-security-testing</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gRPC Security Best Practices - StackHawk, accessed April 14, 2026, </w:t>
      </w:r>
      <w:hyperlink r:id="rId22">
        <w:r w:rsidDel="00000000" w:rsidR="00000000" w:rsidRPr="00000000">
          <w:rPr>
            <w:rFonts w:ascii="Google Sans" w:cs="Google Sans" w:eastAsia="Google Sans" w:hAnsi="Google Sans"/>
            <w:color w:val="0000ee"/>
            <w:sz w:val="24"/>
            <w:szCs w:val="24"/>
            <w:u w:val="single"/>
            <w:rtl w:val="0"/>
          </w:rPr>
          <w:t xml:space="preserve">https://www.stackhawk.com/blog/best-practices-for-grpc-security/</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gRPC API Testing: Methods, Risks, and Best Practices - Levo.ai, accessed April 14, 2026, </w:t>
      </w:r>
      <w:hyperlink r:id="rId23">
        <w:r w:rsidDel="00000000" w:rsidR="00000000" w:rsidRPr="00000000">
          <w:rPr>
            <w:rFonts w:ascii="Google Sans" w:cs="Google Sans" w:eastAsia="Google Sans" w:hAnsi="Google Sans"/>
            <w:color w:val="0000ee"/>
            <w:sz w:val="24"/>
            <w:szCs w:val="24"/>
            <w:u w:val="single"/>
            <w:rtl w:val="0"/>
          </w:rPr>
          <w:t xml:space="preserve">https://www.levo.ai/resources/blogs/grpc-api-testing</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Gen AI Models Text-Image-Video Applications | by Emad Ghadirian - Medium, accessed April 14, 2026, </w:t>
      </w:r>
      <w:hyperlink r:id="rId24">
        <w:r w:rsidDel="00000000" w:rsidR="00000000" w:rsidRPr="00000000">
          <w:rPr>
            <w:rFonts w:ascii="Google Sans" w:cs="Google Sans" w:eastAsia="Google Sans" w:hAnsi="Google Sans"/>
            <w:color w:val="0000ee"/>
            <w:sz w:val="24"/>
            <w:szCs w:val="24"/>
            <w:u w:val="single"/>
            <w:rtl w:val="0"/>
          </w:rPr>
          <w:t xml:space="preserve">https://medium.com/@emad.ghadirian/multimodal-gen-ai-models-text-image-video-applications-fbad76fa903a</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AI Development: Building Systems That Process Text, Images, Audio, and Video, accessed April 14, 2026, </w:t>
      </w:r>
      <w:hyperlink r:id="rId25">
        <w:r w:rsidDel="00000000" w:rsidR="00000000" w:rsidRPr="00000000">
          <w:rPr>
            <w:rFonts w:ascii="Google Sans" w:cs="Google Sans" w:eastAsia="Google Sans" w:hAnsi="Google Sans"/>
            <w:color w:val="0000ee"/>
            <w:sz w:val="24"/>
            <w:szCs w:val="24"/>
            <w:u w:val="single"/>
            <w:rtl w:val="0"/>
          </w:rPr>
          <w:t xml:space="preserve">https://www.runpod.io/articles/guides/multimodal-ai-development-building-systems-that-process-text-images-audio-and-video</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and Text Analysis for Media with Databricks Multi-Modal Agents - XenonStack, accessed April 14, 2026, </w:t>
      </w:r>
      <w:hyperlink r:id="rId26">
        <w:r w:rsidDel="00000000" w:rsidR="00000000" w:rsidRPr="00000000">
          <w:rPr>
            <w:rFonts w:ascii="Google Sans" w:cs="Google Sans" w:eastAsia="Google Sans" w:hAnsi="Google Sans"/>
            <w:color w:val="0000ee"/>
            <w:sz w:val="24"/>
            <w:szCs w:val="24"/>
            <w:u w:val="single"/>
            <w:rtl w:val="0"/>
          </w:rPr>
          <w:t xml:space="preserve">https://www.xenonstack.com/blog/video-text-databricks-multi-modal-agents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Factors influencing adoption intentions to use AIGC for health information: findings from SEM and fsQCA - ResearchGate, accessed April 14,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https://www.researchgate.net/publication/391580127_Factors_influencing_adoption_intentions_to_use_AIGC_for_health_information_findings_from_SEM_and_fsQCA</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Distinguishing Reality from AI: Approaches for Detecting Synthetic Content - MDPI, accessed April 14, 2026, </w:t>
      </w:r>
      <w:hyperlink r:id="rId28">
        <w:r w:rsidDel="00000000" w:rsidR="00000000" w:rsidRPr="00000000">
          <w:rPr>
            <w:rFonts w:ascii="Google Sans" w:cs="Google Sans" w:eastAsia="Google Sans" w:hAnsi="Google Sans"/>
            <w:color w:val="0000ee"/>
            <w:sz w:val="24"/>
            <w:szCs w:val="24"/>
            <w:u w:val="single"/>
            <w:rtl w:val="0"/>
          </w:rPr>
          <w:t xml:space="preserve">https://www.mdpi.com/2073-431X/14/1/1</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Code Reviews: Using AI to Attack Your Own Code | Kallis Blog, accessed April 14, 2026, </w:t>
      </w:r>
      <w:hyperlink r:id="rId29">
        <w:r w:rsidDel="00000000" w:rsidR="00000000" w:rsidRPr="00000000">
          <w:rPr>
            <w:rFonts w:ascii="Google Sans" w:cs="Google Sans" w:eastAsia="Google Sans" w:hAnsi="Google Sans"/>
            <w:color w:val="0000ee"/>
            <w:sz w:val="24"/>
            <w:szCs w:val="24"/>
            <w:u w:val="single"/>
            <w:rtl w:val="0"/>
          </w:rPr>
          <w:t xml:space="preserve">https://www.kallis.in/blog/adversarial-code-reviews-using-ai-to-attack-your-own-code</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Against Model Weight Exfiltration Through Inference Verification - LessWrong, accessed April 14, 2026, </w:t>
      </w:r>
      <w:hyperlink r:id="rId30">
        <w:r w:rsidDel="00000000" w:rsidR="00000000" w:rsidRPr="00000000">
          <w:rPr>
            <w:rFonts w:ascii="Google Sans" w:cs="Google Sans" w:eastAsia="Google Sans" w:hAnsi="Google Sans"/>
            <w:color w:val="0000ee"/>
            <w:sz w:val="24"/>
            <w:szCs w:val="24"/>
            <w:u w:val="single"/>
            <w:rtl w:val="0"/>
          </w:rPr>
          <w:t xml:space="preserve">https://www.lesswrong.com/posts/7i33FDCfcRLJbPs6u/defending-against-model-weight-exfiltration-through-1</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The Mandatory Plugin Security Layer for SaaS in 2025 - Medium, accessed April 14, 2026, </w:t>
      </w:r>
      <w:hyperlink r:id="rId31">
        <w:r w:rsidDel="00000000" w:rsidR="00000000" w:rsidRPr="00000000">
          <w:rPr>
            <w:rFonts w:ascii="Google Sans" w:cs="Google Sans" w:eastAsia="Google Sans" w:hAnsi="Google Sans"/>
            <w:color w:val="0000ee"/>
            <w:sz w:val="24"/>
            <w:szCs w:val="24"/>
            <w:u w:val="single"/>
            <w:rtl w:val="0"/>
          </w:rPr>
          <w:t xml:space="preserve">https://medium.com/@hashbyt/webassembly-the-mandatory-plugin-security-layer-for-saas-in-2025-187b2b4e53ba</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could solve AI agents' most dangerous security gap ..., accessed April 14, 2026, </w:t>
      </w:r>
      <w:hyperlink r:id="rId32">
        <w:r w:rsidDel="00000000" w:rsidR="00000000" w:rsidRPr="00000000">
          <w:rPr>
            <w:rFonts w:ascii="Google Sans" w:cs="Google Sans" w:eastAsia="Google Sans" w:hAnsi="Google Sans"/>
            <w:color w:val="0000ee"/>
            <w:sz w:val="24"/>
            <w:szCs w:val="24"/>
            <w:u w:val="single"/>
            <w:rtl w:val="0"/>
          </w:rPr>
          <w:t xml:space="preserve">https://thenewstack.io/webassembly-sandboxing-ai-agents/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secure is WebAssembly? 5 security concerns unique to WebAssembly - Snyk, accessed April 14, 2026, </w:t>
      </w:r>
      <w:hyperlink r:id="rId33">
        <w:r w:rsidDel="00000000" w:rsidR="00000000" w:rsidRPr="00000000">
          <w:rPr>
            <w:rFonts w:ascii="Google Sans" w:cs="Google Sans" w:eastAsia="Google Sans" w:hAnsi="Google Sans"/>
            <w:color w:val="0000ee"/>
            <w:sz w:val="24"/>
            <w:szCs w:val="24"/>
            <w:u w:val="single"/>
            <w:rtl w:val="0"/>
          </w:rPr>
          <w:t xml:space="preserve">https://snyk.io/blog/webassembly-security-concerns/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security-audited my own AI gateway and added WASM plugin support. Here's what I found., accessed April 14, 2026, </w:t>
      </w:r>
      <w:hyperlink r:id="rId34">
        <w:r w:rsidDel="00000000" w:rsidR="00000000" w:rsidRPr="00000000">
          <w:rPr>
            <w:rFonts w:ascii="Google Sans" w:cs="Google Sans" w:eastAsia="Google Sans" w:hAnsi="Google Sans"/>
            <w:color w:val="0000ee"/>
            <w:sz w:val="24"/>
            <w:szCs w:val="24"/>
            <w:u w:val="single"/>
            <w:rtl w:val="0"/>
          </w:rPr>
          <w:t xml:space="preserve">https://dev.to/saivedant169/i-security-audited-my-own-ai-gateway-and-added-wasm-plugin-support-heres-what-i-found-3b7o</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Is Abused by eCriminals to Hide Malware | CrowdStrike, accessed April 14, 2026, </w:t>
      </w:r>
      <w:hyperlink r:id="rId35">
        <w:r w:rsidDel="00000000" w:rsidR="00000000" w:rsidRPr="00000000">
          <w:rPr>
            <w:rFonts w:ascii="Google Sans" w:cs="Google Sans" w:eastAsia="Google Sans" w:hAnsi="Google Sans"/>
            <w:color w:val="0000ee"/>
            <w:sz w:val="24"/>
            <w:szCs w:val="24"/>
            <w:u w:val="single"/>
            <w:rtl w:val="0"/>
          </w:rPr>
          <w:t xml:space="preserve">https://www.crowdstrike.com/en-us/blog/ecriminals-increasingly-use-webassembly-to-hide-malware/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AIGC platforms' duty of care - Law.asia, accessed April 14, 2026, </w:t>
      </w:r>
      <w:hyperlink r:id="rId36">
        <w:r w:rsidDel="00000000" w:rsidR="00000000" w:rsidRPr="00000000">
          <w:rPr>
            <w:rFonts w:ascii="Google Sans" w:cs="Google Sans" w:eastAsia="Google Sans" w:hAnsi="Google Sans"/>
            <w:color w:val="0000ee"/>
            <w:sz w:val="24"/>
            <w:szCs w:val="24"/>
            <w:u w:val="single"/>
            <w:rtl w:val="0"/>
          </w:rPr>
          <w:t xml:space="preserve">https://law.asia/china-aigc-compliance-guide/</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Guardrails | SUPERWISE | Real-Time Protection in 10ms, accessed April 14, 2026, </w:t>
      </w:r>
      <w:hyperlink r:id="rId37">
        <w:r w:rsidDel="00000000" w:rsidR="00000000" w:rsidRPr="00000000">
          <w:rPr>
            <w:rFonts w:ascii="Google Sans" w:cs="Google Sans" w:eastAsia="Google Sans" w:hAnsi="Google Sans"/>
            <w:color w:val="0000ee"/>
            <w:sz w:val="24"/>
            <w:szCs w:val="24"/>
            <w:u w:val="single"/>
            <w:rtl w:val="0"/>
          </w:rPr>
          <w:t xml:space="preserve">https://superwise.ai/guardrails/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Training Data Leakage in AI Systems | Blog | Tonic.ai, accessed April 14, 2026, </w:t>
      </w:r>
      <w:hyperlink r:id="rId38">
        <w:r w:rsidDel="00000000" w:rsidR="00000000" w:rsidRPr="00000000">
          <w:rPr>
            <w:rFonts w:ascii="Google Sans" w:cs="Google Sans" w:eastAsia="Google Sans" w:hAnsi="Google Sans"/>
            <w:color w:val="0000ee"/>
            <w:sz w:val="24"/>
            <w:szCs w:val="24"/>
            <w:u w:val="single"/>
            <w:rtl w:val="0"/>
          </w:rPr>
          <w:t xml:space="preserve">https://www.tonic.ai/blog/prevent-training-data-leakage-ai</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Leakage in Machine Learning: Prevention Guide &amp; Security - Northhaven Analytics, accessed April 14, 2026, </w:t>
      </w:r>
      <w:hyperlink r:id="rId39">
        <w:r w:rsidDel="00000000" w:rsidR="00000000" w:rsidRPr="00000000">
          <w:rPr>
            <w:rFonts w:ascii="Google Sans" w:cs="Google Sans" w:eastAsia="Google Sans" w:hAnsi="Google Sans"/>
            <w:color w:val="0000ee"/>
            <w:sz w:val="24"/>
            <w:szCs w:val="24"/>
            <w:u w:val="single"/>
            <w:rtl w:val="0"/>
          </w:rPr>
          <w:t xml:space="preserve">https://northhavenanalytics.com/definitive-guide-data-leakage-machine-learning-prevention/</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Technology Predictions: 5 Powerful Trends - ACE Computers, accessed April 14, 2026, </w:t>
      </w:r>
      <w:hyperlink r:id="rId40">
        <w:r w:rsidDel="00000000" w:rsidR="00000000" w:rsidRPr="00000000">
          <w:rPr>
            <w:rFonts w:ascii="Google Sans" w:cs="Google Sans" w:eastAsia="Google Sans" w:hAnsi="Google Sans"/>
            <w:color w:val="0000ee"/>
            <w:sz w:val="24"/>
            <w:szCs w:val="24"/>
            <w:u w:val="single"/>
            <w:rtl w:val="0"/>
          </w:rPr>
          <w:t xml:space="preserve">https://acecomputers.com/2026-technology-predictions/</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and LVMs for agentic AI: a GPU-accelerated multimodal system architecture for RAG-grounded, explainable, and adaptive intelligence - SPIE Digital Library, accessed April 14, 2026, </w:t>
      </w:r>
      <w:hyperlink r:id="rId41">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https://www.spiedigitallibrary.org/conference-proceedings-of-spie/13687/136871R/LLMs-and-LVMs-for-agentic-AI--a-GPU-accelerated/10.1117/12.3078485.full</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AI responsiveness: A practical guide to Amazon Bedrock latency-optimized inference | Artificial Intelligence - AWS, accessed April 14, 2026, </w:t>
      </w:r>
      <w:hyperlink r:id="rId42">
        <w:r w:rsidDel="00000000" w:rsidR="00000000" w:rsidRPr="00000000">
          <w:rPr>
            <w:rFonts w:ascii="Google Sans" w:cs="Google Sans" w:eastAsia="Google Sans" w:hAnsi="Google Sans"/>
            <w:color w:val="0000ee"/>
            <w:sz w:val="24"/>
            <w:szCs w:val="24"/>
            <w:u w:val="single"/>
            <w:rtl w:val="0"/>
          </w:rPr>
          <w:t xml:space="preserve">https://aws.amazon.com/blogs/machine-learning/optimizing-ai-responsiveness-a-practical-guide-to-amazon-bedrock-latency-optimized-inference/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Engineering behind Fast AI: Inference optimization for Production ML Systems | by Srikar Parnandi | Mar, 2026 | Medium, accessed April 14, 2026, </w:t>
      </w:r>
      <w:hyperlink r:id="rId43">
        <w:r w:rsidDel="00000000" w:rsidR="00000000" w:rsidRPr="00000000">
          <w:rPr>
            <w:rFonts w:ascii="Google Sans" w:cs="Google Sans" w:eastAsia="Google Sans" w:hAnsi="Google Sans"/>
            <w:color w:val="0000ee"/>
            <w:sz w:val="24"/>
            <w:szCs w:val="24"/>
            <w:u w:val="single"/>
            <w:rtl w:val="0"/>
          </w:rPr>
          <w:t xml:space="preserve">https://medium.com/@srikarparnandi/the-hidden-engineering-behind-fast-ai-inference-optimization-for-production-ml-systems-1e1c88c9d22c</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Vision AI Inference: Speed &amp; Applications | Ultralytics, accessed April 14, 2026, </w:t>
      </w:r>
      <w:hyperlink r:id="rId44">
        <w:r w:rsidDel="00000000" w:rsidR="00000000" w:rsidRPr="00000000">
          <w:rPr>
            <w:rFonts w:ascii="Google Sans" w:cs="Google Sans" w:eastAsia="Google Sans" w:hAnsi="Google Sans"/>
            <w:color w:val="0000ee"/>
            <w:sz w:val="24"/>
            <w:szCs w:val="24"/>
            <w:u w:val="single"/>
            <w:rtl w:val="0"/>
          </w:rPr>
          <w:t xml:space="preserve">https://www.ultralytics.com/blog/real-time-inferences-in-vision-ai-solutions-are-making-an-impact</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AI Inference Performance with NVIDIA Full-Stack Solutions, accessed April 14, 2026, </w:t>
      </w:r>
      <w:hyperlink r:id="rId45">
        <w:r w:rsidDel="00000000" w:rsidR="00000000" w:rsidRPr="00000000">
          <w:rPr>
            <w:rFonts w:ascii="Google Sans" w:cs="Google Sans" w:eastAsia="Google Sans" w:hAnsi="Google Sans"/>
            <w:color w:val="0000ee"/>
            <w:sz w:val="24"/>
            <w:szCs w:val="24"/>
            <w:u w:val="single"/>
            <w:rtl w:val="0"/>
          </w:rPr>
          <w:t xml:space="preserve">https://developer.nvidia.com/blog/optimize-ai-inference-performance-with-nvidia-full-stack-solutions/</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Benchmarks: What They Measure &amp; Where They Fall Short - Redis, accessed April 14, 2026, </w:t>
      </w:r>
      <w:hyperlink r:id="rId46">
        <w:r w:rsidDel="00000000" w:rsidR="00000000" w:rsidRPr="00000000">
          <w:rPr>
            <w:rFonts w:ascii="Google Sans" w:cs="Google Sans" w:eastAsia="Google Sans" w:hAnsi="Google Sans"/>
            <w:color w:val="0000ee"/>
            <w:sz w:val="24"/>
            <w:szCs w:val="24"/>
            <w:u w:val="single"/>
            <w:rtl w:val="0"/>
          </w:rPr>
          <w:t xml:space="preserve">https://redis.io/blog/ai-agent-benchmarks/</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whitecircle-ai/circle-guard-bench: First-of-its-kind AI benchmark for evaluating the protection capabilities of large language model (LLM) guard systems (guardrails and safeguards) - GitHub, accessed April 14, 2026, </w:t>
      </w:r>
      <w:hyperlink r:id="rId47">
        <w:r w:rsidDel="00000000" w:rsidR="00000000" w:rsidRPr="00000000">
          <w:rPr>
            <w:rFonts w:ascii="Google Sans" w:cs="Google Sans" w:eastAsia="Google Sans" w:hAnsi="Google Sans"/>
            <w:color w:val="0000ee"/>
            <w:sz w:val="24"/>
            <w:szCs w:val="24"/>
            <w:u w:val="single"/>
            <w:rtl w:val="0"/>
          </w:rPr>
          <w:t xml:space="preserve">https://github.com/whitecircle-ai/circle-guard-bench</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Benchmarks 2026: Top Evaluations and Their Limits - Kili Technology, accessed April 14, 2026, </w:t>
      </w:r>
      <w:hyperlink r:id="rId48">
        <w:r w:rsidDel="00000000" w:rsidR="00000000" w:rsidRPr="00000000">
          <w:rPr>
            <w:rFonts w:ascii="Google Sans" w:cs="Google Sans" w:eastAsia="Google Sans" w:hAnsi="Google Sans"/>
            <w:color w:val="0000ee"/>
            <w:sz w:val="24"/>
            <w:szCs w:val="24"/>
            <w:u w:val="single"/>
            <w:rtl w:val="0"/>
          </w:rPr>
          <w:t xml:space="preserve">https://kili-technology.com/blog/ai-benchmarks-guide-the-top-evaluations-in-2026-and-why-theyre-not-enough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ecomputers.com/2026-technology-predictions/" TargetMode="External"/><Relationship Id="rId20" Type="http://schemas.openxmlformats.org/officeDocument/2006/relationships/hyperlink" Target="https://www.youtube.com/watch?v=kerKXChDmsE" TargetMode="External"/><Relationship Id="rId42" Type="http://schemas.openxmlformats.org/officeDocument/2006/relationships/hyperlink" Target="https://aws.amazon.com/blogs/machine-learning/optimizing-ai-responsiveness-a-practical-guide-to-amazon-bedrock-latency-optimized-inference/" TargetMode="External"/><Relationship Id="rId41" Type="http://schemas.openxmlformats.org/officeDocument/2006/relationships/hyperlink" Target="https://www.spiedigitallibrary.org/conference-proceedings-of-spie/13687/136871R/LLMs-and-LVMs-for-agentic-AI--a-GPU-accelerated/10.1117/12.3078485.full" TargetMode="External"/><Relationship Id="rId22" Type="http://schemas.openxmlformats.org/officeDocument/2006/relationships/hyperlink" Target="https://www.stackhawk.com/blog/best-practices-for-grpc-security/" TargetMode="External"/><Relationship Id="rId44" Type="http://schemas.openxmlformats.org/officeDocument/2006/relationships/hyperlink" Target="https://www.ultralytics.com/blog/real-time-inferences-in-vision-ai-solutions-are-making-an-impact" TargetMode="External"/><Relationship Id="rId21" Type="http://schemas.openxmlformats.org/officeDocument/2006/relationships/hyperlink" Target="https://www.levo.ai/resources/blogs/grpc-api-security-testing" TargetMode="External"/><Relationship Id="rId43" Type="http://schemas.openxmlformats.org/officeDocument/2006/relationships/hyperlink" Target="https://medium.com/@srikarparnandi/the-hidden-engineering-behind-fast-ai-inference-optimization-for-production-ml-systems-1e1c88c9d22c" TargetMode="External"/><Relationship Id="rId24" Type="http://schemas.openxmlformats.org/officeDocument/2006/relationships/hyperlink" Target="https://medium.com/@emad.ghadirian/multimodal-gen-ai-models-text-image-video-applications-fbad76fa903a" TargetMode="External"/><Relationship Id="rId46" Type="http://schemas.openxmlformats.org/officeDocument/2006/relationships/hyperlink" Target="https://redis.io/blog/ai-agent-benchmarks/" TargetMode="External"/><Relationship Id="rId23" Type="http://schemas.openxmlformats.org/officeDocument/2006/relationships/hyperlink" Target="https://www.levo.ai/resources/blogs/grpc-api-testing" TargetMode="External"/><Relationship Id="rId45" Type="http://schemas.openxmlformats.org/officeDocument/2006/relationships/hyperlink" Target="https://developer.nvidia.com/blog/optimize-ai-inference-performance-with-nvidia-full-stack-solu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xenonstack.com/blog/video-text-databricks-multi-modal-agents" TargetMode="External"/><Relationship Id="rId48" Type="http://schemas.openxmlformats.org/officeDocument/2006/relationships/hyperlink" Target="https://kili-technology.com/blog/ai-benchmarks-guide-the-top-evaluations-in-2026-and-why-theyre-not-enough" TargetMode="External"/><Relationship Id="rId25" Type="http://schemas.openxmlformats.org/officeDocument/2006/relationships/hyperlink" Target="https://www.runpod.io/articles/guides/multimodal-ai-development-building-systems-that-process-text-images-audio-and-video" TargetMode="External"/><Relationship Id="rId47" Type="http://schemas.openxmlformats.org/officeDocument/2006/relationships/hyperlink" Target="https://github.com/whitecircle-ai/circle-guard-bench" TargetMode="External"/><Relationship Id="rId28" Type="http://schemas.openxmlformats.org/officeDocument/2006/relationships/hyperlink" Target="https://www.mdpi.com/2073-431X/14/1/1" TargetMode="External"/><Relationship Id="rId27" Type="http://schemas.openxmlformats.org/officeDocument/2006/relationships/hyperlink" Target="https://www.researchgate.net/publication/391580127_Factors_influencing_adoption_intentions_to_use_AIGC_for_health_information_findings_from_SEM_and_fsQCA"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kallis.in/blog/adversarial-code-reviews-using-ai-to-attack-your-own-code"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medium.com/@hashbyt/webassembly-the-mandatory-plugin-security-layer-for-saas-in-2025-187b2b4e53ba" TargetMode="External"/><Relationship Id="rId30" Type="http://schemas.openxmlformats.org/officeDocument/2006/relationships/hyperlink" Target="https://www.lesswrong.com/posts/7i33FDCfcRLJbPs6u/defending-against-model-weight-exfiltration-through-1" TargetMode="External"/><Relationship Id="rId11" Type="http://schemas.openxmlformats.org/officeDocument/2006/relationships/hyperlink" Target="https://www.switas.com/articles/the-future-of-agi-5-breakthroughs-defining-april-2026" TargetMode="External"/><Relationship Id="rId33" Type="http://schemas.openxmlformats.org/officeDocument/2006/relationships/hyperlink" Target="https://snyk.io/blog/webassembly-security-concerns/" TargetMode="External"/><Relationship Id="rId10" Type="http://schemas.openxmlformats.org/officeDocument/2006/relationships/image" Target="media/image4.png"/><Relationship Id="rId32" Type="http://schemas.openxmlformats.org/officeDocument/2006/relationships/hyperlink" Target="https://thenewstack.io/webassembly-sandboxing-ai-agents/" TargetMode="External"/><Relationship Id="rId13" Type="http://schemas.openxmlformats.org/officeDocument/2006/relationships/hyperlink" Target="https://github.com/luban-agi/Awesome-AIGC-Tutorials" TargetMode="External"/><Relationship Id="rId35" Type="http://schemas.openxmlformats.org/officeDocument/2006/relationships/hyperlink" Target="https://www.crowdstrike.com/en-us/blog/ecriminals-increasingly-use-webassembly-to-hide-malware/" TargetMode="External"/><Relationship Id="rId12" Type="http://schemas.openxmlformats.org/officeDocument/2006/relationships/hyperlink" Target="https://gradiant.org/en/blog/market-technology-trends-2026/" TargetMode="External"/><Relationship Id="rId34" Type="http://schemas.openxmlformats.org/officeDocument/2006/relationships/hyperlink" Target="https://dev.to/saivedant169/i-security-audited-my-own-ai-gateway-and-added-wasm-plugin-support-heres-what-i-found-3b7o" TargetMode="External"/><Relationship Id="rId15" Type="http://schemas.openxmlformats.org/officeDocument/2006/relationships/hyperlink" Target="https://www.alpha-sense.com/resources/research-articles/artificial-intelligence-trends/" TargetMode="External"/><Relationship Id="rId37" Type="http://schemas.openxmlformats.org/officeDocument/2006/relationships/hyperlink" Target="https://superwise.ai/guardrails/" TargetMode="External"/><Relationship Id="rId14" Type="http://schemas.openxmlformats.org/officeDocument/2006/relationships/hyperlink" Target="https://medium.com/@ajay.singh_91430/ai-development-in-2026-key-trends-shaping-the-future-of-intelligent-systems-227189efab96" TargetMode="External"/><Relationship Id="rId36" Type="http://schemas.openxmlformats.org/officeDocument/2006/relationships/hyperlink" Target="https://law.asia/china-aigc-compliance-guide/" TargetMode="External"/><Relationship Id="rId17" Type="http://schemas.openxmlformats.org/officeDocument/2006/relationships/hyperlink" Target="https://oneuptime.com/blog/post/2026-01-25-bidirectional-grpc-streaming-tonic-rust/view" TargetMode="External"/><Relationship Id="rId39" Type="http://schemas.openxmlformats.org/officeDocument/2006/relationships/hyperlink" Target="https://northhavenanalytics.com/definitive-guide-data-leakage-machine-learning-prevention/" TargetMode="External"/><Relationship Id="rId16" Type="http://schemas.openxmlformats.org/officeDocument/2006/relationships/hyperlink" Target="https://developer.nvidia.com/blog/state-of-the-art-multimodal-generative-ai-model-development-with-nvidia-nemo/" TargetMode="External"/><Relationship Id="rId38" Type="http://schemas.openxmlformats.org/officeDocument/2006/relationships/hyperlink" Target="https://www.tonic.ai/blog/prevent-training-data-leakage-ai" TargetMode="External"/><Relationship Id="rId19" Type="http://schemas.openxmlformats.org/officeDocument/2006/relationships/hyperlink" Target="https://dockyard.com/blog/2025/04/08/grpc-basics-for-rust-developers" TargetMode="External"/><Relationship Id="rId18" Type="http://schemas.openxmlformats.org/officeDocument/2006/relationships/hyperlink" Target="https://medium.com/@alfred.weirich/rest-to-grpc-gateway-b01c22b02aa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