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Veslo Clarification Questions - Draft Answers</w:t>
      </w:r>
    </w:p>
    <w:p>
      <w:pPr>
        <w:pStyle w:val="Subtitle"/>
        <w:jc w:val="center"/>
      </w:pPr>
      <w:r>
        <w:t>Prepared for client security and IT due diligence review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EF3F8"/>
            <w:tcBorders>
              <w:top w:val="single" w:sz="8" w:color="C8D4E3"/>
              <w:left w:val="single" w:sz="8" w:color="C8D4E3"/>
              <w:bottom w:val="single" w:sz="8" w:color="C8D4E3"/>
              <w:right w:val="single" w:sz="8" w:color="C8D4E3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b/>
                <w:color w:val="203864"/>
              </w:rPr>
              <w:t xml:space="preserve">Draft status: </w:t>
            </w:r>
            <w:r>
              <w:t>These answers reflect the current operating position and planned roadmap wording for review before sending to the client.</w:t>
            </w:r>
          </w:p>
        </w:tc>
      </w:tr>
    </w:tbl>
    <w:p/>
    <w:p>
      <w:pPr>
        <w:pStyle w:val="Heading1"/>
      </w:pPr>
      <w:r>
        <w:t>1. AI Providers &amp; Data Processing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3240"/>
            <w:shd w:fill="20386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Client question</w:t>
            </w:r>
          </w:p>
        </w:tc>
        <w:tc>
          <w:tcPr>
            <w:tcW w:type="dxa" w:w="7128"/>
            <w:shd w:fill="20386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Answer</w:t>
            </w:r>
          </w:p>
        </w:tc>
      </w:tr>
      <w:tr>
        <w:tc>
          <w:tcPr>
            <w:tcW w:type="dxa" w:w="3240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243447"/>
                <w:sz w:val="16"/>
              </w:rPr>
              <w:t>Which AI providers are currently supported in production?</w:t>
            </w:r>
          </w:p>
        </w:tc>
        <w:tc>
          <w:tcPr>
            <w:tcW w:type="dxa" w:w="7128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color w:val="1F2933"/>
                <w:sz w:val="17"/>
              </w:rPr>
              <w:t>We currently use OpenAI. Azure OpenAI is also available. If required, other inference backends can be connected, including a customer's own GPU infrastructure.</w:t>
            </w:r>
          </w:p>
        </w:tc>
      </w:tr>
      <w:tr>
        <w:tc>
          <w:tcPr>
            <w:tcW w:type="dxa" w:w="3240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243447"/>
                <w:sz w:val="16"/>
              </w:rPr>
              <w:t>Is Zero Data Retention enforced contractually only, or are there technical controls preventing storage by the provider?</w:t>
            </w:r>
          </w:p>
        </w:tc>
        <w:tc>
          <w:tcPr>
            <w:tcW w:type="dxa" w:w="7128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color w:val="1F2933"/>
                <w:sz w:val="17"/>
              </w:rPr>
              <w:t>ZDR is enforced through provider configuration and contractual terms. For full technical isolation, Veslo can also run inference locally or on customer-controlled infrastructure.</w:t>
            </w:r>
          </w:p>
        </w:tc>
      </w:tr>
      <w:tr>
        <w:tc>
          <w:tcPr>
            <w:tcW w:type="dxa" w:w="3240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243447"/>
                <w:sz w:val="16"/>
              </w:rPr>
              <w:t>Are prompts or completions ever logged by the AI provider for abuse detection, security monitoring, or quality evaluation?</w:t>
            </w:r>
          </w:p>
        </w:tc>
        <w:tc>
          <w:tcPr>
            <w:tcW w:type="dxa" w:w="7128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color w:val="1F2933"/>
                <w:sz w:val="17"/>
              </w:rPr>
              <w:t>No, not under the configured ZDR setup. If local or customer-hosted inference is used, prompts and completions are not sent to an external AI provider.</w:t>
            </w:r>
          </w:p>
        </w:tc>
      </w:tr>
      <w:tr>
        <w:tc>
          <w:tcPr>
            <w:tcW w:type="dxa" w:w="3240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243447"/>
                <w:sz w:val="16"/>
              </w:rPr>
              <w:t>Are customers able to restrict Veslo to a single, named AI provider and region?</w:t>
            </w:r>
          </w:p>
        </w:tc>
        <w:tc>
          <w:tcPr>
            <w:tcW w:type="dxa" w:w="7128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color w:val="1F2933"/>
                <w:sz w:val="17"/>
              </w:rPr>
              <w:t>Yes. Provider and model access can be restricted. Inference location can also be configured.</w:t>
            </w:r>
          </w:p>
        </w:tc>
      </w:tr>
      <w:tr>
        <w:tc>
          <w:tcPr>
            <w:tcW w:type="dxa" w:w="3240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243447"/>
                <w:sz w:val="16"/>
              </w:rPr>
              <w:t>Can customers supply their own Azure OpenAI tenant rather than using Veslo-managed AI access?</w:t>
            </w:r>
          </w:p>
        </w:tc>
        <w:tc>
          <w:tcPr>
            <w:tcW w:type="dxa" w:w="7128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color w:val="1F2933"/>
                <w:sz w:val="17"/>
              </w:rPr>
              <w:t>Yes. This can be supported if required.</w:t>
            </w:r>
          </w:p>
        </w:tc>
      </w:tr>
    </w:tbl>
    <w:p>
      <w:pPr>
        <w:spacing w:after="40"/>
      </w:pPr>
    </w:p>
    <w:p>
      <w:pPr>
        <w:pStyle w:val="Heading1"/>
      </w:pPr>
      <w:r>
        <w:t>2. Prompt, Audit Log &amp; Data Retention Controls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3240"/>
            <w:shd w:fill="20386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Client question</w:t>
            </w:r>
          </w:p>
        </w:tc>
        <w:tc>
          <w:tcPr>
            <w:tcW w:type="dxa" w:w="7128"/>
            <w:shd w:fill="20386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Answer</w:t>
            </w:r>
          </w:p>
        </w:tc>
      </w:tr>
      <w:tr>
        <w:tc>
          <w:tcPr>
            <w:tcW w:type="dxa" w:w="3240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243447"/>
                <w:sz w:val="16"/>
              </w:rPr>
              <w:t>What is the default retention period for run audit logs, including prompts?</w:t>
            </w:r>
          </w:p>
        </w:tc>
        <w:tc>
          <w:tcPr>
            <w:tcW w:type="dxa" w:w="7128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color w:val="1F2933"/>
                <w:sz w:val="17"/>
              </w:rPr>
              <w:t>There is no fixed automated retention setup. Prompts are saved as part of the user's session history until the user archives and deletes the session.</w:t>
            </w:r>
          </w:p>
        </w:tc>
      </w:tr>
      <w:tr>
        <w:tc>
          <w:tcPr>
            <w:tcW w:type="dxa" w:w="3240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243447"/>
                <w:sz w:val="16"/>
              </w:rPr>
              <w:t>Can retention be configured by workspace, user role, or data classification?</w:t>
            </w:r>
          </w:p>
        </w:tc>
        <w:tc>
          <w:tcPr>
            <w:tcW w:type="dxa" w:w="7128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color w:val="1F2933"/>
                <w:sz w:val="17"/>
              </w:rPr>
              <w:t>No. Retention is currently controlled by the user through session deletion, not by workspace, role, or data classification.</w:t>
            </w:r>
          </w:p>
        </w:tc>
      </w:tr>
      <w:tr>
        <w:tc>
          <w:tcPr>
            <w:tcW w:type="dxa" w:w="3240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243447"/>
                <w:sz w:val="16"/>
              </w:rPr>
              <w:t>Are customers able to delete individual runs?</w:t>
            </w:r>
          </w:p>
        </w:tc>
        <w:tc>
          <w:tcPr>
            <w:tcW w:type="dxa" w:w="7128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color w:val="1F2933"/>
                <w:sz w:val="17"/>
              </w:rPr>
              <w:t>Yes. Users can archive and then delete their sessions. When deleted locally, the corresponding data is deleted from our servers.</w:t>
            </w:r>
          </w:p>
        </w:tc>
      </w:tr>
      <w:tr>
        <w:tc>
          <w:tcPr>
            <w:tcW w:type="dxa" w:w="3240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243447"/>
                <w:sz w:val="16"/>
              </w:rPr>
              <w:t>Do audit logs support legal hold or eDiscovery-style export?</w:t>
            </w:r>
          </w:p>
        </w:tc>
        <w:tc>
          <w:tcPr>
            <w:tcW w:type="dxa" w:w="7128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color w:val="1F2933"/>
                <w:sz w:val="17"/>
              </w:rPr>
              <w:t>Audit export can be provided if required. Dedicated legal hold or eDiscovery workflows are not currently available.</w:t>
            </w:r>
          </w:p>
        </w:tc>
      </w:tr>
      <w:tr>
        <w:tc>
          <w:tcPr>
            <w:tcW w:type="dxa" w:w="3240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243447"/>
                <w:sz w:val="16"/>
              </w:rPr>
              <w:t>Is prompt content encrypted at rest separately from metadata?</w:t>
            </w:r>
          </w:p>
        </w:tc>
        <w:tc>
          <w:tcPr>
            <w:tcW w:type="dxa" w:w="7128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color w:val="1F2933"/>
                <w:sz w:val="17"/>
              </w:rPr>
              <w:t>Data is encrypted at rest. Separate prompt-content encryption from metadata is not currently available.</w:t>
            </w:r>
          </w:p>
        </w:tc>
      </w:tr>
    </w:tbl>
    <w:p>
      <w:pPr>
        <w:spacing w:after="40"/>
      </w:pPr>
    </w:p>
    <w:p>
      <w:pPr>
        <w:pStyle w:val="Heading1"/>
      </w:pPr>
      <w:r>
        <w:t>3. Endpoint &amp; Device Security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3240"/>
            <w:shd w:fill="20386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Client question</w:t>
            </w:r>
          </w:p>
        </w:tc>
        <w:tc>
          <w:tcPr>
            <w:tcW w:type="dxa" w:w="7128"/>
            <w:shd w:fill="20386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Answer</w:t>
            </w:r>
          </w:p>
        </w:tc>
      </w:tr>
      <w:tr>
        <w:tc>
          <w:tcPr>
            <w:tcW w:type="dxa" w:w="3240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243447"/>
                <w:sz w:val="16"/>
              </w:rPr>
              <w:t>Can Veslo be restricted to managed/compliant devices only, such as Intune or MDM?</w:t>
            </w:r>
          </w:p>
        </w:tc>
        <w:tc>
          <w:tcPr>
            <w:tcW w:type="dxa" w:w="7128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color w:val="1F2933"/>
                <w:sz w:val="17"/>
              </w:rPr>
              <w:t>No, not currently. Veslo does not currently integrate with Intune or MDM. MDM compatibility could be added if required.</w:t>
            </w:r>
          </w:p>
        </w:tc>
      </w:tr>
      <w:tr>
        <w:tc>
          <w:tcPr>
            <w:tcW w:type="dxa" w:w="3240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243447"/>
                <w:sz w:val="16"/>
              </w:rPr>
              <w:t>Does Veslo support device compliance, OS version, or jailbreak/root detection signals?</w:t>
            </w:r>
          </w:p>
        </w:tc>
        <w:tc>
          <w:tcPr>
            <w:tcW w:type="dxa" w:w="7128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color w:val="1F2933"/>
                <w:sz w:val="17"/>
              </w:rPr>
              <w:t>No, not currently. This is planned for future development.</w:t>
            </w:r>
          </w:p>
        </w:tc>
      </w:tr>
      <w:tr>
        <w:tc>
          <w:tcPr>
            <w:tcW w:type="dxa" w:w="3240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243447"/>
                <w:sz w:val="16"/>
              </w:rPr>
              <w:t>Can Veslo usage be prevented on personal or unmanaged devices?</w:t>
            </w:r>
          </w:p>
        </w:tc>
        <w:tc>
          <w:tcPr>
            <w:tcW w:type="dxa" w:w="7128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color w:val="1F2933"/>
                <w:sz w:val="17"/>
              </w:rPr>
              <w:t>No, not currently. This could be added through future MDM and compliance support.</w:t>
            </w:r>
          </w:p>
        </w:tc>
      </w:tr>
      <w:tr>
        <w:tc>
          <w:tcPr>
            <w:tcW w:type="dxa" w:w="3240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243447"/>
                <w:sz w:val="16"/>
              </w:rPr>
              <w:t>How are secrets or tokens handled locally on the device?</w:t>
            </w:r>
          </w:p>
        </w:tc>
        <w:tc>
          <w:tcPr>
            <w:tcW w:type="dxa" w:w="7128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color w:val="1F2933"/>
                <w:sz w:val="17"/>
              </w:rPr>
              <w:t>Local secrets are stored using the operating system's secure credential storage.</w:t>
            </w:r>
          </w:p>
        </w:tc>
      </w:tr>
    </w:tbl>
    <w:p>
      <w:pPr>
        <w:spacing w:after="40"/>
      </w:pPr>
    </w:p>
    <w:p>
      <w:pPr>
        <w:pStyle w:val="Heading1"/>
      </w:pPr>
      <w:r>
        <w:t>4. Identity, Access &amp; Session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3240"/>
            <w:shd w:fill="20386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Client question</w:t>
            </w:r>
          </w:p>
        </w:tc>
        <w:tc>
          <w:tcPr>
            <w:tcW w:type="dxa" w:w="7128"/>
            <w:shd w:fill="20386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Answer</w:t>
            </w:r>
          </w:p>
        </w:tc>
      </w:tr>
      <w:tr>
        <w:tc>
          <w:tcPr>
            <w:tcW w:type="dxa" w:w="3240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243447"/>
                <w:sz w:val="16"/>
              </w:rPr>
              <w:t>Can Veslo enforce session time limits, idle timeouts, and re-authentication for sensitive actions?</w:t>
            </w:r>
          </w:p>
        </w:tc>
        <w:tc>
          <w:tcPr>
            <w:tcW w:type="dxa" w:w="7128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color w:val="1F2933"/>
                <w:sz w:val="17"/>
              </w:rPr>
              <w:t>No, not currently as dedicated Veslo controls. These can be handled through the customer's identity provider where applicable.</w:t>
            </w:r>
          </w:p>
        </w:tc>
      </w:tr>
      <w:tr>
        <w:tc>
          <w:tcPr>
            <w:tcW w:type="dxa" w:w="3240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243447"/>
                <w:sz w:val="16"/>
              </w:rPr>
              <w:t>Are privileged actions protected by step-up authentication or separate admin roles?</w:t>
            </w:r>
          </w:p>
        </w:tc>
        <w:tc>
          <w:tcPr>
            <w:tcW w:type="dxa" w:w="7128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color w:val="1F2933"/>
                <w:sz w:val="17"/>
              </w:rPr>
              <w:t>Separate admin roles are supported. Step-up authentication is not currently available as a dedicated Veslo feature.</w:t>
            </w:r>
          </w:p>
        </w:tc>
      </w:tr>
      <w:tr>
        <w:tc>
          <w:tcPr>
            <w:tcW w:type="dxa" w:w="3240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243447"/>
                <w:sz w:val="16"/>
              </w:rPr>
              <w:t>Does Veslo maintain its own role-based access control model, or rely entirely on the IdP?</w:t>
            </w:r>
          </w:p>
        </w:tc>
        <w:tc>
          <w:tcPr>
            <w:tcW w:type="dxa" w:w="7128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color w:val="1F2933"/>
                <w:sz w:val="17"/>
              </w:rPr>
              <w:t>Yes. Veslo maintains its own role-based access model in addition to identity-provider authentication.</w:t>
            </w:r>
          </w:p>
        </w:tc>
      </w:tr>
      <w:tr>
        <w:tc>
          <w:tcPr>
            <w:tcW w:type="dxa" w:w="3240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243447"/>
                <w:sz w:val="16"/>
              </w:rPr>
              <w:t>Are access logs available for authentication events and administrative actions?</w:t>
            </w:r>
          </w:p>
        </w:tc>
        <w:tc>
          <w:tcPr>
            <w:tcW w:type="dxa" w:w="7128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color w:val="1F2933"/>
                <w:sz w:val="17"/>
              </w:rPr>
              <w:t>Administrative action logs are available. Authentication-event logging depends on the identity provider setup.</w:t>
            </w:r>
          </w:p>
        </w:tc>
      </w:tr>
    </w:tbl>
    <w:p>
      <w:pPr>
        <w:spacing w:after="40"/>
      </w:pPr>
    </w:p>
    <w:p>
      <w:pPr>
        <w:pStyle w:val="Heading1"/>
      </w:pPr>
      <w:r>
        <w:t>5. On-Premise &amp; Data Residency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3240"/>
            <w:shd w:fill="20386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Client question</w:t>
            </w:r>
          </w:p>
        </w:tc>
        <w:tc>
          <w:tcPr>
            <w:tcW w:type="dxa" w:w="7128"/>
            <w:shd w:fill="20386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Answer</w:t>
            </w:r>
          </w:p>
        </w:tc>
      </w:tr>
      <w:tr>
        <w:tc>
          <w:tcPr>
            <w:tcW w:type="dxa" w:w="3240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243447"/>
                <w:sz w:val="16"/>
              </w:rPr>
              <w:t>What components must remain cloud-hosted today, even in on-prem deployments?</w:t>
            </w:r>
          </w:p>
        </w:tc>
        <w:tc>
          <w:tcPr>
            <w:tcW w:type="dxa" w:w="7128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color w:val="1F2933"/>
                <w:sz w:val="17"/>
              </w:rPr>
              <w:t>None in a fully local deployment. If required, processing and inference can run locally or in customer-controlled infrastructure.</w:t>
            </w:r>
          </w:p>
        </w:tc>
      </w:tr>
      <w:tr>
        <w:tc>
          <w:tcPr>
            <w:tcW w:type="dxa" w:w="3240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243447"/>
                <w:sz w:val="16"/>
              </w:rPr>
              <w:t>Is local AI inference available today or only on the roadmap?</w:t>
            </w:r>
          </w:p>
        </w:tc>
        <w:tc>
          <w:tcPr>
            <w:tcW w:type="dxa" w:w="7128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color w:val="1F2933"/>
                <w:sz w:val="17"/>
              </w:rPr>
              <w:t>Yes. Local inference is available today and can be deployed fully locally if required.</w:t>
            </w:r>
          </w:p>
        </w:tc>
      </w:tr>
      <w:tr>
        <w:tc>
          <w:tcPr>
            <w:tcW w:type="dxa" w:w="3240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243447"/>
                <w:sz w:val="16"/>
              </w:rPr>
              <w:t>In on-prem deployments, where are audit logs stored?</w:t>
            </w:r>
          </w:p>
        </w:tc>
        <w:tc>
          <w:tcPr>
            <w:tcW w:type="dxa" w:w="7128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color w:val="1F2933"/>
                <w:sz w:val="17"/>
              </w:rPr>
              <w:t>In a fully local or on-prem deployment, audit logs can be stored locally in the customer environment.</w:t>
            </w:r>
          </w:p>
        </w:tc>
      </w:tr>
      <w:tr>
        <w:tc>
          <w:tcPr>
            <w:tcW w:type="dxa" w:w="3240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243447"/>
                <w:sz w:val="16"/>
              </w:rPr>
              <w:t>In on-prem deployments, where is identity data stored?</w:t>
            </w:r>
          </w:p>
        </w:tc>
        <w:tc>
          <w:tcPr>
            <w:tcW w:type="dxa" w:w="7128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color w:val="1F2933"/>
                <w:sz w:val="17"/>
              </w:rPr>
              <w:t>In a fully local or on-prem deployment, identity data can be stored locally in the customer environment.</w:t>
            </w:r>
          </w:p>
        </w:tc>
      </w:tr>
      <w:tr>
        <w:tc>
          <w:tcPr>
            <w:tcW w:type="dxa" w:w="3240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243447"/>
                <w:sz w:val="16"/>
              </w:rPr>
              <w:t>Can on-prem deployments operate fully offline from Veslo Cloud for defined periods?</w:t>
            </w:r>
          </w:p>
        </w:tc>
        <w:tc>
          <w:tcPr>
            <w:tcW w:type="dxa" w:w="7128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color w:val="1F2933"/>
                <w:sz w:val="17"/>
              </w:rPr>
              <w:t>Yes, if deployed fully locally. In that setup, processing can be done without retaining data in the cloud.</w:t>
            </w:r>
          </w:p>
        </w:tc>
      </w:tr>
    </w:tbl>
    <w:p>
      <w:pPr>
        <w:spacing w:after="40"/>
      </w:pPr>
    </w:p>
    <w:p>
      <w:pPr>
        <w:pStyle w:val="Heading1"/>
      </w:pPr>
      <w:r>
        <w:t>6. Compliance, Assurance &amp; Risk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3240"/>
            <w:shd w:fill="20386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Client question</w:t>
            </w:r>
          </w:p>
        </w:tc>
        <w:tc>
          <w:tcPr>
            <w:tcW w:type="dxa" w:w="7128"/>
            <w:shd w:fill="20386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Answer</w:t>
            </w:r>
          </w:p>
        </w:tc>
      </w:tr>
      <w:tr>
        <w:tc>
          <w:tcPr>
            <w:tcW w:type="dxa" w:w="3240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243447"/>
                <w:sz w:val="16"/>
              </w:rPr>
              <w:t>Can Veslo share its current internal control framework, such as SOC 2 or ISO 27001 mapping?</w:t>
            </w:r>
          </w:p>
        </w:tc>
        <w:tc>
          <w:tcPr>
            <w:tcW w:type="dxa" w:w="7128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color w:val="1F2933"/>
                <w:sz w:val="17"/>
              </w:rPr>
              <w:t>No, not at the moment. We do not currently meet these requirements. They are planned for implementation later in 2026.</w:t>
            </w:r>
          </w:p>
        </w:tc>
      </w:tr>
      <w:tr>
        <w:tc>
          <w:tcPr>
            <w:tcW w:type="dxa" w:w="3240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243447"/>
                <w:sz w:val="16"/>
              </w:rPr>
              <w:t>Are third-party penetration test summaries available for customer review?</w:t>
            </w:r>
          </w:p>
        </w:tc>
        <w:tc>
          <w:tcPr>
            <w:tcW w:type="dxa" w:w="7128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color w:val="1F2933"/>
                <w:sz w:val="17"/>
              </w:rPr>
              <w:t>No, not at the moment. This is planned for later in 2026.</w:t>
            </w:r>
          </w:p>
        </w:tc>
      </w:tr>
      <w:tr>
        <w:tc>
          <w:tcPr>
            <w:tcW w:type="dxa" w:w="3240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243447"/>
                <w:sz w:val="16"/>
              </w:rPr>
              <w:t>What is the target timeline for SOC 2 Type II and ISO 27001 certification?</w:t>
            </w:r>
          </w:p>
        </w:tc>
        <w:tc>
          <w:tcPr>
            <w:tcW w:type="dxa" w:w="7128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color w:val="1F2933"/>
                <w:sz w:val="17"/>
              </w:rPr>
              <w:t>SOC 2 Type II and ISO 27001 are planned for later in 2026.</w:t>
            </w:r>
          </w:p>
        </w:tc>
      </w:tr>
      <w:tr>
        <w:tc>
          <w:tcPr>
            <w:tcW w:type="dxa" w:w="3240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243447"/>
                <w:sz w:val="16"/>
              </w:rPr>
              <w:t>Does Veslo maintain a formal risk register?</w:t>
            </w:r>
          </w:p>
        </w:tc>
        <w:tc>
          <w:tcPr>
            <w:tcW w:type="dxa" w:w="7128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color w:val="1F2933"/>
                <w:sz w:val="17"/>
              </w:rPr>
              <w:t>No, not at the moment. This is planned for later in 2026.</w:t>
            </w:r>
          </w:p>
        </w:tc>
      </w:tr>
      <w:tr>
        <w:tc>
          <w:tcPr>
            <w:tcW w:type="dxa" w:w="3240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243447"/>
                <w:sz w:val="16"/>
              </w:rPr>
              <w:t>Does Veslo maintain a formal incident response plan?</w:t>
            </w:r>
          </w:p>
        </w:tc>
        <w:tc>
          <w:tcPr>
            <w:tcW w:type="dxa" w:w="7128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color w:val="1F2933"/>
                <w:sz w:val="17"/>
              </w:rPr>
              <w:t>Yes. Standard incident procedures are part of our internal processes.</w:t>
            </w:r>
          </w:p>
        </w:tc>
      </w:tr>
      <w:tr>
        <w:tc>
          <w:tcPr>
            <w:tcW w:type="dxa" w:w="3240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243447"/>
                <w:sz w:val="16"/>
              </w:rPr>
              <w:t>Does Veslo maintain a breach notification procedure aligned to GDPR timelines?</w:t>
            </w:r>
          </w:p>
        </w:tc>
        <w:tc>
          <w:tcPr>
            <w:tcW w:type="dxa" w:w="7128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color w:val="1F2933"/>
                <w:sz w:val="17"/>
              </w:rPr>
              <w:t>Yes. Standard breach procedures are part of our internal processes.</w:t>
            </w:r>
          </w:p>
        </w:tc>
      </w:tr>
    </w:tbl>
    <w:p>
      <w:pPr>
        <w:spacing w:after="40"/>
      </w:pPr>
    </w:p>
    <w:p>
      <w:pPr>
        <w:pStyle w:val="Heading1"/>
      </w:pPr>
      <w:r>
        <w:t>7. Secure Software &amp; Update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3240"/>
            <w:shd w:fill="20386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Client question</w:t>
            </w:r>
          </w:p>
        </w:tc>
        <w:tc>
          <w:tcPr>
            <w:tcW w:type="dxa" w:w="7128"/>
            <w:shd w:fill="20386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Answer</w:t>
            </w:r>
          </w:p>
        </w:tc>
      </w:tr>
      <w:tr>
        <w:tc>
          <w:tcPr>
            <w:tcW w:type="dxa" w:w="3240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243447"/>
                <w:sz w:val="16"/>
              </w:rPr>
              <w:t>Can auto-updates be disabled or controlled by the customer?</w:t>
            </w:r>
          </w:p>
        </w:tc>
        <w:tc>
          <w:tcPr>
            <w:tcW w:type="dxa" w:w="7128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color w:val="1F2933"/>
                <w:sz w:val="17"/>
              </w:rPr>
              <w:t>Yes. This can be provided if required. However, we strongly do not recommend switching off updates.</w:t>
            </w:r>
          </w:p>
        </w:tc>
      </w:tr>
      <w:tr>
        <w:tc>
          <w:tcPr>
            <w:tcW w:type="dxa" w:w="3240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243447"/>
                <w:sz w:val="16"/>
              </w:rPr>
              <w:t>Is version pinning supported in enterprise deployments?</w:t>
            </w:r>
          </w:p>
        </w:tc>
        <w:tc>
          <w:tcPr>
            <w:tcW w:type="dxa" w:w="7128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color w:val="1F2933"/>
                <w:sz w:val="17"/>
              </w:rPr>
              <w:t>Yes. This can be provided if required.</w:t>
            </w:r>
          </w:p>
        </w:tc>
      </w:tr>
      <w:tr>
        <w:tc>
          <w:tcPr>
            <w:tcW w:type="dxa" w:w="3240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243447"/>
                <w:sz w:val="16"/>
              </w:rPr>
              <w:t>Are software artefact hashes or SBOMs available on request?</w:t>
            </w:r>
          </w:p>
        </w:tc>
        <w:tc>
          <w:tcPr>
            <w:tcW w:type="dxa" w:w="7128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color w:val="1F2933"/>
                <w:sz w:val="17"/>
              </w:rPr>
              <w:t>Yes. These can be provided if required.</w:t>
            </w:r>
          </w:p>
        </w:tc>
      </w:tr>
      <w:tr>
        <w:tc>
          <w:tcPr>
            <w:tcW w:type="dxa" w:w="3240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243447"/>
                <w:sz w:val="16"/>
              </w:rPr>
              <w:t>How are security patches prioritised and communicated to customers?</w:t>
            </w:r>
          </w:p>
        </w:tc>
        <w:tc>
          <w:tcPr>
            <w:tcW w:type="dxa" w:w="7128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color w:val="1F2933"/>
                <w:sz w:val="17"/>
              </w:rPr>
              <w:t>This can be provided if required. We strongly recommend keeping updates enabled so security patches are applied promptly.</w:t>
            </w:r>
          </w:p>
        </w:tc>
      </w:tr>
    </w:tbl>
    <w:p>
      <w:pPr>
        <w:spacing w:after="40"/>
      </w:pPr>
    </w:p>
    <w:p>
      <w:pPr>
        <w:pStyle w:val="Heading1"/>
      </w:pPr>
      <w:r>
        <w:t>8. Acceptable Use, DLP &amp; Human Controls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3240"/>
            <w:shd w:fill="20386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Client question</w:t>
            </w:r>
          </w:p>
        </w:tc>
        <w:tc>
          <w:tcPr>
            <w:tcW w:type="dxa" w:w="7128"/>
            <w:shd w:fill="20386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Answer</w:t>
            </w:r>
          </w:p>
        </w:tc>
      </w:tr>
      <w:tr>
        <w:tc>
          <w:tcPr>
            <w:tcW w:type="dxa" w:w="3240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243447"/>
                <w:sz w:val="16"/>
              </w:rPr>
              <w:t>Are there technical controls to warn users before submitting sensitive data in prompts?</w:t>
            </w:r>
          </w:p>
        </w:tc>
        <w:tc>
          <w:tcPr>
            <w:tcW w:type="dxa" w:w="7128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color w:val="1F2933"/>
                <w:sz w:val="17"/>
              </w:rPr>
              <w:t>No, not currently. This is planned for Q3 2026.</w:t>
            </w:r>
          </w:p>
        </w:tc>
      </w:tr>
      <w:tr>
        <w:tc>
          <w:tcPr>
            <w:tcW w:type="dxa" w:w="3240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243447"/>
                <w:sz w:val="16"/>
              </w:rPr>
              <w:t>Are there technical controls to block prompts containing specific data types?</w:t>
            </w:r>
          </w:p>
        </w:tc>
        <w:tc>
          <w:tcPr>
            <w:tcW w:type="dxa" w:w="7128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color w:val="1F2933"/>
                <w:sz w:val="17"/>
              </w:rPr>
              <w:t>No, not currently. This is planned for Q3 2026.</w:t>
            </w:r>
          </w:p>
        </w:tc>
      </w:tr>
      <w:tr>
        <w:tc>
          <w:tcPr>
            <w:tcW w:type="dxa" w:w="3240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243447"/>
                <w:sz w:val="16"/>
              </w:rPr>
              <w:t>Is DLP integration, such as Microsoft Purview, available or on the roadmap?</w:t>
            </w:r>
          </w:p>
        </w:tc>
        <w:tc>
          <w:tcPr>
            <w:tcW w:type="dxa" w:w="7128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color w:val="1F2933"/>
                <w:sz w:val="17"/>
              </w:rPr>
              <w:t>Not currently available. This is planned for Q3 2026.</w:t>
            </w:r>
          </w:p>
        </w:tc>
      </w:tr>
      <w:tr>
        <w:tc>
          <w:tcPr>
            <w:tcW w:type="dxa" w:w="3240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243447"/>
                <w:sz w:val="16"/>
              </w:rPr>
              <w:t>Can administrators configure policy banners or just-in-time user warnings?</w:t>
            </w:r>
          </w:p>
        </w:tc>
        <w:tc>
          <w:tcPr>
            <w:tcW w:type="dxa" w:w="7128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color w:val="1F2933"/>
                <w:sz w:val="17"/>
              </w:rPr>
              <w:t>No, not currently. This is planned for Q3 2026.</w:t>
            </w:r>
          </w:p>
        </w:tc>
      </w:tr>
      <w:tr>
        <w:tc>
          <w:tcPr>
            <w:tcW w:type="dxa" w:w="3240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243447"/>
                <w:sz w:val="16"/>
              </w:rPr>
              <w:t>Are workspace-level policies available to restrict tools, file routing, or external data use?</w:t>
            </w:r>
          </w:p>
        </w:tc>
        <w:tc>
          <w:tcPr>
            <w:tcW w:type="dxa" w:w="7128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color w:val="1F2933"/>
                <w:sz w:val="17"/>
              </w:rPr>
              <w:t>Yes. Veslo uses workspace sandboxes, and there is no external data usage available by default.</w:t>
            </w:r>
          </w:p>
        </w:tc>
      </w:tr>
    </w:tbl>
    <w:p>
      <w:pPr>
        <w:spacing w:after="40"/>
      </w:pPr>
    </w:p>
    <w:p>
      <w:pPr>
        <w:pStyle w:val="Heading1"/>
      </w:pPr>
      <w:r>
        <w:t>Closing / Commercial Readiness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3240"/>
            <w:shd w:fill="20386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Client question</w:t>
            </w:r>
          </w:p>
        </w:tc>
        <w:tc>
          <w:tcPr>
            <w:tcW w:type="dxa" w:w="7128"/>
            <w:shd w:fill="20386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Answer</w:t>
            </w:r>
          </w:p>
        </w:tc>
      </w:tr>
      <w:tr>
        <w:tc>
          <w:tcPr>
            <w:tcW w:type="dxa" w:w="3240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243447"/>
                <w:sz w:val="16"/>
              </w:rPr>
              <w:t>Can Veslo provide a customer-facing security whitepaper separating current capabilities and roadmap commitments?</w:t>
            </w:r>
          </w:p>
        </w:tc>
        <w:tc>
          <w:tcPr>
            <w:tcW w:type="dxa" w:w="7128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color w:val="1F2933"/>
                <w:sz w:val="17"/>
              </w:rPr>
              <w:t>Yes.</w:t>
            </w:r>
          </w:p>
        </w:tc>
      </w:tr>
      <w:tr>
        <w:tc>
          <w:tcPr>
            <w:tcW w:type="dxa" w:w="3240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243447"/>
                <w:sz w:val="16"/>
              </w:rPr>
              <w:t>Can these controls be contractually enforced via the DPA or security schedule?</w:t>
            </w:r>
          </w:p>
        </w:tc>
        <w:tc>
          <w:tcPr>
            <w:tcW w:type="dxa" w:w="7128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color w:val="1F2933"/>
                <w:sz w:val="17"/>
              </w:rPr>
              <w:t>Yes, where required and agreed contractually.</w:t>
            </w:r>
          </w:p>
        </w:tc>
      </w:tr>
      <w:tr>
        <w:tc>
          <w:tcPr>
            <w:tcW w:type="dxa" w:w="3240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243447"/>
                <w:sz w:val="16"/>
              </w:rPr>
              <w:t>Who is the designated security owner/contact for escalation and risk acceptance discussions?</w:t>
            </w:r>
          </w:p>
        </w:tc>
        <w:tc>
          <w:tcPr>
            <w:tcW w:type="dxa" w:w="7128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color w:val="1F2933"/>
                <w:sz w:val="17"/>
              </w:rPr>
              <w:t>A designated contact can be provided for the due diligence and risk acceptance process.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 xml:space="preserve">Veslo - Draft Answers | Page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ptos" w:hAnsi="Aptos" w:eastAsia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203864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b/>
      <w:color w:val="203864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 w:eastAsia="Aptos"/>
      <w:b w:val="0"/>
      <w:i/>
      <w:iCs/>
      <w:color w:val="5B667A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Veslo Clarification Questions - Draft Answers</dc:title>
  <dc:subject>Security and IT due diligence Q&amp;A</dc:subject>
  <dc:creator>Veslo</dc:creator>
  <cp:keywords/>
  <dc:description>Draft client responses generated for review.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