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680"/>
        <w:jc w:val="center"/>
      </w:pPr>
      <w:r>
        <w:rPr>
          <w:rFonts w:ascii="Arial" w:hAnsi="Arial" w:eastAsia="Arial"/>
          <w:color w:val="2B2B2B"/>
          <w:sz w:val="20"/>
        </w:rPr>
        <w:drawing>
          <wp:inline xmlns:a="http://schemas.openxmlformats.org/drawingml/2006/main" xmlns:pic="http://schemas.openxmlformats.org/drawingml/2006/picture">
            <wp:extent cx="2196000" cy="84461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dock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84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/>
          <w:color w:val="ED1C24"/>
          <w:sz w:val="21"/>
        </w:rPr>
        <w:t>OBCHODNĚ-TECHNICKÁ NABÍDKA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231F20"/>
          <w:sz w:val="54"/>
        </w:rPr>
        <w:t>Rozvoj platformy Veslo</w:t>
      </w:r>
    </w:p>
    <w:p>
      <w:pPr>
        <w:spacing w:after="460"/>
        <w:jc w:val="center"/>
      </w:pPr>
      <w:r>
        <w:rPr>
          <w:rFonts w:ascii="Arial" w:hAnsi="Arial" w:eastAsia="Arial"/>
          <w:b/>
          <w:color w:val="ED1C24"/>
          <w:sz w:val="34"/>
        </w:rPr>
        <w:t>Enterprise Agent OS v1</w:t>
      </w:r>
    </w:p>
    <w:p>
      <w:pPr>
        <w:spacing w:after="560"/>
        <w:jc w:val="center"/>
      </w:pPr>
      <w:r>
        <w:rPr>
          <w:rFonts w:ascii="Arial" w:hAnsi="Arial" w:eastAsia="Arial"/>
          <w:color w:val="666666"/>
          <w:sz w:val="22"/>
        </w:rPr>
        <w:t>Nabídka společnosti Logic Dock s.r.o. pro Neatech s.r.o.</w:t>
      </w:r>
    </w:p>
    <w:tbl>
      <w:tblPr>
        <w:tblW w:type="dxa" w:w="9466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3146"/>
        <w:gridCol w:w="3146"/>
        <w:gridCol w:w="3174"/>
      </w:tblGrid>
      <w:tr>
        <w:trPr>
          <w:cantSplit/>
        </w:trPr>
        <w:tc>
          <w:tcPr>
            <w:tcW w:type="dxa" w:w="3146"/>
            <w:shd w:fill="FFF2F2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140"/>
              <w:jc w:val="center"/>
            </w:pPr>
            <w:r>
              <w:rPr>
                <w:rFonts w:ascii="Arial" w:hAnsi="Arial" w:eastAsia="Arial"/>
                <w:b/>
                <w:color w:val="666666"/>
                <w:sz w:val="17"/>
              </w:rPr>
              <w:t>MAXIMÁLNÍ ROZPOČET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ED1C24"/>
                <w:sz w:val="22"/>
              </w:rPr>
              <w:t>7 980 000 Kč bez DPH</w:t>
            </w:r>
          </w:p>
        </w:tc>
        <w:tc>
          <w:tcPr>
            <w:tcW w:type="dxa" w:w="3146"/>
            <w:shd w:fill="F4F4F4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140"/>
              <w:jc w:val="center"/>
            </w:pPr>
            <w:r>
              <w:rPr>
                <w:rFonts w:ascii="Arial" w:hAnsi="Arial" w:eastAsia="Arial"/>
                <w:b/>
                <w:color w:val="666666"/>
                <w:sz w:val="17"/>
              </w:rPr>
              <w:t>HODINOVÁ SAZBA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31F20"/>
                <w:sz w:val="22"/>
              </w:rPr>
              <w:t>1 000 Kč bez DPH</w:t>
            </w:r>
          </w:p>
        </w:tc>
        <w:tc>
          <w:tcPr>
            <w:tcW w:type="dxa" w:w="3174"/>
            <w:shd w:fill="F4F4F4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140"/>
              <w:jc w:val="center"/>
            </w:pPr>
            <w:r>
              <w:rPr>
                <w:rFonts w:ascii="Arial" w:hAnsi="Arial" w:eastAsia="Arial"/>
                <w:b/>
                <w:color w:val="666666"/>
                <w:sz w:val="17"/>
              </w:rPr>
              <w:t>DOBA REALIZACE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31F20"/>
                <w:sz w:val="22"/>
              </w:rPr>
              <w:t>nejpozději do 24 měsíců</w:t>
            </w:r>
          </w:p>
        </w:tc>
      </w:tr>
    </w:tbl>
    <w:p>
      <w:pPr>
        <w:spacing w:after="880"/>
      </w:pPr>
    </w:p>
    <w:p>
      <w:pPr>
        <w:spacing w:after="80"/>
        <w:jc w:val="center"/>
      </w:pPr>
      <w:r>
        <w:rPr>
          <w:rFonts w:ascii="Arial" w:hAnsi="Arial" w:eastAsia="Arial"/>
          <w:color w:val="666666"/>
          <w:sz w:val="19"/>
        </w:rPr>
        <w:t>Datum nabídky: 24. 7. 2026</w:t>
      </w:r>
    </w:p>
    <w:p>
      <w:pPr>
        <w:spacing w:after="40"/>
        <w:jc w:val="center"/>
      </w:pPr>
      <w:r>
        <w:rPr>
          <w:rFonts w:ascii="Arial" w:hAnsi="Arial" w:eastAsia="Arial"/>
          <w:color w:val="666666"/>
          <w:sz w:val="19"/>
        </w:rPr>
        <w:t>Platnost nabídky: do 23. 8. 2026</w:t>
      </w:r>
    </w:p>
    <w:p>
      <w:r>
        <w:rPr>
          <w:rFonts w:ascii="Arial" w:hAnsi="Arial" w:eastAsia="Arial"/>
          <w:color w:val="2B2B2B"/>
          <w:sz w:val="20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1. Smluvní strany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4677"/>
        <w:gridCol w:w="4790"/>
      </w:tblGrid>
      <w:tr>
        <w:trPr>
          <w:cantSplit/>
        </w:trPr>
        <w:tc>
          <w:tcPr>
            <w:tcW w:type="dxa" w:w="4677"/>
            <w:shd w:fill="FFF2F2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  <w:vAlign w:val="top"/>
          </w:tcPr>
          <w:p>
            <w:pPr>
              <w:spacing w:after="160"/>
            </w:pPr>
            <w:r>
              <w:rPr>
                <w:rFonts w:ascii="Arial" w:hAnsi="Arial" w:eastAsia="Arial"/>
                <w:b/>
                <w:color w:val="ED1C24"/>
                <w:sz w:val="18"/>
              </w:rPr>
              <w:t>DODAVATEL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2B2B2B"/>
                <w:sz w:val="20"/>
              </w:rPr>
              <w:t>Logic Dock s.r.o.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Lidická 700/19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Veveří, 602 00 Brno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IČO 09268499 | DIČ CZ09268499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KS Brno, oddíl C, vložka 118161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Ing. Pavel Vejnar, jednatel</w:t>
            </w:r>
          </w:p>
        </w:tc>
        <w:tc>
          <w:tcPr>
            <w:tcW w:type="dxa" w:w="4790"/>
            <w:shd w:fill="F4F4F4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  <w:vAlign w:val="top"/>
          </w:tcPr>
          <w:p>
            <w:pPr>
              <w:spacing w:after="160"/>
            </w:pPr>
            <w:r>
              <w:rPr>
                <w:rFonts w:ascii="Arial" w:hAnsi="Arial" w:eastAsia="Arial"/>
                <w:b/>
                <w:color w:val="231F20"/>
                <w:sz w:val="18"/>
              </w:rPr>
              <w:t>OBJEDNATEL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2B2B2B"/>
                <w:sz w:val="20"/>
              </w:rPr>
              <w:t>Neatech s.r.o.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Neklanova 150/38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Vyšehrad, 128 00 Praha 2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IČO 02481103 | DIČ CZ02481103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MS Praha, oddíl C, vložka 219919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Ing. Václav Soukup, jednatel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2. Manažerské shrnutí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Společnost Logic Dock s.r.o. tímto předkládá společnosti Neatech s.r.o. nabídku na analýzu, návrh, vývoj, integraci a zavedení další generace platformy Veslo.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Cílem projektu je rozšířit Veslo do podoby Enterprise Agent OS v1 - jednotné platformy pro lokální a vzdálenou agentickou práci, sdílení projektů, práci s firemními znalostmi, automatizaci procesů a bezpečný provoz velkých generativních modelů v privátní výpočetní infrastruktuře.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Součástí řešení bude softwarová řídicí vrstva pro profesionální distribuovaný inference provoz velmi velkých modelů, včetně modelů třídy 10^12 parametrů. Referenční architektura bude založena zejména na technologiích Kubernetes, Ray Serve LLM a vLLM, případně na srovnatelném inference enginu vybraném podle použitého modelu a výpočetní infrastruktury.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FF2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ED1C24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ED1C24"/>
                <w:sz w:val="21"/>
              </w:rPr>
              <w:t>Obchodní rámec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Projekt bude realizován formou průběžně předávaných pracovních balíčků. Celkový rozpočtový limit činí 7 980 000 Kč bez DPH při hodinové sazbě 1 000 Kč bez DPH.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3. Cíle projektu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Výsledné řešení umožní Objednateli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provozovat agentické úlohy lokálně i na vzdálené infrastruktuře;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sdílet projekty mezi uživateli a řídit jejich oprávnění;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synchronizovat vybraná projektová data a artefakty;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využívat firemní znalostní zdroje s dohledatelnými citacemi;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provozovat velké generativní a multimodální modely v privátní infrastruktuře;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řídit distribuovaný inference provoz prostřednictvím Vesla;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automatizovat opakované procesy včetně schvalovacích kroků;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sledovat kvalitu, cenu, latenci a spolehlivost agentických operací;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spravovat agenty, modely, nástroje, skills a konektory;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připravit platformu pro enterprise a self-hosted nasazení.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4. Rozsah plnění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4.1 Platformová architektura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navrhne a implementuje potřebné změny platformové architektury,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sjednocení identity projektů, workspace a konverzací;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stabilizaci rozhraní mezi desktopovou aplikací, serverem a cloudovou částí;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správu životního cyklu agentických běhů;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recovery mechanismy při přerušení nebo selhání běhu;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verzování a migrace konfigurace;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rozhraní pro připojení dalších runtime a inference backendů;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technickou, provozní a integrační dokumentaci.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4.2 Cloudové projekty a spolupráce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Součástí řešení bude: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centrální identita projektu;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členství uživatelů v projektu;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role vlastník, správce, člen a čtenář;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pozvánky a odebrání přístupu;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sdílení vybraných konverzací, konfigurací a artefaktů;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synchronizace mezi zařízeními;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předání projektu nebo agentického běhu jinému uživateli;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historie změn a audit přístupů.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Plnohodnotná realtime editace stejného obsahu více uživateli současně není součástí nabízené verze.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4.3 Remote Agent Runtime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rozšíří platformu o produkčně použitelnou podporu vzdálených agentů: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vytvoření a připojení vzdáleného pracovního prostředí;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spuštění, zastavení a obnovení vzdáleného agenta;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bezpečné předání potřebné projektové konfigurace;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správa přístupových tokenů a secrets;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stav runtime, provozní logy a diagnostika;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limity spotřeby a souběžných běhů;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zotavení po výpadku spojení;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správa životního cyklu vzdálených workspace.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Součástí nabídky je jeden referenční způsob vzdáleného nasazení. Multi-region infrastruktura není součástí základního rozsahu.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4.4 Enterprise Knowledge Fabric v1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Řešení bude obsahovat první produkční verzi firemní znalostní vrstvy: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vytváření znalostních kolekcí;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nahrávání souborů a připojení dohodnutých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průběžnou aktualizaci podporovaných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extrakci textu, struktury a metadat;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verzování dokumentů;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fulltextové a vektorové vyhledávání;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hybridní retrieval a reranking;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odpovědi s citacemi původních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přístupová oprávnění ke kolekcím;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odstranění dokumentu a souvisejících indexovaných dat;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administraci stavu zpracování;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evaluaci relevance a správnosti odpovědí.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Rozsah zahrnuje souborové zdroje a omezený počet již dostupných Google nebo Microsoft integrací. Nové specializované konektory budou podléhat samostatnému upřesnění.</w:t>
      </w:r>
    </w:p>
    <w:p>
      <w:pPr>
        <w:pStyle w:val="Heading2"/>
        <w:keepNext/>
        <w:pageBreakBefore/>
      </w:pPr>
      <w:r>
        <w:rPr>
          <w:rFonts w:ascii="Arial" w:hAnsi="Arial" w:eastAsia="Arial"/>
          <w:color w:val="2B2B2B"/>
          <w:sz w:val="20"/>
        </w:rPr>
        <w:t>4.5 Veslo Enterprise Inference Fabric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navrhne a implementuje softwarovou řídicí vrstvu pro profesionální provoz velmi velkých generativních, reasoning a multimodálních modelů.</w:t>
      </w:r>
    </w:p>
    <w:p>
      <w:pPr>
        <w:pStyle w:val="Heading3"/>
        <w:keepNext/>
      </w:pPr>
      <w:r>
        <w:rPr>
          <w:rFonts w:ascii="Arial" w:hAnsi="Arial" w:eastAsia="Arial"/>
          <w:color w:val="2B2B2B"/>
          <w:sz w:val="20"/>
        </w:rPr>
        <w:t>Referenční architektura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Kubernetes nebo kompatibilní clusterová platforma;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Ray Serve LLM nebo srovnatelná orchestrace inference workloadů;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vLLM jako primární inference engine;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možnost připojit SGLang, TensorRT-LLM nebo jiný schválený backend;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OpenAI-kompatibilní rozhraní pro platformu Veslo.</w:t>
      </w:r>
    </w:p>
    <w:p>
      <w:pPr>
        <w:pStyle w:val="Heading3"/>
        <w:keepNext/>
      </w:pPr>
      <w:r>
        <w:rPr>
          <w:rFonts w:ascii="Arial" w:hAnsi="Arial" w:eastAsia="Arial"/>
          <w:color w:val="2B2B2B"/>
          <w:sz w:val="20"/>
        </w:rPr>
        <w:t>Funkční rozsah inference vrstvy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registr modelů a jejich verzí;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deklarativní konfigurace inference deploymentů;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multi-node a multi-GPU serving;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tensor, pipeline, data a expert parallelism;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podpora velkých MoE architektur;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řízení GPU placementu a požadavků na prostředky;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fronty, priority a admission control;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kvóty pro organizace, projekty a uživatele;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continuous batching;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správa KV cache a prefix-aware routing;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oddělené inference pooly pro generování, embeddings a reranking;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health checks a automatizované zotavení služby;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rolling a canary deployment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rollback na předchozí modelovou verzi;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horizontální škálování, pokud jej umožní dostupná infrastruktura;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sledování latence, time-to-first-token, throughputu a chybovosti;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sledování využití GPU a orientačních provozních nákladů;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autentizace, autorizace, síťová izolace a audit požadavků;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výkonnostní a kompatibilitní benchmarky vybraných modelů.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4F4F4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ED1C24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ED1C24"/>
                <w:sz w:val="21"/>
              </w:rPr>
              <w:t>Vymezení odpovědnosti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Softwarová vrstva bude připravena pro modely s řádově stovkami miliard až 10^12 celkových parametrů. Skutečná provozuschopnost konkrétního modelu závisí na dostupném počtu GPU, velikosti GPU paměti, síťovém propojení clusteru, kvantizaci, architektuře modelu a jeho licenčních podmínkách.</w:t>
            </w:r>
          </w:p>
        </w:tc>
      </w:tr>
    </w:tbl>
    <w:p>
      <w:pPr>
        <w:spacing w:after="20"/>
      </w:pP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Nabídka nezahrnuje vývoj vlastního inference enginu ani trénování základního modelu.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4.6 Automatizace a workflow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časové a událostní spouštění automatizací;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webhookové vstupy;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opakované a plánované běhy;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schvalovací kroky vyžadující zásah uživatele;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retry mechanismy a evidenci neúspěšných běhů;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historii provedených automatizací;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notifikace o dokončení nebo chybě;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sadu šablon agentických workflow.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Obecný vizuální no-code editor libovolných podnikových procesů není součástí této nabídky.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4.7 Governance a bezpečnost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organizační a projektový RBAC;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centrální auditní log;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bezpečné ukládání přístupových údajů;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správu povolených modelů, nástrojů a konektorů;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retenční pravidla;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export auditních událostí;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řízení přístupu k inference endpointům;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oddělení projektových a organizačních workloadů;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integraci jednoho dohodnutého standardu jednotného přihlášení;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přípravu rozhraní pro další enterprise identity systémy.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Kompletní SCIM provisioning, plnohodnotné DLP a formální bezpečnostní certifikace nejsou součástí základního rozsahu.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4.8 Observabilita a evaluace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měření úspěšnosti agentických úloh;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sledování latence a spotřeby modelových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distribuované trasování jednotlivých kroků;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administrátorský přehled běhů a chyb;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sadu referenčních agentických úloh;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modelové a inference benchmarky;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evidenci použitého modelu, runtime a konfigurace;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porovnání kvality a výkonu podporovaných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provozní alerting.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4.9 Agent Teams a Skills Hub v1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delegování úlohy dalšímu agentovi;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supervisor workflow;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omezení počtu agentů a spotřeby prostředků;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sdílený projektový kontext;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firemní katalog schválených skills;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publikaci a instalaci interních skills;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verzování a řízené nasazení skills;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audit použitých agentů, nástrojů a skills.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Rozsáhlé autonomní týmy agentů s dynamickou změnou organizační struktury nejsou součástí verze v1.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4.10 Self-hosted a mobilní připravenost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referenční self-hosted nasazení řídicí části Vesla;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konfigurační a instalační dokumentaci;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postup zálohování a obnovy;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propojení self-hosted Vesla s privátním inference clusterem;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responzivní rozhraní pro monitoring a schvalování;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API připravené pro budoucí nativní mobilní aplikaci.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Plnohodnotný high-availability multi-region provoz ani samostatná nativní mobilní aplikace nejsou součástí této nabídky.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5. Výstupy projektu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předá Objednateli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zdrojové kódy vytvořené v rámci projektu;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databázové a konfigurační migrace;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infrastrukturu jako kód v dohodnutém rozsahu;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konfigurační šablony inference deploymentů;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automatizované testy hlavních scénářů;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technickou a provozní dokumentaci;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bezpečnostní a provozní doporučení;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dokumentaci API a integračních rozhraní;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přehled podporovaných modelů a inference konfigurací;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výsledky referenčních výkonnostních testů;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podklady potřebné pro další provoz a rozvoj řešení.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Zdrojové kódy budou průběžně ukládány v repozitáři určeném Objednatelem.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6. Akceptační kritéria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Plnění bude akceptováno po ověření dohodnutých end-to-end scénářů,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dva uživatelé mohou bezpečně sdílet jeden projekt;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projekt lze provozovat na lokálním i vzdáleném runtime;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agent může využít firemní knowledge base a vrátit dohledatelné citace;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knowledge base respektuje nastavená přístupová oprávnění;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automatizace může vyžádat schválení uživatele;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administrátor může dohledat průběh a výsledek agentického běhu;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Veslo komunikuje s privátním distribuovaným inference endpointem;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referenční model lze nasadit prostřednictvím připravené inference vrstvy;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modelový deployment lze monitorovat, aktualizovat a vrátit na předchozí verzi;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supervisor agent může delegovat omezenou úlohu dalšímu agentovi;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řešení lze nasadit v dohodnuté self-hosted konfiguraci;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hlavní desktopové scénáře jsou pokryty automatizovanými end-to-end testy.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4F4F4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ED1C24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ED1C24"/>
                <w:sz w:val="21"/>
              </w:rPr>
              <w:t>Akceptace velkého modelu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Nasazení konkrétního modelu třídy 10^12 parametrů bude součástí akceptace pouze tehdy, pokud Objednatel poskytne odpovídající GPU infrastrukturu, síťové propojení a oprávnění k použití modelu. V opačném případě bude inference architektura ověřena na dostupné reprezentativní konfiguraci.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7. Organizace realizace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Projekt bude řízen iterativně. Dodavatel a Objednatel budou průběžně stanovovat priority pracovních balíčků tak, aby bylo možné pravidelně předávat funkční a ověřitelné části řešení.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může pro specializované části projektu využít odborné subdodavatele. Za jejich práci, zabezpečení přístupů a kvalitu výstupů odpovídá Dodavatel ve stejném rozsahu jako za vlastní plnění. Přístup subdodavatelů k neveřejným systémům Objednatele podléhá předchozímu schválení Objednatelem.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Pravidelný projektový reporting bude obsahovat: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přehled provedených prací;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čerpání hodin a rozpočtu;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stav pracovních balíčků;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identifikovaná rizika a závislosti;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plán činností pro následující období.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8. Doba realizace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Předpokládaná doba realizace je nejpozději 24 měsíců od zahájení projektu.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Zahájením projektu se rozumí uzavření smlouvy nebo potvrzení objednávky, zpřístupnění potřebných vývojových prostředí a jmenování odpovědných osob na obou stranách.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Pořadí jednotlivých pracovních balíčků může být po vzájemné dohodě změněno, pokud tím nebude rozšířen celkový rozsah nebo překročen maximální rozpočet.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9. Cena a hodinová sazba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FF2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ED1C24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ED1C24"/>
                <w:sz w:val="21"/>
              </w:rPr>
              <w:t>Cenový model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Projekt bude realizován v režimu Time &amp; Material s maximálním rozpočtovým limitem. Hodinová sazba činí 1 000 Kč bez DPH, maximální rozsah 7 980 hodin a maximální cena 7 980 000 Kč bez DPH.</w:t>
            </w:r>
          </w:p>
        </w:tc>
      </w:tr>
    </w:tbl>
    <w:p>
      <w:pPr>
        <w:spacing w:after="20"/>
      </w:pPr>
    </w:p>
    <w:tbl>
      <w:tblPr>
        <w:tblW w:type="dxa" w:w="9466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6179"/>
        <w:gridCol w:w="1247"/>
        <w:gridCol w:w="2040"/>
      </w:tblGrid>
      <w:tr>
        <w:trPr>
          <w:cantSplit/>
          <w:tblHeader w:val="true"/>
        </w:trPr>
        <w:tc>
          <w:tcPr>
            <w:tcW w:type="dxa" w:w="6179"/>
            <w:shd w:fill="231F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Pracovní balíček</w:t>
            </w:r>
          </w:p>
        </w:tc>
        <w:tc>
          <w:tcPr>
            <w:tcW w:type="dxa" w:w="1247"/>
            <w:shd w:fill="231F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Rozsah</w:t>
            </w:r>
          </w:p>
        </w:tc>
        <w:tc>
          <w:tcPr>
            <w:tcW w:type="dxa" w:w="2040"/>
            <w:shd w:fill="231F20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Cena bez DPH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Platformová architektura a stabilizace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Cloudové projekty, synchronizace a sdílení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900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900 000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Remote Agent Runtime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750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750 000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Enterprise Knowledge Fabric v1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950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950 000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Enterprise Inference Fabric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1 750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1 750 000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Automatizace, observabilita a evaluace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650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650 000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Governance, bezpečnost a konektory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Agent Teams, Skills Hub, self-hosted a mobilní připravenost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Integrace, UX, testování, dokumentace a vedení projektu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1 330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1 330 000 Kč</w:t>
            </w:r>
          </w:p>
        </w:tc>
      </w:tr>
      <w:tr>
        <w:tc>
          <w:tcPr>
            <w:tcW w:type="dxa" w:w="6179"/>
            <w:shd w:fill="FFF2F2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231F20"/>
                <w:sz w:val="20"/>
              </w:rPr>
              <w:t>CELKEM</w:t>
            </w:r>
          </w:p>
        </w:tc>
        <w:tc>
          <w:tcPr>
            <w:tcW w:type="dxa" w:w="1247"/>
            <w:shd w:fill="FFF2F2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31F20"/>
                <w:sz w:val="20"/>
              </w:rPr>
              <w:t>7 980 h</w:t>
            </w:r>
          </w:p>
        </w:tc>
        <w:tc>
          <w:tcPr>
            <w:tcW w:type="dxa" w:w="2040"/>
            <w:shd w:fill="FFF2F2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D1C24"/>
                <w:sz w:val="20"/>
              </w:rPr>
              <w:t>7 980 000 Kč</w:t>
            </w:r>
          </w:p>
        </w:tc>
      </w:tr>
    </w:tbl>
    <w:p>
      <w:pPr>
        <w:spacing w:after="20"/>
      </w:pP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Rozdělení hodin mezi pracovní balíčky je orientační. Hodiny lze po schválení Objednatelem převádět mezi balíčky, aniž by došlo ke zvýšení maximální ceny.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není oprávněn překročit maximální rozpočet bez předchozího písemného souhlasu Objednatele.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10. Fakturace a platební podmínky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Fakturace bude probíhat měsíčně podle skutečně odpracovaných a vykázaných hodin.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předloží spolu s fakturou: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výkaz provedených činností;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počet hodin podle pracovních balíčků;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aktuální čerpání rozpočtu;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stručný přehled dosažených výstupů.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Splatnost faktur je 14 kalendářních dnů.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Případné práce nad maximální rozsah budou provedeny pouze na základě písemně schváleného změnového požadavku. Pro takové práce bude zachována hodinová sazba 1 000 Kč bez DPH, nebude-li písemně dohodnuto jinak.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11. Součinnost Objednatele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Objednatel zajistí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přístup ke zdrojovým kódům a vývojovým prostředím;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přístup k potřebné projektové dokumentaci;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testovací účty a integrační prostředí;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rozhodování o produktových prioritách;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dostupnost odpovědných osob pro konzultace a akceptaci;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GPU infrastrukturu nebo přístup k ní pro ověření distribuovaného inference;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licence a oprávnění k použití vybraných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potřebné účty a licence služeb třetích stran.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Prodlení způsobené neposkytnutím potřebné součinnosti může přiměřeně posunout předpokládanou dobu dokončení.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12. Duševní vlastnictví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Majetková práva k programovým částem vytvořeným specificky pro Objednatele přejdou na Objednatele po úplném zaplacení příslušného plnění.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Komponenty třetích stran a open-source software zůstávají pod svými původními licenčními podmínkami. Dodavatel povede přehled významných použitých závislostí a jejich licencí.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není oprávněn využít neveřejné zdrojové kódy, data ani obchodní informace Objednatele pro jiné zákazníky nebo pro trénování modelů.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13. Bezpečnost a důvěrnost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se zaváže chránit veškeré neveřejné informace Objednatele a používat je výhradně za účelem plnění projektu.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Bez předchozího souhlasu Objednatele nebudou projektová data: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předávána třetím stranám;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používána k trénování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ukládána mimo schválená prostředí;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odesílána do veřejných AI služeb.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Přístupy do systémů budou poskytovány pouze v nezbytném rozsahu a budou po ukončení příslušné činnosti odebrány.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14. Záruka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poskytne tříměsíční záruku na vady předaného řešení, které představují prokazatelný nesoulad s odsouhlasenými akceptačními kritérii.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Odstranění takových vad nebude účtováno jako dodatečná práce. Záruka se nevztahuje na vady způsobené: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změnou systémů nebo konfigurace třetí stranou;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změnou API externí služby;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nekompatibilní aktualizací modelu nebo inference enginu;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nedostupností či nedostatečným výkonem infrastruktury;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použitím řešení v rozporu s dokumentací.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Navazující provozní podpora a SLA mohou být sjednány samostatnou servisní smlouvou.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15. Výluky z nabídky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Cena nezahrnuje: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nákup, pronájem ani fyzickou instalaci GPU hardwaru;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cloudové a hostingové poplatky;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síťovou infrastrukturu a datacentrové služby;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licence modelů a placených služeb třetích stran;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trénování základních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rozsáhlý fine-tuning modelů třídy 10^12 parametrů;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vývoj vlastního inference enginu;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formální bezpečnostní nebo regulatorní certifikace;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nepřetržitý dohled v režimu 24/7;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plnohodnotnou nativní mobilní aplikaci;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multi-region high-availability infrastrukturu;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integrace a migrace nad výslovně dohodnutý rozsah.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16. Závěrečná ustanovení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Tato nabídka představuje obchodní a technický návrh Dodavatele. Samotné zahájení realizace bude podmíněno uzavřením smlouvy o dílo, rámcové smlouvy nebo písemným potvrzením objednávky obsahující alespoň rozsah, cenu, způsob akceptace a pravidla ochrany důvěrných informací.</w:t>
      </w:r>
    </w:p>
    <w:p>
      <w:pPr>
        <w:keepLines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V Brně dne 24. 7. 2026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4677"/>
        <w:gridCol w:w="4790"/>
      </w:tblGrid>
      <w:tr>
        <w:trPr>
          <w:cantSplit/>
        </w:trPr>
        <w:tc>
          <w:tcPr>
            <w:tcW w:type="dxa" w:w="467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r>
              <w:rPr>
                <w:rFonts w:ascii="Arial" w:hAnsi="Arial" w:eastAsia="Arial"/>
                <w:b/>
                <w:color w:val="ED1C24"/>
                <w:sz w:val="18"/>
              </w:rPr>
              <w:t>ZA DODAVATELE</w:t>
            </w:r>
          </w:p>
          <w:p>
            <w:pPr>
              <w:spacing w:before="880" w:after="80"/>
              <w:pBdr>
                <w:bottom w:val="single" w:sz="5" w:space="2" w:color="D9D9D9"/>
              </w:pBdr>
            </w:pP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2B2B2B"/>
                <w:sz w:val="20"/>
              </w:rPr>
              <w:t>Logic Dock s.r.o.</w:t>
            </w:r>
          </w:p>
          <w:p>
            <w:pPr>
              <w:spacing w:after="40"/>
            </w:pPr>
            <w:r>
              <w:rPr>
                <w:rFonts w:ascii="Arial" w:hAnsi="Arial" w:eastAsia="Arial"/>
                <w:color w:val="2B2B2B"/>
                <w:sz w:val="19"/>
              </w:rPr>
              <w:t>Ing. Pavel Vejnar, jednatel</w:t>
            </w:r>
          </w:p>
          <w:p>
            <w:r>
              <w:rPr>
                <w:rFonts w:ascii="Arial" w:hAnsi="Arial" w:eastAsia="Arial"/>
                <w:color w:val="666666"/>
                <w:sz w:val="19"/>
              </w:rPr>
              <w:t>Datum: __________________</w:t>
            </w:r>
          </w:p>
        </w:tc>
        <w:tc>
          <w:tcPr>
            <w:tcW w:type="dxa" w:w="4790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</w:tcPr>
          <w:p>
            <w:r>
              <w:rPr>
                <w:rFonts w:ascii="Arial" w:hAnsi="Arial" w:eastAsia="Arial"/>
                <w:b/>
                <w:color w:val="ED1C24"/>
                <w:sz w:val="18"/>
              </w:rPr>
              <w:t>PŘIJETÍ NABÍDKY ZA OBJEDNATELE</w:t>
            </w:r>
          </w:p>
          <w:p>
            <w:pPr>
              <w:spacing w:before="880" w:after="80"/>
              <w:pBdr>
                <w:bottom w:val="single" w:sz="5" w:space="2" w:color="D9D9D9"/>
              </w:pBdr>
            </w:pP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2B2B2B"/>
                <w:sz w:val="20"/>
              </w:rPr>
              <w:t>Neatech s.r.o.</w:t>
            </w:r>
          </w:p>
          <w:p>
            <w:pPr>
              <w:spacing w:after="40"/>
            </w:pPr>
            <w:r>
              <w:rPr>
                <w:rFonts w:ascii="Arial" w:hAnsi="Arial" w:eastAsia="Arial"/>
                <w:color w:val="2B2B2B"/>
                <w:sz w:val="19"/>
              </w:rPr>
              <w:t>Ing. Václav Soukup, jednatel</w:t>
            </w:r>
          </w:p>
          <w:p>
            <w:r>
              <w:rPr>
                <w:rFonts w:ascii="Arial" w:hAnsi="Arial" w:eastAsia="Arial"/>
                <w:color w:val="666666"/>
                <w:sz w:val="19"/>
              </w:rPr>
              <w:t>Datum: 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6666"/>
        <w:sz w:val="16"/>
      </w:rPr>
      <w:t>Logic Dock s.r.o.  |  Neatech s.r.o.  |  Důvěrné</w:t>
    </w:r>
  </w:p>
  <w:p>
    <w:pPr>
      <w:jc w:val="right"/>
    </w:pPr>
    <w:r>
      <w:rPr>
        <w:rFonts w:ascii="Arial" w:hAnsi="Arial" w:eastAsia="Arial"/>
        <w:color w:val="666666"/>
        <w:sz w:val="17"/>
      </w:rPr>
      <w:t xml:space="preserve">Strana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67"/>
      <w:jc w:val="center"/>
      <w:tblLayout w:type="fixed"/>
      <w:tblLook w:firstColumn="1" w:firstRow="1" w:lastColumn="0" w:lastRow="0" w:noHBand="0" w:noVBand="1" w:val="04A0"/>
      <w:tblInd w:w="130" w:type="dxa"/>
    </w:tblPr>
    <w:tblGrid>
      <w:gridCol w:w="2267"/>
      <w:gridCol w:w="7200"/>
    </w:tblGrid>
    <w:tr>
      <w:trPr>
        <w:cantSplit/>
      </w:trPr>
      <w:tc>
        <w:tcPr>
          <w:tcW w:type="dxa" w:w="2267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6" w:color="D9D9D9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936000" cy="360000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icdock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6" w:color="D9D9D9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olor w:val="666666"/>
              <w:sz w:val="16"/>
            </w:rPr>
            <w:t>OBCHODNĚ-TECHNICKÁ NABÍDKA  |  VESLO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31F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ED1C2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31F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fferBullet">
    <w:name w:val="Offer Bullet"/>
    <w:basedOn w:val="Normal"/>
    <w:pPr>
      <w:spacing w:after="60" w:line="274" w:lineRule="auto"/>
      <w:ind w:left="397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Rozvoj platformy Veslo - Enterprise Agent OS v1</dc:title>
  <dc:subject>Obchodně-technická nabídka Logic Dock s.r.o. pro Neatech s.r.o.</dc:subject>
  <dc:creator>Logic Dock s.r.o.</dc:creator>
  <cp:keywords>Veslo, Enterprise Agent OS, vLLM, nabídka</cp:keywords>
  <dc:description>Připraveno k revizi a odeslání objednateli.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