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680"/>
        <w:jc w:val="center"/>
      </w:pPr>
      <w:r>
        <w:rPr>
          <w:rFonts w:ascii="Arial" w:hAnsi="Arial" w:eastAsia="Arial"/>
          <w:color w:val="2B2B2B"/>
          <w:sz w:val="20"/>
        </w:rPr>
        <w:drawing>
          <wp:inline xmlns:a="http://schemas.openxmlformats.org/drawingml/2006/main" xmlns:pic="http://schemas.openxmlformats.org/drawingml/2006/picture">
            <wp:extent cx="2196000" cy="2196000"/>
            <wp:docPr id="1" name="Picture 1" descr="Image: 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6000" cy="21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eastAsia="Arial"/>
          <w:b/>
          <w:color w:val="2E4899"/>
          <w:sz w:val="21"/>
        </w:rPr>
        <w:t>OBCHODNĚ-TECHNICKÁ NABÍDKA</w:t>
      </w:r>
    </w:p>
    <w:p>
      <w:pPr>
        <w:spacing w:after="140"/>
        <w:jc w:val="center"/>
      </w:pPr>
      <w:r>
        <w:rPr>
          <w:rFonts w:ascii="Arial" w:hAnsi="Arial" w:eastAsia="Arial"/>
          <w:b/>
          <w:color w:val="25314D"/>
          <w:sz w:val="54"/>
        </w:rPr>
        <w:t>Rozvoj platformy Veslo</w:t>
      </w:r>
    </w:p>
    <w:p>
      <w:pPr>
        <w:spacing w:after="460"/>
        <w:jc w:val="center"/>
      </w:pPr>
      <w:r>
        <w:rPr>
          <w:rFonts w:ascii="Arial" w:hAnsi="Arial" w:eastAsia="Arial"/>
          <w:b/>
          <w:color w:val="2E4899"/>
          <w:sz w:val="34"/>
        </w:rPr>
        <w:t>Enterprise Agent OS v1</w:t>
      </w:r>
    </w:p>
    <w:p>
      <w:pPr>
        <w:spacing w:after="560"/>
        <w:jc w:val="center"/>
      </w:pPr>
      <w:r>
        <w:rPr>
          <w:rFonts w:ascii="Arial" w:hAnsi="Arial" w:eastAsia="Arial"/>
          <w:color w:val="666666"/>
          <w:sz w:val="22"/>
        </w:rPr>
        <w:t>Nabídka společnosti Coffee Workers s.r.o. pro Neatech s.r.o.</w:t>
      </w:r>
    </w:p>
    <w:tbl>
      <w:tblPr>
        <w:tblW w:type="dxa" w:w="9466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3146"/>
        <w:gridCol w:w="3146"/>
        <w:gridCol w:w="3174"/>
      </w:tblGrid>
      <w:tr>
        <w:trPr>
          <w:cantSplit/>
        </w:trPr>
        <w:tc>
          <w:tcPr>
            <w:tcW w:type="dxa" w:w="3146"/>
            <w:shd w:fill="F0F3FB"/>
            <w:tcMar>
              <w:top w:w="180" w:type="dxa"/>
              <w:start w:w="120" w:type="dxa"/>
              <w:bottom w:w="18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140"/>
              <w:jc w:val="center"/>
            </w:pPr>
            <w:r>
              <w:rPr>
                <w:rFonts w:ascii="Arial" w:hAnsi="Arial" w:eastAsia="Arial"/>
                <w:b/>
                <w:color w:val="666666"/>
                <w:sz w:val="17"/>
              </w:rPr>
              <w:t>MAXIMÁLNÍ ROZPOČET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E4899"/>
                <w:sz w:val="22"/>
              </w:rPr>
              <w:t>7 980 000 Kč bez DPH</w:t>
            </w:r>
          </w:p>
        </w:tc>
        <w:tc>
          <w:tcPr>
            <w:tcW w:type="dxa" w:w="3146"/>
            <w:shd w:fill="F4F4F4"/>
            <w:tcMar>
              <w:top w:w="180" w:type="dxa"/>
              <w:start w:w="120" w:type="dxa"/>
              <w:bottom w:w="18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140"/>
              <w:jc w:val="center"/>
            </w:pPr>
            <w:r>
              <w:rPr>
                <w:rFonts w:ascii="Arial" w:hAnsi="Arial" w:eastAsia="Arial"/>
                <w:b/>
                <w:color w:val="666666"/>
                <w:sz w:val="17"/>
              </w:rPr>
              <w:t>HODINOVÁ SAZBA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5314D"/>
                <w:sz w:val="22"/>
              </w:rPr>
              <w:t>1 000 Kč bez DPH</w:t>
            </w:r>
          </w:p>
        </w:tc>
        <w:tc>
          <w:tcPr>
            <w:tcW w:type="dxa" w:w="3174"/>
            <w:shd w:fill="F4F4F4"/>
            <w:tcMar>
              <w:top w:w="180" w:type="dxa"/>
              <w:start w:w="120" w:type="dxa"/>
              <w:bottom w:w="180" w:type="dxa"/>
              <w:end w:w="12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140"/>
              <w:jc w:val="center"/>
            </w:pPr>
            <w:r>
              <w:rPr>
                <w:rFonts w:ascii="Arial" w:hAnsi="Arial" w:eastAsia="Arial"/>
                <w:b/>
                <w:color w:val="666666"/>
                <w:sz w:val="17"/>
              </w:rPr>
              <w:t>DOBA REALIZACE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color w:val="25314D"/>
                <w:sz w:val="22"/>
              </w:rPr>
              <w:t>nejpozději do 24 měsíců</w:t>
            </w:r>
          </w:p>
        </w:tc>
      </w:tr>
    </w:tbl>
    <w:p>
      <w:pPr>
        <w:spacing w:after="880"/>
      </w:pPr>
    </w:p>
    <w:p>
      <w:pPr>
        <w:spacing w:after="80"/>
        <w:jc w:val="center"/>
      </w:pPr>
      <w:r>
        <w:rPr>
          <w:rFonts w:ascii="Arial" w:hAnsi="Arial" w:eastAsia="Arial"/>
          <w:color w:val="666666"/>
          <w:sz w:val="19"/>
        </w:rPr>
        <w:t>Datum nabídky: 27. 7. 2026</w:t>
      </w:r>
    </w:p>
    <w:p>
      <w:pPr>
        <w:spacing w:after="40"/>
        <w:jc w:val="center"/>
      </w:pPr>
      <w:r>
        <w:rPr>
          <w:rFonts w:ascii="Arial" w:hAnsi="Arial" w:eastAsia="Arial"/>
          <w:color w:val="666666"/>
          <w:sz w:val="19"/>
        </w:rPr>
        <w:t>Platnost nabídky: do 26. 8. 2026</w:t>
      </w:r>
    </w:p>
    <w:p>
      <w:r>
        <w:rPr>
          <w:rFonts w:ascii="Arial" w:hAnsi="Arial" w:eastAsia="Arial"/>
          <w:color w:val="2B2B2B"/>
          <w:sz w:val="20"/>
        </w:rPr>
        <w:br w:type="page"/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1. Smluvní strany</w:t>
      </w:r>
    </w:p>
    <w:tbl>
      <w:tblPr>
        <w:tblW w:type="dxa" w:w="9467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4677"/>
        <w:gridCol w:w="4790"/>
      </w:tblGrid>
      <w:tr>
        <w:trPr>
          <w:cantSplit/>
        </w:trPr>
        <w:tc>
          <w:tcPr>
            <w:tcW w:type="dxa" w:w="4677"/>
            <w:shd w:fill="F0F3FB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  <w:vAlign w:val="top"/>
          </w:tcPr>
          <w:p>
            <w:pPr>
              <w:spacing w:after="160"/>
            </w:pPr>
            <w:r>
              <w:rPr>
                <w:rFonts w:ascii="Arial" w:hAnsi="Arial" w:eastAsia="Arial"/>
                <w:b/>
                <w:color w:val="2E4899"/>
                <w:sz w:val="18"/>
              </w:rPr>
              <w:t>DODAVATEL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2B2B2B"/>
                <w:sz w:val="20"/>
              </w:rPr>
              <w:t>Coffee Workers s.r.o.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Květinová 4465/34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466 01 Jablonec nad Nisou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IČO 07446861 | DIČ CZ07446861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KS Ústí nad Labem, oddíl C, vložka 42274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Ing. Josef Adam a Ing. Pavel Bucháček, jednatelé</w:t>
            </w:r>
          </w:p>
        </w:tc>
        <w:tc>
          <w:tcPr>
            <w:tcW w:type="dxa" w:w="4790"/>
            <w:shd w:fill="F4F4F4"/>
            <w:tcMar>
              <w:top w:w="170" w:type="dxa"/>
              <w:start w:w="180" w:type="dxa"/>
              <w:bottom w:w="170" w:type="dxa"/>
              <w:end w:w="180" w:type="dxa"/>
            </w:tcMar>
            <w:tcBorders>
              <w:top w:val="single" w:sz="5" w:color="D9D9D9"/>
              <w:start w:val="single" w:sz="5" w:color="D9D9D9"/>
              <w:bottom w:val="single" w:sz="5" w:color="D9D9D9"/>
              <w:end w:val="single" w:sz="5" w:color="D9D9D9"/>
            </w:tcBorders>
            <w:vAlign w:val="top"/>
          </w:tcPr>
          <w:p>
            <w:pPr>
              <w:spacing w:after="160"/>
            </w:pPr>
            <w:r>
              <w:rPr>
                <w:rFonts w:ascii="Arial" w:hAnsi="Arial" w:eastAsia="Arial"/>
                <w:b/>
                <w:color w:val="25314D"/>
                <w:sz w:val="18"/>
              </w:rPr>
              <w:t>OBJEDNATEL</w:t>
            </w:r>
          </w:p>
          <w:p>
            <w:pPr>
              <w:spacing w:after="40"/>
            </w:pPr>
            <w:r>
              <w:rPr>
                <w:rFonts w:ascii="Arial" w:hAnsi="Arial" w:eastAsia="Arial"/>
                <w:b/>
                <w:color w:val="2B2B2B"/>
                <w:sz w:val="20"/>
              </w:rPr>
              <w:t>Neatech s.r.o.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Neklanova 150/38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Vyšehrad, 128 00 Praha 2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IČO 02481103 | DIČ CZ02481103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MS Praha, oddíl C, vložka 219919</w:t>
            </w:r>
          </w:p>
          <w:p>
            <w:pPr>
              <w:spacing w:after="40"/>
            </w:pPr>
            <w:r>
              <w:rPr>
                <w:rFonts w:ascii="Arial" w:hAnsi="Arial" w:eastAsia="Arial"/>
                <w:b w:val="0"/>
                <w:color w:val="2B2B2B"/>
                <w:sz w:val="20"/>
              </w:rPr>
              <w:t>Ing. Václav Soukup, jednatel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2. Manažerské shrnutí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Společnost Coffee Workers s.r.o. tímto předkládá společnosti Neatech s.r.o. nabídku na analýzu, návrh, vývoj, integraci a zavedení další generace platformy Veslo.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Cílem projektu je rozšířit Veslo do podoby Enterprise Agent OS v1 - jednotné platformy pro lokální a vzdálenou agentickou práci, sdílení projektů, práci s firemními znalostmi, automatizaci procesů a bezpečný provoz velkých generativních modelů v privátní výpočetní infrastruktuře.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Součástí řešení bude softwarová řídicí vrstva pro profesionální distribuovaný inference provoz velmi velkých modelů, včetně modelů třídy 10^12 parametrů. Referenční architektura bude založena zejména na technologiích Kubernetes, Ray Serve LLM a vLLM, případně na srovnatelném inference enginu vybraném podle použitého modelu a výpočetní infrastruktury.</w:t>
      </w:r>
    </w:p>
    <w:tbl>
      <w:tblPr>
        <w:tblW w:type="dxa" w:w="9467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9467"/>
      </w:tblGrid>
      <w:tr>
        <w:trPr>
          <w:cantSplit/>
        </w:trPr>
        <w:tc>
          <w:tcPr>
            <w:tcW w:type="dxa" w:w="9467"/>
            <w:shd w:fill="F0F3FB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D9D9D9"/>
              <w:start w:val="single" w:sz="18" w:color="2E4899"/>
              <w:bottom w:val="single" w:sz="4" w:color="D9D9D9"/>
              <w:end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2E4899"/>
                <w:sz w:val="21"/>
              </w:rPr>
              <w:t>Obchodní rámec</w:t>
            </w:r>
          </w:p>
          <w:p>
            <w:pPr>
              <w:spacing w:after="0" w:line="274" w:lineRule="auto"/>
            </w:pPr>
            <w:r>
              <w:rPr>
                <w:rFonts w:ascii="Arial" w:hAnsi="Arial" w:eastAsia="Arial"/>
                <w:color w:val="2B2B2B"/>
                <w:sz w:val="20"/>
              </w:rPr>
              <w:t>Projekt bude realizován formou průběžně předávaných pracovních balíčků. Celkový rozpočtový limit činí 7 980 000 Kč bez DPH při hodinové sazbě 1 000 Kč bez DPH.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3. Cíle projektu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Výsledné řešení umožní Objednateli zejména: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provozovat agentické úlohy lokálně i na vzdálené infrastruktuře;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sdílet projekty mezi uživateli a řídit jejich oprávnění;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synchronizovat vybraná projektová data a artefakty;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využívat firemní znalostní zdroje s dohledatelnými citacemi;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provozovat velké generativní a multimodální modely v privátní infrastruktuře;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řídit distribuovaný inference provoz prostřednictvím Vesla;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automatizovat opakované procesy včetně schvalovacích kroků;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sledovat kvalitu, cenu, latenci a spolehlivost agentických operací;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spravovat agenty, modely, nástroje, skills a konektory;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připravit platformu pro enterprise a self-hosted nasazení.</w:t>
      </w:r>
    </w:p>
    <w:p>
      <w:pPr>
        <w:pStyle w:val="Heading1"/>
        <w:keepNext/>
        <w:pageBreakBefore/>
      </w:pPr>
      <w:r>
        <w:rPr>
          <w:rFonts w:ascii="Arial" w:hAnsi="Arial" w:eastAsia="Arial"/>
          <w:color w:val="2B2B2B"/>
          <w:sz w:val="20"/>
        </w:rPr>
        <w:t>4. Rozsah plnění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4.1 Platformová architektura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navrhne a implementuje potřebné změny platformové architektury, zejména: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sjednocení identity projektů, workspace a konverzací;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stabilizaci rozhraní mezi desktopovou aplikací, serverem a cloudovou částí;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správu životního cyklu agentických běhů;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recovery mechanismy při přerušení nebo selhání běhu;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verzování a migrace konfigurace;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rozhraní pro připojení dalších runtime a inference backendů;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technickou, provozní a integrační dokumentaci.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4.2 Cloudové projekty a spolupráce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Součástí řešení bude: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centrální identita projektu;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členství uživatelů v projektu;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role vlastník, správce, člen a čtenář;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pozvánky a odebrání přístupu;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sdílení vybraných konverzací, konfigurací a artefaktů;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synchronizace mezi zařízeními;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předání projektu nebo agentického běhu jinému uživateli;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historie změn a audit přístupů.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Plnohodnotná realtime editace stejného obsahu více uživateli současně není součástí nabízené verze.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4.3 Remote Agent Runtime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rozšíří platformu o produkčně použitelnou podporu vzdálených agentů: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vytvoření a připojení vzdáleného pracovního prostředí;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spuštění, zastavení a obnovení vzdáleného agenta;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bezpečné předání potřebné projektové konfigurace;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správa přístupových tokenů a secrets;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stav runtime, provozní logy a diagnostika;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limity spotřeby a souběžných běhů;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zotavení po výpadku spojení;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správa životního cyklu vzdálených workspace.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Součástí nabídky je jeden referenční způsob vzdáleného nasazení. Multi-region infrastruktura není součástí základního rozsahu.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4.4 Enterprise Knowledge Fabric v1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Řešení bude obsahovat první produkční verzi firemní znalostní vrstvy: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vytváření znalostních kolekcí;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nahrávání souborů a připojení dohodnutých zdrojů;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průběžnou aktualizaci podporovaných zdrojů;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extrakci textu, struktury a metadat;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verzování dokumentů;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fulltextové a vektorové vyhledávání;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hybridní retrieval a reranking;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odpovědi s citacemi původních zdrojů;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přístupová oprávnění ke kolekcím;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odstranění dokumentu a souvisejících indexovaných dat;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administraci stavu zpracování;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evaluaci relevance a správnosti odpovědí.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Rozsah zahrnuje souborové zdroje a omezený počet již dostupných Google nebo Microsoft integrací. Nové specializované konektory budou podléhat samostatnému upřesnění.</w:t>
      </w:r>
    </w:p>
    <w:p>
      <w:pPr>
        <w:pStyle w:val="Heading2"/>
        <w:keepNext/>
        <w:pageBreakBefore/>
      </w:pPr>
      <w:r>
        <w:rPr>
          <w:rFonts w:ascii="Arial" w:hAnsi="Arial" w:eastAsia="Arial"/>
          <w:color w:val="2B2B2B"/>
          <w:sz w:val="20"/>
        </w:rPr>
        <w:t>4.5 Veslo Enterprise Inference Fabric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navrhne a implementuje softwarovou řídicí vrstvu pro profesionální provoz velmi velkých generativních, reasoning a multimodálních modelů.</w:t>
      </w:r>
    </w:p>
    <w:p>
      <w:pPr>
        <w:pStyle w:val="Heading3"/>
        <w:keepNext/>
      </w:pPr>
      <w:r>
        <w:rPr>
          <w:rFonts w:ascii="Arial" w:hAnsi="Arial" w:eastAsia="Arial"/>
          <w:color w:val="2B2B2B"/>
          <w:sz w:val="20"/>
        </w:rPr>
        <w:t>Referenční architektura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Kubernetes nebo kompatibilní clusterová platforma;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Ray Serve LLM nebo srovnatelná orchestrace inference workloadů;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vLLM jako primární inference engine;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možnost připojit SGLang, TensorRT-LLM nebo jiný schválený backend;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OpenAI-kompatibilní rozhraní pro platformu Veslo.</w:t>
      </w:r>
    </w:p>
    <w:p>
      <w:pPr>
        <w:pStyle w:val="Heading3"/>
        <w:keepNext/>
      </w:pPr>
      <w:r>
        <w:rPr>
          <w:rFonts w:ascii="Arial" w:hAnsi="Arial" w:eastAsia="Arial"/>
          <w:color w:val="2B2B2B"/>
          <w:sz w:val="20"/>
        </w:rPr>
        <w:t>Funkční rozsah inference vrstvy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registr modelů a jejich verzí;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deklarativní konfigurace inference deploymentů;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multi-node a multi-GPU serving;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tensor, pipeline, data a expert parallelism;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podpora velkých MoE architektur;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řízení GPU placementu a požadavků na prostředky;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fronty, priority a admission control;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kvóty pro organizace, projekty a uživatele;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continuous batching;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správa KV cache a prefix-aware routing;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oddělené inference pooly pro generování, embeddings a reranking;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health checks a automatizované zotavení služby;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rolling a canary deployment modelů;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rollback na předchozí modelovou verzi;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horizontální škálování, pokud jej umožní dostupná infrastruktura;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sledování latence, time-to-first-token, throughputu a chybovosti;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sledování využití GPU a orientačních provozních nákladů;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autentizace, autorizace, síťová izolace a audit požadavků;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výkonnostní a kompatibilitní benchmarky vybraných modelů.</w:t>
      </w:r>
    </w:p>
    <w:tbl>
      <w:tblPr>
        <w:tblW w:type="dxa" w:w="9467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9467"/>
      </w:tblGrid>
      <w:tr>
        <w:trPr>
          <w:cantSplit/>
        </w:trPr>
        <w:tc>
          <w:tcPr>
            <w:tcW w:type="dxa" w:w="9467"/>
            <w:shd w:fill="F4F4F4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D9D9D9"/>
              <w:start w:val="single" w:sz="18" w:color="2E4899"/>
              <w:bottom w:val="single" w:sz="4" w:color="D9D9D9"/>
              <w:end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2E4899"/>
                <w:sz w:val="21"/>
              </w:rPr>
              <w:t>Vymezení odpovědnosti</w:t>
            </w:r>
          </w:p>
          <w:p>
            <w:pPr>
              <w:spacing w:after="0" w:line="274" w:lineRule="auto"/>
            </w:pPr>
            <w:r>
              <w:rPr>
                <w:rFonts w:ascii="Arial" w:hAnsi="Arial" w:eastAsia="Arial"/>
                <w:color w:val="2B2B2B"/>
                <w:sz w:val="20"/>
              </w:rPr>
              <w:t>Softwarová vrstva bude připravena pro modely s řádově stovkami miliard až 10^12 celkových parametrů. Skutečná provozuschopnost konkrétního modelu závisí na dostupném počtu GPU, velikosti GPU paměti, síťovém propojení clusteru, kvantizaci, architektuře modelu a jeho licenčních podmínkách.</w:t>
            </w:r>
          </w:p>
        </w:tc>
      </w:tr>
    </w:tbl>
    <w:p>
      <w:pPr>
        <w:spacing w:after="20"/>
      </w:pP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Nabídka nezahrnuje vývoj vlastního inference enginu ani trénování základního modelu.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4.6 Automatizace a workflow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časové a událostní spouštění automatizací;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webhookové vstupy;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opakované a plánované běhy;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schvalovací kroky vyžadující zásah uživatele;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retry mechanismy a evidenci neúspěšných běhů;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historii provedených automatizací;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notifikace o dokončení nebo chybě;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sadu šablon agentických workflow.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Obecný vizuální no-code editor libovolných podnikových procesů není součástí této nabídky.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4.7 Governance a bezpečnost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organizační a projektový RBAC;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centrální auditní log;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bezpečné ukládání přístupových údajů;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správu povolených modelů, nástrojů a konektorů;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retenční pravidla;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export auditních událostí;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řízení přístupu k inference endpointům;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oddělení projektových a organizačních workloadů;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integraci jednoho dohodnutého standardu jednotného přihlášení;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přípravu rozhraní pro další enterprise identity systémy.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Kompletní SCIM provisioning, plnohodnotné DLP a formální bezpečnostní certifikace nejsou součástí základního rozsahu.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4.8 Observabilita a evaluace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měření úspěšnosti agentických úloh;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sledování latence a spotřeby modelových zdrojů;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distribuované trasování jednotlivých kroků;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administrátorský přehled běhů a chyb;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sadu referenčních agentických úloh;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modelové a inference benchmarky;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evidenci použitého modelu, runtime a konfigurace;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porovnání kvality a výkonu podporovaných modelů;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provozní alerting.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4.9 Agent Teams a Skills Hub v1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delegování úlohy dalšímu agentovi;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supervisor workflow;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omezení počtu agentů a spotřeby prostředků;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sdílený projektový kontext;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firemní katalog schválených skills;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publikaci a instalaci interních skills;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verzování a řízené nasazení skills;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audit použitých agentů, nástrojů a skills.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Rozsáhlé autonomní týmy agentů s dynamickou změnou organizační struktury nejsou součástí verze v1.</w:t>
      </w:r>
    </w:p>
    <w:p>
      <w:pPr>
        <w:pStyle w:val="Heading2"/>
        <w:keepNext/>
      </w:pPr>
      <w:r>
        <w:rPr>
          <w:rFonts w:ascii="Arial" w:hAnsi="Arial" w:eastAsia="Arial"/>
          <w:color w:val="2B2B2B"/>
          <w:sz w:val="20"/>
        </w:rPr>
        <w:t>4.10 Self-hosted a mobilní připravenost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referenční self-hosted nasazení řídicí části Vesla;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konfigurační a instalační dokumentaci;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základní postup zálohování a obnovy;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propojení self-hosted Vesla s privátním inference clusterem;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responzivní rozhraní pro monitoring a schvalování;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API připravené pro budoucí nativní mobilní aplikaci.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Plnohodnotný high-availability multi-region provoz ani samostatná nativní mobilní aplikace nejsou součástí této nabídky.</w:t>
      </w:r>
    </w:p>
    <w:p>
      <w:pPr>
        <w:pStyle w:val="Heading1"/>
        <w:keepNext/>
        <w:pageBreakBefore/>
      </w:pPr>
      <w:r>
        <w:rPr>
          <w:rFonts w:ascii="Arial" w:hAnsi="Arial" w:eastAsia="Arial"/>
          <w:color w:val="2B2B2B"/>
          <w:sz w:val="20"/>
        </w:rPr>
        <w:t>5. Výstupy projektu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předá Objednateli zejména: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zdrojové kódy vytvořené v rámci projektu;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databázové a konfigurační migrace;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infrastrukturu jako kód v dohodnutém rozsahu;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konfigurační šablony inference deploymentů;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automatizované testy hlavních scénářů;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technickou a provozní dokumentaci;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bezpečnostní a provozní doporučení;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dokumentaci API a integračních rozhraní;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přehled podporovaných modelů a inference konfigurací;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výsledky referenčních výkonnostních testů;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podklady potřebné pro další provoz a rozvoj řešení.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Zdrojové kódy budou průběžně ukládány v repozitáři určeném Objednatelem.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6. Akceptační kritéria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Plnění bude akceptováno po ověření dohodnutých end-to-end scénářů, zejména: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dva uživatelé mohou bezpečně sdílet jeden projekt;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projekt lze provozovat na lokálním i vzdáleném runtime;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agent může využít firemní knowledge base a vrátit dohledatelné citace;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knowledge base respektuje nastavená přístupová oprávnění;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automatizace může vyžádat schválení uživatele;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administrátor může dohledat průběh a výsledek agentického běhu;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Veslo komunikuje s privátním distribuovaným inference endpointem;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referenční model lze nasadit prostřednictvím připravené inference vrstvy;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modelový deployment lze monitorovat, aktualizovat a vrátit na předchozí verzi;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supervisor agent může delegovat omezenou úlohu dalšímu agentovi;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řešení lze nasadit v dohodnuté self-hosted konfiguraci;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hlavní desktopové scénáře jsou pokryty automatizovanými end-to-end testy.</w:t>
      </w:r>
    </w:p>
    <w:tbl>
      <w:tblPr>
        <w:tblW w:type="dxa" w:w="9467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9467"/>
      </w:tblGrid>
      <w:tr>
        <w:trPr>
          <w:cantSplit/>
        </w:trPr>
        <w:tc>
          <w:tcPr>
            <w:tcW w:type="dxa" w:w="9467"/>
            <w:shd w:fill="F4F4F4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D9D9D9"/>
              <w:start w:val="single" w:sz="18" w:color="2E4899"/>
              <w:bottom w:val="single" w:sz="4" w:color="D9D9D9"/>
              <w:end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2E4899"/>
                <w:sz w:val="21"/>
              </w:rPr>
              <w:t>Akceptace velkého modelu</w:t>
            </w:r>
          </w:p>
          <w:p>
            <w:pPr>
              <w:spacing w:after="0" w:line="274" w:lineRule="auto"/>
            </w:pPr>
            <w:r>
              <w:rPr>
                <w:rFonts w:ascii="Arial" w:hAnsi="Arial" w:eastAsia="Arial"/>
                <w:color w:val="2B2B2B"/>
                <w:sz w:val="20"/>
              </w:rPr>
              <w:t>Nasazení konkrétního modelu třídy 10^12 parametrů bude součástí akceptace pouze tehdy, pokud Objednatel poskytne odpovídající GPU infrastrukturu, síťové propojení a oprávnění k použití modelu. V opačném případě bude inference architektura ověřena na dostupné reprezentativní konfiguraci.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7. Organizace realizace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Projekt bude řízen iterativně. Dodavatel a Objednatel budou průběžně stanovovat priority pracovních balíčků tak, aby bylo možné pravidelně předávat funkční a ověřitelné části řešení.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může pro specializované části projektu využít odborné subdodavatele. Za jejich práci, zabezpečení přístupů a kvalitu výstupů odpovídá Dodavatel ve stejném rozsahu jako za vlastní plnění. Přístup subdodavatelů k neveřejným systémům Objednatele podléhá předchozímu schválení Objednatelem.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Pravidelný projektový reporting bude obsahovat: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přehled provedených prací;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čerpání hodin a rozpočtu;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stav pracovních balíčků;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identifikovaná rizika a závislosti;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plán činností pro následující období.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8. Doba realizace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Předpokládaná doba realizace je nejpozději 24 měsíců od zahájení projektu.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Zahájením projektu se rozumí uzavření smlouvy nebo potvrzení objednávky, zpřístupnění potřebných vývojových prostředí a jmenování odpovědných osob na obou stranách.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Pořadí jednotlivých pracovních balíčků může být po vzájemné dohodě změněno, pokud tím nebude rozšířen celkový rozsah nebo překročen maximální rozpočet.</w:t>
      </w:r>
    </w:p>
    <w:p>
      <w:pPr>
        <w:pStyle w:val="Heading1"/>
        <w:keepNext/>
        <w:pageBreakBefore/>
      </w:pPr>
      <w:r>
        <w:rPr>
          <w:rFonts w:ascii="Arial" w:hAnsi="Arial" w:eastAsia="Arial"/>
          <w:color w:val="2B2B2B"/>
          <w:sz w:val="20"/>
        </w:rPr>
        <w:t>9. Cena a hodinová sazba</w:t>
      </w:r>
    </w:p>
    <w:tbl>
      <w:tblPr>
        <w:tblW w:type="dxa" w:w="9467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9467"/>
      </w:tblGrid>
      <w:tr>
        <w:trPr>
          <w:cantSplit/>
        </w:trPr>
        <w:tc>
          <w:tcPr>
            <w:tcW w:type="dxa" w:w="9467"/>
            <w:shd w:fill="F0F3FB"/>
            <w:tcMar>
              <w:top w:w="160" w:type="dxa"/>
              <w:start w:w="180" w:type="dxa"/>
              <w:bottom w:w="160" w:type="dxa"/>
              <w:end w:w="180" w:type="dxa"/>
            </w:tcMar>
            <w:tcBorders>
              <w:top w:val="single" w:sz="4" w:color="D9D9D9"/>
              <w:start w:val="single" w:sz="18" w:color="2E4899"/>
              <w:bottom w:val="single" w:sz="4" w:color="D9D9D9"/>
              <w:end w:val="single" w:sz="4" w:color="D9D9D9"/>
            </w:tcBorders>
            <w:vAlign w:val="center"/>
          </w:tcPr>
          <w:p>
            <w:pPr>
              <w:spacing w:after="60"/>
            </w:pPr>
            <w:r>
              <w:rPr>
                <w:rFonts w:ascii="Arial" w:hAnsi="Arial" w:eastAsia="Arial"/>
                <w:b/>
                <w:color w:val="2E4899"/>
                <w:sz w:val="21"/>
              </w:rPr>
              <w:t>Cenový model</w:t>
            </w:r>
          </w:p>
          <w:p>
            <w:pPr>
              <w:spacing w:after="0" w:line="274" w:lineRule="auto"/>
            </w:pPr>
            <w:r>
              <w:rPr>
                <w:rFonts w:ascii="Arial" w:hAnsi="Arial" w:eastAsia="Arial"/>
                <w:color w:val="2B2B2B"/>
                <w:sz w:val="20"/>
              </w:rPr>
              <w:t>Projekt bude realizován v režimu Time &amp; Material s maximálním rozpočtovým limitem. Hodinová sazba činí 1 000 Kč bez DPH, maximální rozsah 7 980 hodin a maximální cena 7 980 000 Kč bez DPH.</w:t>
            </w:r>
          </w:p>
        </w:tc>
      </w:tr>
    </w:tbl>
    <w:p>
      <w:pPr>
        <w:spacing w:after="20"/>
      </w:pPr>
    </w:p>
    <w:tbl>
      <w:tblPr>
        <w:tblW w:type="dxa" w:w="9466"/>
        <w:jc w:val="center"/>
        <w:tblLayout w:type="fixed"/>
        <w:tblLook w:firstColumn="1" w:firstRow="1" w:lastColumn="0" w:lastRow="0" w:noHBand="0" w:noVBand="1" w:val="04A0"/>
        <w:tblInd w:w="130" w:type="dxa"/>
      </w:tblPr>
      <w:tblGrid>
        <w:gridCol w:w="6179"/>
        <w:gridCol w:w="1247"/>
        <w:gridCol w:w="2040"/>
      </w:tblGrid>
      <w:tr>
        <w:trPr>
          <w:cantSplit/>
          <w:tblHeader w:val="true"/>
        </w:trPr>
        <w:tc>
          <w:tcPr>
            <w:tcW w:type="dxa" w:w="6179"/>
            <w:shd w:fill="25314D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Pracovní balíček</w:t>
            </w:r>
          </w:p>
        </w:tc>
        <w:tc>
          <w:tcPr>
            <w:tcW w:type="dxa" w:w="1247"/>
            <w:shd w:fill="25314D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Rozsah</w:t>
            </w:r>
          </w:p>
        </w:tc>
        <w:tc>
          <w:tcPr>
            <w:tcW w:type="dxa" w:w="2040"/>
            <w:shd w:fill="25314D"/>
            <w:tcMar>
              <w:top w:w="120" w:type="dxa"/>
              <w:start w:w="130" w:type="dxa"/>
              <w:bottom w:w="120" w:type="dxa"/>
              <w:end w:w="13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Cena bez DPH</w:t>
            </w:r>
          </w:p>
        </w:tc>
      </w:tr>
      <w:tr>
        <w:tc>
          <w:tcPr>
            <w:tcW w:type="dxa" w:w="6179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Platformová architektura a stabilizace</w:t>
            </w:r>
          </w:p>
        </w:tc>
        <w:tc>
          <w:tcPr>
            <w:tcW w:type="dxa" w:w="1247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550 h</w:t>
            </w:r>
          </w:p>
        </w:tc>
        <w:tc>
          <w:tcPr>
            <w:tcW w:type="dxa" w:w="2040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550 000 Kč</w:t>
            </w:r>
          </w:p>
        </w:tc>
      </w:tr>
      <w:tr>
        <w:tc>
          <w:tcPr>
            <w:tcW w:type="dxa" w:w="6179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Cloudové projekty, synchronizace a sdílení</w:t>
            </w:r>
          </w:p>
        </w:tc>
        <w:tc>
          <w:tcPr>
            <w:tcW w:type="dxa" w:w="1247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900 h</w:t>
            </w:r>
          </w:p>
        </w:tc>
        <w:tc>
          <w:tcPr>
            <w:tcW w:type="dxa" w:w="20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900 000 Kč</w:t>
            </w:r>
          </w:p>
        </w:tc>
      </w:tr>
      <w:tr>
        <w:tc>
          <w:tcPr>
            <w:tcW w:type="dxa" w:w="6179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Remote Agent Runtime</w:t>
            </w:r>
          </w:p>
        </w:tc>
        <w:tc>
          <w:tcPr>
            <w:tcW w:type="dxa" w:w="1247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750 h</w:t>
            </w:r>
          </w:p>
        </w:tc>
        <w:tc>
          <w:tcPr>
            <w:tcW w:type="dxa" w:w="2040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750 000 Kč</w:t>
            </w:r>
          </w:p>
        </w:tc>
      </w:tr>
      <w:tr>
        <w:tc>
          <w:tcPr>
            <w:tcW w:type="dxa" w:w="6179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Enterprise Knowledge Fabric v1</w:t>
            </w:r>
          </w:p>
        </w:tc>
        <w:tc>
          <w:tcPr>
            <w:tcW w:type="dxa" w:w="1247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950 h</w:t>
            </w:r>
          </w:p>
        </w:tc>
        <w:tc>
          <w:tcPr>
            <w:tcW w:type="dxa" w:w="20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950 000 Kč</w:t>
            </w:r>
          </w:p>
        </w:tc>
      </w:tr>
      <w:tr>
        <w:tc>
          <w:tcPr>
            <w:tcW w:type="dxa" w:w="6179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Enterprise Inference Fabric</w:t>
            </w:r>
          </w:p>
        </w:tc>
        <w:tc>
          <w:tcPr>
            <w:tcW w:type="dxa" w:w="1247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1 750 h</w:t>
            </w:r>
          </w:p>
        </w:tc>
        <w:tc>
          <w:tcPr>
            <w:tcW w:type="dxa" w:w="2040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1 750 000 Kč</w:t>
            </w:r>
          </w:p>
        </w:tc>
      </w:tr>
      <w:tr>
        <w:tc>
          <w:tcPr>
            <w:tcW w:type="dxa" w:w="6179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Automatizace, observabilita a evaluace</w:t>
            </w:r>
          </w:p>
        </w:tc>
        <w:tc>
          <w:tcPr>
            <w:tcW w:type="dxa" w:w="1247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650 h</w:t>
            </w:r>
          </w:p>
        </w:tc>
        <w:tc>
          <w:tcPr>
            <w:tcW w:type="dxa" w:w="20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650 000 Kč</w:t>
            </w:r>
          </w:p>
        </w:tc>
      </w:tr>
      <w:tr>
        <w:tc>
          <w:tcPr>
            <w:tcW w:type="dxa" w:w="6179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Governance, bezpečnost a konektory</w:t>
            </w:r>
          </w:p>
        </w:tc>
        <w:tc>
          <w:tcPr>
            <w:tcW w:type="dxa" w:w="1247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550 h</w:t>
            </w:r>
          </w:p>
        </w:tc>
        <w:tc>
          <w:tcPr>
            <w:tcW w:type="dxa" w:w="2040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550 000 Kč</w:t>
            </w:r>
          </w:p>
        </w:tc>
      </w:tr>
      <w:tr>
        <w:tc>
          <w:tcPr>
            <w:tcW w:type="dxa" w:w="6179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Agent Teams, Skills Hub, self-hosted a mobilní připravenost</w:t>
            </w:r>
          </w:p>
        </w:tc>
        <w:tc>
          <w:tcPr>
            <w:tcW w:type="dxa" w:w="1247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550 h</w:t>
            </w:r>
          </w:p>
        </w:tc>
        <w:tc>
          <w:tcPr>
            <w:tcW w:type="dxa" w:w="2040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550 000 Kč</w:t>
            </w:r>
          </w:p>
        </w:tc>
      </w:tr>
      <w:tr>
        <w:tc>
          <w:tcPr>
            <w:tcW w:type="dxa" w:w="6179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left"/>
            </w:pPr>
            <w:r>
              <w:rPr>
                <w:rFonts w:ascii="Arial" w:hAnsi="Arial" w:eastAsia="Arial"/>
                <w:color w:val="2B2B2B"/>
                <w:sz w:val="18"/>
              </w:rPr>
              <w:t>Integrace, UX, testování, dokumentace a vedení projektu</w:t>
            </w:r>
          </w:p>
        </w:tc>
        <w:tc>
          <w:tcPr>
            <w:tcW w:type="dxa" w:w="1247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1 330 h</w:t>
            </w:r>
          </w:p>
        </w:tc>
        <w:tc>
          <w:tcPr>
            <w:tcW w:type="dxa" w:w="2040"/>
            <w:shd w:fill="FAFAFA"/>
            <w:tcMar>
              <w:top w:w="95" w:type="dxa"/>
              <w:start w:w="130" w:type="dxa"/>
              <w:bottom w:w="95" w:type="dxa"/>
              <w:end w:w="130" w:type="dxa"/>
            </w:tcMar>
            <w:vAlign w:val="center"/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color w:val="2B2B2B"/>
                <w:sz w:val="18"/>
              </w:rPr>
              <w:t>1 330 000 Kč</w:t>
            </w:r>
          </w:p>
        </w:tc>
      </w:tr>
      <w:tr>
        <w:tc>
          <w:tcPr>
            <w:tcW w:type="dxa" w:w="6179"/>
            <w:shd w:fill="F0F3FB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25314D"/>
                <w:sz w:val="20"/>
              </w:rPr>
              <w:t>CELKEM</w:t>
            </w:r>
          </w:p>
        </w:tc>
        <w:tc>
          <w:tcPr>
            <w:tcW w:type="dxa" w:w="1247"/>
            <w:shd w:fill="F0F3FB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5314D"/>
                <w:sz w:val="20"/>
              </w:rPr>
              <w:t>7 980 h</w:t>
            </w:r>
          </w:p>
        </w:tc>
        <w:tc>
          <w:tcPr>
            <w:tcW w:type="dxa" w:w="2040"/>
            <w:shd w:fill="F0F3FB"/>
            <w:tcMar>
              <w:top w:w="130" w:type="dxa"/>
              <w:start w:w="130" w:type="dxa"/>
              <w:bottom w:w="130" w:type="dxa"/>
              <w:end w:w="130" w:type="dxa"/>
            </w:tcMar>
            <w:tcBorders>
              <w:top w:val="single" w:sz="4" w:color="D9D9D9"/>
              <w:start w:val="single" w:sz="4" w:color="D9D9D9"/>
              <w:bottom w:val="single" w:sz="4" w:color="D9D9D9"/>
              <w:end w:val="single" w:sz="4" w:color="D9D9D9"/>
            </w:tcBorders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2E4899"/>
                <w:sz w:val="20"/>
              </w:rPr>
              <w:t>7 980 000 Kč</w:t>
            </w:r>
          </w:p>
        </w:tc>
      </w:tr>
    </w:tbl>
    <w:p>
      <w:pPr>
        <w:spacing w:after="20"/>
      </w:pP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Rozdělení hodin mezi pracovní balíčky je orientační. Hodiny lze po schválení Objednatelem převádět mezi balíčky, aniž by došlo ke zvýšení maximální ceny.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není oprávněn překročit maximální rozpočet bez předchozího písemného souhlasu Objednatele.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10. Fakturace a platební podmínky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Fakturace bude probíhat měsíčně podle skutečně odpracovaných a vykázaných hodin.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předloží spolu s fakturou: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výkaz provedených činností;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počet hodin podle pracovních balíčků;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aktuální čerpání rozpočtu;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stručný přehled dosažených výstupů.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Splatnost faktur je 14 kalendářních dnů.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Případné práce nad maximální rozsah budou provedeny pouze na základě písemně schváleného změnového požadavku. Pro takové práce bude zachována hodinová sazba 1 000 Kč bez DPH, nebude-li písemně dohodnuto jinak.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11. Součinnost Objednatele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Objednatel zajistí zejména: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přístup ke zdrojovým kódům a vývojovým prostředím;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přístup k potřebné projektové dokumentaci;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testovací účty a integrační prostředí;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rozhodování o produktových prioritách;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dostupnost odpovědných osob pro konzultace a akceptaci;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GPU infrastrukturu nebo přístup k ní pro ověření distribuovaného inference;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licence a oprávnění k použití vybraných modelů;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potřebné účty a licence služeb třetích stran.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/>
          <w:color w:val="2B2B2B"/>
          <w:sz w:val="20"/>
        </w:rPr>
        <w:t>Prodlení způsobené neposkytnutím potřebné součinnosti může přiměřeně posunout předpokládanou dobu dokončení.</w:t>
      </w:r>
    </w:p>
    <w:p>
      <w:pPr>
        <w:pStyle w:val="Heading1"/>
        <w:keepNext/>
        <w:pageBreakBefore/>
      </w:pPr>
      <w:r>
        <w:rPr>
          <w:rFonts w:ascii="Arial" w:hAnsi="Arial" w:eastAsia="Arial"/>
          <w:color w:val="2B2B2B"/>
          <w:sz w:val="20"/>
        </w:rPr>
        <w:t>12. Duševní vlastnictví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Majetková práva k programovým částem vytvořeným specificky pro Objednatele přejdou na Objednatele po úplném zaplacení příslušného plnění.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Komponenty třetích stran a open-source software zůstávají pod svými původními licenčními podmínkami. Dodavatel povede přehled významných použitých závislostí a jejich licencí.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není oprávněn využít neveřejné zdrojové kódy, data ani obchodní informace Objednatele pro jiné zákazníky nebo pro trénování modelů.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13. Bezpečnost a důvěrnost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se zaváže chránit veškeré neveřejné informace Objednatele a používat je výhradně za účelem plnění projektu.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Bez předchozího souhlasu Objednatele nebudou projektová data: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předávána třetím stranám;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používána k trénování modelů;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ukládána mimo schválená prostředí;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odesílána do veřejných AI služeb.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Přístupy do systémů budou poskytovány pouze v nezbytném rozsahu a budou po ukončení příslušné činnosti odebrány.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14. Záruka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Dodavatel poskytne tříměsíční záruku na vady předaného řešení, které představují prokazatelný nesoulad s odsouhlasenými akceptačními kritérii.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Odstranění takových vad nebude účtováno jako dodatečná práce. Záruka se nevztahuje na vady způsobené: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změnou systémů nebo konfigurace třetí stranou;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změnou API externí služby;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nekompatibilní aktualizací modelu nebo inference enginu;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nedostupností či nedostatečným výkonem infrastruktury;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použitím řešení v rozporu s dokumentací.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Navazující provozní podpora a SLA mohou být sjednány samostatnou servisní smlouvou.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15. Výluky z nabídky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Cena nezahrnuje: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nákup, pronájem ani fyzickou instalaci GPU hardwaru;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cloudové a hostingové poplatky;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síťovou infrastrukturu a datacentrové služby;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licence modelů a placených služeb třetích stran;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trénování základních modelů;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rozsáhlý fine-tuning modelů třídy 10^12 parametrů;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vývoj vlastního inference enginu;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formální bezpečnostní nebo regulatorní certifikace;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nepřetržitý dohled v režimu 24/7;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plnohodnotnou nativní mobilní aplikaci;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multi-region high-availability infrastrukturu;</w:t>
      </w:r>
    </w:p>
    <w:p>
      <w:pPr>
        <w:pStyle w:val="OfferBullet"/>
        <w:numPr>
          <w:ilvl w:val="0"/>
          <w:numId w:val="10"/>
        </w:numPr>
      </w:pPr>
      <w:r>
        <w:rPr>
          <w:rFonts w:ascii="Arial" w:hAnsi="Arial" w:eastAsia="Arial"/>
          <w:color w:val="2B2B2B"/>
          <w:sz w:val="20"/>
        </w:rPr>
        <w:t>integrace a migrace nad výslovně dohodnutý rozsah.</w:t>
      </w:r>
    </w:p>
    <w:p>
      <w:pPr>
        <w:pStyle w:val="Heading1"/>
        <w:keepNext/>
      </w:pPr>
      <w:r>
        <w:rPr>
          <w:rFonts w:ascii="Arial" w:hAnsi="Arial" w:eastAsia="Arial"/>
          <w:color w:val="2B2B2B"/>
          <w:sz w:val="20"/>
        </w:rPr>
        <w:t>16. Závěrečná ustanovení</w:t>
      </w:r>
    </w:p>
    <w:p>
      <w:pPr>
        <w:keepLines w:val="0"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Tato nabídka představuje obchodní a technický návrh Dodavatele. Samotné zahájení realizace bude podmíněno uzavřením smlouvy o dílo, rámcové smlouvy nebo písemným potvrzením objednávky obsahující alespoň rozsah, cenu, způsob akceptace a pravidla ochrany důvěrných informací.</w:t>
      </w:r>
    </w:p>
    <w:p>
      <w:pPr>
        <w:keepLines/>
        <w:spacing w:after="120" w:line="283" w:lineRule="auto"/>
      </w:pPr>
      <w:r>
        <w:rPr>
          <w:rFonts w:ascii="Arial" w:hAnsi="Arial" w:eastAsia="Arial"/>
          <w:i w:val="0"/>
          <w:color w:val="2B2B2B"/>
          <w:sz w:val="20"/>
        </w:rPr>
        <w:t>V Jablonci nad Nisou dne 27. 7. 2026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19" w:bottom="1020" w:left="1219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 w:eastAsia="Arial"/>
        <w:color w:val="666666"/>
        <w:sz w:val="16"/>
      </w:rPr>
      <w:t>Coffee Workers s.r.o.  |  Neatech s.r.o.  |  Důvěrné</w:t>
    </w:r>
  </w:p>
  <w:p>
    <w:pPr>
      <w:jc w:val="right"/>
    </w:pPr>
    <w:r>
      <w:rPr>
        <w:rFonts w:ascii="Arial" w:hAnsi="Arial" w:eastAsia="Arial"/>
        <w:color w:val="666666"/>
        <w:sz w:val="17"/>
      </w:rPr>
      <w:t xml:space="preserve">Strana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dxa" w:w="9467"/>
      <w:jc w:val="center"/>
      <w:tblLayout w:type="fixed"/>
      <w:tblLook w:firstColumn="1" w:firstRow="1" w:lastColumn="0" w:lastRow="0" w:noHBand="0" w:noVBand="1" w:val="04A0"/>
      <w:tblInd w:w="130" w:type="dxa"/>
    </w:tblPr>
    <w:tblGrid>
      <w:gridCol w:w="2267"/>
      <w:gridCol w:w="7200"/>
    </w:tblGrid>
    <w:tr>
      <w:trPr>
        <w:cantSplit/>
      </w:trPr>
      <w:tc>
        <w:tcPr>
          <w:tcW w:type="dxa" w:w="2267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6" w:color="D9D9D9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936000" cy="936000"/>
                <wp:docPr id="1" name="Picture 1" descr="Image: item1.xml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93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200"/>
          <w:tcMar>
            <w:top w:w="0" w:type="dxa"/>
            <w:start w:w="0" w:type="dxa"/>
            <w:bottom w:w="0" w:type="dxa"/>
            <w:end w:w="0" w:type="dxa"/>
          </w:tcMar>
          <w:tcBorders>
            <w:bottom w:val="single" w:sz="6" w:color="D9D9D9"/>
          </w:tcBorders>
        </w:tcPr>
        <w:p>
          <w:pPr>
            <w:jc w:val="right"/>
          </w:pPr>
          <w:r>
            <w:rPr>
              <w:rFonts w:ascii="Arial" w:hAnsi="Arial" w:eastAsia="Arial"/>
              <w:b/>
              <w:color w:val="666666"/>
              <w:sz w:val="16"/>
            </w:rPr>
            <w:t>OBCHODNĚ-TECHNICKÁ NABÍDKA  |  VESLO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2531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2E489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25314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fferBullet">
    <w:name w:val="Offer Bullet"/>
    <w:basedOn w:val="Normal"/>
    <w:pPr>
      <w:spacing w:after="60" w:line="274" w:lineRule="auto"/>
      <w:ind w:left="397" w:hanging="198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Rozvoj platformy Veslo - Enterprise Agent OS v1</dc:title>
  <dc:subject>Obchodně-technická nabídka Coffee Workers s.r.o. pro Neatech s.r.o.</dc:subject>
  <dc:creator>Coffee Workers s.r.o.</dc:creator>
  <cp:keywords>Veslo, Enterprise Agent OS, vLLM, nabídka</cp:keywords>
  <dc:description>Připraveno k revizi a odeslání objednateli.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